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Calibri" w:cs="Calibri" w:eastAsia="Calibri" w:hAnsi="Calibri"/>
          <w:sz w:val="16"/>
          <w:szCs w:val="16"/>
          <w:b w:val="1"/>
          <w:bCs w:val="1"/>
          <w:color w:val="51555C"/>
        </w:rPr>
        <w:t>UNITED STATES</w:t>
      </w:r>
    </w:p>
    <w:p>
      <w:pPr>
        <w:jc w:val="center"/>
        <w:spacing w:after="0" w:line="234" w:lineRule="auto"/>
        <w:rPr>
          <w:sz w:val="20"/>
          <w:szCs w:val="20"/>
          <w:color w:val="auto"/>
        </w:rPr>
      </w:pPr>
      <w:r>
        <w:rPr>
          <w:rFonts w:ascii="Calibri" w:cs="Calibri" w:eastAsia="Calibri" w:hAnsi="Calibri"/>
          <w:sz w:val="16"/>
          <w:szCs w:val="16"/>
          <w:b w:val="1"/>
          <w:bCs w:val="1"/>
          <w:color w:val="51555C"/>
        </w:rPr>
        <w:t>SECURITIES AND EXCHANGE COMMISSION</w:t>
      </w:r>
    </w:p>
    <w:p>
      <w:pPr>
        <w:spacing w:after="0" w:line="123" w:lineRule="exact"/>
        <w:rPr>
          <w:sz w:val="24"/>
          <w:szCs w:val="24"/>
          <w:color w:val="auto"/>
        </w:rPr>
      </w:pPr>
    </w:p>
    <w:p>
      <w:pPr>
        <w:jc w:val="center"/>
        <w:spacing w:after="0"/>
        <w:rPr>
          <w:sz w:val="20"/>
          <w:szCs w:val="20"/>
          <w:color w:val="auto"/>
        </w:rPr>
      </w:pPr>
      <w:r>
        <w:rPr>
          <w:rFonts w:ascii="Calibri" w:cs="Calibri" w:eastAsia="Calibri" w:hAnsi="Calibri"/>
          <w:sz w:val="14"/>
          <w:szCs w:val="14"/>
          <w:color w:val="51555C"/>
        </w:rPr>
        <w:t>Washington, D.C. 20549</w:t>
      </w:r>
    </w:p>
    <w:p>
      <w:pPr>
        <w:spacing w:after="0" w:line="67" w:lineRule="exact"/>
        <w:rPr>
          <w:sz w:val="24"/>
          <w:szCs w:val="24"/>
          <w:color w:val="auto"/>
        </w:rPr>
      </w:pPr>
    </w:p>
    <w:p>
      <w:pPr>
        <w:jc w:val="center"/>
        <w:spacing w:after="0"/>
        <w:rPr>
          <w:sz w:val="20"/>
          <w:szCs w:val="20"/>
          <w:color w:val="auto"/>
        </w:rPr>
      </w:pPr>
      <w:r>
        <w:rPr>
          <w:rFonts w:ascii="Calibri" w:cs="Calibri" w:eastAsia="Calibri" w:hAnsi="Calibri"/>
          <w:sz w:val="20"/>
          <w:szCs w:val="20"/>
          <w:b w:val="1"/>
          <w:bCs w:val="1"/>
          <w:color w:val="51555C"/>
        </w:rPr>
        <w:t>FORM 10-Q</w:t>
      </w:r>
    </w:p>
    <w:p>
      <w:pPr>
        <w:spacing w:after="0" w:line="172" w:lineRule="exact"/>
        <w:rPr>
          <w:sz w:val="24"/>
          <w:szCs w:val="24"/>
          <w:color w:val="auto"/>
        </w:rPr>
      </w:pPr>
    </w:p>
    <w:p>
      <w:pPr>
        <w:ind w:left="660" w:right="5460" w:hanging="491"/>
        <w:spacing w:after="0" w:line="286" w:lineRule="auto"/>
        <w:tabs>
          <w:tab w:leader="none" w:pos="490" w:val="left"/>
        </w:tabs>
        <w:numPr>
          <w:ilvl w:val="0"/>
          <w:numId w:val="1"/>
        </w:numPr>
        <w:rPr>
          <w:rFonts w:ascii="MS PGothic" w:cs="MS PGothic" w:eastAsia="MS PGothic" w:hAnsi="MS PGothic"/>
          <w:sz w:val="16"/>
          <w:szCs w:val="16"/>
          <w:color w:val="51555C"/>
        </w:rPr>
      </w:pPr>
      <w:r>
        <w:rPr>
          <w:rFonts w:ascii="Calibri" w:cs="Calibri" w:eastAsia="Calibri" w:hAnsi="Calibri"/>
          <w:sz w:val="13"/>
          <w:szCs w:val="13"/>
          <w:b w:val="1"/>
          <w:bCs w:val="1"/>
          <w:color w:val="51555C"/>
        </w:rPr>
        <w:t xml:space="preserve">QUARTERLY REPORT PURSUANT TO SECTION 13 OR 15(d) OF THE SECURITIES EXCHANGE ACT OF 1934 </w:t>
      </w:r>
      <w:r>
        <w:rPr>
          <w:rFonts w:ascii="Calibri" w:cs="Calibri" w:eastAsia="Calibri" w:hAnsi="Calibri"/>
          <w:sz w:val="13"/>
          <w:szCs w:val="13"/>
          <w:color w:val="51555C"/>
        </w:rPr>
        <w:t>For the quarterly period ended June 30, 2024</w:t>
      </w:r>
    </w:p>
    <w:p>
      <w:pPr>
        <w:spacing w:after="0" w:line="42" w:lineRule="exact"/>
        <w:rPr>
          <w:sz w:val="24"/>
          <w:szCs w:val="24"/>
          <w:color w:val="auto"/>
        </w:rPr>
      </w:pPr>
    </w:p>
    <w:p>
      <w:pPr>
        <w:jc w:val="center"/>
        <w:spacing w:after="0"/>
        <w:rPr>
          <w:sz w:val="20"/>
          <w:szCs w:val="20"/>
          <w:color w:val="auto"/>
        </w:rPr>
      </w:pPr>
      <w:r>
        <w:rPr>
          <w:rFonts w:ascii="Calibri" w:cs="Calibri" w:eastAsia="Calibri" w:hAnsi="Calibri"/>
          <w:sz w:val="13"/>
          <w:szCs w:val="13"/>
          <w:b w:val="1"/>
          <w:bCs w:val="1"/>
          <w:color w:val="51555C"/>
        </w:rPr>
        <w:t>or</w:t>
      </w:r>
    </w:p>
    <w:p>
      <w:pPr>
        <w:spacing w:after="0" w:line="93" w:lineRule="exact"/>
        <w:rPr>
          <w:sz w:val="24"/>
          <w:szCs w:val="24"/>
          <w:color w:val="auto"/>
        </w:rPr>
      </w:pPr>
    </w:p>
    <w:p>
      <w:pPr>
        <w:ind w:left="480" w:hanging="311"/>
        <w:spacing w:after="0"/>
        <w:tabs>
          <w:tab w:leader="none" w:pos="480" w:val="left"/>
        </w:tabs>
        <w:numPr>
          <w:ilvl w:val="0"/>
          <w:numId w:val="2"/>
        </w:numPr>
        <w:rPr>
          <w:rFonts w:ascii="MS PGothic" w:cs="MS PGothic" w:eastAsia="MS PGothic" w:hAnsi="MS PGothic"/>
          <w:sz w:val="16"/>
          <w:szCs w:val="16"/>
          <w:color w:val="51555C"/>
        </w:rPr>
      </w:pPr>
      <w:r>
        <w:rPr>
          <w:rFonts w:ascii="Calibri" w:cs="Calibri" w:eastAsia="Calibri" w:hAnsi="Calibri"/>
          <w:sz w:val="13"/>
          <w:szCs w:val="13"/>
          <w:b w:val="1"/>
          <w:bCs w:val="1"/>
          <w:color w:val="51555C"/>
        </w:rPr>
        <w:t>TRANSITION REPORT PURSUANT TO SECTION 13 OR 15(d) OF THE SECURITIES EXCHANGE ACT OF 1934</w:t>
      </w:r>
    </w:p>
    <w:p>
      <w:pPr>
        <w:spacing w:after="0" w:line="34" w:lineRule="exact"/>
        <w:rPr>
          <w:sz w:val="24"/>
          <w:szCs w:val="24"/>
          <w:color w:val="auto"/>
        </w:rPr>
      </w:pPr>
    </w:p>
    <w:tbl>
      <w:tblPr>
        <w:tblLayout w:type="fixed"/>
        <w:tblInd w:w="660" w:type="dxa"/>
        <w:tblCellMar>
          <w:top w:w="0" w:type="dxa"/>
          <w:left w:w="0" w:type="dxa"/>
          <w:bottom w:w="0" w:type="dxa"/>
          <w:right w:w="0" w:type="dxa"/>
        </w:tblCellMar>
      </w:tblPr>
      <w:tr>
        <w:trPr>
          <w:trHeight w:val="159"/>
        </w:trPr>
        <w:tc>
          <w:tcPr>
            <w:tcW w:w="1560" w:type="dxa"/>
            <w:vAlign w:val="bottom"/>
          </w:tcPr>
          <w:p>
            <w:pPr>
              <w:spacing w:after="0"/>
              <w:rPr>
                <w:sz w:val="20"/>
                <w:szCs w:val="20"/>
                <w:color w:val="auto"/>
              </w:rPr>
            </w:pPr>
            <w:r>
              <w:rPr>
                <w:rFonts w:ascii="Calibri" w:cs="Calibri" w:eastAsia="Calibri" w:hAnsi="Calibri"/>
                <w:sz w:val="13"/>
                <w:szCs w:val="13"/>
                <w:color w:val="51555C"/>
                <w:w w:val="99"/>
              </w:rPr>
              <w:t>For the transiton period from</w:t>
            </w:r>
          </w:p>
        </w:tc>
        <w:tc>
          <w:tcPr>
            <w:tcW w:w="560" w:type="dxa"/>
            <w:vAlign w:val="bottom"/>
          </w:tcPr>
          <w:p>
            <w:pPr>
              <w:spacing w:after="0"/>
              <w:rPr>
                <w:sz w:val="13"/>
                <w:szCs w:val="13"/>
                <w:color w:val="auto"/>
              </w:rPr>
            </w:pPr>
          </w:p>
        </w:tc>
        <w:tc>
          <w:tcPr>
            <w:tcW w:w="160" w:type="dxa"/>
            <w:vAlign w:val="bottom"/>
          </w:tcPr>
          <w:p>
            <w:pPr>
              <w:ind w:left="20"/>
              <w:spacing w:after="0"/>
              <w:rPr>
                <w:sz w:val="20"/>
                <w:szCs w:val="20"/>
                <w:color w:val="auto"/>
              </w:rPr>
            </w:pPr>
            <w:r>
              <w:rPr>
                <w:rFonts w:ascii="Calibri" w:cs="Calibri" w:eastAsia="Calibri" w:hAnsi="Calibri"/>
                <w:sz w:val="13"/>
                <w:szCs w:val="13"/>
                <w:color w:val="51555C"/>
              </w:rPr>
              <w:t>to</w:t>
            </w:r>
          </w:p>
        </w:tc>
        <w:tc>
          <w:tcPr>
            <w:tcW w:w="3640" w:type="dxa"/>
            <w:vAlign w:val="bottom"/>
            <w:gridSpan w:val="2"/>
          </w:tcPr>
          <w:p>
            <w:pPr>
              <w:jc w:val="right"/>
              <w:ind w:right="2976"/>
              <w:spacing w:after="0"/>
              <w:rPr>
                <w:sz w:val="20"/>
                <w:szCs w:val="20"/>
                <w:color w:val="auto"/>
              </w:rPr>
            </w:pPr>
            <w:r>
              <w:rPr>
                <w:rFonts w:ascii="Calibri" w:cs="Calibri" w:eastAsia="Calibri" w:hAnsi="Calibri"/>
                <w:sz w:val="13"/>
                <w:szCs w:val="13"/>
                <w:color w:val="51555C"/>
              </w:rPr>
              <w:t>.</w:t>
            </w:r>
          </w:p>
        </w:tc>
      </w:tr>
      <w:tr>
        <w:trPr>
          <w:trHeight w:val="275"/>
        </w:trPr>
        <w:tc>
          <w:tcPr>
            <w:tcW w:w="1560" w:type="dxa"/>
            <w:vAlign w:val="bottom"/>
          </w:tcPr>
          <w:p>
            <w:pPr>
              <w:spacing w:after="0"/>
              <w:rPr>
                <w:sz w:val="23"/>
                <w:szCs w:val="23"/>
                <w:color w:val="auto"/>
              </w:rPr>
            </w:pPr>
          </w:p>
        </w:tc>
        <w:tc>
          <w:tcPr>
            <w:tcW w:w="560" w:type="dxa"/>
            <w:vAlign w:val="bottom"/>
            <w:tcBorders>
              <w:top w:val="single" w:sz="8" w:color="51555C"/>
            </w:tcBorders>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Borders>
              <w:top w:val="single" w:sz="8" w:color="51555C"/>
            </w:tcBorders>
          </w:tcPr>
          <w:p>
            <w:pPr>
              <w:spacing w:after="0"/>
              <w:rPr>
                <w:sz w:val="23"/>
                <w:szCs w:val="23"/>
                <w:color w:val="auto"/>
              </w:rPr>
            </w:pPr>
          </w:p>
        </w:tc>
        <w:tc>
          <w:tcPr>
            <w:tcW w:w="3060" w:type="dxa"/>
            <w:vAlign w:val="bottom"/>
          </w:tcPr>
          <w:p>
            <w:pPr>
              <w:jc w:val="right"/>
              <w:spacing w:after="0"/>
              <w:rPr>
                <w:sz w:val="20"/>
                <w:szCs w:val="20"/>
                <w:color w:val="auto"/>
              </w:rPr>
            </w:pPr>
            <w:r>
              <w:rPr>
                <w:rFonts w:ascii="Calibri" w:cs="Calibri" w:eastAsia="Calibri" w:hAnsi="Calibri"/>
                <w:sz w:val="13"/>
                <w:szCs w:val="13"/>
                <w:color w:val="51555C"/>
              </w:rPr>
              <w:t xml:space="preserve">Commission fle number: </w:t>
            </w:r>
            <w:r>
              <w:rPr>
                <w:rFonts w:ascii="Calibri" w:cs="Calibri" w:eastAsia="Calibri" w:hAnsi="Calibri"/>
                <w:sz w:val="13"/>
                <w:szCs w:val="13"/>
                <w:b w:val="1"/>
                <w:bCs w:val="1"/>
                <w:color w:val="51555C"/>
              </w:rPr>
              <w:t>000-50600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2616835</wp:posOffset>
            </wp:positionH>
            <wp:positionV relativeFrom="paragraph">
              <wp:posOffset>135890</wp:posOffset>
            </wp:positionV>
            <wp:extent cx="1926590" cy="296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26590" cy="296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jc w:val="center"/>
        <w:spacing w:after="0"/>
        <w:rPr>
          <w:sz w:val="20"/>
          <w:szCs w:val="20"/>
          <w:color w:val="auto"/>
        </w:rPr>
      </w:pPr>
      <w:r>
        <w:rPr>
          <w:rFonts w:ascii="Calibri" w:cs="Calibri" w:eastAsia="Calibri" w:hAnsi="Calibri"/>
          <w:sz w:val="28"/>
          <w:szCs w:val="28"/>
          <w:b w:val="1"/>
          <w:bCs w:val="1"/>
          <w:color w:val="51555C"/>
        </w:rPr>
        <w:t>Blackbaud, Inc.</w:t>
      </w:r>
    </w:p>
    <w:p>
      <w:pPr>
        <w:spacing w:after="0" w:line="14" w:lineRule="exact"/>
        <w:rPr>
          <w:sz w:val="24"/>
          <w:szCs w:val="24"/>
          <w:color w:val="auto"/>
        </w:rPr>
      </w:pPr>
    </w:p>
    <w:p>
      <w:pPr>
        <w:jc w:val="center"/>
        <w:spacing w:after="0"/>
        <w:rPr>
          <w:sz w:val="20"/>
          <w:szCs w:val="20"/>
          <w:color w:val="auto"/>
        </w:rPr>
      </w:pPr>
      <w:r>
        <w:rPr>
          <w:rFonts w:ascii="Calibri" w:cs="Calibri" w:eastAsia="Calibri" w:hAnsi="Calibri"/>
          <w:sz w:val="13"/>
          <w:szCs w:val="13"/>
          <w:color w:val="51555C"/>
        </w:rPr>
        <w:t>(Exact name of registrant as specifed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55245</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1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40" w:type="dxa"/>
            <w:vAlign w:val="bottom"/>
          </w:tcPr>
          <w:p>
            <w:pPr>
              <w:jc w:val="center"/>
              <w:ind w:right="436"/>
              <w:spacing w:after="0"/>
              <w:rPr>
                <w:sz w:val="20"/>
                <w:szCs w:val="20"/>
                <w:color w:val="auto"/>
              </w:rPr>
            </w:pPr>
            <w:r>
              <w:rPr>
                <w:rFonts w:ascii="Calibri" w:cs="Calibri" w:eastAsia="Calibri" w:hAnsi="Calibri"/>
                <w:sz w:val="13"/>
                <w:szCs w:val="13"/>
                <w:b w:val="1"/>
                <w:bCs w:val="1"/>
                <w:color w:val="51555C"/>
                <w:w w:val="96"/>
              </w:rPr>
              <w:t>Delaware</w:t>
            </w:r>
          </w:p>
        </w:tc>
        <w:tc>
          <w:tcPr>
            <w:tcW w:w="1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960" w:type="dxa"/>
            <w:vAlign w:val="bottom"/>
            <w:gridSpan w:val="2"/>
          </w:tcPr>
          <w:p>
            <w:pPr>
              <w:jc w:val="right"/>
              <w:ind w:right="1456"/>
              <w:spacing w:after="0"/>
              <w:rPr>
                <w:sz w:val="20"/>
                <w:szCs w:val="20"/>
                <w:color w:val="auto"/>
              </w:rPr>
            </w:pPr>
            <w:r>
              <w:rPr>
                <w:rFonts w:ascii="Calibri" w:cs="Calibri" w:eastAsia="Calibri" w:hAnsi="Calibri"/>
                <w:sz w:val="13"/>
                <w:szCs w:val="13"/>
                <w:b w:val="1"/>
                <w:bCs w:val="1"/>
                <w:color w:val="51555C"/>
              </w:rPr>
              <w:t>11-2617163</w:t>
            </w:r>
          </w:p>
        </w:tc>
        <w:tc>
          <w:tcPr>
            <w:tcW w:w="940" w:type="dxa"/>
            <w:vAlign w:val="bottom"/>
          </w:tcPr>
          <w:p>
            <w:pPr>
              <w:spacing w:after="0"/>
              <w:rPr>
                <w:sz w:val="13"/>
                <w:szCs w:val="13"/>
                <w:color w:val="auto"/>
              </w:rPr>
            </w:pPr>
          </w:p>
        </w:tc>
      </w:tr>
      <w:tr>
        <w:trPr>
          <w:trHeight w:val="191"/>
        </w:trPr>
        <w:tc>
          <w:tcPr>
            <w:tcW w:w="7380" w:type="dxa"/>
            <w:vAlign w:val="bottom"/>
            <w:gridSpan w:val="6"/>
          </w:tcPr>
          <w:p>
            <w:pPr>
              <w:jc w:val="center"/>
              <w:ind w:right="1640"/>
              <w:spacing w:after="0"/>
              <w:rPr>
                <w:sz w:val="20"/>
                <w:szCs w:val="20"/>
                <w:color w:val="auto"/>
              </w:rPr>
            </w:pPr>
            <w:r>
              <w:rPr>
                <w:rFonts w:ascii="Calibri" w:cs="Calibri" w:eastAsia="Calibri" w:hAnsi="Calibri"/>
                <w:sz w:val="13"/>
                <w:szCs w:val="13"/>
                <w:color w:val="51555C"/>
                <w:w w:val="99"/>
              </w:rPr>
              <w:t>(State or other jurisdicton of incorporaton or organizaton)</w:t>
            </w:r>
          </w:p>
        </w:tc>
        <w:tc>
          <w:tcPr>
            <w:tcW w:w="3900" w:type="dxa"/>
            <w:vAlign w:val="bottom"/>
            <w:gridSpan w:val="3"/>
          </w:tcPr>
          <w:p>
            <w:pPr>
              <w:jc w:val="center"/>
              <w:ind w:right="1640"/>
              <w:spacing w:after="0"/>
              <w:rPr>
                <w:sz w:val="20"/>
                <w:szCs w:val="20"/>
                <w:color w:val="auto"/>
              </w:rPr>
            </w:pPr>
            <w:r>
              <w:rPr>
                <w:rFonts w:ascii="Calibri" w:cs="Calibri" w:eastAsia="Calibri" w:hAnsi="Calibri"/>
                <w:sz w:val="13"/>
                <w:szCs w:val="13"/>
                <w:color w:val="51555C"/>
              </w:rPr>
              <w:t>(I.R.S. Employer Identfcaton No.)</w:t>
            </w:r>
          </w:p>
        </w:tc>
      </w:tr>
      <w:tr>
        <w:trPr>
          <w:trHeight w:val="233"/>
        </w:trPr>
        <w:tc>
          <w:tcPr>
            <w:tcW w:w="16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740" w:type="dxa"/>
            <w:vAlign w:val="bottom"/>
            <w:gridSpan w:val="3"/>
          </w:tcPr>
          <w:p>
            <w:pPr>
              <w:jc w:val="center"/>
              <w:ind w:left="196"/>
              <w:spacing w:after="0"/>
              <w:rPr>
                <w:sz w:val="20"/>
                <w:szCs w:val="20"/>
                <w:color w:val="auto"/>
              </w:rPr>
            </w:pPr>
            <w:r>
              <w:rPr>
                <w:rFonts w:ascii="Calibri" w:cs="Calibri" w:eastAsia="Calibri" w:hAnsi="Calibri"/>
                <w:sz w:val="13"/>
                <w:szCs w:val="13"/>
                <w:b w:val="1"/>
                <w:bCs w:val="1"/>
                <w:color w:val="51555C"/>
                <w:w w:val="97"/>
              </w:rPr>
              <w:t>65 Fairchild Street</w:t>
            </w:r>
          </w:p>
        </w:tc>
        <w:tc>
          <w:tcPr>
            <w:tcW w:w="6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158"/>
        </w:trPr>
        <w:tc>
          <w:tcPr>
            <w:tcW w:w="1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740" w:type="dxa"/>
            <w:vAlign w:val="bottom"/>
            <w:gridSpan w:val="3"/>
          </w:tcPr>
          <w:p>
            <w:pPr>
              <w:jc w:val="center"/>
              <w:ind w:left="196"/>
              <w:spacing w:after="0"/>
              <w:rPr>
                <w:sz w:val="20"/>
                <w:szCs w:val="20"/>
                <w:color w:val="auto"/>
              </w:rPr>
            </w:pPr>
            <w:r>
              <w:rPr>
                <w:rFonts w:ascii="Calibri" w:cs="Calibri" w:eastAsia="Calibri" w:hAnsi="Calibri"/>
                <w:sz w:val="13"/>
                <w:szCs w:val="13"/>
                <w:b w:val="1"/>
                <w:bCs w:val="1"/>
                <w:color w:val="51555C"/>
                <w:w w:val="97"/>
              </w:rPr>
              <w:t>Charleston, South Carolina 29492</w:t>
            </w:r>
          </w:p>
        </w:tc>
        <w:tc>
          <w:tcPr>
            <w:tcW w:w="66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49"/>
        </w:trPr>
        <w:tc>
          <w:tcPr>
            <w:tcW w:w="1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740" w:type="dxa"/>
            <w:vAlign w:val="bottom"/>
            <w:gridSpan w:val="3"/>
          </w:tcPr>
          <w:p>
            <w:pPr>
              <w:jc w:val="center"/>
              <w:ind w:left="196"/>
              <w:spacing w:after="0" w:line="150" w:lineRule="exact"/>
              <w:rPr>
                <w:sz w:val="20"/>
                <w:szCs w:val="20"/>
                <w:color w:val="auto"/>
              </w:rPr>
            </w:pPr>
            <w:r>
              <w:rPr>
                <w:rFonts w:ascii="Calibri" w:cs="Calibri" w:eastAsia="Calibri" w:hAnsi="Calibri"/>
                <w:sz w:val="13"/>
                <w:szCs w:val="13"/>
                <w:color w:val="51555C"/>
              </w:rPr>
              <w:t>(Address of principal executve ofces, including zip code)</w:t>
            </w:r>
          </w:p>
        </w:tc>
        <w:tc>
          <w:tcPr>
            <w:tcW w:w="6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58"/>
        </w:trPr>
        <w:tc>
          <w:tcPr>
            <w:tcW w:w="1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520" w:type="dxa"/>
            <w:vAlign w:val="bottom"/>
            <w:gridSpan w:val="2"/>
          </w:tcPr>
          <w:p>
            <w:pPr>
              <w:jc w:val="center"/>
              <w:ind w:left="1416"/>
              <w:spacing w:after="0"/>
              <w:rPr>
                <w:sz w:val="20"/>
                <w:szCs w:val="20"/>
                <w:color w:val="auto"/>
              </w:rPr>
            </w:pPr>
            <w:r>
              <w:rPr>
                <w:rFonts w:ascii="Calibri" w:cs="Calibri" w:eastAsia="Calibri" w:hAnsi="Calibri"/>
                <w:sz w:val="13"/>
                <w:szCs w:val="13"/>
                <w:b w:val="1"/>
                <w:bCs w:val="1"/>
                <w:color w:val="51555C"/>
                <w:w w:val="98"/>
              </w:rPr>
              <w:t>(843) 216-6200</w:t>
            </w:r>
          </w:p>
        </w:tc>
        <w:tc>
          <w:tcPr>
            <w:tcW w:w="1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49"/>
        </w:trPr>
        <w:tc>
          <w:tcPr>
            <w:tcW w:w="1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740" w:type="dxa"/>
            <w:vAlign w:val="bottom"/>
            <w:gridSpan w:val="3"/>
          </w:tcPr>
          <w:p>
            <w:pPr>
              <w:jc w:val="center"/>
              <w:ind w:left="196"/>
              <w:spacing w:after="0" w:line="150" w:lineRule="exact"/>
              <w:rPr>
                <w:sz w:val="20"/>
                <w:szCs w:val="20"/>
                <w:color w:val="auto"/>
              </w:rPr>
            </w:pPr>
            <w:r>
              <w:rPr>
                <w:rFonts w:ascii="Calibri" w:cs="Calibri" w:eastAsia="Calibri" w:hAnsi="Calibri"/>
                <w:sz w:val="13"/>
                <w:szCs w:val="13"/>
                <w:color w:val="51555C"/>
                <w:w w:val="96"/>
              </w:rPr>
              <w:t>(Registrant’s telephone number, including area code)</w:t>
            </w:r>
          </w:p>
        </w:tc>
        <w:tc>
          <w:tcPr>
            <w:tcW w:w="6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76"/>
        </w:trPr>
        <w:tc>
          <w:tcPr>
            <w:tcW w:w="168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23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r>
      <w:tr>
        <w:trPr>
          <w:trHeight w:val="180"/>
        </w:trPr>
        <w:tc>
          <w:tcPr>
            <w:tcW w:w="3640" w:type="dxa"/>
            <w:vAlign w:val="bottom"/>
            <w:gridSpan w:val="3"/>
          </w:tcPr>
          <w:p>
            <w:pPr>
              <w:ind w:left="20"/>
              <w:spacing w:after="0"/>
              <w:rPr>
                <w:sz w:val="20"/>
                <w:szCs w:val="20"/>
                <w:color w:val="auto"/>
              </w:rPr>
            </w:pPr>
            <w:r>
              <w:rPr>
                <w:rFonts w:ascii="Calibri" w:cs="Calibri" w:eastAsia="Calibri" w:hAnsi="Calibri"/>
                <w:sz w:val="13"/>
                <w:szCs w:val="13"/>
                <w:color w:val="51555C"/>
              </w:rPr>
              <w:t>Securites Registered Pursuant to Secton 12(b) of the Act:</w:t>
            </w:r>
          </w:p>
        </w:tc>
        <w:tc>
          <w:tcPr>
            <w:tcW w:w="1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2"/>
        </w:trPr>
        <w:tc>
          <w:tcPr>
            <w:tcW w:w="1680" w:type="dxa"/>
            <w:vAlign w:val="bottom"/>
          </w:tcPr>
          <w:p>
            <w:pPr>
              <w:spacing w:after="0"/>
              <w:rPr>
                <w:sz w:val="14"/>
                <w:szCs w:val="14"/>
                <w:color w:val="auto"/>
              </w:rPr>
            </w:pPr>
          </w:p>
        </w:tc>
        <w:tc>
          <w:tcPr>
            <w:tcW w:w="1960" w:type="dxa"/>
            <w:vAlign w:val="bottom"/>
            <w:gridSpan w:val="2"/>
          </w:tcPr>
          <w:p>
            <w:pPr>
              <w:jc w:val="center"/>
              <w:ind w:right="976"/>
              <w:spacing w:after="0"/>
              <w:rPr>
                <w:sz w:val="20"/>
                <w:szCs w:val="20"/>
                <w:color w:val="auto"/>
              </w:rPr>
            </w:pPr>
            <w:r>
              <w:rPr>
                <w:rFonts w:ascii="Calibri" w:cs="Calibri" w:eastAsia="Calibri" w:hAnsi="Calibri"/>
                <w:sz w:val="13"/>
                <w:szCs w:val="13"/>
                <w:color w:val="51555C"/>
                <w:w w:val="97"/>
              </w:rPr>
              <w:t>Title of Each Class</w:t>
            </w:r>
          </w:p>
        </w:tc>
        <w:tc>
          <w:tcPr>
            <w:tcW w:w="3740" w:type="dxa"/>
            <w:vAlign w:val="bottom"/>
            <w:gridSpan w:val="3"/>
          </w:tcPr>
          <w:p>
            <w:pPr>
              <w:jc w:val="center"/>
              <w:ind w:left="316"/>
              <w:spacing w:after="0"/>
              <w:rPr>
                <w:sz w:val="20"/>
                <w:szCs w:val="20"/>
                <w:color w:val="auto"/>
              </w:rPr>
            </w:pPr>
            <w:r>
              <w:rPr>
                <w:rFonts w:ascii="Calibri" w:cs="Calibri" w:eastAsia="Calibri" w:hAnsi="Calibri"/>
                <w:sz w:val="13"/>
                <w:szCs w:val="13"/>
                <w:color w:val="51555C"/>
                <w:w w:val="97"/>
              </w:rPr>
              <w:t>Trading Symbol(s)</w:t>
            </w:r>
          </w:p>
        </w:tc>
        <w:tc>
          <w:tcPr>
            <w:tcW w:w="3900" w:type="dxa"/>
            <w:vAlign w:val="bottom"/>
            <w:gridSpan w:val="3"/>
          </w:tcPr>
          <w:p>
            <w:pPr>
              <w:jc w:val="center"/>
              <w:ind w:right="280"/>
              <w:spacing w:after="0"/>
              <w:rPr>
                <w:sz w:val="20"/>
                <w:szCs w:val="20"/>
                <w:color w:val="auto"/>
              </w:rPr>
            </w:pPr>
            <w:r>
              <w:rPr>
                <w:rFonts w:ascii="Calibri" w:cs="Calibri" w:eastAsia="Calibri" w:hAnsi="Calibri"/>
                <w:sz w:val="13"/>
                <w:szCs w:val="13"/>
                <w:color w:val="51555C"/>
                <w:w w:val="97"/>
              </w:rPr>
              <w:t>Name of Each Exchange on which Registered</w:t>
            </w:r>
          </w:p>
        </w:tc>
      </w:tr>
      <w:tr>
        <w:trPr>
          <w:trHeight w:val="20"/>
        </w:trPr>
        <w:tc>
          <w:tcPr>
            <w:tcW w:w="1680" w:type="dxa"/>
            <w:vAlign w:val="bottom"/>
          </w:tcPr>
          <w:p>
            <w:pPr>
              <w:spacing w:after="0" w:line="20" w:lineRule="exact"/>
              <w:rPr>
                <w:sz w:val="1"/>
                <w:szCs w:val="1"/>
                <w:color w:val="auto"/>
              </w:rPr>
            </w:pPr>
          </w:p>
        </w:tc>
        <w:tc>
          <w:tcPr>
            <w:tcW w:w="920" w:type="dxa"/>
            <w:vAlign w:val="bottom"/>
            <w:shd w:val="clear" w:color="auto" w:fill="51555C"/>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20" w:type="dxa"/>
            <w:vAlign w:val="bottom"/>
            <w:shd w:val="clear" w:color="auto" w:fill="51555C"/>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300" w:type="dxa"/>
            <w:vAlign w:val="bottom"/>
            <w:shd w:val="clear" w:color="auto" w:fill="51555C"/>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0"/>
        </w:trPr>
        <w:tc>
          <w:tcPr>
            <w:tcW w:w="3640" w:type="dxa"/>
            <w:vAlign w:val="bottom"/>
            <w:gridSpan w:val="3"/>
          </w:tcPr>
          <w:p>
            <w:pPr>
              <w:jc w:val="center"/>
              <w:ind w:left="596"/>
              <w:spacing w:after="0"/>
              <w:rPr>
                <w:sz w:val="20"/>
                <w:szCs w:val="20"/>
                <w:color w:val="auto"/>
              </w:rPr>
            </w:pPr>
            <w:r>
              <w:rPr>
                <w:rFonts w:ascii="Calibri" w:cs="Calibri" w:eastAsia="Calibri" w:hAnsi="Calibri"/>
                <w:sz w:val="13"/>
                <w:szCs w:val="13"/>
                <w:b w:val="1"/>
                <w:bCs w:val="1"/>
                <w:color w:val="51555C"/>
                <w:w w:val="97"/>
              </w:rPr>
              <w:t>Common Stock, $0.001 Par Value</w:t>
            </w:r>
          </w:p>
        </w:tc>
        <w:tc>
          <w:tcPr>
            <w:tcW w:w="1600" w:type="dxa"/>
            <w:vAlign w:val="bottom"/>
          </w:tcPr>
          <w:p>
            <w:pPr>
              <w:spacing w:after="0"/>
              <w:rPr>
                <w:sz w:val="16"/>
                <w:szCs w:val="16"/>
                <w:color w:val="auto"/>
              </w:rPr>
            </w:pPr>
          </w:p>
        </w:tc>
        <w:tc>
          <w:tcPr>
            <w:tcW w:w="2140" w:type="dxa"/>
            <w:vAlign w:val="bottom"/>
            <w:gridSpan w:val="2"/>
          </w:tcPr>
          <w:p>
            <w:pPr>
              <w:jc w:val="center"/>
              <w:ind w:right="1220"/>
              <w:spacing w:after="0"/>
              <w:rPr>
                <w:sz w:val="20"/>
                <w:szCs w:val="20"/>
                <w:color w:val="auto"/>
              </w:rPr>
            </w:pPr>
            <w:r>
              <w:rPr>
                <w:rFonts w:ascii="Calibri" w:cs="Calibri" w:eastAsia="Calibri" w:hAnsi="Calibri"/>
                <w:sz w:val="13"/>
                <w:szCs w:val="13"/>
                <w:b w:val="1"/>
                <w:bCs w:val="1"/>
                <w:color w:val="51555C"/>
              </w:rPr>
              <w:t>BLKB</w:t>
            </w:r>
          </w:p>
        </w:tc>
        <w:tc>
          <w:tcPr>
            <w:tcW w:w="660" w:type="dxa"/>
            <w:vAlign w:val="bottom"/>
          </w:tcPr>
          <w:p>
            <w:pPr>
              <w:spacing w:after="0"/>
              <w:rPr>
                <w:sz w:val="16"/>
                <w:szCs w:val="16"/>
                <w:color w:val="auto"/>
              </w:rPr>
            </w:pPr>
          </w:p>
        </w:tc>
        <w:tc>
          <w:tcPr>
            <w:tcW w:w="3240" w:type="dxa"/>
            <w:vAlign w:val="bottom"/>
            <w:gridSpan w:val="2"/>
          </w:tcPr>
          <w:p>
            <w:pPr>
              <w:jc w:val="center"/>
              <w:ind w:right="920"/>
              <w:spacing w:after="0"/>
              <w:rPr>
                <w:sz w:val="20"/>
                <w:szCs w:val="20"/>
                <w:color w:val="auto"/>
              </w:rPr>
            </w:pPr>
            <w:r>
              <w:rPr>
                <w:rFonts w:ascii="Calibri" w:cs="Calibri" w:eastAsia="Calibri" w:hAnsi="Calibri"/>
                <w:sz w:val="13"/>
                <w:szCs w:val="13"/>
                <w:b w:val="1"/>
                <w:bCs w:val="1"/>
                <w:color w:val="51555C"/>
                <w:w w:val="97"/>
              </w:rPr>
              <w:t>Nasdaq Global Select Market</w:t>
            </w:r>
          </w:p>
        </w:tc>
      </w:tr>
      <w:tr>
        <w:trPr>
          <w:trHeight w:val="76"/>
        </w:trPr>
        <w:tc>
          <w:tcPr>
            <w:tcW w:w="168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23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r>
    </w:tbl>
    <w:p>
      <w:pPr>
        <w:spacing w:after="0" w:line="379" w:lineRule="exact"/>
        <w:rPr>
          <w:sz w:val="24"/>
          <w:szCs w:val="24"/>
          <w:color w:val="auto"/>
        </w:rPr>
      </w:pPr>
    </w:p>
    <w:p>
      <w:pPr>
        <w:jc w:val="both"/>
        <w:spacing w:after="0" w:line="233" w:lineRule="auto"/>
        <w:rPr>
          <w:sz w:val="20"/>
          <w:szCs w:val="20"/>
          <w:color w:val="auto"/>
        </w:rPr>
      </w:pPr>
      <w:r>
        <w:rPr>
          <w:rFonts w:ascii="Calibri" w:cs="Calibri" w:eastAsia="Calibri" w:hAnsi="Calibri"/>
          <w:sz w:val="13"/>
          <w:szCs w:val="13"/>
          <w:color w:val="51555C"/>
        </w:rPr>
        <w:t>Indicate by check mark whether the registrant (1) has fled all reports required to be fled by Secton 13 or 15(d) of the Securites Exchange Act of 1934 during the preceding 12 months (or for such shorter period that the registrant was required to fle such reports), and (2) has been subject to such fling requirements for the past 90 days.</w:t>
      </w:r>
    </w:p>
    <w:p>
      <w:pPr>
        <w:spacing w:after="0" w:line="1" w:lineRule="exact"/>
        <w:rPr>
          <w:sz w:val="24"/>
          <w:szCs w:val="24"/>
          <w:color w:val="auto"/>
        </w:rPr>
      </w:pPr>
    </w:p>
    <w:p>
      <w:pPr>
        <w:spacing w:after="0" w:line="184" w:lineRule="exact"/>
        <w:rPr>
          <w:sz w:val="20"/>
          <w:szCs w:val="20"/>
          <w:color w:val="auto"/>
        </w:rPr>
      </w:pPr>
      <w:r>
        <w:rPr>
          <w:rFonts w:ascii="Calibri" w:cs="Calibri" w:eastAsia="Calibri" w:hAnsi="Calibri"/>
          <w:sz w:val="13"/>
          <w:szCs w:val="13"/>
          <w:color w:val="51555C"/>
        </w:rPr>
        <w:t xml:space="preserve">Yes </w:t>
      </w:r>
      <w:r>
        <w:rPr>
          <w:rFonts w:ascii="MS PGothic" w:cs="MS PGothic" w:eastAsia="MS PGothic" w:hAnsi="MS PGothic"/>
          <w:sz w:val="15"/>
          <w:szCs w:val="15"/>
          <w:color w:val="51555C"/>
        </w:rPr>
        <w:t>☑</w:t>
      </w:r>
      <w:r>
        <w:rPr>
          <w:rFonts w:ascii="Calibri" w:cs="Calibri" w:eastAsia="Calibri" w:hAnsi="Calibri"/>
          <w:sz w:val="13"/>
          <w:szCs w:val="13"/>
          <w:color w:val="51555C"/>
        </w:rPr>
        <w:t xml:space="preserve"> No </w:t>
      </w:r>
      <w:r>
        <w:rPr>
          <w:rFonts w:ascii="MS PGothic" w:cs="MS PGothic" w:eastAsia="MS PGothic" w:hAnsi="MS PGothic"/>
          <w:sz w:val="15"/>
          <w:szCs w:val="15"/>
          <w:color w:val="51555C"/>
        </w:rPr>
        <w:t>☐</w:t>
      </w:r>
    </w:p>
    <w:p>
      <w:pPr>
        <w:spacing w:after="0" w:line="102" w:lineRule="exact"/>
        <w:rPr>
          <w:sz w:val="24"/>
          <w:szCs w:val="24"/>
          <w:color w:val="auto"/>
        </w:rPr>
      </w:pPr>
    </w:p>
    <w:p>
      <w:pPr>
        <w:jc w:val="both"/>
        <w:spacing w:after="0" w:line="233" w:lineRule="auto"/>
        <w:rPr>
          <w:sz w:val="20"/>
          <w:szCs w:val="20"/>
          <w:color w:val="auto"/>
        </w:rPr>
      </w:pPr>
      <w:r>
        <w:rPr>
          <w:rFonts w:ascii="Calibri" w:cs="Calibri" w:eastAsia="Calibri" w:hAnsi="Calibri"/>
          <w:sz w:val="13"/>
          <w:szCs w:val="13"/>
          <w:color w:val="51555C"/>
        </w:rPr>
        <w:t>Indicate by check mark whether the registrant has submited electronically every Interactve Data File required to be submited pursuant to Rule 405 of Regulaton S-T (Secton 232.405 of this chapter) during the preceding 12 months (or for such shorter period that the registrant was required to submit such fles).</w:t>
      </w:r>
    </w:p>
    <w:p>
      <w:pPr>
        <w:spacing w:after="0" w:line="1" w:lineRule="exact"/>
        <w:rPr>
          <w:sz w:val="24"/>
          <w:szCs w:val="24"/>
          <w:color w:val="auto"/>
        </w:rPr>
      </w:pPr>
    </w:p>
    <w:p>
      <w:pPr>
        <w:spacing w:after="0" w:line="184" w:lineRule="exact"/>
        <w:rPr>
          <w:sz w:val="20"/>
          <w:szCs w:val="20"/>
          <w:color w:val="auto"/>
        </w:rPr>
      </w:pPr>
      <w:r>
        <w:rPr>
          <w:rFonts w:ascii="Calibri" w:cs="Calibri" w:eastAsia="Calibri" w:hAnsi="Calibri"/>
          <w:sz w:val="13"/>
          <w:szCs w:val="13"/>
          <w:color w:val="51555C"/>
        </w:rPr>
        <w:t xml:space="preserve">Yes </w:t>
      </w:r>
      <w:r>
        <w:rPr>
          <w:rFonts w:ascii="MS PGothic" w:cs="MS PGothic" w:eastAsia="MS PGothic" w:hAnsi="MS PGothic"/>
          <w:sz w:val="15"/>
          <w:szCs w:val="15"/>
          <w:color w:val="51555C"/>
        </w:rPr>
        <w:t>☑</w:t>
      </w:r>
      <w:r>
        <w:rPr>
          <w:rFonts w:ascii="Calibri" w:cs="Calibri" w:eastAsia="Calibri" w:hAnsi="Calibri"/>
          <w:sz w:val="13"/>
          <w:szCs w:val="13"/>
          <w:color w:val="51555C"/>
        </w:rPr>
        <w:t xml:space="preserve"> No </w:t>
      </w:r>
      <w:r>
        <w:rPr>
          <w:rFonts w:ascii="MS PGothic" w:cs="MS PGothic" w:eastAsia="MS PGothic" w:hAnsi="MS PGothic"/>
          <w:sz w:val="15"/>
          <w:szCs w:val="15"/>
          <w:color w:val="51555C"/>
        </w:rPr>
        <w:t>☐</w:t>
      </w:r>
    </w:p>
    <w:p>
      <w:pPr>
        <w:spacing w:after="0" w:line="92" w:lineRule="exact"/>
        <w:rPr>
          <w:sz w:val="24"/>
          <w:szCs w:val="24"/>
          <w:color w:val="auto"/>
        </w:rPr>
      </w:pPr>
    </w:p>
    <w:p>
      <w:pPr>
        <w:jc w:val="both"/>
        <w:spacing w:after="0" w:line="233" w:lineRule="auto"/>
        <w:rPr>
          <w:sz w:val="20"/>
          <w:szCs w:val="20"/>
          <w:color w:val="auto"/>
        </w:rPr>
      </w:pPr>
      <w:r>
        <w:rPr>
          <w:rFonts w:ascii="Calibri" w:cs="Calibri" w:eastAsia="Calibri" w:hAnsi="Calibri"/>
          <w:sz w:val="13"/>
          <w:szCs w:val="13"/>
          <w:color w:val="51555C"/>
        </w:rPr>
        <w:t>Indicate by check mark whether the registrant is a large accelerated fler, an accelerated fler, a non-accelerated fler, a smaller reportng company, or an emerging growth company. See the defnitons of “large accelerated fler,” “accelerated fler,” “smaller reportng company,” and "emerging growth company" in Rule 12b-2 of the Exchange Act.</w:t>
      </w:r>
    </w:p>
    <w:p>
      <w:pPr>
        <w:spacing w:after="0" w:line="45" w:lineRule="exact"/>
        <w:rPr>
          <w:sz w:val="24"/>
          <w:szCs w:val="24"/>
          <w:color w:val="auto"/>
        </w:rPr>
      </w:pPr>
    </w:p>
    <w:tbl>
      <w:tblPr>
        <w:tblLayout w:type="fixed"/>
        <w:tblInd w:w="20" w:type="dxa"/>
        <w:tblCellMar>
          <w:top w:w="0" w:type="dxa"/>
          <w:left w:w="0" w:type="dxa"/>
          <w:bottom w:w="0" w:type="dxa"/>
          <w:right w:w="0" w:type="dxa"/>
        </w:tblCellMar>
      </w:tblPr>
      <w:tr>
        <w:trPr>
          <w:trHeight w:val="233"/>
        </w:trPr>
        <w:tc>
          <w:tcPr>
            <w:tcW w:w="1840" w:type="dxa"/>
            <w:vAlign w:val="bottom"/>
          </w:tcPr>
          <w:p>
            <w:pPr>
              <w:spacing w:after="0"/>
              <w:rPr>
                <w:sz w:val="20"/>
                <w:szCs w:val="20"/>
                <w:color w:val="auto"/>
              </w:rPr>
            </w:pPr>
            <w:r>
              <w:rPr>
                <w:rFonts w:ascii="Calibri" w:cs="Calibri" w:eastAsia="Calibri" w:hAnsi="Calibri"/>
                <w:sz w:val="13"/>
                <w:szCs w:val="13"/>
                <w:color w:val="51555C"/>
              </w:rPr>
              <w:t>Large accelerated fler</w:t>
            </w:r>
          </w:p>
        </w:tc>
        <w:tc>
          <w:tcPr>
            <w:tcW w:w="3580" w:type="dxa"/>
            <w:vAlign w:val="bottom"/>
          </w:tcPr>
          <w:p>
            <w:pPr>
              <w:ind w:left="680"/>
              <w:spacing w:after="0" w:line="161" w:lineRule="exact"/>
              <w:rPr>
                <w:sz w:val="20"/>
                <w:szCs w:val="20"/>
                <w:color w:val="auto"/>
              </w:rPr>
            </w:pPr>
            <w:r>
              <w:rPr>
                <w:rFonts w:ascii="MS PGothic" w:cs="MS PGothic" w:eastAsia="MS PGothic" w:hAnsi="MS PGothic"/>
                <w:sz w:val="16"/>
                <w:szCs w:val="16"/>
                <w:color w:val="51555C"/>
              </w:rPr>
              <w:t>☑</w:t>
            </w:r>
          </w:p>
        </w:tc>
        <w:tc>
          <w:tcPr>
            <w:tcW w:w="4880" w:type="dxa"/>
            <w:vAlign w:val="bottom"/>
          </w:tcPr>
          <w:p>
            <w:pPr>
              <w:ind w:left="2760"/>
              <w:spacing w:after="0"/>
              <w:rPr>
                <w:sz w:val="20"/>
                <w:szCs w:val="20"/>
                <w:color w:val="auto"/>
              </w:rPr>
            </w:pPr>
            <w:r>
              <w:rPr>
                <w:rFonts w:ascii="Calibri" w:cs="Calibri" w:eastAsia="Calibri" w:hAnsi="Calibri"/>
                <w:sz w:val="13"/>
                <w:szCs w:val="13"/>
                <w:color w:val="51555C"/>
              </w:rPr>
              <w:t>Accelerated fler</w:t>
            </w:r>
          </w:p>
        </w:tc>
        <w:tc>
          <w:tcPr>
            <w:tcW w:w="860" w:type="dxa"/>
            <w:vAlign w:val="bottom"/>
          </w:tcPr>
          <w:p>
            <w:pPr>
              <w:ind w:left="720"/>
              <w:spacing w:after="0" w:line="161" w:lineRule="exact"/>
              <w:rPr>
                <w:sz w:val="20"/>
                <w:szCs w:val="20"/>
                <w:color w:val="auto"/>
              </w:rPr>
            </w:pPr>
            <w:r>
              <w:rPr>
                <w:rFonts w:ascii="MS PGothic" w:cs="MS PGothic" w:eastAsia="MS PGothic" w:hAnsi="MS PGothic"/>
                <w:sz w:val="16"/>
                <w:szCs w:val="16"/>
                <w:color w:val="51555C"/>
                <w:w w:val="74"/>
              </w:rPr>
              <w:t>☐</w:t>
            </w:r>
          </w:p>
        </w:tc>
      </w:tr>
      <w:tr>
        <w:trPr>
          <w:trHeight w:val="233"/>
        </w:trPr>
        <w:tc>
          <w:tcPr>
            <w:tcW w:w="1840" w:type="dxa"/>
            <w:vAlign w:val="bottom"/>
          </w:tcPr>
          <w:p>
            <w:pPr>
              <w:spacing w:after="0"/>
              <w:rPr>
                <w:sz w:val="20"/>
                <w:szCs w:val="20"/>
                <w:color w:val="auto"/>
              </w:rPr>
            </w:pPr>
            <w:r>
              <w:rPr>
                <w:rFonts w:ascii="Calibri" w:cs="Calibri" w:eastAsia="Calibri" w:hAnsi="Calibri"/>
                <w:sz w:val="13"/>
                <w:szCs w:val="13"/>
                <w:color w:val="51555C"/>
              </w:rPr>
              <w:t>Non-accelerated fler</w:t>
            </w:r>
          </w:p>
        </w:tc>
        <w:tc>
          <w:tcPr>
            <w:tcW w:w="3580" w:type="dxa"/>
            <w:vAlign w:val="bottom"/>
          </w:tcPr>
          <w:p>
            <w:pPr>
              <w:ind w:left="680"/>
              <w:spacing w:after="0" w:line="161" w:lineRule="exact"/>
              <w:rPr>
                <w:sz w:val="20"/>
                <w:szCs w:val="20"/>
                <w:color w:val="auto"/>
              </w:rPr>
            </w:pPr>
            <w:r>
              <w:rPr>
                <w:rFonts w:ascii="MS PGothic" w:cs="MS PGothic" w:eastAsia="MS PGothic" w:hAnsi="MS PGothic"/>
                <w:sz w:val="16"/>
                <w:szCs w:val="16"/>
                <w:color w:val="51555C"/>
              </w:rPr>
              <w:t>☐</w:t>
            </w:r>
          </w:p>
        </w:tc>
        <w:tc>
          <w:tcPr>
            <w:tcW w:w="4880" w:type="dxa"/>
            <w:vAlign w:val="bottom"/>
          </w:tcPr>
          <w:p>
            <w:pPr>
              <w:ind w:left="2760"/>
              <w:spacing w:after="0"/>
              <w:rPr>
                <w:sz w:val="20"/>
                <w:szCs w:val="20"/>
                <w:color w:val="auto"/>
              </w:rPr>
            </w:pPr>
            <w:r>
              <w:rPr>
                <w:rFonts w:ascii="Calibri" w:cs="Calibri" w:eastAsia="Calibri" w:hAnsi="Calibri"/>
                <w:sz w:val="13"/>
                <w:szCs w:val="13"/>
                <w:color w:val="51555C"/>
              </w:rPr>
              <w:t>Smaller reportng company</w:t>
            </w:r>
          </w:p>
        </w:tc>
        <w:tc>
          <w:tcPr>
            <w:tcW w:w="860" w:type="dxa"/>
            <w:vAlign w:val="bottom"/>
          </w:tcPr>
          <w:p>
            <w:pPr>
              <w:ind w:left="720"/>
              <w:spacing w:after="0" w:line="161" w:lineRule="exact"/>
              <w:rPr>
                <w:sz w:val="20"/>
                <w:szCs w:val="20"/>
                <w:color w:val="auto"/>
              </w:rPr>
            </w:pPr>
            <w:r>
              <w:rPr>
                <w:rFonts w:ascii="MS PGothic" w:cs="MS PGothic" w:eastAsia="MS PGothic" w:hAnsi="MS PGothic"/>
                <w:sz w:val="16"/>
                <w:szCs w:val="16"/>
                <w:color w:val="51555C"/>
                <w:w w:val="74"/>
              </w:rPr>
              <w:t>☐</w:t>
            </w:r>
          </w:p>
        </w:tc>
      </w:tr>
      <w:tr>
        <w:trPr>
          <w:trHeight w:val="260"/>
        </w:trPr>
        <w:tc>
          <w:tcPr>
            <w:tcW w:w="184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4880" w:type="dxa"/>
            <w:vAlign w:val="bottom"/>
          </w:tcPr>
          <w:p>
            <w:pPr>
              <w:ind w:left="2760"/>
              <w:spacing w:after="0"/>
              <w:rPr>
                <w:sz w:val="20"/>
                <w:szCs w:val="20"/>
                <w:color w:val="auto"/>
              </w:rPr>
            </w:pPr>
            <w:r>
              <w:rPr>
                <w:rFonts w:ascii="Calibri" w:cs="Calibri" w:eastAsia="Calibri" w:hAnsi="Calibri"/>
                <w:sz w:val="13"/>
                <w:szCs w:val="13"/>
                <w:color w:val="51555C"/>
              </w:rPr>
              <w:t>Emerging growth company</w:t>
            </w:r>
          </w:p>
        </w:tc>
        <w:tc>
          <w:tcPr>
            <w:tcW w:w="860" w:type="dxa"/>
            <w:vAlign w:val="bottom"/>
          </w:tcPr>
          <w:p>
            <w:pPr>
              <w:ind w:left="720"/>
              <w:spacing w:after="0" w:line="161" w:lineRule="exact"/>
              <w:rPr>
                <w:sz w:val="20"/>
                <w:szCs w:val="20"/>
                <w:color w:val="auto"/>
              </w:rPr>
            </w:pPr>
            <w:r>
              <w:rPr>
                <w:rFonts w:ascii="MS PGothic" w:cs="MS PGothic" w:eastAsia="MS PGothic" w:hAnsi="MS PGothic"/>
                <w:sz w:val="16"/>
                <w:szCs w:val="16"/>
                <w:color w:val="51555C"/>
                <w:w w:val="74"/>
              </w:rPr>
              <w:t>☐</w:t>
            </w:r>
          </w:p>
        </w:tc>
      </w:tr>
    </w:tbl>
    <w:p>
      <w:pPr>
        <w:spacing w:after="0" w:line="65" w:lineRule="exact"/>
        <w:rPr>
          <w:sz w:val="24"/>
          <w:szCs w:val="24"/>
          <w:color w:val="auto"/>
        </w:rPr>
      </w:pPr>
    </w:p>
    <w:p>
      <w:pPr>
        <w:spacing w:after="0" w:line="185" w:lineRule="exact"/>
        <w:rPr>
          <w:sz w:val="20"/>
          <w:szCs w:val="20"/>
          <w:color w:val="auto"/>
        </w:rPr>
      </w:pPr>
      <w:r>
        <w:rPr>
          <w:rFonts w:ascii="Calibri" w:cs="Calibri" w:eastAsia="Calibri" w:hAnsi="Calibri"/>
          <w:sz w:val="13"/>
          <w:szCs w:val="13"/>
          <w:color w:val="51555C"/>
        </w:rPr>
        <w:t xml:space="preserve">If an emerging growth company, indicate by check mark if the registrant has elected not to use the extended transiton period for complying with any new or revised fnancial accountng standards provided pursuant to Secton 13(a) of the Exchange Act. </w:t>
      </w:r>
      <w:r>
        <w:rPr>
          <w:rFonts w:ascii="MS PGothic" w:cs="MS PGothic" w:eastAsia="MS PGothic" w:hAnsi="MS PGothic"/>
          <w:sz w:val="15"/>
          <w:szCs w:val="15"/>
          <w:color w:val="51555C"/>
        </w:rPr>
        <w:t>☐</w:t>
      </w:r>
    </w:p>
    <w:p>
      <w:pPr>
        <w:spacing w:after="0" w:line="57" w:lineRule="exact"/>
        <w:rPr>
          <w:sz w:val="24"/>
          <w:szCs w:val="24"/>
          <w:color w:val="auto"/>
        </w:rPr>
      </w:pPr>
    </w:p>
    <w:p>
      <w:pPr>
        <w:spacing w:after="0"/>
        <w:rPr>
          <w:sz w:val="20"/>
          <w:szCs w:val="20"/>
          <w:color w:val="auto"/>
        </w:rPr>
      </w:pPr>
      <w:r>
        <w:rPr>
          <w:rFonts w:ascii="Calibri" w:cs="Calibri" w:eastAsia="Calibri" w:hAnsi="Calibri"/>
          <w:sz w:val="13"/>
          <w:szCs w:val="13"/>
          <w:color w:val="51555C"/>
        </w:rPr>
        <w:t>Indicate by check mark whether registrant is a shell company (as defned in Rule 12b-2 of the Exchange Act).</w:t>
      </w:r>
    </w:p>
    <w:p>
      <w:pPr>
        <w:spacing w:after="0" w:line="184" w:lineRule="exact"/>
        <w:rPr>
          <w:sz w:val="20"/>
          <w:szCs w:val="20"/>
          <w:color w:val="auto"/>
        </w:rPr>
      </w:pPr>
      <w:r>
        <w:rPr>
          <w:rFonts w:ascii="Calibri" w:cs="Calibri" w:eastAsia="Calibri" w:hAnsi="Calibri"/>
          <w:sz w:val="13"/>
          <w:szCs w:val="13"/>
          <w:color w:val="51555C"/>
        </w:rPr>
        <w:t xml:space="preserve">Yes </w:t>
      </w:r>
      <w:r>
        <w:rPr>
          <w:rFonts w:ascii="MS PGothic" w:cs="MS PGothic" w:eastAsia="MS PGothic" w:hAnsi="MS PGothic"/>
          <w:sz w:val="15"/>
          <w:szCs w:val="15"/>
          <w:color w:val="51555C"/>
        </w:rPr>
        <w:t>☐</w:t>
      </w:r>
      <w:r>
        <w:rPr>
          <w:rFonts w:ascii="Calibri" w:cs="Calibri" w:eastAsia="Calibri" w:hAnsi="Calibri"/>
          <w:sz w:val="13"/>
          <w:szCs w:val="13"/>
          <w:color w:val="51555C"/>
        </w:rPr>
        <w:t xml:space="preserve"> No </w:t>
      </w:r>
      <w:r>
        <w:rPr>
          <w:rFonts w:ascii="MS PGothic" w:cs="MS PGothic" w:eastAsia="MS PGothic" w:hAnsi="MS PGothic"/>
          <w:sz w:val="15"/>
          <w:szCs w:val="15"/>
          <w:color w:val="51555C"/>
        </w:rPr>
        <w:t>☑</w:t>
      </w:r>
    </w:p>
    <w:p>
      <w:pPr>
        <w:spacing w:after="0" w:line="93" w:lineRule="exact"/>
        <w:rPr>
          <w:sz w:val="24"/>
          <w:szCs w:val="24"/>
          <w:color w:val="auto"/>
        </w:rPr>
      </w:pPr>
    </w:p>
    <w:p>
      <w:pPr>
        <w:spacing w:after="0"/>
        <w:rPr>
          <w:sz w:val="20"/>
          <w:szCs w:val="20"/>
          <w:color w:val="auto"/>
        </w:rPr>
      </w:pPr>
      <w:r>
        <w:rPr>
          <w:rFonts w:ascii="Calibri" w:cs="Calibri" w:eastAsia="Calibri" w:hAnsi="Calibri"/>
          <w:sz w:val="13"/>
          <w:szCs w:val="13"/>
          <w:color w:val="51555C"/>
        </w:rPr>
        <w:t>The number of shares of the registrant’s Common Stock outstanding as of July 29, 2024 was 51,626,340.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291465</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46" w:right="319" w:bottom="1440" w:gutter="0" w:footer="0" w:header="0"/>
        </w:sectPr>
      </w:pPr>
    </w:p>
    <w:bookmarkStart w:id="1" w:name="page2"/>
    <w:bookmarkEnd w:id="1"/>
    <w:p>
      <w:pPr>
        <w:spacing w:after="0"/>
        <w:rPr>
          <w:sz w:val="20"/>
          <w:szCs w:val="20"/>
          <w:color w:val="auto"/>
        </w:rPr>
      </w:pPr>
      <w:r>
        <w:rPr>
          <w:rFonts w:ascii="Calibri" w:cs="Calibri" w:eastAsia="Calibri" w:hAnsi="Calibri"/>
          <w:sz w:val="31"/>
          <w:szCs w:val="31"/>
          <w:b w:val="1"/>
          <w:bCs w:val="1"/>
          <w:color w:val="50535A"/>
        </w:rPr>
        <w:t>TABLE OF CONTENTS</w:t>
      </w:r>
    </w:p>
    <w:p>
      <w:pPr>
        <w:spacing w:after="0" w:line="170" w:lineRule="exact"/>
        <w:rPr>
          <w:sz w:val="20"/>
          <w:szCs w:val="20"/>
          <w:color w:val="auto"/>
        </w:rPr>
      </w:pPr>
    </w:p>
    <w:p>
      <w:pPr>
        <w:ind w:left="20"/>
        <w:spacing w:after="0"/>
        <w:rPr>
          <w:sz w:val="20"/>
          <w:szCs w:val="20"/>
          <w:color w:val="auto"/>
        </w:rPr>
      </w:pPr>
      <w:r>
        <w:rPr>
          <w:rFonts w:ascii="Calibri" w:cs="Calibri" w:eastAsia="Calibri" w:hAnsi="Calibri"/>
          <w:sz w:val="16"/>
          <w:szCs w:val="16"/>
          <w:b w:val="1"/>
          <w:bCs w:val="1"/>
          <w:color w:val="004054"/>
        </w:rPr>
        <w:t>CAUTIONARY STATEMENT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29845</wp:posOffset>
            </wp:positionV>
            <wp:extent cx="713486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41" w:lineRule="exact"/>
        <w:rPr>
          <w:sz w:val="20"/>
          <w:szCs w:val="20"/>
          <w:color w:val="auto"/>
        </w:rPr>
      </w:pPr>
    </w:p>
    <w:p>
      <w:pPr>
        <w:ind w:left="20"/>
        <w:spacing w:after="0"/>
        <w:tabs>
          <w:tab w:leader="none" w:pos="1080" w:val="left"/>
        </w:tabs>
        <w:rPr>
          <w:sz w:val="20"/>
          <w:szCs w:val="20"/>
          <w:color w:val="auto"/>
        </w:rPr>
      </w:pPr>
      <w:r>
        <w:rPr>
          <w:rFonts w:ascii="Calibri" w:cs="Calibri" w:eastAsia="Calibri" w:hAnsi="Calibri"/>
          <w:sz w:val="16"/>
          <w:szCs w:val="16"/>
          <w:b w:val="1"/>
          <w:bCs w:val="1"/>
          <w:color w:val="004054"/>
        </w:rPr>
        <w:t>PART I.</w:t>
      </w:r>
      <w:r>
        <w:rPr>
          <w:sz w:val="20"/>
          <w:szCs w:val="20"/>
          <w:color w:val="auto"/>
        </w:rPr>
        <w:tab/>
      </w:r>
      <w:r>
        <w:rPr>
          <w:rFonts w:ascii="Calibri" w:cs="Calibri" w:eastAsia="Calibri" w:hAnsi="Calibri"/>
          <w:sz w:val="14"/>
          <w:szCs w:val="14"/>
          <w:b w:val="1"/>
          <w:bCs w:val="1"/>
          <w:color w:val="004054"/>
        </w:rPr>
        <w:t>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29845</wp:posOffset>
            </wp:positionV>
            <wp:extent cx="713486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70" w:lineRule="exact"/>
        <w:rPr>
          <w:sz w:val="20"/>
          <w:szCs w:val="20"/>
          <w:color w:val="auto"/>
        </w:rPr>
      </w:pPr>
    </w:p>
    <w:p>
      <w:pPr>
        <w:ind w:left="20"/>
        <w:spacing w:after="0"/>
        <w:tabs>
          <w:tab w:leader="none" w:pos="1080" w:val="left"/>
        </w:tabs>
        <w:rPr>
          <w:sz w:val="20"/>
          <w:szCs w:val="20"/>
          <w:color w:val="auto"/>
        </w:rPr>
      </w:pPr>
      <w:r>
        <w:rPr>
          <w:rFonts w:ascii="Calibri" w:cs="Calibri" w:eastAsia="Calibri" w:hAnsi="Calibri"/>
          <w:sz w:val="14"/>
          <w:szCs w:val="14"/>
          <w:color w:val="51555C"/>
        </w:rPr>
        <w:t>Item 1.</w:t>
      </w:r>
      <w:r>
        <w:rPr>
          <w:sz w:val="20"/>
          <w:szCs w:val="20"/>
          <w:color w:val="auto"/>
        </w:rPr>
        <w:tab/>
      </w:r>
      <w:r>
        <w:rPr>
          <w:rFonts w:ascii="Calibri" w:cs="Calibri" w:eastAsia="Calibri" w:hAnsi="Calibri"/>
          <w:sz w:val="13"/>
          <w:szCs w:val="13"/>
          <w:color w:val="51555C"/>
        </w:rPr>
        <w:t>Financial statements</w:t>
      </w:r>
    </w:p>
    <w:p>
      <w:pPr>
        <w:spacing w:after="0" w:line="41" w:lineRule="exact"/>
        <w:rPr>
          <w:sz w:val="20"/>
          <w:szCs w:val="20"/>
          <w:color w:val="auto"/>
        </w:rPr>
      </w:pPr>
    </w:p>
    <w:p>
      <w:pPr>
        <w:ind w:left="1220"/>
        <w:spacing w:after="0"/>
        <w:rPr>
          <w:sz w:val="20"/>
          <w:szCs w:val="20"/>
          <w:color w:val="auto"/>
        </w:rPr>
      </w:pPr>
      <w:r>
        <w:rPr>
          <w:rFonts w:ascii="Calibri" w:cs="Calibri" w:eastAsia="Calibri" w:hAnsi="Calibri"/>
          <w:sz w:val="14"/>
          <w:szCs w:val="14"/>
          <w:color w:val="51555C"/>
        </w:rPr>
        <w:t>Condensed Consolidated Balance Sheets (Unaudited)</w:t>
      </w:r>
    </w:p>
    <w:p>
      <w:pPr>
        <w:spacing w:after="0" w:line="87" w:lineRule="exact"/>
        <w:rPr>
          <w:sz w:val="20"/>
          <w:szCs w:val="20"/>
          <w:color w:val="auto"/>
        </w:rPr>
      </w:pPr>
    </w:p>
    <w:p>
      <w:pPr>
        <w:ind w:left="1220"/>
        <w:spacing w:after="0"/>
        <w:rPr>
          <w:sz w:val="20"/>
          <w:szCs w:val="20"/>
          <w:color w:val="auto"/>
        </w:rPr>
      </w:pPr>
      <w:r>
        <w:rPr>
          <w:rFonts w:ascii="Calibri" w:cs="Calibri" w:eastAsia="Calibri" w:hAnsi="Calibri"/>
          <w:sz w:val="13"/>
          <w:szCs w:val="13"/>
          <w:color w:val="51555C"/>
        </w:rPr>
        <w:t>Condensed Consolidated Statements of Comprehensive Income (Loss) (Unaudited)</w:t>
      </w:r>
    </w:p>
    <w:p>
      <w:pPr>
        <w:spacing w:after="0" w:line="93" w:lineRule="exact"/>
        <w:rPr>
          <w:sz w:val="20"/>
          <w:szCs w:val="20"/>
          <w:color w:val="auto"/>
        </w:rPr>
      </w:pPr>
    </w:p>
    <w:p>
      <w:pPr>
        <w:ind w:left="1220"/>
        <w:spacing w:after="0"/>
        <w:rPr>
          <w:sz w:val="20"/>
          <w:szCs w:val="20"/>
          <w:color w:val="auto"/>
        </w:rPr>
      </w:pPr>
      <w:r>
        <w:rPr>
          <w:rFonts w:ascii="Calibri" w:cs="Calibri" w:eastAsia="Calibri" w:hAnsi="Calibri"/>
          <w:sz w:val="14"/>
          <w:szCs w:val="14"/>
          <w:color w:val="51555C"/>
        </w:rPr>
        <w:t>Condensed Consolidated Statements of Cash Flows (Unaudited)</w:t>
      </w:r>
    </w:p>
    <w:p>
      <w:pPr>
        <w:spacing w:after="0" w:line="84" w:lineRule="exact"/>
        <w:rPr>
          <w:sz w:val="20"/>
          <w:szCs w:val="20"/>
          <w:color w:val="auto"/>
        </w:rPr>
      </w:pPr>
    </w:p>
    <w:p>
      <w:pPr>
        <w:ind w:left="1220"/>
        <w:spacing w:after="0"/>
        <w:rPr>
          <w:sz w:val="20"/>
          <w:szCs w:val="20"/>
          <w:color w:val="auto"/>
        </w:rPr>
      </w:pPr>
      <w:r>
        <w:rPr>
          <w:rFonts w:ascii="Calibri" w:cs="Calibri" w:eastAsia="Calibri" w:hAnsi="Calibri"/>
          <w:sz w:val="14"/>
          <w:szCs w:val="14"/>
          <w:color w:val="51555C"/>
        </w:rPr>
        <w:t>Condensed Consolidated Statements of Stockholders’ Equity (Unaudited)</w:t>
      </w:r>
    </w:p>
    <w:p>
      <w:pPr>
        <w:spacing w:after="0" w:line="84" w:lineRule="exact"/>
        <w:rPr>
          <w:sz w:val="20"/>
          <w:szCs w:val="20"/>
          <w:color w:val="auto"/>
        </w:rPr>
      </w:pPr>
    </w:p>
    <w:p>
      <w:pPr>
        <w:ind w:left="1220"/>
        <w:spacing w:after="0"/>
        <w:rPr>
          <w:sz w:val="20"/>
          <w:szCs w:val="20"/>
          <w:color w:val="auto"/>
        </w:rPr>
      </w:pPr>
      <w:r>
        <w:rPr>
          <w:rFonts w:ascii="Calibri" w:cs="Calibri" w:eastAsia="Calibri" w:hAnsi="Calibri"/>
          <w:sz w:val="14"/>
          <w:szCs w:val="14"/>
          <w:color w:val="51555C"/>
        </w:rPr>
        <w:t>Notes to Condensed Consolidated Financial Statements (Unaudited)</w:t>
      </w:r>
    </w:p>
    <w:p>
      <w:pPr>
        <w:spacing w:after="0" w:line="84" w:lineRule="exact"/>
        <w:rPr>
          <w:sz w:val="20"/>
          <w:szCs w:val="20"/>
          <w:color w:val="auto"/>
        </w:rPr>
      </w:pPr>
    </w:p>
    <w:p>
      <w:pPr>
        <w:ind w:left="20"/>
        <w:spacing w:after="0"/>
        <w:tabs>
          <w:tab w:leader="none" w:pos="1080" w:val="left"/>
        </w:tabs>
        <w:rPr>
          <w:sz w:val="20"/>
          <w:szCs w:val="20"/>
          <w:color w:val="auto"/>
        </w:rPr>
      </w:pPr>
      <w:r>
        <w:rPr>
          <w:rFonts w:ascii="Calibri" w:cs="Calibri" w:eastAsia="Calibri" w:hAnsi="Calibri"/>
          <w:sz w:val="14"/>
          <w:szCs w:val="14"/>
          <w:color w:val="51555C"/>
        </w:rPr>
        <w:t>Item 2.</w:t>
      </w:r>
      <w:r>
        <w:rPr>
          <w:sz w:val="20"/>
          <w:szCs w:val="20"/>
          <w:color w:val="auto"/>
        </w:rPr>
        <w:tab/>
      </w:r>
      <w:r>
        <w:rPr>
          <w:rFonts w:ascii="Calibri" w:cs="Calibri" w:eastAsia="Calibri" w:hAnsi="Calibri"/>
          <w:sz w:val="14"/>
          <w:szCs w:val="14"/>
          <w:color w:val="51555C"/>
        </w:rPr>
        <w:t>Management's discussion and analysis of fnancial conditon and results of operatons</w:t>
      </w:r>
    </w:p>
    <w:p>
      <w:pPr>
        <w:spacing w:after="0" w:line="84" w:lineRule="exact"/>
        <w:rPr>
          <w:sz w:val="20"/>
          <w:szCs w:val="20"/>
          <w:color w:val="auto"/>
        </w:rPr>
      </w:pPr>
    </w:p>
    <w:p>
      <w:pPr>
        <w:ind w:left="20"/>
        <w:spacing w:after="0"/>
        <w:tabs>
          <w:tab w:leader="none" w:pos="1080" w:val="left"/>
        </w:tabs>
        <w:rPr>
          <w:sz w:val="20"/>
          <w:szCs w:val="20"/>
          <w:color w:val="auto"/>
        </w:rPr>
      </w:pPr>
      <w:r>
        <w:rPr>
          <w:rFonts w:ascii="Calibri" w:cs="Calibri" w:eastAsia="Calibri" w:hAnsi="Calibri"/>
          <w:sz w:val="14"/>
          <w:szCs w:val="14"/>
          <w:color w:val="51555C"/>
        </w:rPr>
        <w:t>Item 3.</w:t>
      </w:r>
      <w:r>
        <w:rPr>
          <w:sz w:val="20"/>
          <w:szCs w:val="20"/>
          <w:color w:val="auto"/>
        </w:rPr>
        <w:tab/>
      </w:r>
      <w:r>
        <w:rPr>
          <w:rFonts w:ascii="Calibri" w:cs="Calibri" w:eastAsia="Calibri" w:hAnsi="Calibri"/>
          <w:sz w:val="14"/>
          <w:szCs w:val="14"/>
          <w:color w:val="51555C"/>
        </w:rPr>
        <w:t>Quanttatve and qualitatve disclosures about market risk</w:t>
      </w:r>
    </w:p>
    <w:p>
      <w:pPr>
        <w:spacing w:after="0" w:line="84" w:lineRule="exact"/>
        <w:rPr>
          <w:sz w:val="20"/>
          <w:szCs w:val="20"/>
          <w:color w:val="auto"/>
        </w:rPr>
      </w:pPr>
    </w:p>
    <w:p>
      <w:pPr>
        <w:ind w:left="20"/>
        <w:spacing w:after="0"/>
        <w:tabs>
          <w:tab w:leader="none" w:pos="1080" w:val="left"/>
        </w:tabs>
        <w:rPr>
          <w:sz w:val="20"/>
          <w:szCs w:val="20"/>
          <w:color w:val="auto"/>
        </w:rPr>
      </w:pPr>
      <w:r>
        <w:rPr>
          <w:rFonts w:ascii="Calibri" w:cs="Calibri" w:eastAsia="Calibri" w:hAnsi="Calibri"/>
          <w:sz w:val="14"/>
          <w:szCs w:val="14"/>
          <w:color w:val="51555C"/>
        </w:rPr>
        <w:t>Item 4.</w:t>
      </w:r>
      <w:r>
        <w:rPr>
          <w:sz w:val="20"/>
          <w:szCs w:val="20"/>
          <w:color w:val="auto"/>
        </w:rPr>
        <w:tab/>
      </w:r>
      <w:r>
        <w:rPr>
          <w:rFonts w:ascii="Calibri" w:cs="Calibri" w:eastAsia="Calibri" w:hAnsi="Calibri"/>
          <w:sz w:val="13"/>
          <w:szCs w:val="13"/>
          <w:color w:val="51555C"/>
        </w:rPr>
        <w:t>Controls and procedures</w:t>
      </w:r>
    </w:p>
    <w:p>
      <w:pPr>
        <w:spacing w:after="0" w:line="286" w:lineRule="exact"/>
        <w:rPr>
          <w:sz w:val="20"/>
          <w:szCs w:val="20"/>
          <w:color w:val="auto"/>
        </w:rPr>
      </w:pPr>
    </w:p>
    <w:p>
      <w:pPr>
        <w:ind w:left="20"/>
        <w:spacing w:after="0"/>
        <w:tabs>
          <w:tab w:leader="none" w:pos="1080" w:val="left"/>
        </w:tabs>
        <w:rPr>
          <w:sz w:val="20"/>
          <w:szCs w:val="20"/>
          <w:color w:val="auto"/>
        </w:rPr>
      </w:pPr>
      <w:r>
        <w:rPr>
          <w:rFonts w:ascii="Calibri" w:cs="Calibri" w:eastAsia="Calibri" w:hAnsi="Calibri"/>
          <w:sz w:val="16"/>
          <w:szCs w:val="16"/>
          <w:b w:val="1"/>
          <w:bCs w:val="1"/>
          <w:color w:val="004054"/>
        </w:rPr>
        <w:t>PART II.</w:t>
      </w:r>
      <w:r>
        <w:rPr>
          <w:sz w:val="20"/>
          <w:szCs w:val="20"/>
          <w:color w:val="auto"/>
        </w:rPr>
        <w:tab/>
      </w:r>
      <w:r>
        <w:rPr>
          <w:rFonts w:ascii="Calibri" w:cs="Calibri" w:eastAsia="Calibri" w:hAnsi="Calibri"/>
          <w:sz w:val="14"/>
          <w:szCs w:val="14"/>
          <w:b w:val="1"/>
          <w:bCs w:val="1"/>
          <w:color w:val="004054"/>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29845</wp:posOffset>
            </wp:positionV>
            <wp:extent cx="713486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70" w:lineRule="exact"/>
        <w:rPr>
          <w:sz w:val="20"/>
          <w:szCs w:val="20"/>
          <w:color w:val="auto"/>
        </w:rPr>
      </w:pPr>
    </w:p>
    <w:p>
      <w:pPr>
        <w:ind w:left="20"/>
        <w:spacing w:after="0"/>
        <w:tabs>
          <w:tab w:leader="none" w:pos="1080" w:val="left"/>
        </w:tabs>
        <w:rPr>
          <w:sz w:val="20"/>
          <w:szCs w:val="20"/>
          <w:color w:val="auto"/>
        </w:rPr>
      </w:pPr>
      <w:r>
        <w:rPr>
          <w:rFonts w:ascii="Calibri" w:cs="Calibri" w:eastAsia="Calibri" w:hAnsi="Calibri"/>
          <w:sz w:val="14"/>
          <w:szCs w:val="14"/>
          <w:color w:val="51555C"/>
        </w:rPr>
        <w:t>Item 1.</w:t>
      </w:r>
      <w:r>
        <w:rPr>
          <w:sz w:val="20"/>
          <w:szCs w:val="20"/>
          <w:color w:val="auto"/>
        </w:rPr>
        <w:tab/>
      </w:r>
      <w:r>
        <w:rPr>
          <w:rFonts w:ascii="Calibri" w:cs="Calibri" w:eastAsia="Calibri" w:hAnsi="Calibri"/>
          <w:sz w:val="13"/>
          <w:szCs w:val="13"/>
          <w:color w:val="51555C"/>
        </w:rPr>
        <w:t>Legal proceedings</w:t>
      </w:r>
    </w:p>
    <w:p>
      <w:pPr>
        <w:spacing w:after="0" w:line="84" w:lineRule="exact"/>
        <w:rPr>
          <w:sz w:val="20"/>
          <w:szCs w:val="20"/>
          <w:color w:val="auto"/>
        </w:rPr>
      </w:pPr>
    </w:p>
    <w:p>
      <w:pPr>
        <w:ind w:left="20"/>
        <w:spacing w:after="0"/>
        <w:tabs>
          <w:tab w:leader="none" w:pos="1080" w:val="left"/>
        </w:tabs>
        <w:rPr>
          <w:sz w:val="20"/>
          <w:szCs w:val="20"/>
          <w:color w:val="auto"/>
        </w:rPr>
      </w:pPr>
      <w:r>
        <w:rPr>
          <w:rFonts w:ascii="Calibri" w:cs="Calibri" w:eastAsia="Calibri" w:hAnsi="Calibri"/>
          <w:sz w:val="14"/>
          <w:szCs w:val="14"/>
          <w:color w:val="51555C"/>
        </w:rPr>
        <w:t>Item 1A.</w:t>
      </w:r>
      <w:r>
        <w:rPr>
          <w:sz w:val="20"/>
          <w:szCs w:val="20"/>
          <w:color w:val="auto"/>
        </w:rPr>
        <w:tab/>
      </w:r>
      <w:r>
        <w:rPr>
          <w:rFonts w:ascii="Calibri" w:cs="Calibri" w:eastAsia="Calibri" w:hAnsi="Calibri"/>
          <w:sz w:val="13"/>
          <w:szCs w:val="13"/>
          <w:color w:val="51555C"/>
        </w:rPr>
        <w:t>Risk factors</w:t>
      </w:r>
    </w:p>
    <w:p>
      <w:pPr>
        <w:spacing w:after="0" w:line="84" w:lineRule="exact"/>
        <w:rPr>
          <w:sz w:val="20"/>
          <w:szCs w:val="20"/>
          <w:color w:val="auto"/>
        </w:rPr>
      </w:pPr>
    </w:p>
    <w:p>
      <w:pPr>
        <w:ind w:left="20"/>
        <w:spacing w:after="0"/>
        <w:tabs>
          <w:tab w:leader="none" w:pos="1080" w:val="left"/>
        </w:tabs>
        <w:rPr>
          <w:sz w:val="20"/>
          <w:szCs w:val="20"/>
          <w:color w:val="auto"/>
        </w:rPr>
      </w:pPr>
      <w:r>
        <w:rPr>
          <w:rFonts w:ascii="Calibri" w:cs="Calibri" w:eastAsia="Calibri" w:hAnsi="Calibri"/>
          <w:sz w:val="14"/>
          <w:szCs w:val="14"/>
          <w:color w:val="51555C"/>
        </w:rPr>
        <w:t>Item 2.</w:t>
      </w:r>
      <w:r>
        <w:rPr>
          <w:sz w:val="20"/>
          <w:szCs w:val="20"/>
          <w:color w:val="auto"/>
        </w:rPr>
        <w:tab/>
      </w:r>
      <w:r>
        <w:rPr>
          <w:rFonts w:ascii="Calibri" w:cs="Calibri" w:eastAsia="Calibri" w:hAnsi="Calibri"/>
          <w:sz w:val="13"/>
          <w:szCs w:val="13"/>
          <w:color w:val="51555C"/>
        </w:rPr>
        <w:t>Unregistered sales of equity securites and use of proceeds</w:t>
      </w:r>
    </w:p>
    <w:p>
      <w:pPr>
        <w:spacing w:after="0" w:line="126" w:lineRule="exact"/>
        <w:rPr>
          <w:sz w:val="20"/>
          <w:szCs w:val="20"/>
          <w:color w:val="auto"/>
        </w:rPr>
      </w:pPr>
    </w:p>
    <w:p>
      <w:pPr>
        <w:ind w:left="20"/>
        <w:spacing w:after="0"/>
        <w:tabs>
          <w:tab w:leader="none" w:pos="1080" w:val="left"/>
        </w:tabs>
        <w:rPr>
          <w:sz w:val="20"/>
          <w:szCs w:val="20"/>
          <w:color w:val="auto"/>
        </w:rPr>
      </w:pPr>
      <w:r>
        <w:rPr>
          <w:rFonts w:ascii="Calibri" w:cs="Calibri" w:eastAsia="Calibri" w:hAnsi="Calibri"/>
          <w:sz w:val="14"/>
          <w:szCs w:val="14"/>
          <w:color w:val="51555C"/>
        </w:rPr>
        <w:t>Item 5.</w:t>
      </w:r>
      <w:r>
        <w:rPr>
          <w:sz w:val="20"/>
          <w:szCs w:val="20"/>
          <w:color w:val="auto"/>
        </w:rPr>
        <w:tab/>
      </w:r>
      <w:r>
        <w:rPr>
          <w:rFonts w:ascii="Calibri" w:cs="Calibri" w:eastAsia="Calibri" w:hAnsi="Calibri"/>
          <w:sz w:val="14"/>
          <w:szCs w:val="14"/>
          <w:color w:val="51555C"/>
        </w:rPr>
        <w:t>Other informaton</w:t>
      </w:r>
    </w:p>
    <w:p>
      <w:pPr>
        <w:spacing w:after="0" w:line="41" w:lineRule="exact"/>
        <w:rPr>
          <w:sz w:val="20"/>
          <w:szCs w:val="20"/>
          <w:color w:val="auto"/>
        </w:rPr>
      </w:pPr>
    </w:p>
    <w:p>
      <w:pPr>
        <w:ind w:left="20"/>
        <w:spacing w:after="0"/>
        <w:tabs>
          <w:tab w:leader="none" w:pos="1080" w:val="left"/>
        </w:tabs>
        <w:rPr>
          <w:sz w:val="20"/>
          <w:szCs w:val="20"/>
          <w:color w:val="auto"/>
        </w:rPr>
      </w:pPr>
      <w:r>
        <w:rPr>
          <w:rFonts w:ascii="Calibri" w:cs="Calibri" w:eastAsia="Calibri" w:hAnsi="Calibri"/>
          <w:sz w:val="14"/>
          <w:szCs w:val="14"/>
          <w:color w:val="51555C"/>
        </w:rPr>
        <w:t>Item 6.</w:t>
      </w:r>
      <w:r>
        <w:rPr>
          <w:sz w:val="20"/>
          <w:szCs w:val="20"/>
          <w:color w:val="auto"/>
        </w:rPr>
        <w:tab/>
      </w:r>
      <w:r>
        <w:rPr>
          <w:rFonts w:ascii="Calibri" w:cs="Calibri" w:eastAsia="Calibri" w:hAnsi="Calibri"/>
          <w:sz w:val="13"/>
          <w:szCs w:val="13"/>
          <w:color w:val="51555C"/>
        </w:rPr>
        <w:t>Exhibits</w:t>
      </w:r>
    </w:p>
    <w:p>
      <w:pPr>
        <w:spacing w:after="0" w:line="286" w:lineRule="exact"/>
        <w:rPr>
          <w:sz w:val="20"/>
          <w:szCs w:val="20"/>
          <w:color w:val="auto"/>
        </w:rPr>
      </w:pPr>
    </w:p>
    <w:p>
      <w:pPr>
        <w:ind w:left="20"/>
        <w:spacing w:after="0"/>
        <w:rPr>
          <w:sz w:val="20"/>
          <w:szCs w:val="20"/>
          <w:color w:val="auto"/>
        </w:rPr>
      </w:pPr>
      <w:r>
        <w:rPr>
          <w:rFonts w:ascii="Calibri" w:cs="Calibri" w:eastAsia="Calibri" w:hAnsi="Calibri"/>
          <w:sz w:val="16"/>
          <w:szCs w:val="16"/>
          <w:b w:val="1"/>
          <w:bCs w:val="1"/>
          <w:color w:val="004054"/>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29845</wp:posOffset>
            </wp:positionV>
            <wp:extent cx="713486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004054"/>
        </w:rPr>
        <w:t>2</w:t>
      </w:r>
    </w:p>
    <w:p>
      <w:pPr>
        <w:spacing w:after="0" w:line="261"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004054"/>
        </w:rPr>
        <w:t>3</w:t>
      </w:r>
    </w:p>
    <w:p>
      <w:pPr>
        <w:spacing w:after="0" w:line="345" w:lineRule="exact"/>
        <w:rPr>
          <w:sz w:val="20"/>
          <w:szCs w:val="20"/>
          <w:color w:val="auto"/>
        </w:rPr>
      </w:pPr>
    </w:p>
    <w:p>
      <w:pPr>
        <w:spacing w:after="0"/>
        <w:rPr>
          <w:sz w:val="20"/>
          <w:szCs w:val="20"/>
          <w:color w:val="auto"/>
        </w:rPr>
      </w:pPr>
      <w:r>
        <w:rPr>
          <w:rFonts w:ascii="Calibri" w:cs="Calibri" w:eastAsia="Calibri" w:hAnsi="Calibri"/>
          <w:sz w:val="14"/>
          <w:szCs w:val="14"/>
          <w:color w:val="auto"/>
        </w:rPr>
        <w:t>3</w:t>
      </w:r>
    </w:p>
    <w:p>
      <w:pPr>
        <w:spacing w:after="0" w:line="84" w:lineRule="exact"/>
        <w:rPr>
          <w:sz w:val="20"/>
          <w:szCs w:val="20"/>
          <w:color w:val="auto"/>
        </w:rPr>
      </w:pPr>
    </w:p>
    <w:p>
      <w:pPr>
        <w:spacing w:after="0"/>
        <w:rPr>
          <w:sz w:val="20"/>
          <w:szCs w:val="20"/>
          <w:color w:val="auto"/>
        </w:rPr>
      </w:pPr>
      <w:r>
        <w:rPr>
          <w:rFonts w:ascii="Calibri" w:cs="Calibri" w:eastAsia="Calibri" w:hAnsi="Calibri"/>
          <w:sz w:val="14"/>
          <w:szCs w:val="14"/>
          <w:color w:val="auto"/>
        </w:rPr>
        <w:t>4</w:t>
      </w:r>
    </w:p>
    <w:p>
      <w:pPr>
        <w:spacing w:after="0" w:line="84" w:lineRule="exact"/>
        <w:rPr>
          <w:sz w:val="20"/>
          <w:szCs w:val="20"/>
          <w:color w:val="auto"/>
        </w:rPr>
      </w:pPr>
    </w:p>
    <w:p>
      <w:pPr>
        <w:spacing w:after="0"/>
        <w:rPr>
          <w:sz w:val="20"/>
          <w:szCs w:val="20"/>
          <w:color w:val="auto"/>
        </w:rPr>
      </w:pPr>
      <w:r>
        <w:rPr>
          <w:rFonts w:ascii="Calibri" w:cs="Calibri" w:eastAsia="Calibri" w:hAnsi="Calibri"/>
          <w:sz w:val="14"/>
          <w:szCs w:val="14"/>
          <w:color w:val="auto"/>
        </w:rPr>
        <w:t>5</w:t>
      </w:r>
    </w:p>
    <w:p>
      <w:pPr>
        <w:spacing w:after="0" w:line="84" w:lineRule="exact"/>
        <w:rPr>
          <w:sz w:val="20"/>
          <w:szCs w:val="20"/>
          <w:color w:val="auto"/>
        </w:rPr>
      </w:pPr>
    </w:p>
    <w:p>
      <w:pPr>
        <w:spacing w:after="0"/>
        <w:rPr>
          <w:sz w:val="20"/>
          <w:szCs w:val="20"/>
          <w:color w:val="auto"/>
        </w:rPr>
      </w:pPr>
      <w:r>
        <w:rPr>
          <w:rFonts w:ascii="Calibri" w:cs="Calibri" w:eastAsia="Calibri" w:hAnsi="Calibri"/>
          <w:sz w:val="14"/>
          <w:szCs w:val="14"/>
          <w:color w:val="auto"/>
        </w:rPr>
        <w:t>6</w:t>
      </w:r>
    </w:p>
    <w:p>
      <w:pPr>
        <w:spacing w:after="0" w:line="84" w:lineRule="exact"/>
        <w:rPr>
          <w:sz w:val="20"/>
          <w:szCs w:val="20"/>
          <w:color w:val="auto"/>
        </w:rPr>
      </w:pPr>
    </w:p>
    <w:p>
      <w:pPr>
        <w:spacing w:after="0"/>
        <w:rPr>
          <w:sz w:val="20"/>
          <w:szCs w:val="20"/>
          <w:color w:val="auto"/>
        </w:rPr>
      </w:pPr>
      <w:r>
        <w:rPr>
          <w:rFonts w:ascii="Calibri" w:cs="Calibri" w:eastAsia="Calibri" w:hAnsi="Calibri"/>
          <w:sz w:val="14"/>
          <w:szCs w:val="14"/>
          <w:color w:val="auto"/>
        </w:rPr>
        <w:t>8</w:t>
      </w:r>
    </w:p>
    <w:p>
      <w:pPr>
        <w:spacing w:after="0" w:line="84" w:lineRule="exact"/>
        <w:rPr>
          <w:sz w:val="20"/>
          <w:szCs w:val="20"/>
          <w:color w:val="auto"/>
        </w:rPr>
      </w:pPr>
    </w:p>
    <w:p>
      <w:pPr>
        <w:spacing w:after="0"/>
        <w:rPr>
          <w:sz w:val="20"/>
          <w:szCs w:val="20"/>
          <w:color w:val="auto"/>
        </w:rPr>
      </w:pPr>
      <w:r>
        <w:rPr>
          <w:rFonts w:ascii="Calibri" w:cs="Calibri" w:eastAsia="Calibri" w:hAnsi="Calibri"/>
          <w:sz w:val="14"/>
          <w:szCs w:val="14"/>
          <w:color w:val="auto"/>
        </w:rPr>
        <w:t>26</w:t>
      </w:r>
    </w:p>
    <w:p>
      <w:pPr>
        <w:spacing w:after="0" w:line="84" w:lineRule="exact"/>
        <w:rPr>
          <w:sz w:val="20"/>
          <w:szCs w:val="20"/>
          <w:color w:val="auto"/>
        </w:rPr>
      </w:pPr>
    </w:p>
    <w:p>
      <w:pPr>
        <w:spacing w:after="0"/>
        <w:rPr>
          <w:sz w:val="20"/>
          <w:szCs w:val="20"/>
          <w:color w:val="auto"/>
        </w:rPr>
      </w:pPr>
      <w:r>
        <w:rPr>
          <w:rFonts w:ascii="Calibri" w:cs="Calibri" w:eastAsia="Calibri" w:hAnsi="Calibri"/>
          <w:sz w:val="14"/>
          <w:szCs w:val="14"/>
          <w:color w:val="auto"/>
        </w:rPr>
        <w:t>49</w:t>
      </w:r>
    </w:p>
    <w:p>
      <w:pPr>
        <w:spacing w:after="0" w:line="84" w:lineRule="exact"/>
        <w:rPr>
          <w:sz w:val="20"/>
          <w:szCs w:val="20"/>
          <w:color w:val="auto"/>
        </w:rPr>
      </w:pPr>
    </w:p>
    <w:p>
      <w:pPr>
        <w:spacing w:after="0"/>
        <w:rPr>
          <w:sz w:val="20"/>
          <w:szCs w:val="20"/>
          <w:color w:val="auto"/>
        </w:rPr>
      </w:pPr>
      <w:r>
        <w:rPr>
          <w:rFonts w:ascii="Calibri" w:cs="Calibri" w:eastAsia="Calibri" w:hAnsi="Calibri"/>
          <w:sz w:val="14"/>
          <w:szCs w:val="14"/>
          <w:color w:val="auto"/>
        </w:rPr>
        <w:t>49</w:t>
      </w:r>
    </w:p>
    <w:p>
      <w:pPr>
        <w:spacing w:after="0" w:line="254"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004054"/>
        </w:rPr>
        <w:t>50</w:t>
      </w:r>
    </w:p>
    <w:p>
      <w:pPr>
        <w:spacing w:after="0" w:line="147" w:lineRule="exact"/>
        <w:rPr>
          <w:sz w:val="20"/>
          <w:szCs w:val="20"/>
          <w:color w:val="auto"/>
        </w:rPr>
      </w:pPr>
    </w:p>
    <w:p>
      <w:pPr>
        <w:spacing w:after="0"/>
        <w:rPr>
          <w:sz w:val="20"/>
          <w:szCs w:val="20"/>
          <w:color w:val="auto"/>
        </w:rPr>
      </w:pPr>
      <w:r>
        <w:rPr>
          <w:rFonts w:ascii="Calibri" w:cs="Calibri" w:eastAsia="Calibri" w:hAnsi="Calibri"/>
          <w:sz w:val="14"/>
          <w:szCs w:val="14"/>
          <w:color w:val="auto"/>
        </w:rPr>
        <w:t>50</w:t>
      </w:r>
    </w:p>
    <w:p>
      <w:pPr>
        <w:spacing w:after="0" w:line="84" w:lineRule="exact"/>
        <w:rPr>
          <w:sz w:val="20"/>
          <w:szCs w:val="20"/>
          <w:color w:val="auto"/>
        </w:rPr>
      </w:pPr>
    </w:p>
    <w:p>
      <w:pPr>
        <w:spacing w:after="0"/>
        <w:rPr>
          <w:sz w:val="20"/>
          <w:szCs w:val="20"/>
          <w:color w:val="auto"/>
        </w:rPr>
      </w:pPr>
      <w:r>
        <w:rPr>
          <w:rFonts w:ascii="Calibri" w:cs="Calibri" w:eastAsia="Calibri" w:hAnsi="Calibri"/>
          <w:sz w:val="14"/>
          <w:szCs w:val="14"/>
          <w:color w:val="auto"/>
        </w:rPr>
        <w:t>50</w:t>
      </w:r>
    </w:p>
    <w:p>
      <w:pPr>
        <w:spacing w:after="0" w:line="84" w:lineRule="exact"/>
        <w:rPr>
          <w:sz w:val="20"/>
          <w:szCs w:val="20"/>
          <w:color w:val="auto"/>
        </w:rPr>
      </w:pPr>
    </w:p>
    <w:p>
      <w:pPr>
        <w:spacing w:after="0"/>
        <w:rPr>
          <w:sz w:val="20"/>
          <w:szCs w:val="20"/>
          <w:color w:val="auto"/>
        </w:rPr>
      </w:pPr>
      <w:r>
        <w:rPr>
          <w:rFonts w:ascii="Calibri" w:cs="Calibri" w:eastAsia="Calibri" w:hAnsi="Calibri"/>
          <w:sz w:val="14"/>
          <w:szCs w:val="14"/>
          <w:color w:val="auto"/>
        </w:rPr>
        <w:t>54</w:t>
      </w:r>
    </w:p>
    <w:p>
      <w:pPr>
        <w:spacing w:after="0" w:line="84" w:lineRule="exact"/>
        <w:rPr>
          <w:sz w:val="20"/>
          <w:szCs w:val="20"/>
          <w:color w:val="auto"/>
        </w:rPr>
      </w:pPr>
    </w:p>
    <w:p>
      <w:pPr>
        <w:spacing w:after="0"/>
        <w:rPr>
          <w:sz w:val="20"/>
          <w:szCs w:val="20"/>
          <w:color w:val="auto"/>
        </w:rPr>
      </w:pPr>
      <w:r>
        <w:rPr>
          <w:rFonts w:ascii="Calibri" w:cs="Calibri" w:eastAsia="Calibri" w:hAnsi="Calibri"/>
          <w:sz w:val="14"/>
          <w:szCs w:val="14"/>
          <w:color w:val="auto"/>
        </w:rPr>
        <w:t>55</w:t>
      </w:r>
    </w:p>
    <w:p>
      <w:pPr>
        <w:spacing w:after="0" w:line="84" w:lineRule="exact"/>
        <w:rPr>
          <w:sz w:val="20"/>
          <w:szCs w:val="20"/>
          <w:color w:val="auto"/>
        </w:rPr>
      </w:pPr>
    </w:p>
    <w:p>
      <w:pPr>
        <w:spacing w:after="0"/>
        <w:rPr>
          <w:sz w:val="20"/>
          <w:szCs w:val="20"/>
          <w:color w:val="auto"/>
        </w:rPr>
      </w:pPr>
      <w:r>
        <w:rPr>
          <w:rFonts w:ascii="Calibri" w:cs="Calibri" w:eastAsia="Calibri" w:hAnsi="Calibri"/>
          <w:sz w:val="14"/>
          <w:szCs w:val="14"/>
          <w:color w:val="auto"/>
        </w:rPr>
        <w:t>56</w:t>
      </w:r>
    </w:p>
    <w:p>
      <w:pPr>
        <w:spacing w:after="0" w:line="254"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004054"/>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-461645</wp:posOffset>
            </wp:positionH>
            <wp:positionV relativeFrom="paragraph">
              <wp:posOffset>671830</wp:posOffset>
            </wp:positionV>
            <wp:extent cx="532130" cy="134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2130" cy="134620"/>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10060" w:space="720"/>
            <w:col w:w="500"/>
          </w:cols>
          <w:pgMar w:left="300" w:top="866"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0420" w:type="dxa"/>
            <w:vAlign w:val="bottom"/>
          </w:tcPr>
          <w:p>
            <w:pPr>
              <w:ind w:left="8160"/>
              <w:spacing w:after="0"/>
              <w:rPr>
                <w:sz w:val="20"/>
                <w:szCs w:val="20"/>
                <w:color w:val="auto"/>
              </w:rPr>
            </w:pPr>
            <w:r>
              <w:rPr>
                <w:rFonts w:ascii="Calibri" w:cs="Calibri" w:eastAsia="Calibri" w:hAnsi="Calibri"/>
                <w:sz w:val="11"/>
                <w:szCs w:val="11"/>
                <w:color w:val="51555C"/>
              </w:rPr>
              <w:t>Second Quarter 2024 Form 10-Q</w:t>
            </w:r>
          </w:p>
        </w:tc>
        <w:tc>
          <w:tcPr>
            <w:tcW w:w="860" w:type="dxa"/>
            <w:vAlign w:val="bottom"/>
          </w:tcPr>
          <w:p>
            <w:pPr>
              <w:jc w:val="right"/>
              <w:spacing w:after="0"/>
              <w:rPr>
                <w:sz w:val="20"/>
                <w:szCs w:val="20"/>
                <w:color w:val="auto"/>
              </w:rPr>
            </w:pPr>
            <w:r>
              <w:rPr>
                <w:rFonts w:ascii="Calibri" w:cs="Calibri" w:eastAsia="Calibri" w:hAnsi="Calibri"/>
                <w:sz w:val="11"/>
                <w:szCs w:val="11"/>
                <w:color w:val="51555C"/>
              </w:rPr>
              <w:t>1</w:t>
            </w:r>
          </w:p>
        </w:tc>
      </w:tr>
      <w:tr>
        <w:trPr>
          <w:trHeight w:val="281"/>
        </w:trPr>
        <w:tc>
          <w:tcPr>
            <w:tcW w:w="104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66" w:right="319" w:bottom="1440" w:gutter="0" w:footer="0" w:header="0"/>
          <w:type w:val="continuous"/>
        </w:sectPr>
      </w:pPr>
    </w:p>
    <w:bookmarkStart w:id="2" w:name="page3"/>
    <w:bookmarkEnd w:id="2"/>
    <w:p>
      <w:pPr>
        <w:spacing w:after="0"/>
        <w:rPr>
          <w:sz w:val="20"/>
          <w:szCs w:val="20"/>
          <w:color w:val="auto"/>
        </w:rPr>
      </w:pPr>
      <w:r>
        <w:rPr>
          <w:rFonts w:ascii="Calibri" w:cs="Calibri" w:eastAsia="Calibri" w:hAnsi="Calibri"/>
          <w:sz w:val="11"/>
          <w:szCs w:val="11"/>
          <w:u w:val="single" w:color="auto"/>
          <w:color w:val="7A04DD"/>
        </w:rPr>
        <w:t>Table of Contents</w:t>
      </w:r>
    </w:p>
    <w:p>
      <w:pPr>
        <w:spacing w:after="0" w:line="133" w:lineRule="exact"/>
        <w:rPr>
          <w:sz w:val="20"/>
          <w:szCs w:val="20"/>
          <w:color w:val="auto"/>
        </w:rPr>
      </w:pPr>
    </w:p>
    <w:p>
      <w:pPr>
        <w:jc w:val="center"/>
        <w:spacing w:after="0"/>
        <w:rPr>
          <w:sz w:val="20"/>
          <w:szCs w:val="20"/>
          <w:color w:val="auto"/>
        </w:rPr>
      </w:pPr>
      <w:r>
        <w:rPr>
          <w:rFonts w:ascii="Calibri" w:cs="Calibri" w:eastAsia="Calibri" w:hAnsi="Calibri"/>
          <w:sz w:val="14"/>
          <w:szCs w:val="14"/>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40"/>
        <w:spacing w:after="0"/>
        <w:rPr>
          <w:sz w:val="20"/>
          <w:szCs w:val="20"/>
          <w:color w:val="auto"/>
        </w:rPr>
      </w:pPr>
      <w:r>
        <w:rPr>
          <w:sz w:val="1"/>
          <w:szCs w:val="1"/>
          <w:color w:val="auto"/>
        </w:rPr>
        <w:drawing>
          <wp:inline distT="0" distB="0" distL="0" distR="0">
            <wp:extent cx="195580" cy="19558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5580" cy="195580"/>
                    </a:xfrm>
                    <a:prstGeom prst="rect">
                      <a:avLst/>
                    </a:prstGeom>
                    <a:noFill/>
                    <a:ln>
                      <a:noFill/>
                    </a:ln>
                  </pic:spPr>
                </pic:pic>
              </a:graphicData>
            </a:graphic>
          </wp:inline>
        </w:drawing>
      </w:r>
      <w:r>
        <w:rPr>
          <w:rFonts w:ascii="Calibri" w:cs="Calibri" w:eastAsia="Calibri" w:hAnsi="Calibri"/>
          <w:sz w:val="31"/>
          <w:szCs w:val="31"/>
          <w:b w:val="1"/>
          <w:bCs w:val="1"/>
          <w:color w:val="50535A"/>
        </w:rPr>
        <w:t xml:space="preserve"> CAUTIONARY STATEMENT REGARDING FORWARD-LOOKING STATEMENTS</w:t>
      </w:r>
    </w:p>
    <w:p>
      <w:pPr>
        <w:spacing w:after="0" w:line="246" w:lineRule="exact"/>
        <w:rPr>
          <w:sz w:val="20"/>
          <w:szCs w:val="20"/>
          <w:color w:val="auto"/>
        </w:rPr>
      </w:pPr>
    </w:p>
    <w:p>
      <w:pPr>
        <w:jc w:val="both"/>
        <w:spacing w:after="0" w:line="238" w:lineRule="auto"/>
        <w:rPr>
          <w:sz w:val="20"/>
          <w:szCs w:val="20"/>
          <w:color w:val="auto"/>
        </w:rPr>
      </w:pPr>
      <w:r>
        <w:rPr>
          <w:rFonts w:ascii="Calibri" w:cs="Calibri" w:eastAsia="Calibri" w:hAnsi="Calibri"/>
          <w:sz w:val="14"/>
          <w:szCs w:val="14"/>
          <w:color w:val="51555C"/>
        </w:rPr>
        <w:t>This Quarterly Report on Form 10-Q, including the documents incorporated herein by reference, contains forward-looking statements that antcipate results based on our estmates, assumptons and plans that are subject to uncertainty. These "forward-looking statements" are made subject to the safe-harbor provisions of the Private Securites Litgaton Reform Act of 1995, Secton 27A of the Securites Act of 1933, as amended, and Secton 21E of the Securites Exchange Act of 1934, as amended. Forward-looking statements consist of, among other things, trend analyses, statements regarding future events, future fnancial performance, our antcipated growth, the efect of general economic and market conditons, our business strategy and our plan to build and grow our business, our operatng results, our ability to successfully integrate acquired businesses and technologies, the efect of foreign currency exchange rate and interest rate fuctuatons on our fnancial results, the impact of expensing stock-based compensaton, the sufciency of our capital resources, our ability to meet our ongoing debt and obligatons as they become due, cybersecurity and data protecton risks and related liabilites, and current or potental legal proceedings involving us, all of which are based on current expectatons, estmates, and forecasts, and the beliefs and assumptons of our management. Words such as “believes,” “seeks,” “expects,” “may,” “might,” “should,” “intends,” “could,” “would,” “likely,” “will,” “targets,” “plans,” “antcipates,” “aims,” “projects,” “estmates” or any variatons of such words and similar expressions are also intended to identfy such forward-looking statements. These forward-looking statements are subject to risks, uncertaintes and assumptons that are difcult to predict. Accordingly, they should not be viewed as assurances of future performance, and actual results may difer materially and adversely from those expressed in any forward-looking statements.</w:t>
      </w:r>
    </w:p>
    <w:p>
      <w:pPr>
        <w:spacing w:after="0" w:line="130" w:lineRule="exact"/>
        <w:rPr>
          <w:sz w:val="20"/>
          <w:szCs w:val="20"/>
          <w:color w:val="auto"/>
        </w:rPr>
      </w:pPr>
    </w:p>
    <w:p>
      <w:pPr>
        <w:jc w:val="both"/>
        <w:spacing w:after="0" w:line="237" w:lineRule="auto"/>
        <w:rPr>
          <w:sz w:val="20"/>
          <w:szCs w:val="20"/>
          <w:color w:val="auto"/>
        </w:rPr>
      </w:pPr>
      <w:r>
        <w:rPr>
          <w:rFonts w:ascii="Calibri" w:cs="Calibri" w:eastAsia="Calibri" w:hAnsi="Calibri"/>
          <w:sz w:val="14"/>
          <w:szCs w:val="14"/>
          <w:color w:val="51555C"/>
        </w:rPr>
        <w:t>Important factors that could cause actual results to difer materially from our expectatons expressed in forward-looking statements include, but are not limited to, those summarized under “Part II, Item 1A. Risk factors” and elsewhere in this report, in our Annual Report on Form 10-K for the year ended December 31, 2023 and in our other flings made with the United States Securites &amp; Exchange Commission ("SEC"). Forward-looking statements represent our management's beliefs and assumptons only as of the date of this Quarterly Report on Form 10-Q. We undertake no obligaton to update or revise any forward-looking statements, or to update the reasons actual results could difer materially from those antcipated in any forward-looking statement, whether as a result of new informaton, future events or otherwise.</w:t>
      </w:r>
    </w:p>
    <w:p>
      <w:pPr>
        <w:spacing w:after="0" w:line="269" w:lineRule="exact"/>
        <w:rPr>
          <w:sz w:val="20"/>
          <w:szCs w:val="20"/>
          <w:color w:val="auto"/>
        </w:rPr>
      </w:pPr>
    </w:p>
    <w:p>
      <w:pPr>
        <w:ind w:left="20"/>
        <w:spacing w:after="0"/>
        <w:tabs>
          <w:tab w:leader="none" w:pos="377" w:val="left"/>
        </w:tabs>
        <w:rPr>
          <w:sz w:val="20"/>
          <w:szCs w:val="20"/>
          <w:color w:val="auto"/>
        </w:rPr>
      </w:pPr>
      <w:r>
        <w:rPr>
          <w:rFonts w:ascii="Calibri" w:cs="Calibri" w:eastAsia="Calibri" w:hAnsi="Calibri"/>
          <w:sz w:val="11"/>
          <w:szCs w:val="11"/>
          <w:color w:val="51555C"/>
        </w:rPr>
        <w:t>2</w:t>
      </w:r>
      <w:r>
        <w:rPr>
          <w:sz w:val="20"/>
          <w:szCs w:val="20"/>
          <w:color w:val="auto"/>
        </w:rPr>
        <w:tab/>
      </w:r>
      <w:r>
        <w:rPr>
          <w:sz w:val="1"/>
          <w:szCs w:val="1"/>
          <w:color w:val="auto"/>
        </w:rPr>
        <w:drawing>
          <wp:inline distT="0" distB="0" distL="0" distR="0">
            <wp:extent cx="532130" cy="13462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2130" cy="134620"/>
                    </a:xfrm>
                    <a:prstGeom prst="rect">
                      <a:avLst/>
                    </a:prstGeom>
                    <a:noFill/>
                    <a:ln>
                      <a:noFill/>
                    </a:ln>
                  </pic:spPr>
                </pic:pic>
              </a:graphicData>
            </a:graphic>
          </wp:inline>
        </w:drawing>
      </w:r>
      <w:r>
        <w:rPr>
          <w:rFonts w:ascii="Calibri" w:cs="Calibri" w:eastAsia="Calibri" w:hAnsi="Calibri"/>
          <w:sz w:val="11"/>
          <w:szCs w:val="11"/>
          <w:color w:val="51555C"/>
        </w:rPr>
        <w:t xml:space="preserve">       Second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135255</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3" w:name="page4"/>
    <w:bookmarkEnd w:id="3"/>
    <w:p>
      <w:pPr>
        <w:ind w:left="680"/>
        <w:spacing w:after="0"/>
        <w:rPr>
          <w:sz w:val="20"/>
          <w:szCs w:val="20"/>
          <w:color w:val="auto"/>
        </w:rPr>
      </w:pPr>
      <w:r>
        <w:rPr>
          <w:rFonts w:ascii="Calibri" w:cs="Calibri" w:eastAsia="Calibri" w:hAnsi="Calibri"/>
          <w:sz w:val="31"/>
          <w:szCs w:val="31"/>
          <w:b w:val="1"/>
          <w:bCs w:val="1"/>
          <w:color w:val="50535A"/>
        </w:rPr>
        <w:t>PART I.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-222885</wp:posOffset>
            </wp:positionV>
            <wp:extent cx="195580" cy="195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5580" cy="195580"/>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Calibri" w:cs="Calibri" w:eastAsia="Calibri" w:hAnsi="Calibri"/>
          <w:sz w:val="23"/>
          <w:szCs w:val="23"/>
          <w:b w:val="1"/>
          <w:bCs w:val="1"/>
          <w:color w:val="004054"/>
        </w:rPr>
        <w:t>ITEM 1. FINANCIAL STATEMENTS</w:t>
      </w:r>
    </w:p>
    <w:p>
      <w:pPr>
        <w:spacing w:after="0" w:line="168" w:lineRule="exact"/>
        <w:rPr>
          <w:sz w:val="20"/>
          <w:szCs w:val="20"/>
          <w:color w:val="auto"/>
        </w:rPr>
      </w:pPr>
    </w:p>
    <w:p>
      <w:pPr>
        <w:jc w:val="center"/>
        <w:ind w:right="20"/>
        <w:spacing w:after="0"/>
        <w:rPr>
          <w:sz w:val="20"/>
          <w:szCs w:val="20"/>
          <w:color w:val="auto"/>
        </w:rPr>
      </w:pPr>
      <w:r>
        <w:rPr>
          <w:rFonts w:ascii="Calibri" w:cs="Calibri" w:eastAsia="Calibri" w:hAnsi="Calibri"/>
          <w:sz w:val="14"/>
          <w:szCs w:val="14"/>
          <w:b w:val="1"/>
          <w:bCs w:val="1"/>
          <w:color w:val="51555C"/>
        </w:rPr>
        <w:t>Blackbaud, Inc.</w:t>
      </w:r>
    </w:p>
    <w:p>
      <w:pPr>
        <w:jc w:val="center"/>
        <w:ind w:right="20"/>
        <w:spacing w:after="0" w:line="238" w:lineRule="auto"/>
        <w:rPr>
          <w:sz w:val="20"/>
          <w:szCs w:val="20"/>
          <w:color w:val="auto"/>
        </w:rPr>
      </w:pPr>
      <w:r>
        <w:rPr>
          <w:rFonts w:ascii="Calibri" w:cs="Calibri" w:eastAsia="Calibri" w:hAnsi="Calibri"/>
          <w:sz w:val="14"/>
          <w:szCs w:val="14"/>
          <w:b w:val="1"/>
          <w:bCs w:val="1"/>
          <w:color w:val="51555C"/>
        </w:rPr>
        <w:t>Condensed Consolidated Balance Sheets</w:t>
      </w:r>
    </w:p>
    <w:p>
      <w:pPr>
        <w:jc w:val="center"/>
        <w:ind w:right="20"/>
        <w:spacing w:after="0"/>
        <w:rPr>
          <w:sz w:val="20"/>
          <w:szCs w:val="20"/>
          <w:color w:val="auto"/>
        </w:rPr>
      </w:pPr>
      <w:r>
        <w:rPr>
          <w:rFonts w:ascii="Calibri" w:cs="Calibri" w:eastAsia="Calibri" w:hAnsi="Calibri"/>
          <w:sz w:val="14"/>
          <w:szCs w:val="14"/>
          <w:b w:val="1"/>
          <w:bCs w:val="1"/>
          <w:color w:val="51555C"/>
        </w:rPr>
        <w:t>(Unaudited)</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8000" w:type="dxa"/>
            <w:vAlign w:val="bottom"/>
            <w:shd w:val="clear" w:color="auto" w:fill="004054"/>
          </w:tcPr>
          <w:p>
            <w:pPr>
              <w:spacing w:after="0"/>
              <w:rPr>
                <w:sz w:val="12"/>
                <w:szCs w:val="12"/>
                <w:color w:val="auto"/>
              </w:rPr>
            </w:pPr>
          </w:p>
        </w:tc>
        <w:tc>
          <w:tcPr>
            <w:tcW w:w="120" w:type="dxa"/>
            <w:vAlign w:val="bottom"/>
            <w:shd w:val="clear" w:color="auto" w:fill="004054"/>
          </w:tcPr>
          <w:p>
            <w:pPr>
              <w:spacing w:after="0"/>
              <w:rPr>
                <w:sz w:val="12"/>
                <w:szCs w:val="12"/>
                <w:color w:val="auto"/>
              </w:rPr>
            </w:pPr>
          </w:p>
        </w:tc>
        <w:tc>
          <w:tcPr>
            <w:tcW w:w="150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June 30,</w:t>
            </w:r>
          </w:p>
        </w:tc>
        <w:tc>
          <w:tcPr>
            <w:tcW w:w="540" w:type="dxa"/>
            <w:vAlign w:val="bottom"/>
            <w:shd w:val="clear" w:color="auto" w:fill="004054"/>
          </w:tcPr>
          <w:p>
            <w:pPr>
              <w:spacing w:after="0"/>
              <w:rPr>
                <w:sz w:val="12"/>
                <w:szCs w:val="12"/>
                <w:color w:val="auto"/>
              </w:rPr>
            </w:pPr>
          </w:p>
        </w:tc>
        <w:tc>
          <w:tcPr>
            <w:tcW w:w="110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December 31,</w:t>
            </w:r>
          </w:p>
        </w:tc>
        <w:tc>
          <w:tcPr>
            <w:tcW w:w="20" w:type="dxa"/>
            <w:vAlign w:val="bottom"/>
            <w:shd w:val="clear" w:color="auto" w:fill="004054"/>
          </w:tcPr>
          <w:p>
            <w:pPr>
              <w:spacing w:after="0"/>
              <w:rPr>
                <w:sz w:val="12"/>
                <w:szCs w:val="12"/>
                <w:color w:val="auto"/>
              </w:rPr>
            </w:pPr>
          </w:p>
        </w:tc>
      </w:tr>
      <w:tr>
        <w:trPr>
          <w:trHeight w:val="172"/>
        </w:trPr>
        <w:tc>
          <w:tcPr>
            <w:tcW w:w="8000" w:type="dxa"/>
            <w:vAlign w:val="bottom"/>
            <w:tcBorders>
              <w:bottom w:val="single" w:sz="8" w:color="004054"/>
            </w:tcBorders>
            <w:shd w:val="clear" w:color="auto" w:fill="004054"/>
          </w:tcPr>
          <w:p>
            <w:pPr>
              <w:ind w:left="20"/>
              <w:spacing w:after="0"/>
              <w:rPr>
                <w:sz w:val="20"/>
                <w:szCs w:val="20"/>
                <w:color w:val="auto"/>
              </w:rPr>
            </w:pPr>
            <w:r>
              <w:rPr>
                <w:rFonts w:ascii="Calibri" w:cs="Calibri" w:eastAsia="Calibri" w:hAnsi="Calibri"/>
                <w:sz w:val="11"/>
                <w:szCs w:val="11"/>
                <w:b w:val="1"/>
                <w:bCs w:val="1"/>
                <w:color w:val="FFFFFF"/>
              </w:rPr>
              <w:t>(dollars in thousands, except per share amounts)</w:t>
            </w:r>
          </w:p>
        </w:tc>
        <w:tc>
          <w:tcPr>
            <w:tcW w:w="120" w:type="dxa"/>
            <w:vAlign w:val="bottom"/>
            <w:tcBorders>
              <w:bottom w:val="single" w:sz="8" w:color="004054"/>
            </w:tcBorders>
            <w:shd w:val="clear" w:color="auto" w:fill="004054"/>
          </w:tcPr>
          <w:p>
            <w:pPr>
              <w:spacing w:after="0"/>
              <w:rPr>
                <w:sz w:val="14"/>
                <w:szCs w:val="14"/>
                <w:color w:val="auto"/>
              </w:rPr>
            </w:pPr>
          </w:p>
        </w:tc>
        <w:tc>
          <w:tcPr>
            <w:tcW w:w="1500" w:type="dxa"/>
            <w:vAlign w:val="bottom"/>
            <w:tcBorders>
              <w:bottom w:val="single" w:sz="8" w:color="004054"/>
            </w:tcBorders>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2024</w:t>
            </w:r>
          </w:p>
        </w:tc>
        <w:tc>
          <w:tcPr>
            <w:tcW w:w="540" w:type="dxa"/>
            <w:vAlign w:val="bottom"/>
            <w:tcBorders>
              <w:bottom w:val="single" w:sz="8" w:color="004054"/>
            </w:tcBorders>
            <w:shd w:val="clear" w:color="auto" w:fill="004054"/>
          </w:tcPr>
          <w:p>
            <w:pPr>
              <w:spacing w:after="0"/>
              <w:rPr>
                <w:sz w:val="14"/>
                <w:szCs w:val="14"/>
                <w:color w:val="auto"/>
              </w:rPr>
            </w:pPr>
          </w:p>
        </w:tc>
        <w:tc>
          <w:tcPr>
            <w:tcW w:w="1100" w:type="dxa"/>
            <w:vAlign w:val="bottom"/>
            <w:tcBorders>
              <w:bottom w:val="single" w:sz="8" w:color="004054"/>
            </w:tcBorders>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2023</w:t>
            </w:r>
          </w:p>
        </w:tc>
        <w:tc>
          <w:tcPr>
            <w:tcW w:w="20" w:type="dxa"/>
            <w:vAlign w:val="bottom"/>
            <w:tcBorders>
              <w:bottom w:val="single" w:sz="8" w:color="004054"/>
            </w:tcBorders>
            <w:shd w:val="clear" w:color="auto" w:fill="004054"/>
          </w:tcPr>
          <w:p>
            <w:pPr>
              <w:spacing w:after="0"/>
              <w:rPr>
                <w:sz w:val="14"/>
                <w:szCs w:val="14"/>
                <w:color w:val="auto"/>
              </w:rPr>
            </w:pPr>
          </w:p>
        </w:tc>
      </w:tr>
      <w:tr>
        <w:trPr>
          <w:trHeight w:val="171"/>
        </w:trPr>
        <w:tc>
          <w:tcPr>
            <w:tcW w:w="8000" w:type="dxa"/>
            <w:vAlign w:val="bottom"/>
            <w:tcBorders>
              <w:bottom w:val="single" w:sz="8" w:color="EBFBFF"/>
            </w:tcBorders>
            <w:shd w:val="clear" w:color="auto" w:fill="EBFBFF"/>
          </w:tcPr>
          <w:p>
            <w:pPr>
              <w:ind w:left="20"/>
              <w:spacing w:after="0" w:line="157" w:lineRule="exact"/>
              <w:rPr>
                <w:sz w:val="20"/>
                <w:szCs w:val="20"/>
                <w:color w:val="auto"/>
              </w:rPr>
            </w:pPr>
            <w:r>
              <w:rPr>
                <w:rFonts w:ascii="Calibri" w:cs="Calibri" w:eastAsia="Calibri" w:hAnsi="Calibri"/>
                <w:sz w:val="13"/>
                <w:szCs w:val="13"/>
                <w:b w:val="1"/>
                <w:bCs w:val="1"/>
                <w:color w:val="51555C"/>
              </w:rPr>
              <w:t>Assets</w:t>
            </w:r>
          </w:p>
        </w:tc>
        <w:tc>
          <w:tcPr>
            <w:tcW w:w="120" w:type="dxa"/>
            <w:vAlign w:val="bottom"/>
            <w:tcBorders>
              <w:bottom w:val="single" w:sz="8" w:color="EBFBFF"/>
            </w:tcBorders>
            <w:shd w:val="clear" w:color="auto" w:fill="EBFBFF"/>
          </w:tcPr>
          <w:p>
            <w:pPr>
              <w:spacing w:after="0"/>
              <w:rPr>
                <w:sz w:val="14"/>
                <w:szCs w:val="14"/>
                <w:color w:val="auto"/>
              </w:rPr>
            </w:pPr>
          </w:p>
        </w:tc>
        <w:tc>
          <w:tcPr>
            <w:tcW w:w="1500" w:type="dxa"/>
            <w:vAlign w:val="bottom"/>
            <w:tcBorders>
              <w:bottom w:val="single" w:sz="8" w:color="EBFBFF"/>
            </w:tcBorders>
            <w:shd w:val="clear" w:color="auto" w:fill="EBFBFF"/>
          </w:tcPr>
          <w:p>
            <w:pPr>
              <w:spacing w:after="0"/>
              <w:rPr>
                <w:sz w:val="14"/>
                <w:szCs w:val="14"/>
                <w:color w:val="auto"/>
              </w:rPr>
            </w:pPr>
          </w:p>
        </w:tc>
        <w:tc>
          <w:tcPr>
            <w:tcW w:w="540" w:type="dxa"/>
            <w:vAlign w:val="bottom"/>
            <w:tcBorders>
              <w:bottom w:val="single" w:sz="8" w:color="EBFBFF"/>
            </w:tcBorders>
            <w:shd w:val="clear" w:color="auto" w:fill="EBFBFF"/>
          </w:tcPr>
          <w:p>
            <w:pPr>
              <w:spacing w:after="0"/>
              <w:rPr>
                <w:sz w:val="14"/>
                <w:szCs w:val="14"/>
                <w:color w:val="auto"/>
              </w:rPr>
            </w:pPr>
          </w:p>
        </w:tc>
        <w:tc>
          <w:tcPr>
            <w:tcW w:w="1100" w:type="dxa"/>
            <w:vAlign w:val="bottom"/>
            <w:tcBorders>
              <w:bottom w:val="single" w:sz="8" w:color="EBFBFF"/>
            </w:tcBorders>
            <w:shd w:val="clear" w:color="auto" w:fill="EBFBFF"/>
          </w:tcPr>
          <w:p>
            <w:pPr>
              <w:spacing w:after="0"/>
              <w:rPr>
                <w:sz w:val="14"/>
                <w:szCs w:val="14"/>
                <w:color w:val="auto"/>
              </w:rPr>
            </w:pPr>
          </w:p>
        </w:tc>
        <w:tc>
          <w:tcPr>
            <w:tcW w:w="20" w:type="dxa"/>
            <w:vAlign w:val="bottom"/>
          </w:tcPr>
          <w:p>
            <w:pPr>
              <w:spacing w:after="0"/>
              <w:rPr>
                <w:sz w:val="14"/>
                <w:szCs w:val="14"/>
                <w:color w:val="auto"/>
              </w:rPr>
            </w:pPr>
          </w:p>
        </w:tc>
      </w:tr>
      <w:tr>
        <w:trPr>
          <w:trHeight w:val="157"/>
        </w:trPr>
        <w:tc>
          <w:tcPr>
            <w:tcW w:w="8000" w:type="dxa"/>
            <w:vAlign w:val="bottom"/>
          </w:tcPr>
          <w:p>
            <w:pPr>
              <w:ind w:left="180"/>
              <w:spacing w:after="0" w:line="157" w:lineRule="exact"/>
              <w:rPr>
                <w:sz w:val="20"/>
                <w:szCs w:val="20"/>
                <w:color w:val="auto"/>
              </w:rPr>
            </w:pPr>
            <w:r>
              <w:rPr>
                <w:rFonts w:ascii="Calibri" w:cs="Calibri" w:eastAsia="Calibri" w:hAnsi="Calibri"/>
                <w:sz w:val="13"/>
                <w:szCs w:val="13"/>
                <w:color w:val="51555C"/>
              </w:rPr>
              <w:t>Current assets:</w:t>
            </w: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71"/>
        </w:trPr>
        <w:tc>
          <w:tcPr>
            <w:tcW w:w="8000" w:type="dxa"/>
            <w:vAlign w:val="bottom"/>
            <w:tcBorders>
              <w:bottom w:val="single" w:sz="8" w:color="EBFBFF"/>
            </w:tcBorders>
            <w:shd w:val="clear" w:color="auto" w:fill="EBFBFF"/>
          </w:tcPr>
          <w:p>
            <w:pPr>
              <w:ind w:left="360"/>
              <w:spacing w:after="0" w:line="157" w:lineRule="exact"/>
              <w:rPr>
                <w:sz w:val="20"/>
                <w:szCs w:val="20"/>
                <w:color w:val="auto"/>
              </w:rPr>
            </w:pPr>
            <w:r>
              <w:rPr>
                <w:rFonts w:ascii="Calibri" w:cs="Calibri" w:eastAsia="Calibri" w:hAnsi="Calibri"/>
                <w:sz w:val="13"/>
                <w:szCs w:val="13"/>
                <w:color w:val="51555C"/>
              </w:rPr>
              <w:t>Cash and cash equivalents</w:t>
            </w:r>
          </w:p>
        </w:tc>
        <w:tc>
          <w:tcPr>
            <w:tcW w:w="12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w w:val="90"/>
              </w:rPr>
              <w:t>$</w:t>
            </w:r>
          </w:p>
        </w:tc>
        <w:tc>
          <w:tcPr>
            <w:tcW w:w="150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30,438</w:t>
            </w:r>
          </w:p>
        </w:tc>
        <w:tc>
          <w:tcPr>
            <w:tcW w:w="540" w:type="dxa"/>
            <w:vAlign w:val="bottom"/>
            <w:tcBorders>
              <w:bottom w:val="single" w:sz="8" w:color="EBFBFF"/>
            </w:tcBorders>
            <w:shd w:val="clear" w:color="auto" w:fill="EBFBFF"/>
          </w:tcPr>
          <w:p>
            <w:pPr>
              <w:jc w:val="right"/>
              <w:ind w:right="396"/>
              <w:spacing w:after="0" w:line="157" w:lineRule="exact"/>
              <w:rPr>
                <w:sz w:val="20"/>
                <w:szCs w:val="20"/>
                <w:color w:val="auto"/>
              </w:rPr>
            </w:pPr>
            <w:r>
              <w:rPr>
                <w:rFonts w:ascii="Calibri" w:cs="Calibri" w:eastAsia="Calibri" w:hAnsi="Calibri"/>
                <w:sz w:val="13"/>
                <w:szCs w:val="13"/>
                <w:color w:val="51555C"/>
                <w:w w:val="90"/>
              </w:rPr>
              <w:t>$</w:t>
            </w:r>
          </w:p>
        </w:tc>
        <w:tc>
          <w:tcPr>
            <w:tcW w:w="110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31,251</w:t>
            </w:r>
          </w:p>
        </w:tc>
        <w:tc>
          <w:tcPr>
            <w:tcW w:w="20" w:type="dxa"/>
            <w:vAlign w:val="bottom"/>
          </w:tcPr>
          <w:p>
            <w:pPr>
              <w:spacing w:after="0"/>
              <w:rPr>
                <w:sz w:val="14"/>
                <w:szCs w:val="14"/>
                <w:color w:val="auto"/>
              </w:rPr>
            </w:pPr>
          </w:p>
        </w:tc>
      </w:tr>
      <w:tr>
        <w:trPr>
          <w:trHeight w:val="157"/>
        </w:trPr>
        <w:tc>
          <w:tcPr>
            <w:tcW w:w="8000" w:type="dxa"/>
            <w:vAlign w:val="bottom"/>
          </w:tcPr>
          <w:p>
            <w:pPr>
              <w:ind w:left="360"/>
              <w:spacing w:after="0" w:line="157" w:lineRule="exact"/>
              <w:rPr>
                <w:sz w:val="20"/>
                <w:szCs w:val="20"/>
                <w:color w:val="auto"/>
              </w:rPr>
            </w:pPr>
            <w:r>
              <w:rPr>
                <w:rFonts w:ascii="Calibri" w:cs="Calibri" w:eastAsia="Calibri" w:hAnsi="Calibri"/>
                <w:sz w:val="13"/>
                <w:szCs w:val="13"/>
                <w:color w:val="51555C"/>
              </w:rPr>
              <w:t>Restricted cash</w:t>
            </w:r>
          </w:p>
        </w:tc>
        <w:tc>
          <w:tcPr>
            <w:tcW w:w="120" w:type="dxa"/>
            <w:vAlign w:val="bottom"/>
          </w:tcPr>
          <w:p>
            <w:pPr>
              <w:spacing w:after="0"/>
              <w:rPr>
                <w:sz w:val="13"/>
                <w:szCs w:val="13"/>
                <w:color w:val="auto"/>
              </w:rPr>
            </w:pPr>
          </w:p>
        </w:tc>
        <w:tc>
          <w:tcPr>
            <w:tcW w:w="1500" w:type="dxa"/>
            <w:vAlign w:val="bottom"/>
          </w:tcPr>
          <w:p>
            <w:pPr>
              <w:jc w:val="right"/>
              <w:spacing w:after="0" w:line="157" w:lineRule="exact"/>
              <w:rPr>
                <w:sz w:val="20"/>
                <w:szCs w:val="20"/>
                <w:color w:val="auto"/>
              </w:rPr>
            </w:pPr>
            <w:r>
              <w:rPr>
                <w:rFonts w:ascii="Calibri" w:cs="Calibri" w:eastAsia="Calibri" w:hAnsi="Calibri"/>
                <w:sz w:val="13"/>
                <w:szCs w:val="13"/>
                <w:color w:val="51555C"/>
              </w:rPr>
              <w:t>800,670</w:t>
            </w:r>
          </w:p>
        </w:tc>
        <w:tc>
          <w:tcPr>
            <w:tcW w:w="540" w:type="dxa"/>
            <w:vAlign w:val="bottom"/>
          </w:tcPr>
          <w:p>
            <w:pPr>
              <w:spacing w:after="0"/>
              <w:rPr>
                <w:sz w:val="13"/>
                <w:szCs w:val="13"/>
                <w:color w:val="auto"/>
              </w:rPr>
            </w:pPr>
          </w:p>
        </w:tc>
        <w:tc>
          <w:tcPr>
            <w:tcW w:w="1100" w:type="dxa"/>
            <w:vAlign w:val="bottom"/>
          </w:tcPr>
          <w:p>
            <w:pPr>
              <w:jc w:val="right"/>
              <w:spacing w:after="0" w:line="157" w:lineRule="exact"/>
              <w:rPr>
                <w:sz w:val="20"/>
                <w:szCs w:val="20"/>
                <w:color w:val="auto"/>
              </w:rPr>
            </w:pPr>
            <w:r>
              <w:rPr>
                <w:rFonts w:ascii="Calibri" w:cs="Calibri" w:eastAsia="Calibri" w:hAnsi="Calibri"/>
                <w:sz w:val="13"/>
                <w:szCs w:val="13"/>
                <w:color w:val="51555C"/>
              </w:rPr>
              <w:t>697,006</w:t>
            </w:r>
          </w:p>
        </w:tc>
        <w:tc>
          <w:tcPr>
            <w:tcW w:w="20" w:type="dxa"/>
            <w:vAlign w:val="bottom"/>
          </w:tcPr>
          <w:p>
            <w:pPr>
              <w:spacing w:after="0"/>
              <w:rPr>
                <w:sz w:val="13"/>
                <w:szCs w:val="13"/>
                <w:color w:val="auto"/>
              </w:rPr>
            </w:pPr>
          </w:p>
        </w:tc>
      </w:tr>
      <w:tr>
        <w:trPr>
          <w:trHeight w:val="34"/>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71"/>
        </w:trPr>
        <w:tc>
          <w:tcPr>
            <w:tcW w:w="8000" w:type="dxa"/>
            <w:vAlign w:val="bottom"/>
            <w:tcBorders>
              <w:bottom w:val="single" w:sz="8" w:color="EBFBFF"/>
            </w:tcBorders>
            <w:shd w:val="clear" w:color="auto" w:fill="EBFBFF"/>
          </w:tcPr>
          <w:p>
            <w:pPr>
              <w:ind w:left="360"/>
              <w:spacing w:after="0" w:line="157" w:lineRule="exact"/>
              <w:rPr>
                <w:sz w:val="20"/>
                <w:szCs w:val="20"/>
                <w:color w:val="auto"/>
              </w:rPr>
            </w:pPr>
            <w:r>
              <w:rPr>
                <w:rFonts w:ascii="Calibri" w:cs="Calibri" w:eastAsia="Calibri" w:hAnsi="Calibri"/>
                <w:sz w:val="13"/>
                <w:szCs w:val="13"/>
                <w:color w:val="51555C"/>
              </w:rPr>
              <w:t>Accounts receivable, net of allowance of $6,006 and $6,907 at June 30, 2024 and December 31, 2023, respectvely</w:t>
            </w:r>
          </w:p>
        </w:tc>
        <w:tc>
          <w:tcPr>
            <w:tcW w:w="120" w:type="dxa"/>
            <w:vAlign w:val="bottom"/>
            <w:tcBorders>
              <w:bottom w:val="single" w:sz="8" w:color="EBFBFF"/>
            </w:tcBorders>
            <w:shd w:val="clear" w:color="auto" w:fill="EBFBFF"/>
          </w:tcPr>
          <w:p>
            <w:pPr>
              <w:spacing w:after="0"/>
              <w:rPr>
                <w:sz w:val="14"/>
                <w:szCs w:val="14"/>
                <w:color w:val="auto"/>
              </w:rPr>
            </w:pPr>
          </w:p>
        </w:tc>
        <w:tc>
          <w:tcPr>
            <w:tcW w:w="150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152,832</w:t>
            </w:r>
          </w:p>
        </w:tc>
        <w:tc>
          <w:tcPr>
            <w:tcW w:w="540" w:type="dxa"/>
            <w:vAlign w:val="bottom"/>
            <w:tcBorders>
              <w:bottom w:val="single" w:sz="8" w:color="EBFBFF"/>
            </w:tcBorders>
            <w:shd w:val="clear" w:color="auto" w:fill="EBFBFF"/>
          </w:tcPr>
          <w:p>
            <w:pPr>
              <w:spacing w:after="0"/>
              <w:rPr>
                <w:sz w:val="14"/>
                <w:szCs w:val="14"/>
                <w:color w:val="auto"/>
              </w:rPr>
            </w:pPr>
          </w:p>
        </w:tc>
        <w:tc>
          <w:tcPr>
            <w:tcW w:w="110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101,862</w:t>
            </w:r>
          </w:p>
        </w:tc>
        <w:tc>
          <w:tcPr>
            <w:tcW w:w="20" w:type="dxa"/>
            <w:vAlign w:val="bottom"/>
          </w:tcPr>
          <w:p>
            <w:pPr>
              <w:spacing w:after="0"/>
              <w:rPr>
                <w:sz w:val="14"/>
                <w:szCs w:val="14"/>
                <w:color w:val="auto"/>
              </w:rPr>
            </w:pPr>
          </w:p>
        </w:tc>
      </w:tr>
      <w:tr>
        <w:trPr>
          <w:trHeight w:val="157"/>
        </w:trPr>
        <w:tc>
          <w:tcPr>
            <w:tcW w:w="8000" w:type="dxa"/>
            <w:vAlign w:val="bottom"/>
          </w:tcPr>
          <w:p>
            <w:pPr>
              <w:ind w:left="360"/>
              <w:spacing w:after="0" w:line="157" w:lineRule="exact"/>
              <w:rPr>
                <w:sz w:val="20"/>
                <w:szCs w:val="20"/>
                <w:color w:val="auto"/>
              </w:rPr>
            </w:pPr>
            <w:r>
              <w:rPr>
                <w:rFonts w:ascii="Calibri" w:cs="Calibri" w:eastAsia="Calibri" w:hAnsi="Calibri"/>
                <w:sz w:val="13"/>
                <w:szCs w:val="13"/>
                <w:color w:val="51555C"/>
              </w:rPr>
              <w:t>Customer funds receivable</w:t>
            </w:r>
          </w:p>
        </w:tc>
        <w:tc>
          <w:tcPr>
            <w:tcW w:w="120" w:type="dxa"/>
            <w:vAlign w:val="bottom"/>
          </w:tcPr>
          <w:p>
            <w:pPr>
              <w:spacing w:after="0"/>
              <w:rPr>
                <w:sz w:val="13"/>
                <w:szCs w:val="13"/>
                <w:color w:val="auto"/>
              </w:rPr>
            </w:pPr>
          </w:p>
        </w:tc>
        <w:tc>
          <w:tcPr>
            <w:tcW w:w="1500" w:type="dxa"/>
            <w:vAlign w:val="bottom"/>
          </w:tcPr>
          <w:p>
            <w:pPr>
              <w:jc w:val="right"/>
              <w:spacing w:after="0" w:line="157" w:lineRule="exact"/>
              <w:rPr>
                <w:sz w:val="20"/>
                <w:szCs w:val="20"/>
                <w:color w:val="auto"/>
              </w:rPr>
            </w:pPr>
            <w:r>
              <w:rPr>
                <w:rFonts w:ascii="Calibri" w:cs="Calibri" w:eastAsia="Calibri" w:hAnsi="Calibri"/>
                <w:sz w:val="13"/>
                <w:szCs w:val="13"/>
                <w:color w:val="51555C"/>
              </w:rPr>
              <w:t>2,943</w:t>
            </w:r>
          </w:p>
        </w:tc>
        <w:tc>
          <w:tcPr>
            <w:tcW w:w="540" w:type="dxa"/>
            <w:vAlign w:val="bottom"/>
          </w:tcPr>
          <w:p>
            <w:pPr>
              <w:spacing w:after="0"/>
              <w:rPr>
                <w:sz w:val="13"/>
                <w:szCs w:val="13"/>
                <w:color w:val="auto"/>
              </w:rPr>
            </w:pPr>
          </w:p>
        </w:tc>
        <w:tc>
          <w:tcPr>
            <w:tcW w:w="1100" w:type="dxa"/>
            <w:vAlign w:val="bottom"/>
          </w:tcPr>
          <w:p>
            <w:pPr>
              <w:jc w:val="right"/>
              <w:spacing w:after="0" w:line="157" w:lineRule="exact"/>
              <w:rPr>
                <w:sz w:val="20"/>
                <w:szCs w:val="20"/>
                <w:color w:val="auto"/>
              </w:rPr>
            </w:pPr>
            <w:r>
              <w:rPr>
                <w:rFonts w:ascii="Calibri" w:cs="Calibri" w:eastAsia="Calibri" w:hAnsi="Calibri"/>
                <w:sz w:val="13"/>
                <w:szCs w:val="13"/>
                <w:color w:val="51555C"/>
              </w:rPr>
              <w:t>353</w:t>
            </w:r>
          </w:p>
        </w:tc>
        <w:tc>
          <w:tcPr>
            <w:tcW w:w="20" w:type="dxa"/>
            <w:vAlign w:val="bottom"/>
          </w:tcPr>
          <w:p>
            <w:pPr>
              <w:spacing w:after="0"/>
              <w:rPr>
                <w:sz w:val="13"/>
                <w:szCs w:val="13"/>
                <w:color w:val="auto"/>
              </w:rPr>
            </w:pPr>
          </w:p>
        </w:tc>
      </w:tr>
      <w:tr>
        <w:trPr>
          <w:trHeight w:val="34"/>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1"/>
        </w:trPr>
        <w:tc>
          <w:tcPr>
            <w:tcW w:w="8000" w:type="dxa"/>
            <w:vAlign w:val="bottom"/>
            <w:tcBorders>
              <w:bottom w:val="single" w:sz="8" w:color="EBFBFF"/>
            </w:tcBorders>
            <w:shd w:val="clear" w:color="auto" w:fill="EBFBFF"/>
          </w:tcPr>
          <w:p>
            <w:pPr>
              <w:ind w:left="360"/>
              <w:spacing w:after="0" w:line="157" w:lineRule="exact"/>
              <w:rPr>
                <w:sz w:val="20"/>
                <w:szCs w:val="20"/>
                <w:color w:val="auto"/>
              </w:rPr>
            </w:pPr>
            <w:r>
              <w:rPr>
                <w:rFonts w:ascii="Calibri" w:cs="Calibri" w:eastAsia="Calibri" w:hAnsi="Calibri"/>
                <w:sz w:val="13"/>
                <w:szCs w:val="13"/>
                <w:color w:val="51555C"/>
              </w:rPr>
              <w:t>Prepaid expenses and other current assets</w:t>
            </w:r>
          </w:p>
        </w:tc>
        <w:tc>
          <w:tcPr>
            <w:tcW w:w="120" w:type="dxa"/>
            <w:vAlign w:val="bottom"/>
            <w:tcBorders>
              <w:bottom w:val="single" w:sz="8" w:color="EBFBFF"/>
            </w:tcBorders>
            <w:shd w:val="clear" w:color="auto" w:fill="EBFBFF"/>
          </w:tcPr>
          <w:p>
            <w:pPr>
              <w:spacing w:after="0"/>
              <w:rPr>
                <w:sz w:val="16"/>
                <w:szCs w:val="16"/>
                <w:color w:val="auto"/>
              </w:rPr>
            </w:pPr>
          </w:p>
        </w:tc>
        <w:tc>
          <w:tcPr>
            <w:tcW w:w="150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92,290</w:t>
            </w:r>
          </w:p>
        </w:tc>
        <w:tc>
          <w:tcPr>
            <w:tcW w:w="540" w:type="dxa"/>
            <w:vAlign w:val="bottom"/>
            <w:tcBorders>
              <w:bottom w:val="single" w:sz="8" w:color="EBFBFF"/>
            </w:tcBorders>
            <w:shd w:val="clear" w:color="auto" w:fill="EBFBFF"/>
          </w:tcPr>
          <w:p>
            <w:pPr>
              <w:spacing w:after="0"/>
              <w:rPr>
                <w:sz w:val="16"/>
                <w:szCs w:val="16"/>
                <w:color w:val="auto"/>
              </w:rPr>
            </w:pPr>
          </w:p>
        </w:tc>
        <w:tc>
          <w:tcPr>
            <w:tcW w:w="110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99,285</w:t>
            </w:r>
          </w:p>
        </w:tc>
        <w:tc>
          <w:tcPr>
            <w:tcW w:w="20" w:type="dxa"/>
            <w:vAlign w:val="bottom"/>
          </w:tcPr>
          <w:p>
            <w:pPr>
              <w:spacing w:after="0"/>
              <w:rPr>
                <w:sz w:val="16"/>
                <w:szCs w:val="16"/>
                <w:color w:val="auto"/>
              </w:rPr>
            </w:pPr>
          </w:p>
        </w:tc>
      </w:tr>
      <w:tr>
        <w:trPr>
          <w:trHeight w:val="148"/>
        </w:trPr>
        <w:tc>
          <w:tcPr>
            <w:tcW w:w="8000" w:type="dxa"/>
            <w:vAlign w:val="bottom"/>
          </w:tcPr>
          <w:p>
            <w:pPr>
              <w:ind w:left="520"/>
              <w:spacing w:after="0" w:line="137" w:lineRule="exact"/>
              <w:rPr>
                <w:sz w:val="20"/>
                <w:szCs w:val="20"/>
                <w:color w:val="auto"/>
              </w:rPr>
            </w:pPr>
            <w:r>
              <w:rPr>
                <w:rFonts w:ascii="Calibri" w:cs="Calibri" w:eastAsia="Calibri" w:hAnsi="Calibri"/>
                <w:sz w:val="13"/>
                <w:szCs w:val="13"/>
                <w:color w:val="51555C"/>
              </w:rPr>
              <w:t>Total current assets</w:t>
            </w:r>
          </w:p>
        </w:tc>
        <w:tc>
          <w:tcPr>
            <w:tcW w:w="120" w:type="dxa"/>
            <w:vAlign w:val="bottom"/>
            <w:tcBorders>
              <w:top w:val="single" w:sz="8" w:color="51555C"/>
            </w:tcBorders>
          </w:tcPr>
          <w:p>
            <w:pPr>
              <w:spacing w:after="0"/>
              <w:rPr>
                <w:sz w:val="12"/>
                <w:szCs w:val="12"/>
                <w:color w:val="auto"/>
              </w:rPr>
            </w:pPr>
          </w:p>
        </w:tc>
        <w:tc>
          <w:tcPr>
            <w:tcW w:w="1500" w:type="dxa"/>
            <w:vAlign w:val="bottom"/>
            <w:tcBorders>
              <w:top w:val="single" w:sz="8" w:color="51555C"/>
            </w:tcBorders>
          </w:tcPr>
          <w:p>
            <w:pPr>
              <w:jc w:val="right"/>
              <w:spacing w:after="0" w:line="148" w:lineRule="exact"/>
              <w:rPr>
                <w:sz w:val="20"/>
                <w:szCs w:val="20"/>
                <w:color w:val="auto"/>
              </w:rPr>
            </w:pPr>
            <w:r>
              <w:rPr>
                <w:rFonts w:ascii="Calibri" w:cs="Calibri" w:eastAsia="Calibri" w:hAnsi="Calibri"/>
                <w:sz w:val="13"/>
                <w:szCs w:val="13"/>
                <w:color w:val="51555C"/>
              </w:rPr>
              <w:t>1,079,173</w:t>
            </w:r>
          </w:p>
        </w:tc>
        <w:tc>
          <w:tcPr>
            <w:tcW w:w="540" w:type="dxa"/>
            <w:vAlign w:val="bottom"/>
            <w:tcBorders>
              <w:top w:val="single" w:sz="8" w:color="51555C"/>
            </w:tcBorders>
          </w:tcPr>
          <w:p>
            <w:pPr>
              <w:spacing w:after="0"/>
              <w:rPr>
                <w:sz w:val="12"/>
                <w:szCs w:val="12"/>
                <w:color w:val="auto"/>
              </w:rPr>
            </w:pPr>
          </w:p>
        </w:tc>
        <w:tc>
          <w:tcPr>
            <w:tcW w:w="1100" w:type="dxa"/>
            <w:vAlign w:val="bottom"/>
            <w:tcBorders>
              <w:top w:val="single" w:sz="8" w:color="51555C"/>
            </w:tcBorders>
          </w:tcPr>
          <w:p>
            <w:pPr>
              <w:jc w:val="right"/>
              <w:spacing w:after="0" w:line="148" w:lineRule="exact"/>
              <w:rPr>
                <w:sz w:val="20"/>
                <w:szCs w:val="20"/>
                <w:color w:val="auto"/>
              </w:rPr>
            </w:pPr>
            <w:r>
              <w:rPr>
                <w:rFonts w:ascii="Calibri" w:cs="Calibri" w:eastAsia="Calibri" w:hAnsi="Calibri"/>
                <w:sz w:val="13"/>
                <w:szCs w:val="13"/>
                <w:color w:val="51555C"/>
              </w:rPr>
              <w:t>929,757</w:t>
            </w:r>
          </w:p>
        </w:tc>
        <w:tc>
          <w:tcPr>
            <w:tcW w:w="20" w:type="dxa"/>
            <w:vAlign w:val="bottom"/>
          </w:tcPr>
          <w:p>
            <w:pPr>
              <w:spacing w:after="0"/>
              <w:rPr>
                <w:sz w:val="12"/>
                <w:szCs w:val="12"/>
                <w:color w:val="auto"/>
              </w:rPr>
            </w:pPr>
          </w:p>
        </w:tc>
      </w:tr>
      <w:tr>
        <w:trPr>
          <w:trHeight w:val="34"/>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71"/>
        </w:trPr>
        <w:tc>
          <w:tcPr>
            <w:tcW w:w="8000" w:type="dxa"/>
            <w:vAlign w:val="bottom"/>
            <w:tcBorders>
              <w:bottom w:val="single" w:sz="8" w:color="EBFBFF"/>
            </w:tcBorders>
            <w:shd w:val="clear" w:color="auto" w:fill="EBFBFF"/>
          </w:tcPr>
          <w:p>
            <w:pPr>
              <w:ind w:left="180"/>
              <w:spacing w:after="0" w:line="157" w:lineRule="exact"/>
              <w:rPr>
                <w:sz w:val="20"/>
                <w:szCs w:val="20"/>
                <w:color w:val="auto"/>
              </w:rPr>
            </w:pPr>
            <w:r>
              <w:rPr>
                <w:rFonts w:ascii="Calibri" w:cs="Calibri" w:eastAsia="Calibri" w:hAnsi="Calibri"/>
                <w:sz w:val="13"/>
                <w:szCs w:val="13"/>
                <w:color w:val="51555C"/>
              </w:rPr>
              <w:t>Property and equipment, net</w:t>
            </w:r>
          </w:p>
        </w:tc>
        <w:tc>
          <w:tcPr>
            <w:tcW w:w="120" w:type="dxa"/>
            <w:vAlign w:val="bottom"/>
            <w:tcBorders>
              <w:bottom w:val="single" w:sz="8" w:color="EBFBFF"/>
            </w:tcBorders>
            <w:shd w:val="clear" w:color="auto" w:fill="EBFBFF"/>
          </w:tcPr>
          <w:p>
            <w:pPr>
              <w:spacing w:after="0"/>
              <w:rPr>
                <w:sz w:val="14"/>
                <w:szCs w:val="14"/>
                <w:color w:val="auto"/>
              </w:rPr>
            </w:pPr>
          </w:p>
        </w:tc>
        <w:tc>
          <w:tcPr>
            <w:tcW w:w="150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98,066</w:t>
            </w:r>
          </w:p>
        </w:tc>
        <w:tc>
          <w:tcPr>
            <w:tcW w:w="540" w:type="dxa"/>
            <w:vAlign w:val="bottom"/>
            <w:tcBorders>
              <w:bottom w:val="single" w:sz="8" w:color="EBFBFF"/>
            </w:tcBorders>
            <w:shd w:val="clear" w:color="auto" w:fill="EBFBFF"/>
          </w:tcPr>
          <w:p>
            <w:pPr>
              <w:spacing w:after="0"/>
              <w:rPr>
                <w:sz w:val="14"/>
                <w:szCs w:val="14"/>
                <w:color w:val="auto"/>
              </w:rPr>
            </w:pPr>
          </w:p>
        </w:tc>
        <w:tc>
          <w:tcPr>
            <w:tcW w:w="110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98,689</w:t>
            </w:r>
          </w:p>
        </w:tc>
        <w:tc>
          <w:tcPr>
            <w:tcW w:w="20" w:type="dxa"/>
            <w:vAlign w:val="bottom"/>
          </w:tcPr>
          <w:p>
            <w:pPr>
              <w:spacing w:after="0"/>
              <w:rPr>
                <w:sz w:val="14"/>
                <w:szCs w:val="14"/>
                <w:color w:val="auto"/>
              </w:rPr>
            </w:pPr>
          </w:p>
        </w:tc>
      </w:tr>
      <w:tr>
        <w:trPr>
          <w:trHeight w:val="157"/>
        </w:trPr>
        <w:tc>
          <w:tcPr>
            <w:tcW w:w="8000" w:type="dxa"/>
            <w:vAlign w:val="bottom"/>
          </w:tcPr>
          <w:p>
            <w:pPr>
              <w:ind w:left="180"/>
              <w:spacing w:after="0" w:line="157" w:lineRule="exact"/>
              <w:rPr>
                <w:sz w:val="20"/>
                <w:szCs w:val="20"/>
                <w:color w:val="auto"/>
              </w:rPr>
            </w:pPr>
            <w:r>
              <w:rPr>
                <w:rFonts w:ascii="Calibri" w:cs="Calibri" w:eastAsia="Calibri" w:hAnsi="Calibri"/>
                <w:sz w:val="13"/>
                <w:szCs w:val="13"/>
                <w:color w:val="51555C"/>
              </w:rPr>
              <w:t>Operatng lease right-of-use assets</w:t>
            </w:r>
          </w:p>
        </w:tc>
        <w:tc>
          <w:tcPr>
            <w:tcW w:w="120" w:type="dxa"/>
            <w:vAlign w:val="bottom"/>
          </w:tcPr>
          <w:p>
            <w:pPr>
              <w:spacing w:after="0"/>
              <w:rPr>
                <w:sz w:val="13"/>
                <w:szCs w:val="13"/>
                <w:color w:val="auto"/>
              </w:rPr>
            </w:pPr>
          </w:p>
        </w:tc>
        <w:tc>
          <w:tcPr>
            <w:tcW w:w="1500" w:type="dxa"/>
            <w:vAlign w:val="bottom"/>
          </w:tcPr>
          <w:p>
            <w:pPr>
              <w:jc w:val="right"/>
              <w:spacing w:after="0" w:line="157" w:lineRule="exact"/>
              <w:rPr>
                <w:sz w:val="20"/>
                <w:szCs w:val="20"/>
                <w:color w:val="auto"/>
              </w:rPr>
            </w:pPr>
            <w:r>
              <w:rPr>
                <w:rFonts w:ascii="Calibri" w:cs="Calibri" w:eastAsia="Calibri" w:hAnsi="Calibri"/>
                <w:sz w:val="13"/>
                <w:szCs w:val="13"/>
                <w:color w:val="51555C"/>
              </w:rPr>
              <w:t>28,489</w:t>
            </w:r>
          </w:p>
        </w:tc>
        <w:tc>
          <w:tcPr>
            <w:tcW w:w="540" w:type="dxa"/>
            <w:vAlign w:val="bottom"/>
          </w:tcPr>
          <w:p>
            <w:pPr>
              <w:spacing w:after="0"/>
              <w:rPr>
                <w:sz w:val="13"/>
                <w:szCs w:val="13"/>
                <w:color w:val="auto"/>
              </w:rPr>
            </w:pPr>
          </w:p>
        </w:tc>
        <w:tc>
          <w:tcPr>
            <w:tcW w:w="1100" w:type="dxa"/>
            <w:vAlign w:val="bottom"/>
          </w:tcPr>
          <w:p>
            <w:pPr>
              <w:jc w:val="right"/>
              <w:spacing w:after="0" w:line="157" w:lineRule="exact"/>
              <w:rPr>
                <w:sz w:val="20"/>
                <w:szCs w:val="20"/>
                <w:color w:val="auto"/>
              </w:rPr>
            </w:pPr>
            <w:r>
              <w:rPr>
                <w:rFonts w:ascii="Calibri" w:cs="Calibri" w:eastAsia="Calibri" w:hAnsi="Calibri"/>
                <w:sz w:val="13"/>
                <w:szCs w:val="13"/>
                <w:color w:val="51555C"/>
              </w:rPr>
              <w:t>36,927</w:t>
            </w:r>
          </w:p>
        </w:tc>
        <w:tc>
          <w:tcPr>
            <w:tcW w:w="20" w:type="dxa"/>
            <w:vAlign w:val="bottom"/>
          </w:tcPr>
          <w:p>
            <w:pPr>
              <w:spacing w:after="0"/>
              <w:rPr>
                <w:sz w:val="13"/>
                <w:szCs w:val="13"/>
                <w:color w:val="auto"/>
              </w:rPr>
            </w:pPr>
          </w:p>
        </w:tc>
      </w:tr>
      <w:tr>
        <w:trPr>
          <w:trHeight w:val="34"/>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71"/>
        </w:trPr>
        <w:tc>
          <w:tcPr>
            <w:tcW w:w="8000" w:type="dxa"/>
            <w:vAlign w:val="bottom"/>
            <w:tcBorders>
              <w:bottom w:val="single" w:sz="8" w:color="EBFBFF"/>
            </w:tcBorders>
            <w:shd w:val="clear" w:color="auto" w:fill="EBFBFF"/>
          </w:tcPr>
          <w:p>
            <w:pPr>
              <w:ind w:left="180"/>
              <w:spacing w:after="0" w:line="157" w:lineRule="exact"/>
              <w:rPr>
                <w:sz w:val="20"/>
                <w:szCs w:val="20"/>
                <w:color w:val="auto"/>
              </w:rPr>
            </w:pPr>
            <w:r>
              <w:rPr>
                <w:rFonts w:ascii="Calibri" w:cs="Calibri" w:eastAsia="Calibri" w:hAnsi="Calibri"/>
                <w:sz w:val="13"/>
                <w:szCs w:val="13"/>
                <w:color w:val="51555C"/>
              </w:rPr>
              <w:t>Sofware and content development costs, net</w:t>
            </w:r>
          </w:p>
        </w:tc>
        <w:tc>
          <w:tcPr>
            <w:tcW w:w="120" w:type="dxa"/>
            <w:vAlign w:val="bottom"/>
            <w:tcBorders>
              <w:bottom w:val="single" w:sz="8" w:color="EBFBFF"/>
            </w:tcBorders>
            <w:shd w:val="clear" w:color="auto" w:fill="EBFBFF"/>
          </w:tcPr>
          <w:p>
            <w:pPr>
              <w:spacing w:after="0"/>
              <w:rPr>
                <w:sz w:val="14"/>
                <w:szCs w:val="14"/>
                <w:color w:val="auto"/>
              </w:rPr>
            </w:pPr>
          </w:p>
        </w:tc>
        <w:tc>
          <w:tcPr>
            <w:tcW w:w="150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165,465</w:t>
            </w:r>
          </w:p>
        </w:tc>
        <w:tc>
          <w:tcPr>
            <w:tcW w:w="540" w:type="dxa"/>
            <w:vAlign w:val="bottom"/>
            <w:tcBorders>
              <w:bottom w:val="single" w:sz="8" w:color="EBFBFF"/>
            </w:tcBorders>
            <w:shd w:val="clear" w:color="auto" w:fill="EBFBFF"/>
          </w:tcPr>
          <w:p>
            <w:pPr>
              <w:spacing w:after="0"/>
              <w:rPr>
                <w:sz w:val="14"/>
                <w:szCs w:val="14"/>
                <w:color w:val="auto"/>
              </w:rPr>
            </w:pPr>
          </w:p>
        </w:tc>
        <w:tc>
          <w:tcPr>
            <w:tcW w:w="110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160,194</w:t>
            </w:r>
          </w:p>
        </w:tc>
        <w:tc>
          <w:tcPr>
            <w:tcW w:w="20" w:type="dxa"/>
            <w:vAlign w:val="bottom"/>
          </w:tcPr>
          <w:p>
            <w:pPr>
              <w:spacing w:after="0"/>
              <w:rPr>
                <w:sz w:val="14"/>
                <w:szCs w:val="14"/>
                <w:color w:val="auto"/>
              </w:rPr>
            </w:pPr>
          </w:p>
        </w:tc>
      </w:tr>
      <w:tr>
        <w:trPr>
          <w:trHeight w:val="157"/>
        </w:trPr>
        <w:tc>
          <w:tcPr>
            <w:tcW w:w="8000" w:type="dxa"/>
            <w:vAlign w:val="bottom"/>
          </w:tcPr>
          <w:p>
            <w:pPr>
              <w:ind w:left="180"/>
              <w:spacing w:after="0" w:line="157" w:lineRule="exact"/>
              <w:rPr>
                <w:sz w:val="20"/>
                <w:szCs w:val="20"/>
                <w:color w:val="auto"/>
              </w:rPr>
            </w:pPr>
            <w:r>
              <w:rPr>
                <w:rFonts w:ascii="Calibri" w:cs="Calibri" w:eastAsia="Calibri" w:hAnsi="Calibri"/>
                <w:sz w:val="13"/>
                <w:szCs w:val="13"/>
                <w:color w:val="51555C"/>
              </w:rPr>
              <w:t>Goodwill</w:t>
            </w:r>
          </w:p>
        </w:tc>
        <w:tc>
          <w:tcPr>
            <w:tcW w:w="120" w:type="dxa"/>
            <w:vAlign w:val="bottom"/>
          </w:tcPr>
          <w:p>
            <w:pPr>
              <w:spacing w:after="0"/>
              <w:rPr>
                <w:sz w:val="13"/>
                <w:szCs w:val="13"/>
                <w:color w:val="auto"/>
              </w:rPr>
            </w:pPr>
          </w:p>
        </w:tc>
        <w:tc>
          <w:tcPr>
            <w:tcW w:w="1500" w:type="dxa"/>
            <w:vAlign w:val="bottom"/>
          </w:tcPr>
          <w:p>
            <w:pPr>
              <w:jc w:val="right"/>
              <w:spacing w:after="0" w:line="157" w:lineRule="exact"/>
              <w:rPr>
                <w:sz w:val="20"/>
                <w:szCs w:val="20"/>
                <w:color w:val="auto"/>
              </w:rPr>
            </w:pPr>
            <w:r>
              <w:rPr>
                <w:rFonts w:ascii="Calibri" w:cs="Calibri" w:eastAsia="Calibri" w:hAnsi="Calibri"/>
                <w:sz w:val="13"/>
                <w:szCs w:val="13"/>
                <w:color w:val="51555C"/>
              </w:rPr>
              <w:t>1,053,249</w:t>
            </w:r>
          </w:p>
        </w:tc>
        <w:tc>
          <w:tcPr>
            <w:tcW w:w="540" w:type="dxa"/>
            <w:vAlign w:val="bottom"/>
          </w:tcPr>
          <w:p>
            <w:pPr>
              <w:spacing w:after="0"/>
              <w:rPr>
                <w:sz w:val="13"/>
                <w:szCs w:val="13"/>
                <w:color w:val="auto"/>
              </w:rPr>
            </w:pPr>
          </w:p>
        </w:tc>
        <w:tc>
          <w:tcPr>
            <w:tcW w:w="1100" w:type="dxa"/>
            <w:vAlign w:val="bottom"/>
          </w:tcPr>
          <w:p>
            <w:pPr>
              <w:jc w:val="right"/>
              <w:spacing w:after="0" w:line="157" w:lineRule="exact"/>
              <w:rPr>
                <w:sz w:val="20"/>
                <w:szCs w:val="20"/>
                <w:color w:val="auto"/>
              </w:rPr>
            </w:pPr>
            <w:r>
              <w:rPr>
                <w:rFonts w:ascii="Calibri" w:cs="Calibri" w:eastAsia="Calibri" w:hAnsi="Calibri"/>
                <w:sz w:val="13"/>
                <w:szCs w:val="13"/>
                <w:color w:val="51555C"/>
              </w:rPr>
              <w:t>1,053,738</w:t>
            </w:r>
          </w:p>
        </w:tc>
        <w:tc>
          <w:tcPr>
            <w:tcW w:w="20" w:type="dxa"/>
            <w:vAlign w:val="bottom"/>
          </w:tcPr>
          <w:p>
            <w:pPr>
              <w:spacing w:after="0"/>
              <w:rPr>
                <w:sz w:val="13"/>
                <w:szCs w:val="13"/>
                <w:color w:val="auto"/>
              </w:rPr>
            </w:pPr>
          </w:p>
        </w:tc>
      </w:tr>
      <w:tr>
        <w:trPr>
          <w:trHeight w:val="34"/>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71"/>
        </w:trPr>
        <w:tc>
          <w:tcPr>
            <w:tcW w:w="8000" w:type="dxa"/>
            <w:vAlign w:val="bottom"/>
            <w:tcBorders>
              <w:bottom w:val="single" w:sz="8" w:color="EBFBFF"/>
            </w:tcBorders>
            <w:shd w:val="clear" w:color="auto" w:fill="EBFBFF"/>
          </w:tcPr>
          <w:p>
            <w:pPr>
              <w:ind w:left="180"/>
              <w:spacing w:after="0" w:line="157" w:lineRule="exact"/>
              <w:rPr>
                <w:sz w:val="20"/>
                <w:szCs w:val="20"/>
                <w:color w:val="auto"/>
              </w:rPr>
            </w:pPr>
            <w:r>
              <w:rPr>
                <w:rFonts w:ascii="Calibri" w:cs="Calibri" w:eastAsia="Calibri" w:hAnsi="Calibri"/>
                <w:sz w:val="13"/>
                <w:szCs w:val="13"/>
                <w:color w:val="51555C"/>
              </w:rPr>
              <w:t>Intangible assets, net</w:t>
            </w:r>
          </w:p>
        </w:tc>
        <w:tc>
          <w:tcPr>
            <w:tcW w:w="120" w:type="dxa"/>
            <w:vAlign w:val="bottom"/>
            <w:tcBorders>
              <w:bottom w:val="single" w:sz="8" w:color="EBFBFF"/>
            </w:tcBorders>
            <w:shd w:val="clear" w:color="auto" w:fill="EBFBFF"/>
          </w:tcPr>
          <w:p>
            <w:pPr>
              <w:spacing w:after="0"/>
              <w:rPr>
                <w:sz w:val="14"/>
                <w:szCs w:val="14"/>
                <w:color w:val="auto"/>
              </w:rPr>
            </w:pPr>
          </w:p>
        </w:tc>
        <w:tc>
          <w:tcPr>
            <w:tcW w:w="150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549,521</w:t>
            </w:r>
          </w:p>
        </w:tc>
        <w:tc>
          <w:tcPr>
            <w:tcW w:w="540" w:type="dxa"/>
            <w:vAlign w:val="bottom"/>
            <w:tcBorders>
              <w:bottom w:val="single" w:sz="8" w:color="EBFBFF"/>
            </w:tcBorders>
            <w:shd w:val="clear" w:color="auto" w:fill="EBFBFF"/>
          </w:tcPr>
          <w:p>
            <w:pPr>
              <w:spacing w:after="0"/>
              <w:rPr>
                <w:sz w:val="14"/>
                <w:szCs w:val="14"/>
                <w:color w:val="auto"/>
              </w:rPr>
            </w:pPr>
          </w:p>
        </w:tc>
        <w:tc>
          <w:tcPr>
            <w:tcW w:w="110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581,937</w:t>
            </w:r>
          </w:p>
        </w:tc>
        <w:tc>
          <w:tcPr>
            <w:tcW w:w="20" w:type="dxa"/>
            <w:vAlign w:val="bottom"/>
          </w:tcPr>
          <w:p>
            <w:pPr>
              <w:spacing w:after="0"/>
              <w:rPr>
                <w:sz w:val="14"/>
                <w:szCs w:val="14"/>
                <w:color w:val="auto"/>
              </w:rPr>
            </w:pPr>
          </w:p>
        </w:tc>
      </w:tr>
      <w:tr>
        <w:trPr>
          <w:trHeight w:val="157"/>
        </w:trPr>
        <w:tc>
          <w:tcPr>
            <w:tcW w:w="8000" w:type="dxa"/>
            <w:vAlign w:val="bottom"/>
          </w:tcPr>
          <w:p>
            <w:pPr>
              <w:ind w:left="180"/>
              <w:spacing w:after="0" w:line="157" w:lineRule="exact"/>
              <w:rPr>
                <w:sz w:val="20"/>
                <w:szCs w:val="20"/>
                <w:color w:val="auto"/>
              </w:rPr>
            </w:pPr>
            <w:r>
              <w:rPr>
                <w:rFonts w:ascii="Calibri" w:cs="Calibri" w:eastAsia="Calibri" w:hAnsi="Calibri"/>
                <w:sz w:val="13"/>
                <w:szCs w:val="13"/>
                <w:color w:val="51555C"/>
              </w:rPr>
              <w:t>Other assets</w:t>
            </w:r>
          </w:p>
        </w:tc>
        <w:tc>
          <w:tcPr>
            <w:tcW w:w="120" w:type="dxa"/>
            <w:vAlign w:val="bottom"/>
          </w:tcPr>
          <w:p>
            <w:pPr>
              <w:spacing w:after="0"/>
              <w:rPr>
                <w:sz w:val="13"/>
                <w:szCs w:val="13"/>
                <w:color w:val="auto"/>
              </w:rPr>
            </w:pPr>
          </w:p>
        </w:tc>
        <w:tc>
          <w:tcPr>
            <w:tcW w:w="1500" w:type="dxa"/>
            <w:vAlign w:val="bottom"/>
          </w:tcPr>
          <w:p>
            <w:pPr>
              <w:jc w:val="right"/>
              <w:spacing w:after="0" w:line="157" w:lineRule="exact"/>
              <w:rPr>
                <w:sz w:val="20"/>
                <w:szCs w:val="20"/>
                <w:color w:val="auto"/>
              </w:rPr>
            </w:pPr>
            <w:r>
              <w:rPr>
                <w:rFonts w:ascii="Calibri" w:cs="Calibri" w:eastAsia="Calibri" w:hAnsi="Calibri"/>
                <w:sz w:val="13"/>
                <w:szCs w:val="13"/>
                <w:color w:val="51555C"/>
              </w:rPr>
              <w:t>68,785</w:t>
            </w:r>
          </w:p>
        </w:tc>
        <w:tc>
          <w:tcPr>
            <w:tcW w:w="540" w:type="dxa"/>
            <w:vAlign w:val="bottom"/>
          </w:tcPr>
          <w:p>
            <w:pPr>
              <w:spacing w:after="0"/>
              <w:rPr>
                <w:sz w:val="13"/>
                <w:szCs w:val="13"/>
                <w:color w:val="auto"/>
              </w:rPr>
            </w:pPr>
          </w:p>
        </w:tc>
        <w:tc>
          <w:tcPr>
            <w:tcW w:w="1100" w:type="dxa"/>
            <w:vAlign w:val="bottom"/>
          </w:tcPr>
          <w:p>
            <w:pPr>
              <w:jc w:val="right"/>
              <w:spacing w:after="0" w:line="157" w:lineRule="exact"/>
              <w:rPr>
                <w:sz w:val="20"/>
                <w:szCs w:val="20"/>
                <w:color w:val="auto"/>
              </w:rPr>
            </w:pPr>
            <w:r>
              <w:rPr>
                <w:rFonts w:ascii="Calibri" w:cs="Calibri" w:eastAsia="Calibri" w:hAnsi="Calibri"/>
                <w:sz w:val="13"/>
                <w:szCs w:val="13"/>
                <w:color w:val="51555C"/>
              </w:rPr>
              <w:t>51,037</w:t>
            </w:r>
          </w:p>
        </w:tc>
        <w:tc>
          <w:tcPr>
            <w:tcW w:w="20" w:type="dxa"/>
            <w:vAlign w:val="bottom"/>
          </w:tcPr>
          <w:p>
            <w:pPr>
              <w:spacing w:after="0"/>
              <w:rPr>
                <w:sz w:val="13"/>
                <w:szCs w:val="13"/>
                <w:color w:val="auto"/>
              </w:rPr>
            </w:pPr>
          </w:p>
        </w:tc>
      </w:tr>
      <w:tr>
        <w:trPr>
          <w:trHeight w:val="34"/>
        </w:trPr>
        <w:tc>
          <w:tcPr>
            <w:tcW w:w="8000" w:type="dxa"/>
            <w:vAlign w:val="bottom"/>
            <w:tcBorders>
              <w:bottom w:val="single" w:sz="8" w:color="EBFBFF"/>
            </w:tcBorders>
          </w:tcPr>
          <w:p>
            <w:pPr>
              <w:spacing w:after="0"/>
              <w:rPr>
                <w:sz w:val="2"/>
                <w:szCs w:val="2"/>
                <w:color w:val="auto"/>
              </w:rPr>
            </w:pPr>
          </w:p>
        </w:tc>
        <w:tc>
          <w:tcPr>
            <w:tcW w:w="120" w:type="dxa"/>
            <w:vAlign w:val="bottom"/>
            <w:tcBorders>
              <w:bottom w:val="single" w:sz="8" w:color="51555C"/>
            </w:tcBorders>
          </w:tcPr>
          <w:p>
            <w:pPr>
              <w:spacing w:after="0"/>
              <w:rPr>
                <w:sz w:val="2"/>
                <w:szCs w:val="2"/>
                <w:color w:val="auto"/>
              </w:rPr>
            </w:pPr>
          </w:p>
        </w:tc>
        <w:tc>
          <w:tcPr>
            <w:tcW w:w="1500" w:type="dxa"/>
            <w:vAlign w:val="bottom"/>
            <w:tcBorders>
              <w:bottom w:val="single" w:sz="8" w:color="51555C"/>
            </w:tcBorders>
          </w:tcPr>
          <w:p>
            <w:pPr>
              <w:spacing w:after="0"/>
              <w:rPr>
                <w:sz w:val="2"/>
                <w:szCs w:val="2"/>
                <w:color w:val="auto"/>
              </w:rPr>
            </w:pPr>
          </w:p>
        </w:tc>
        <w:tc>
          <w:tcPr>
            <w:tcW w:w="540" w:type="dxa"/>
            <w:vAlign w:val="bottom"/>
            <w:tcBorders>
              <w:bottom w:val="single" w:sz="8" w:color="51555C"/>
            </w:tcBorders>
          </w:tcPr>
          <w:p>
            <w:pPr>
              <w:spacing w:after="0"/>
              <w:rPr>
                <w:sz w:val="2"/>
                <w:szCs w:val="2"/>
                <w:color w:val="auto"/>
              </w:rPr>
            </w:pPr>
          </w:p>
        </w:tc>
        <w:tc>
          <w:tcPr>
            <w:tcW w:w="1100" w:type="dxa"/>
            <w:vAlign w:val="bottom"/>
            <w:tcBorders>
              <w:bottom w:val="single" w:sz="8" w:color="51555C"/>
            </w:tcBorders>
          </w:tcPr>
          <w:p>
            <w:pPr>
              <w:spacing w:after="0"/>
              <w:rPr>
                <w:sz w:val="2"/>
                <w:szCs w:val="2"/>
                <w:color w:val="auto"/>
              </w:rPr>
            </w:pPr>
          </w:p>
        </w:tc>
        <w:tc>
          <w:tcPr>
            <w:tcW w:w="20" w:type="dxa"/>
            <w:vAlign w:val="bottom"/>
          </w:tcPr>
          <w:p>
            <w:pPr>
              <w:spacing w:after="0"/>
              <w:rPr>
                <w:sz w:val="2"/>
                <w:szCs w:val="2"/>
                <w:color w:val="auto"/>
              </w:rPr>
            </w:pPr>
          </w:p>
        </w:tc>
      </w:tr>
      <w:tr>
        <w:trPr>
          <w:trHeight w:val="182"/>
        </w:trPr>
        <w:tc>
          <w:tcPr>
            <w:tcW w:w="8000" w:type="dxa"/>
            <w:vAlign w:val="bottom"/>
            <w:tcBorders>
              <w:bottom w:val="single" w:sz="8" w:color="EBFBFF"/>
            </w:tcBorders>
            <w:shd w:val="clear" w:color="auto" w:fill="EBFBFF"/>
          </w:tcPr>
          <w:p>
            <w:pPr>
              <w:ind w:left="700"/>
              <w:spacing w:after="0" w:line="137" w:lineRule="exact"/>
              <w:rPr>
                <w:sz w:val="20"/>
                <w:szCs w:val="20"/>
                <w:color w:val="auto"/>
              </w:rPr>
            </w:pPr>
            <w:r>
              <w:rPr>
                <w:rFonts w:ascii="Calibri" w:cs="Calibri" w:eastAsia="Calibri" w:hAnsi="Calibri"/>
                <w:sz w:val="13"/>
                <w:szCs w:val="13"/>
                <w:b w:val="1"/>
                <w:bCs w:val="1"/>
                <w:color w:val="51555C"/>
              </w:rPr>
              <w:t>Total assets</w:t>
            </w:r>
          </w:p>
        </w:tc>
        <w:tc>
          <w:tcPr>
            <w:tcW w:w="120" w:type="dxa"/>
            <w:vAlign w:val="bottom"/>
            <w:tcBorders>
              <w:bottom w:val="single" w:sz="8" w:color="EBFBFF"/>
            </w:tcBorders>
            <w:shd w:val="clear" w:color="auto" w:fill="EBFBFF"/>
          </w:tcPr>
          <w:p>
            <w:pPr>
              <w:jc w:val="right"/>
              <w:spacing w:after="0" w:line="148" w:lineRule="exact"/>
              <w:rPr>
                <w:sz w:val="20"/>
                <w:szCs w:val="20"/>
                <w:color w:val="auto"/>
              </w:rPr>
            </w:pPr>
            <w:r>
              <w:rPr>
                <w:rFonts w:ascii="Calibri" w:cs="Calibri" w:eastAsia="Calibri" w:hAnsi="Calibri"/>
                <w:sz w:val="13"/>
                <w:szCs w:val="13"/>
                <w:color w:val="51555C"/>
                <w:w w:val="90"/>
              </w:rPr>
              <w:t>$</w:t>
            </w:r>
          </w:p>
        </w:tc>
        <w:tc>
          <w:tcPr>
            <w:tcW w:w="1500" w:type="dxa"/>
            <w:vAlign w:val="bottom"/>
            <w:tcBorders>
              <w:bottom w:val="single" w:sz="8" w:color="EBFBFF"/>
            </w:tcBorders>
            <w:shd w:val="clear" w:color="auto" w:fill="EBFBFF"/>
          </w:tcPr>
          <w:p>
            <w:pPr>
              <w:jc w:val="right"/>
              <w:spacing w:after="0" w:line="148" w:lineRule="exact"/>
              <w:rPr>
                <w:sz w:val="20"/>
                <w:szCs w:val="20"/>
                <w:color w:val="auto"/>
              </w:rPr>
            </w:pPr>
            <w:r>
              <w:rPr>
                <w:rFonts w:ascii="Calibri" w:cs="Calibri" w:eastAsia="Calibri" w:hAnsi="Calibri"/>
                <w:sz w:val="13"/>
                <w:szCs w:val="13"/>
                <w:color w:val="51555C"/>
              </w:rPr>
              <w:t>3,042,748</w:t>
            </w:r>
          </w:p>
        </w:tc>
        <w:tc>
          <w:tcPr>
            <w:tcW w:w="540" w:type="dxa"/>
            <w:vAlign w:val="bottom"/>
            <w:tcBorders>
              <w:bottom w:val="single" w:sz="8" w:color="EBFBFF"/>
            </w:tcBorders>
            <w:shd w:val="clear" w:color="auto" w:fill="EBFBFF"/>
          </w:tcPr>
          <w:p>
            <w:pPr>
              <w:jc w:val="right"/>
              <w:ind w:right="396"/>
              <w:spacing w:after="0" w:line="148" w:lineRule="exact"/>
              <w:rPr>
                <w:sz w:val="20"/>
                <w:szCs w:val="20"/>
                <w:color w:val="auto"/>
              </w:rPr>
            </w:pPr>
            <w:r>
              <w:rPr>
                <w:rFonts w:ascii="Calibri" w:cs="Calibri" w:eastAsia="Calibri" w:hAnsi="Calibri"/>
                <w:sz w:val="13"/>
                <w:szCs w:val="13"/>
                <w:color w:val="51555C"/>
                <w:w w:val="90"/>
              </w:rPr>
              <w:t>$</w:t>
            </w:r>
          </w:p>
        </w:tc>
        <w:tc>
          <w:tcPr>
            <w:tcW w:w="1100" w:type="dxa"/>
            <w:vAlign w:val="bottom"/>
            <w:tcBorders>
              <w:bottom w:val="single" w:sz="8" w:color="EBFBFF"/>
            </w:tcBorders>
            <w:shd w:val="clear" w:color="auto" w:fill="EBFBFF"/>
          </w:tcPr>
          <w:p>
            <w:pPr>
              <w:jc w:val="right"/>
              <w:spacing w:after="0" w:line="148" w:lineRule="exact"/>
              <w:rPr>
                <w:sz w:val="20"/>
                <w:szCs w:val="20"/>
                <w:color w:val="auto"/>
              </w:rPr>
            </w:pPr>
            <w:r>
              <w:rPr>
                <w:rFonts w:ascii="Calibri" w:cs="Calibri" w:eastAsia="Calibri" w:hAnsi="Calibri"/>
                <w:sz w:val="13"/>
                <w:szCs w:val="13"/>
                <w:color w:val="51555C"/>
              </w:rPr>
              <w:t>2,912,279</w:t>
            </w:r>
          </w:p>
        </w:tc>
        <w:tc>
          <w:tcPr>
            <w:tcW w:w="20" w:type="dxa"/>
            <w:vAlign w:val="bottom"/>
          </w:tcPr>
          <w:p>
            <w:pPr>
              <w:spacing w:after="0"/>
              <w:rPr>
                <w:sz w:val="15"/>
                <w:szCs w:val="15"/>
                <w:color w:val="auto"/>
              </w:rPr>
            </w:pPr>
          </w:p>
        </w:tc>
      </w:tr>
      <w:tr>
        <w:trPr>
          <w:trHeight w:val="137"/>
        </w:trPr>
        <w:tc>
          <w:tcPr>
            <w:tcW w:w="8000" w:type="dxa"/>
            <w:vAlign w:val="bottom"/>
          </w:tcPr>
          <w:p>
            <w:pPr>
              <w:ind w:left="20"/>
              <w:spacing w:after="0" w:line="137" w:lineRule="exact"/>
              <w:rPr>
                <w:sz w:val="20"/>
                <w:szCs w:val="20"/>
                <w:color w:val="auto"/>
              </w:rPr>
            </w:pPr>
            <w:r>
              <w:rPr>
                <w:rFonts w:ascii="Calibri" w:cs="Calibri" w:eastAsia="Calibri" w:hAnsi="Calibri"/>
                <w:sz w:val="13"/>
                <w:szCs w:val="13"/>
                <w:b w:val="1"/>
                <w:bCs w:val="1"/>
                <w:color w:val="51555C"/>
              </w:rPr>
              <w:t>Liabilites and stockholders’ equity</w:t>
            </w:r>
          </w:p>
        </w:tc>
        <w:tc>
          <w:tcPr>
            <w:tcW w:w="120" w:type="dxa"/>
            <w:vAlign w:val="bottom"/>
            <w:tcBorders>
              <w:top w:val="single" w:sz="8" w:color="51555C"/>
            </w:tcBorders>
          </w:tcPr>
          <w:p>
            <w:pPr>
              <w:spacing w:after="0"/>
              <w:rPr>
                <w:sz w:val="11"/>
                <w:szCs w:val="11"/>
                <w:color w:val="auto"/>
              </w:rPr>
            </w:pPr>
          </w:p>
        </w:tc>
        <w:tc>
          <w:tcPr>
            <w:tcW w:w="1500" w:type="dxa"/>
            <w:vAlign w:val="bottom"/>
            <w:tcBorders>
              <w:top w:val="single" w:sz="8" w:color="51555C"/>
            </w:tcBorders>
          </w:tcPr>
          <w:p>
            <w:pPr>
              <w:spacing w:after="0"/>
              <w:rPr>
                <w:sz w:val="11"/>
                <w:szCs w:val="11"/>
                <w:color w:val="auto"/>
              </w:rPr>
            </w:pPr>
          </w:p>
        </w:tc>
        <w:tc>
          <w:tcPr>
            <w:tcW w:w="540" w:type="dxa"/>
            <w:vAlign w:val="bottom"/>
            <w:tcBorders>
              <w:top w:val="single" w:sz="8" w:color="51555C"/>
            </w:tcBorders>
          </w:tcPr>
          <w:p>
            <w:pPr>
              <w:spacing w:after="0"/>
              <w:rPr>
                <w:sz w:val="11"/>
                <w:szCs w:val="11"/>
                <w:color w:val="auto"/>
              </w:rPr>
            </w:pPr>
          </w:p>
        </w:tc>
        <w:tc>
          <w:tcPr>
            <w:tcW w:w="1100" w:type="dxa"/>
            <w:vAlign w:val="bottom"/>
            <w:tcBorders>
              <w:top w:val="single" w:sz="8" w:color="51555C"/>
            </w:tcBorders>
          </w:tcPr>
          <w:p>
            <w:pPr>
              <w:spacing w:after="0"/>
              <w:rPr>
                <w:sz w:val="11"/>
                <w:szCs w:val="11"/>
                <w:color w:val="auto"/>
              </w:rPr>
            </w:pPr>
          </w:p>
        </w:tc>
        <w:tc>
          <w:tcPr>
            <w:tcW w:w="20" w:type="dxa"/>
            <w:vAlign w:val="bottom"/>
          </w:tcPr>
          <w:p>
            <w:pPr>
              <w:spacing w:after="0"/>
              <w:rPr>
                <w:sz w:val="11"/>
                <w:szCs w:val="11"/>
                <w:color w:val="auto"/>
              </w:rPr>
            </w:pPr>
          </w:p>
        </w:tc>
      </w:tr>
      <w:tr>
        <w:trPr>
          <w:trHeight w:val="34"/>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71"/>
        </w:trPr>
        <w:tc>
          <w:tcPr>
            <w:tcW w:w="8000" w:type="dxa"/>
            <w:vAlign w:val="bottom"/>
            <w:tcBorders>
              <w:bottom w:val="single" w:sz="8" w:color="EBFBFF"/>
            </w:tcBorders>
            <w:shd w:val="clear" w:color="auto" w:fill="EBFBFF"/>
          </w:tcPr>
          <w:p>
            <w:pPr>
              <w:ind w:left="180"/>
              <w:spacing w:after="0" w:line="157" w:lineRule="exact"/>
              <w:rPr>
                <w:sz w:val="20"/>
                <w:szCs w:val="20"/>
                <w:color w:val="auto"/>
              </w:rPr>
            </w:pPr>
            <w:r>
              <w:rPr>
                <w:rFonts w:ascii="Calibri" w:cs="Calibri" w:eastAsia="Calibri" w:hAnsi="Calibri"/>
                <w:sz w:val="13"/>
                <w:szCs w:val="13"/>
                <w:color w:val="51555C"/>
              </w:rPr>
              <w:t>Current liabilites:</w:t>
            </w:r>
          </w:p>
        </w:tc>
        <w:tc>
          <w:tcPr>
            <w:tcW w:w="120" w:type="dxa"/>
            <w:vAlign w:val="bottom"/>
            <w:tcBorders>
              <w:bottom w:val="single" w:sz="8" w:color="EBFBFF"/>
            </w:tcBorders>
            <w:shd w:val="clear" w:color="auto" w:fill="EBFBFF"/>
          </w:tcPr>
          <w:p>
            <w:pPr>
              <w:spacing w:after="0"/>
              <w:rPr>
                <w:sz w:val="14"/>
                <w:szCs w:val="14"/>
                <w:color w:val="auto"/>
              </w:rPr>
            </w:pPr>
          </w:p>
        </w:tc>
        <w:tc>
          <w:tcPr>
            <w:tcW w:w="1500" w:type="dxa"/>
            <w:vAlign w:val="bottom"/>
            <w:tcBorders>
              <w:bottom w:val="single" w:sz="8" w:color="EBFBFF"/>
            </w:tcBorders>
            <w:shd w:val="clear" w:color="auto" w:fill="EBFBFF"/>
          </w:tcPr>
          <w:p>
            <w:pPr>
              <w:spacing w:after="0"/>
              <w:rPr>
                <w:sz w:val="14"/>
                <w:szCs w:val="14"/>
                <w:color w:val="auto"/>
              </w:rPr>
            </w:pPr>
          </w:p>
        </w:tc>
        <w:tc>
          <w:tcPr>
            <w:tcW w:w="540" w:type="dxa"/>
            <w:vAlign w:val="bottom"/>
            <w:tcBorders>
              <w:bottom w:val="single" w:sz="8" w:color="EBFBFF"/>
            </w:tcBorders>
            <w:shd w:val="clear" w:color="auto" w:fill="EBFBFF"/>
          </w:tcPr>
          <w:p>
            <w:pPr>
              <w:spacing w:after="0"/>
              <w:rPr>
                <w:sz w:val="14"/>
                <w:szCs w:val="14"/>
                <w:color w:val="auto"/>
              </w:rPr>
            </w:pPr>
          </w:p>
        </w:tc>
        <w:tc>
          <w:tcPr>
            <w:tcW w:w="1100" w:type="dxa"/>
            <w:vAlign w:val="bottom"/>
            <w:tcBorders>
              <w:bottom w:val="single" w:sz="8" w:color="EBFBFF"/>
            </w:tcBorders>
            <w:shd w:val="clear" w:color="auto" w:fill="EBFBFF"/>
          </w:tcPr>
          <w:p>
            <w:pPr>
              <w:spacing w:after="0"/>
              <w:rPr>
                <w:sz w:val="14"/>
                <w:szCs w:val="14"/>
                <w:color w:val="auto"/>
              </w:rPr>
            </w:pPr>
          </w:p>
        </w:tc>
        <w:tc>
          <w:tcPr>
            <w:tcW w:w="20" w:type="dxa"/>
            <w:vAlign w:val="bottom"/>
          </w:tcPr>
          <w:p>
            <w:pPr>
              <w:spacing w:after="0"/>
              <w:rPr>
                <w:sz w:val="14"/>
                <w:szCs w:val="14"/>
                <w:color w:val="auto"/>
              </w:rPr>
            </w:pPr>
          </w:p>
        </w:tc>
      </w:tr>
      <w:tr>
        <w:trPr>
          <w:trHeight w:val="157"/>
        </w:trPr>
        <w:tc>
          <w:tcPr>
            <w:tcW w:w="8000" w:type="dxa"/>
            <w:vAlign w:val="bottom"/>
          </w:tcPr>
          <w:p>
            <w:pPr>
              <w:ind w:left="360"/>
              <w:spacing w:after="0" w:line="157" w:lineRule="exact"/>
              <w:rPr>
                <w:sz w:val="20"/>
                <w:szCs w:val="20"/>
                <w:color w:val="auto"/>
              </w:rPr>
            </w:pPr>
            <w:r>
              <w:rPr>
                <w:rFonts w:ascii="Calibri" w:cs="Calibri" w:eastAsia="Calibri" w:hAnsi="Calibri"/>
                <w:sz w:val="13"/>
                <w:szCs w:val="13"/>
                <w:color w:val="51555C"/>
              </w:rPr>
              <w:t>Trade accounts payable</w:t>
            </w:r>
          </w:p>
        </w:tc>
        <w:tc>
          <w:tcPr>
            <w:tcW w:w="120" w:type="dxa"/>
            <w:vAlign w:val="bottom"/>
          </w:tcPr>
          <w:p>
            <w:pPr>
              <w:jc w:val="right"/>
              <w:spacing w:after="0" w:line="157" w:lineRule="exact"/>
              <w:rPr>
                <w:sz w:val="20"/>
                <w:szCs w:val="20"/>
                <w:color w:val="auto"/>
              </w:rPr>
            </w:pPr>
            <w:r>
              <w:rPr>
                <w:rFonts w:ascii="Calibri" w:cs="Calibri" w:eastAsia="Calibri" w:hAnsi="Calibri"/>
                <w:sz w:val="13"/>
                <w:szCs w:val="13"/>
                <w:color w:val="51555C"/>
                <w:w w:val="90"/>
              </w:rPr>
              <w:t>$</w:t>
            </w:r>
          </w:p>
        </w:tc>
        <w:tc>
          <w:tcPr>
            <w:tcW w:w="1500" w:type="dxa"/>
            <w:vAlign w:val="bottom"/>
          </w:tcPr>
          <w:p>
            <w:pPr>
              <w:jc w:val="right"/>
              <w:spacing w:after="0" w:line="157" w:lineRule="exact"/>
              <w:rPr>
                <w:sz w:val="20"/>
                <w:szCs w:val="20"/>
                <w:color w:val="auto"/>
              </w:rPr>
            </w:pPr>
            <w:r>
              <w:rPr>
                <w:rFonts w:ascii="Calibri" w:cs="Calibri" w:eastAsia="Calibri" w:hAnsi="Calibri"/>
                <w:sz w:val="13"/>
                <w:szCs w:val="13"/>
                <w:color w:val="51555C"/>
              </w:rPr>
              <w:t>44,038</w:t>
            </w:r>
          </w:p>
        </w:tc>
        <w:tc>
          <w:tcPr>
            <w:tcW w:w="540" w:type="dxa"/>
            <w:vAlign w:val="bottom"/>
          </w:tcPr>
          <w:p>
            <w:pPr>
              <w:jc w:val="right"/>
              <w:ind w:right="396"/>
              <w:spacing w:after="0" w:line="157" w:lineRule="exact"/>
              <w:rPr>
                <w:sz w:val="20"/>
                <w:szCs w:val="20"/>
                <w:color w:val="auto"/>
              </w:rPr>
            </w:pPr>
            <w:r>
              <w:rPr>
                <w:rFonts w:ascii="Calibri" w:cs="Calibri" w:eastAsia="Calibri" w:hAnsi="Calibri"/>
                <w:sz w:val="13"/>
                <w:szCs w:val="13"/>
                <w:color w:val="51555C"/>
                <w:w w:val="90"/>
              </w:rPr>
              <w:t>$</w:t>
            </w:r>
          </w:p>
        </w:tc>
        <w:tc>
          <w:tcPr>
            <w:tcW w:w="1100" w:type="dxa"/>
            <w:vAlign w:val="bottom"/>
          </w:tcPr>
          <w:p>
            <w:pPr>
              <w:jc w:val="right"/>
              <w:spacing w:after="0" w:line="157" w:lineRule="exact"/>
              <w:rPr>
                <w:sz w:val="20"/>
                <w:szCs w:val="20"/>
                <w:color w:val="auto"/>
              </w:rPr>
            </w:pPr>
            <w:r>
              <w:rPr>
                <w:rFonts w:ascii="Calibri" w:cs="Calibri" w:eastAsia="Calibri" w:hAnsi="Calibri"/>
                <w:sz w:val="13"/>
                <w:szCs w:val="13"/>
                <w:color w:val="51555C"/>
              </w:rPr>
              <w:t>25,184</w:t>
            </w:r>
          </w:p>
        </w:tc>
        <w:tc>
          <w:tcPr>
            <w:tcW w:w="20" w:type="dxa"/>
            <w:vAlign w:val="bottom"/>
          </w:tcPr>
          <w:p>
            <w:pPr>
              <w:spacing w:after="0"/>
              <w:rPr>
                <w:sz w:val="13"/>
                <w:szCs w:val="13"/>
                <w:color w:val="auto"/>
              </w:rPr>
            </w:pPr>
          </w:p>
        </w:tc>
      </w:tr>
      <w:tr>
        <w:trPr>
          <w:trHeight w:val="34"/>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71"/>
        </w:trPr>
        <w:tc>
          <w:tcPr>
            <w:tcW w:w="8000" w:type="dxa"/>
            <w:vAlign w:val="bottom"/>
            <w:tcBorders>
              <w:bottom w:val="single" w:sz="8" w:color="EBFBFF"/>
            </w:tcBorders>
            <w:shd w:val="clear" w:color="auto" w:fill="EBFBFF"/>
          </w:tcPr>
          <w:p>
            <w:pPr>
              <w:ind w:left="360"/>
              <w:spacing w:after="0" w:line="157" w:lineRule="exact"/>
              <w:rPr>
                <w:sz w:val="20"/>
                <w:szCs w:val="20"/>
                <w:color w:val="auto"/>
              </w:rPr>
            </w:pPr>
            <w:r>
              <w:rPr>
                <w:rFonts w:ascii="Calibri" w:cs="Calibri" w:eastAsia="Calibri" w:hAnsi="Calibri"/>
                <w:sz w:val="13"/>
                <w:szCs w:val="13"/>
                <w:color w:val="51555C"/>
              </w:rPr>
              <w:t>Accrued expenses and other current liabilites</w:t>
            </w:r>
          </w:p>
        </w:tc>
        <w:tc>
          <w:tcPr>
            <w:tcW w:w="120" w:type="dxa"/>
            <w:vAlign w:val="bottom"/>
            <w:tcBorders>
              <w:bottom w:val="single" w:sz="8" w:color="EBFBFF"/>
            </w:tcBorders>
            <w:shd w:val="clear" w:color="auto" w:fill="EBFBFF"/>
          </w:tcPr>
          <w:p>
            <w:pPr>
              <w:spacing w:after="0"/>
              <w:rPr>
                <w:sz w:val="14"/>
                <w:szCs w:val="14"/>
                <w:color w:val="auto"/>
              </w:rPr>
            </w:pPr>
          </w:p>
        </w:tc>
        <w:tc>
          <w:tcPr>
            <w:tcW w:w="150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51,682</w:t>
            </w:r>
          </w:p>
        </w:tc>
        <w:tc>
          <w:tcPr>
            <w:tcW w:w="540" w:type="dxa"/>
            <w:vAlign w:val="bottom"/>
            <w:tcBorders>
              <w:bottom w:val="single" w:sz="8" w:color="EBFBFF"/>
            </w:tcBorders>
            <w:shd w:val="clear" w:color="auto" w:fill="EBFBFF"/>
          </w:tcPr>
          <w:p>
            <w:pPr>
              <w:spacing w:after="0"/>
              <w:rPr>
                <w:sz w:val="14"/>
                <w:szCs w:val="14"/>
                <w:color w:val="auto"/>
              </w:rPr>
            </w:pPr>
          </w:p>
        </w:tc>
        <w:tc>
          <w:tcPr>
            <w:tcW w:w="110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64,322</w:t>
            </w:r>
          </w:p>
        </w:tc>
        <w:tc>
          <w:tcPr>
            <w:tcW w:w="20" w:type="dxa"/>
            <w:vAlign w:val="bottom"/>
          </w:tcPr>
          <w:p>
            <w:pPr>
              <w:spacing w:after="0"/>
              <w:rPr>
                <w:sz w:val="14"/>
                <w:szCs w:val="14"/>
                <w:color w:val="auto"/>
              </w:rPr>
            </w:pPr>
          </w:p>
        </w:tc>
      </w:tr>
      <w:tr>
        <w:trPr>
          <w:trHeight w:val="157"/>
        </w:trPr>
        <w:tc>
          <w:tcPr>
            <w:tcW w:w="8000" w:type="dxa"/>
            <w:vAlign w:val="bottom"/>
          </w:tcPr>
          <w:p>
            <w:pPr>
              <w:ind w:left="360"/>
              <w:spacing w:after="0" w:line="157" w:lineRule="exact"/>
              <w:rPr>
                <w:sz w:val="20"/>
                <w:szCs w:val="20"/>
                <w:color w:val="auto"/>
              </w:rPr>
            </w:pPr>
            <w:r>
              <w:rPr>
                <w:rFonts w:ascii="Calibri" w:cs="Calibri" w:eastAsia="Calibri" w:hAnsi="Calibri"/>
                <w:sz w:val="13"/>
                <w:szCs w:val="13"/>
                <w:color w:val="51555C"/>
              </w:rPr>
              <w:t>Due to customers</w:t>
            </w:r>
          </w:p>
        </w:tc>
        <w:tc>
          <w:tcPr>
            <w:tcW w:w="120" w:type="dxa"/>
            <w:vAlign w:val="bottom"/>
          </w:tcPr>
          <w:p>
            <w:pPr>
              <w:spacing w:after="0"/>
              <w:rPr>
                <w:sz w:val="13"/>
                <w:szCs w:val="13"/>
                <w:color w:val="auto"/>
              </w:rPr>
            </w:pPr>
          </w:p>
        </w:tc>
        <w:tc>
          <w:tcPr>
            <w:tcW w:w="1500" w:type="dxa"/>
            <w:vAlign w:val="bottom"/>
          </w:tcPr>
          <w:p>
            <w:pPr>
              <w:jc w:val="right"/>
              <w:spacing w:after="0" w:line="157" w:lineRule="exact"/>
              <w:rPr>
                <w:sz w:val="20"/>
                <w:szCs w:val="20"/>
                <w:color w:val="auto"/>
              </w:rPr>
            </w:pPr>
            <w:r>
              <w:rPr>
                <w:rFonts w:ascii="Calibri" w:cs="Calibri" w:eastAsia="Calibri" w:hAnsi="Calibri"/>
                <w:sz w:val="13"/>
                <w:szCs w:val="13"/>
                <w:color w:val="51555C"/>
              </w:rPr>
              <w:t>802,372</w:t>
            </w:r>
          </w:p>
        </w:tc>
        <w:tc>
          <w:tcPr>
            <w:tcW w:w="540" w:type="dxa"/>
            <w:vAlign w:val="bottom"/>
          </w:tcPr>
          <w:p>
            <w:pPr>
              <w:spacing w:after="0"/>
              <w:rPr>
                <w:sz w:val="13"/>
                <w:szCs w:val="13"/>
                <w:color w:val="auto"/>
              </w:rPr>
            </w:pPr>
          </w:p>
        </w:tc>
        <w:tc>
          <w:tcPr>
            <w:tcW w:w="1100" w:type="dxa"/>
            <w:vAlign w:val="bottom"/>
          </w:tcPr>
          <w:p>
            <w:pPr>
              <w:jc w:val="right"/>
              <w:spacing w:after="0" w:line="157" w:lineRule="exact"/>
              <w:rPr>
                <w:sz w:val="20"/>
                <w:szCs w:val="20"/>
                <w:color w:val="auto"/>
              </w:rPr>
            </w:pPr>
            <w:r>
              <w:rPr>
                <w:rFonts w:ascii="Calibri" w:cs="Calibri" w:eastAsia="Calibri" w:hAnsi="Calibri"/>
                <w:sz w:val="13"/>
                <w:szCs w:val="13"/>
                <w:color w:val="51555C"/>
              </w:rPr>
              <w:t>695,842</w:t>
            </w:r>
          </w:p>
        </w:tc>
        <w:tc>
          <w:tcPr>
            <w:tcW w:w="20" w:type="dxa"/>
            <w:vAlign w:val="bottom"/>
          </w:tcPr>
          <w:p>
            <w:pPr>
              <w:spacing w:after="0"/>
              <w:rPr>
                <w:sz w:val="13"/>
                <w:szCs w:val="13"/>
                <w:color w:val="auto"/>
              </w:rPr>
            </w:pPr>
          </w:p>
        </w:tc>
      </w:tr>
      <w:tr>
        <w:trPr>
          <w:trHeight w:val="34"/>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71"/>
        </w:trPr>
        <w:tc>
          <w:tcPr>
            <w:tcW w:w="8000" w:type="dxa"/>
            <w:vAlign w:val="bottom"/>
            <w:tcBorders>
              <w:bottom w:val="single" w:sz="8" w:color="EBFBFF"/>
            </w:tcBorders>
            <w:shd w:val="clear" w:color="auto" w:fill="EBFBFF"/>
          </w:tcPr>
          <w:p>
            <w:pPr>
              <w:ind w:left="360"/>
              <w:spacing w:after="0" w:line="157" w:lineRule="exact"/>
              <w:rPr>
                <w:sz w:val="20"/>
                <w:szCs w:val="20"/>
                <w:color w:val="auto"/>
              </w:rPr>
            </w:pPr>
            <w:r>
              <w:rPr>
                <w:rFonts w:ascii="Calibri" w:cs="Calibri" w:eastAsia="Calibri" w:hAnsi="Calibri"/>
                <w:sz w:val="13"/>
                <w:szCs w:val="13"/>
                <w:color w:val="51555C"/>
              </w:rPr>
              <w:t>Debt, current porton</w:t>
            </w:r>
          </w:p>
        </w:tc>
        <w:tc>
          <w:tcPr>
            <w:tcW w:w="120" w:type="dxa"/>
            <w:vAlign w:val="bottom"/>
            <w:tcBorders>
              <w:bottom w:val="single" w:sz="8" w:color="EBFBFF"/>
            </w:tcBorders>
            <w:shd w:val="clear" w:color="auto" w:fill="EBFBFF"/>
          </w:tcPr>
          <w:p>
            <w:pPr>
              <w:spacing w:after="0"/>
              <w:rPr>
                <w:sz w:val="14"/>
                <w:szCs w:val="14"/>
                <w:color w:val="auto"/>
              </w:rPr>
            </w:pPr>
          </w:p>
        </w:tc>
        <w:tc>
          <w:tcPr>
            <w:tcW w:w="150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23,786</w:t>
            </w:r>
          </w:p>
        </w:tc>
        <w:tc>
          <w:tcPr>
            <w:tcW w:w="540" w:type="dxa"/>
            <w:vAlign w:val="bottom"/>
            <w:tcBorders>
              <w:bottom w:val="single" w:sz="8" w:color="EBFBFF"/>
            </w:tcBorders>
            <w:shd w:val="clear" w:color="auto" w:fill="EBFBFF"/>
          </w:tcPr>
          <w:p>
            <w:pPr>
              <w:spacing w:after="0"/>
              <w:rPr>
                <w:sz w:val="14"/>
                <w:szCs w:val="14"/>
                <w:color w:val="auto"/>
              </w:rPr>
            </w:pPr>
          </w:p>
        </w:tc>
        <w:tc>
          <w:tcPr>
            <w:tcW w:w="110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19,259</w:t>
            </w:r>
          </w:p>
        </w:tc>
        <w:tc>
          <w:tcPr>
            <w:tcW w:w="20" w:type="dxa"/>
            <w:vAlign w:val="bottom"/>
          </w:tcPr>
          <w:p>
            <w:pPr>
              <w:spacing w:after="0"/>
              <w:rPr>
                <w:sz w:val="14"/>
                <w:szCs w:val="14"/>
                <w:color w:val="auto"/>
              </w:rPr>
            </w:pPr>
          </w:p>
        </w:tc>
      </w:tr>
      <w:tr>
        <w:trPr>
          <w:trHeight w:val="157"/>
        </w:trPr>
        <w:tc>
          <w:tcPr>
            <w:tcW w:w="8000" w:type="dxa"/>
            <w:vAlign w:val="bottom"/>
          </w:tcPr>
          <w:p>
            <w:pPr>
              <w:ind w:left="360"/>
              <w:spacing w:after="0" w:line="157" w:lineRule="exact"/>
              <w:rPr>
                <w:sz w:val="20"/>
                <w:szCs w:val="20"/>
                <w:color w:val="auto"/>
              </w:rPr>
            </w:pPr>
            <w:r>
              <w:rPr>
                <w:rFonts w:ascii="Calibri" w:cs="Calibri" w:eastAsia="Calibri" w:hAnsi="Calibri"/>
                <w:sz w:val="13"/>
                <w:szCs w:val="13"/>
                <w:color w:val="51555C"/>
              </w:rPr>
              <w:t>Deferred revenue, current porton</w:t>
            </w:r>
          </w:p>
        </w:tc>
        <w:tc>
          <w:tcPr>
            <w:tcW w:w="120" w:type="dxa"/>
            <w:vAlign w:val="bottom"/>
          </w:tcPr>
          <w:p>
            <w:pPr>
              <w:spacing w:after="0"/>
              <w:rPr>
                <w:sz w:val="13"/>
                <w:szCs w:val="13"/>
                <w:color w:val="auto"/>
              </w:rPr>
            </w:pPr>
          </w:p>
        </w:tc>
        <w:tc>
          <w:tcPr>
            <w:tcW w:w="1500" w:type="dxa"/>
            <w:vAlign w:val="bottom"/>
          </w:tcPr>
          <w:p>
            <w:pPr>
              <w:jc w:val="right"/>
              <w:spacing w:after="0" w:line="157" w:lineRule="exact"/>
              <w:rPr>
                <w:sz w:val="20"/>
                <w:szCs w:val="20"/>
                <w:color w:val="auto"/>
              </w:rPr>
            </w:pPr>
            <w:r>
              <w:rPr>
                <w:rFonts w:ascii="Calibri" w:cs="Calibri" w:eastAsia="Calibri" w:hAnsi="Calibri"/>
                <w:sz w:val="13"/>
                <w:szCs w:val="13"/>
                <w:color w:val="51555C"/>
              </w:rPr>
              <w:t>427,098</w:t>
            </w:r>
          </w:p>
        </w:tc>
        <w:tc>
          <w:tcPr>
            <w:tcW w:w="540" w:type="dxa"/>
            <w:vAlign w:val="bottom"/>
          </w:tcPr>
          <w:p>
            <w:pPr>
              <w:spacing w:after="0"/>
              <w:rPr>
                <w:sz w:val="13"/>
                <w:szCs w:val="13"/>
                <w:color w:val="auto"/>
              </w:rPr>
            </w:pPr>
          </w:p>
        </w:tc>
        <w:tc>
          <w:tcPr>
            <w:tcW w:w="1100" w:type="dxa"/>
            <w:vAlign w:val="bottom"/>
          </w:tcPr>
          <w:p>
            <w:pPr>
              <w:jc w:val="right"/>
              <w:spacing w:after="0" w:line="157" w:lineRule="exact"/>
              <w:rPr>
                <w:sz w:val="20"/>
                <w:szCs w:val="20"/>
                <w:color w:val="auto"/>
              </w:rPr>
            </w:pPr>
            <w:r>
              <w:rPr>
                <w:rFonts w:ascii="Calibri" w:cs="Calibri" w:eastAsia="Calibri" w:hAnsi="Calibri"/>
                <w:sz w:val="13"/>
                <w:szCs w:val="13"/>
                <w:color w:val="51555C"/>
              </w:rPr>
              <w:t>392,530</w:t>
            </w:r>
          </w:p>
        </w:tc>
        <w:tc>
          <w:tcPr>
            <w:tcW w:w="20" w:type="dxa"/>
            <w:vAlign w:val="bottom"/>
          </w:tcPr>
          <w:p>
            <w:pPr>
              <w:spacing w:after="0"/>
              <w:rPr>
                <w:sz w:val="13"/>
                <w:szCs w:val="13"/>
                <w:color w:val="auto"/>
              </w:rPr>
            </w:pPr>
          </w:p>
        </w:tc>
      </w:tr>
      <w:tr>
        <w:trPr>
          <w:trHeight w:val="34"/>
        </w:trPr>
        <w:tc>
          <w:tcPr>
            <w:tcW w:w="8000" w:type="dxa"/>
            <w:vAlign w:val="bottom"/>
            <w:tcBorders>
              <w:bottom w:val="single" w:sz="8" w:color="EBFBFF"/>
            </w:tcBorders>
          </w:tcPr>
          <w:p>
            <w:pPr>
              <w:spacing w:after="0"/>
              <w:rPr>
                <w:sz w:val="2"/>
                <w:szCs w:val="2"/>
                <w:color w:val="auto"/>
              </w:rPr>
            </w:pPr>
          </w:p>
        </w:tc>
        <w:tc>
          <w:tcPr>
            <w:tcW w:w="120" w:type="dxa"/>
            <w:vAlign w:val="bottom"/>
            <w:tcBorders>
              <w:bottom w:val="single" w:sz="8" w:color="51555C"/>
            </w:tcBorders>
          </w:tcPr>
          <w:p>
            <w:pPr>
              <w:spacing w:after="0"/>
              <w:rPr>
                <w:sz w:val="2"/>
                <w:szCs w:val="2"/>
                <w:color w:val="auto"/>
              </w:rPr>
            </w:pPr>
          </w:p>
        </w:tc>
        <w:tc>
          <w:tcPr>
            <w:tcW w:w="1500" w:type="dxa"/>
            <w:vAlign w:val="bottom"/>
            <w:tcBorders>
              <w:bottom w:val="single" w:sz="8" w:color="51555C"/>
            </w:tcBorders>
          </w:tcPr>
          <w:p>
            <w:pPr>
              <w:spacing w:after="0"/>
              <w:rPr>
                <w:sz w:val="2"/>
                <w:szCs w:val="2"/>
                <w:color w:val="auto"/>
              </w:rPr>
            </w:pPr>
          </w:p>
        </w:tc>
        <w:tc>
          <w:tcPr>
            <w:tcW w:w="540" w:type="dxa"/>
            <w:vAlign w:val="bottom"/>
            <w:tcBorders>
              <w:bottom w:val="single" w:sz="8" w:color="51555C"/>
            </w:tcBorders>
          </w:tcPr>
          <w:p>
            <w:pPr>
              <w:spacing w:after="0"/>
              <w:rPr>
                <w:sz w:val="2"/>
                <w:szCs w:val="2"/>
                <w:color w:val="auto"/>
              </w:rPr>
            </w:pPr>
          </w:p>
        </w:tc>
        <w:tc>
          <w:tcPr>
            <w:tcW w:w="1100" w:type="dxa"/>
            <w:vAlign w:val="bottom"/>
            <w:tcBorders>
              <w:bottom w:val="single" w:sz="8" w:color="51555C"/>
            </w:tcBorders>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8000" w:type="dxa"/>
            <w:vAlign w:val="bottom"/>
            <w:tcBorders>
              <w:bottom w:val="single" w:sz="8" w:color="EBFBFF"/>
            </w:tcBorders>
            <w:shd w:val="clear" w:color="auto" w:fill="EBFBFF"/>
          </w:tcPr>
          <w:p>
            <w:pPr>
              <w:ind w:left="520"/>
              <w:spacing w:after="0" w:line="137" w:lineRule="exact"/>
              <w:rPr>
                <w:sz w:val="20"/>
                <w:szCs w:val="20"/>
                <w:color w:val="auto"/>
              </w:rPr>
            </w:pPr>
            <w:r>
              <w:rPr>
                <w:rFonts w:ascii="Calibri" w:cs="Calibri" w:eastAsia="Calibri" w:hAnsi="Calibri"/>
                <w:sz w:val="13"/>
                <w:szCs w:val="13"/>
                <w:color w:val="51555C"/>
              </w:rPr>
              <w:t>Total current liabilites</w:t>
            </w:r>
          </w:p>
        </w:tc>
        <w:tc>
          <w:tcPr>
            <w:tcW w:w="120" w:type="dxa"/>
            <w:vAlign w:val="bottom"/>
            <w:tcBorders>
              <w:bottom w:val="single" w:sz="8" w:color="EBFBFF"/>
            </w:tcBorders>
            <w:shd w:val="clear" w:color="auto" w:fill="EBFBFF"/>
          </w:tcPr>
          <w:p>
            <w:pPr>
              <w:spacing w:after="0"/>
              <w:rPr>
                <w:sz w:val="14"/>
                <w:szCs w:val="14"/>
                <w:color w:val="auto"/>
              </w:rPr>
            </w:pPr>
          </w:p>
        </w:tc>
        <w:tc>
          <w:tcPr>
            <w:tcW w:w="1500" w:type="dxa"/>
            <w:vAlign w:val="bottom"/>
            <w:tcBorders>
              <w:bottom w:val="single" w:sz="8" w:color="EBFBFF"/>
            </w:tcBorders>
            <w:shd w:val="clear" w:color="auto" w:fill="EBFBFF"/>
          </w:tcPr>
          <w:p>
            <w:pPr>
              <w:jc w:val="right"/>
              <w:spacing w:after="0" w:line="148" w:lineRule="exact"/>
              <w:rPr>
                <w:sz w:val="20"/>
                <w:szCs w:val="20"/>
                <w:color w:val="auto"/>
              </w:rPr>
            </w:pPr>
            <w:r>
              <w:rPr>
                <w:rFonts w:ascii="Calibri" w:cs="Calibri" w:eastAsia="Calibri" w:hAnsi="Calibri"/>
                <w:sz w:val="13"/>
                <w:szCs w:val="13"/>
                <w:color w:val="51555C"/>
              </w:rPr>
              <w:t>1,348,976</w:t>
            </w:r>
          </w:p>
        </w:tc>
        <w:tc>
          <w:tcPr>
            <w:tcW w:w="540" w:type="dxa"/>
            <w:vAlign w:val="bottom"/>
            <w:tcBorders>
              <w:bottom w:val="single" w:sz="8" w:color="EBFBFF"/>
            </w:tcBorders>
            <w:shd w:val="clear" w:color="auto" w:fill="EBFBFF"/>
          </w:tcPr>
          <w:p>
            <w:pPr>
              <w:spacing w:after="0"/>
              <w:rPr>
                <w:sz w:val="14"/>
                <w:szCs w:val="14"/>
                <w:color w:val="auto"/>
              </w:rPr>
            </w:pPr>
          </w:p>
        </w:tc>
        <w:tc>
          <w:tcPr>
            <w:tcW w:w="1100" w:type="dxa"/>
            <w:vAlign w:val="bottom"/>
            <w:tcBorders>
              <w:bottom w:val="single" w:sz="8" w:color="EBFBFF"/>
            </w:tcBorders>
            <w:shd w:val="clear" w:color="auto" w:fill="EBFBFF"/>
          </w:tcPr>
          <w:p>
            <w:pPr>
              <w:jc w:val="right"/>
              <w:spacing w:after="0" w:line="148" w:lineRule="exact"/>
              <w:rPr>
                <w:sz w:val="20"/>
                <w:szCs w:val="20"/>
                <w:color w:val="auto"/>
              </w:rPr>
            </w:pPr>
            <w:r>
              <w:rPr>
                <w:rFonts w:ascii="Calibri" w:cs="Calibri" w:eastAsia="Calibri" w:hAnsi="Calibri"/>
                <w:sz w:val="13"/>
                <w:szCs w:val="13"/>
                <w:color w:val="51555C"/>
              </w:rPr>
              <w:t>1,197,137</w:t>
            </w:r>
          </w:p>
        </w:tc>
        <w:tc>
          <w:tcPr>
            <w:tcW w:w="20" w:type="dxa"/>
            <w:vAlign w:val="bottom"/>
          </w:tcPr>
          <w:p>
            <w:pPr>
              <w:spacing w:after="0"/>
              <w:rPr>
                <w:sz w:val="14"/>
                <w:szCs w:val="14"/>
                <w:color w:val="auto"/>
              </w:rPr>
            </w:pPr>
          </w:p>
        </w:tc>
      </w:tr>
      <w:tr>
        <w:trPr>
          <w:trHeight w:val="157"/>
        </w:trPr>
        <w:tc>
          <w:tcPr>
            <w:tcW w:w="8000" w:type="dxa"/>
            <w:vAlign w:val="bottom"/>
          </w:tcPr>
          <w:p>
            <w:pPr>
              <w:ind w:left="180"/>
              <w:spacing w:after="0" w:line="157" w:lineRule="exact"/>
              <w:rPr>
                <w:sz w:val="20"/>
                <w:szCs w:val="20"/>
                <w:color w:val="auto"/>
              </w:rPr>
            </w:pPr>
            <w:r>
              <w:rPr>
                <w:rFonts w:ascii="Calibri" w:cs="Calibri" w:eastAsia="Calibri" w:hAnsi="Calibri"/>
                <w:sz w:val="13"/>
                <w:szCs w:val="13"/>
                <w:color w:val="51555C"/>
              </w:rPr>
              <w:t>Debt, net of current porton</w:t>
            </w:r>
          </w:p>
        </w:tc>
        <w:tc>
          <w:tcPr>
            <w:tcW w:w="120" w:type="dxa"/>
            <w:vAlign w:val="bottom"/>
          </w:tcPr>
          <w:p>
            <w:pPr>
              <w:spacing w:after="0"/>
              <w:rPr>
                <w:sz w:val="13"/>
                <w:szCs w:val="13"/>
                <w:color w:val="auto"/>
              </w:rPr>
            </w:pPr>
          </w:p>
        </w:tc>
        <w:tc>
          <w:tcPr>
            <w:tcW w:w="1500" w:type="dxa"/>
            <w:vAlign w:val="bottom"/>
          </w:tcPr>
          <w:p>
            <w:pPr>
              <w:jc w:val="right"/>
              <w:spacing w:after="0" w:line="157" w:lineRule="exact"/>
              <w:rPr>
                <w:sz w:val="20"/>
                <w:szCs w:val="20"/>
                <w:color w:val="auto"/>
              </w:rPr>
            </w:pPr>
            <w:r>
              <w:rPr>
                <w:rFonts w:ascii="Calibri" w:cs="Calibri" w:eastAsia="Calibri" w:hAnsi="Calibri"/>
                <w:sz w:val="13"/>
                <w:szCs w:val="13"/>
                <w:color w:val="51555C"/>
              </w:rPr>
              <w:t>998,071</w:t>
            </w:r>
          </w:p>
        </w:tc>
        <w:tc>
          <w:tcPr>
            <w:tcW w:w="540" w:type="dxa"/>
            <w:vAlign w:val="bottom"/>
          </w:tcPr>
          <w:p>
            <w:pPr>
              <w:spacing w:after="0"/>
              <w:rPr>
                <w:sz w:val="13"/>
                <w:szCs w:val="13"/>
                <w:color w:val="auto"/>
              </w:rPr>
            </w:pPr>
          </w:p>
        </w:tc>
        <w:tc>
          <w:tcPr>
            <w:tcW w:w="1100" w:type="dxa"/>
            <w:vAlign w:val="bottom"/>
          </w:tcPr>
          <w:p>
            <w:pPr>
              <w:jc w:val="right"/>
              <w:spacing w:after="0" w:line="157" w:lineRule="exact"/>
              <w:rPr>
                <w:sz w:val="20"/>
                <w:szCs w:val="20"/>
                <w:color w:val="auto"/>
              </w:rPr>
            </w:pPr>
            <w:r>
              <w:rPr>
                <w:rFonts w:ascii="Calibri" w:cs="Calibri" w:eastAsia="Calibri" w:hAnsi="Calibri"/>
                <w:sz w:val="13"/>
                <w:szCs w:val="13"/>
                <w:color w:val="51555C"/>
              </w:rPr>
              <w:t>760,405</w:t>
            </w:r>
          </w:p>
        </w:tc>
        <w:tc>
          <w:tcPr>
            <w:tcW w:w="20" w:type="dxa"/>
            <w:vAlign w:val="bottom"/>
          </w:tcPr>
          <w:p>
            <w:pPr>
              <w:spacing w:after="0"/>
              <w:rPr>
                <w:sz w:val="13"/>
                <w:szCs w:val="13"/>
                <w:color w:val="auto"/>
              </w:rPr>
            </w:pPr>
          </w:p>
        </w:tc>
      </w:tr>
      <w:tr>
        <w:trPr>
          <w:trHeight w:val="34"/>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71"/>
        </w:trPr>
        <w:tc>
          <w:tcPr>
            <w:tcW w:w="8000" w:type="dxa"/>
            <w:vAlign w:val="bottom"/>
            <w:tcBorders>
              <w:bottom w:val="single" w:sz="8" w:color="EBFBFF"/>
            </w:tcBorders>
            <w:shd w:val="clear" w:color="auto" w:fill="EBFBFF"/>
          </w:tcPr>
          <w:p>
            <w:pPr>
              <w:ind w:left="180"/>
              <w:spacing w:after="0" w:line="157" w:lineRule="exact"/>
              <w:rPr>
                <w:sz w:val="20"/>
                <w:szCs w:val="20"/>
                <w:color w:val="auto"/>
              </w:rPr>
            </w:pPr>
            <w:r>
              <w:rPr>
                <w:rFonts w:ascii="Calibri" w:cs="Calibri" w:eastAsia="Calibri" w:hAnsi="Calibri"/>
                <w:sz w:val="13"/>
                <w:szCs w:val="13"/>
                <w:color w:val="51555C"/>
              </w:rPr>
              <w:t>Deferred tax liability</w:t>
            </w:r>
          </w:p>
        </w:tc>
        <w:tc>
          <w:tcPr>
            <w:tcW w:w="120" w:type="dxa"/>
            <w:vAlign w:val="bottom"/>
            <w:tcBorders>
              <w:bottom w:val="single" w:sz="8" w:color="EBFBFF"/>
            </w:tcBorders>
            <w:shd w:val="clear" w:color="auto" w:fill="EBFBFF"/>
          </w:tcPr>
          <w:p>
            <w:pPr>
              <w:spacing w:after="0"/>
              <w:rPr>
                <w:sz w:val="14"/>
                <w:szCs w:val="14"/>
                <w:color w:val="auto"/>
              </w:rPr>
            </w:pPr>
          </w:p>
        </w:tc>
        <w:tc>
          <w:tcPr>
            <w:tcW w:w="150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75,397</w:t>
            </w:r>
          </w:p>
        </w:tc>
        <w:tc>
          <w:tcPr>
            <w:tcW w:w="540" w:type="dxa"/>
            <w:vAlign w:val="bottom"/>
            <w:tcBorders>
              <w:bottom w:val="single" w:sz="8" w:color="EBFBFF"/>
            </w:tcBorders>
            <w:shd w:val="clear" w:color="auto" w:fill="EBFBFF"/>
          </w:tcPr>
          <w:p>
            <w:pPr>
              <w:spacing w:after="0"/>
              <w:rPr>
                <w:sz w:val="14"/>
                <w:szCs w:val="14"/>
                <w:color w:val="auto"/>
              </w:rPr>
            </w:pPr>
          </w:p>
        </w:tc>
        <w:tc>
          <w:tcPr>
            <w:tcW w:w="110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93,292</w:t>
            </w:r>
          </w:p>
        </w:tc>
        <w:tc>
          <w:tcPr>
            <w:tcW w:w="20" w:type="dxa"/>
            <w:vAlign w:val="bottom"/>
          </w:tcPr>
          <w:p>
            <w:pPr>
              <w:spacing w:after="0"/>
              <w:rPr>
                <w:sz w:val="14"/>
                <w:szCs w:val="14"/>
                <w:color w:val="auto"/>
              </w:rPr>
            </w:pPr>
          </w:p>
        </w:tc>
      </w:tr>
      <w:tr>
        <w:trPr>
          <w:trHeight w:val="157"/>
        </w:trPr>
        <w:tc>
          <w:tcPr>
            <w:tcW w:w="8000" w:type="dxa"/>
            <w:vAlign w:val="bottom"/>
          </w:tcPr>
          <w:p>
            <w:pPr>
              <w:ind w:left="180"/>
              <w:spacing w:after="0" w:line="157" w:lineRule="exact"/>
              <w:rPr>
                <w:sz w:val="20"/>
                <w:szCs w:val="20"/>
                <w:color w:val="auto"/>
              </w:rPr>
            </w:pPr>
            <w:r>
              <w:rPr>
                <w:rFonts w:ascii="Calibri" w:cs="Calibri" w:eastAsia="Calibri" w:hAnsi="Calibri"/>
                <w:sz w:val="13"/>
                <w:szCs w:val="13"/>
                <w:color w:val="51555C"/>
              </w:rPr>
              <w:t>Deferred revenue, net of current porton</w:t>
            </w:r>
          </w:p>
        </w:tc>
        <w:tc>
          <w:tcPr>
            <w:tcW w:w="120" w:type="dxa"/>
            <w:vAlign w:val="bottom"/>
          </w:tcPr>
          <w:p>
            <w:pPr>
              <w:spacing w:after="0"/>
              <w:rPr>
                <w:sz w:val="13"/>
                <w:szCs w:val="13"/>
                <w:color w:val="auto"/>
              </w:rPr>
            </w:pPr>
          </w:p>
        </w:tc>
        <w:tc>
          <w:tcPr>
            <w:tcW w:w="1500" w:type="dxa"/>
            <w:vAlign w:val="bottom"/>
          </w:tcPr>
          <w:p>
            <w:pPr>
              <w:jc w:val="right"/>
              <w:spacing w:after="0" w:line="157" w:lineRule="exact"/>
              <w:rPr>
                <w:sz w:val="20"/>
                <w:szCs w:val="20"/>
                <w:color w:val="auto"/>
              </w:rPr>
            </w:pPr>
            <w:r>
              <w:rPr>
                <w:rFonts w:ascii="Calibri" w:cs="Calibri" w:eastAsia="Calibri" w:hAnsi="Calibri"/>
                <w:sz w:val="13"/>
                <w:szCs w:val="13"/>
                <w:color w:val="51555C"/>
              </w:rPr>
              <w:t>2,315</w:t>
            </w:r>
          </w:p>
        </w:tc>
        <w:tc>
          <w:tcPr>
            <w:tcW w:w="540" w:type="dxa"/>
            <w:vAlign w:val="bottom"/>
          </w:tcPr>
          <w:p>
            <w:pPr>
              <w:spacing w:after="0"/>
              <w:rPr>
                <w:sz w:val="13"/>
                <w:szCs w:val="13"/>
                <w:color w:val="auto"/>
              </w:rPr>
            </w:pPr>
          </w:p>
        </w:tc>
        <w:tc>
          <w:tcPr>
            <w:tcW w:w="1100" w:type="dxa"/>
            <w:vAlign w:val="bottom"/>
          </w:tcPr>
          <w:p>
            <w:pPr>
              <w:jc w:val="right"/>
              <w:spacing w:after="0" w:line="157" w:lineRule="exact"/>
              <w:rPr>
                <w:sz w:val="20"/>
                <w:szCs w:val="20"/>
                <w:color w:val="auto"/>
              </w:rPr>
            </w:pPr>
            <w:r>
              <w:rPr>
                <w:rFonts w:ascii="Calibri" w:cs="Calibri" w:eastAsia="Calibri" w:hAnsi="Calibri"/>
                <w:sz w:val="13"/>
                <w:szCs w:val="13"/>
                <w:color w:val="51555C"/>
              </w:rPr>
              <w:t>2,397</w:t>
            </w:r>
          </w:p>
        </w:tc>
        <w:tc>
          <w:tcPr>
            <w:tcW w:w="20" w:type="dxa"/>
            <w:vAlign w:val="bottom"/>
          </w:tcPr>
          <w:p>
            <w:pPr>
              <w:spacing w:after="0"/>
              <w:rPr>
                <w:sz w:val="13"/>
                <w:szCs w:val="13"/>
                <w:color w:val="auto"/>
              </w:rPr>
            </w:pPr>
          </w:p>
        </w:tc>
      </w:tr>
      <w:tr>
        <w:trPr>
          <w:trHeight w:val="34"/>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71"/>
        </w:trPr>
        <w:tc>
          <w:tcPr>
            <w:tcW w:w="8000" w:type="dxa"/>
            <w:vAlign w:val="bottom"/>
            <w:tcBorders>
              <w:bottom w:val="single" w:sz="8" w:color="EBFBFF"/>
            </w:tcBorders>
            <w:shd w:val="clear" w:color="auto" w:fill="EBFBFF"/>
          </w:tcPr>
          <w:p>
            <w:pPr>
              <w:ind w:left="180"/>
              <w:spacing w:after="0" w:line="157" w:lineRule="exact"/>
              <w:rPr>
                <w:sz w:val="20"/>
                <w:szCs w:val="20"/>
                <w:color w:val="auto"/>
              </w:rPr>
            </w:pPr>
            <w:r>
              <w:rPr>
                <w:rFonts w:ascii="Calibri" w:cs="Calibri" w:eastAsia="Calibri" w:hAnsi="Calibri"/>
                <w:sz w:val="13"/>
                <w:szCs w:val="13"/>
                <w:color w:val="51555C"/>
              </w:rPr>
              <w:t>Operatng lease liabilites, net of current porton</w:t>
            </w:r>
          </w:p>
        </w:tc>
        <w:tc>
          <w:tcPr>
            <w:tcW w:w="120" w:type="dxa"/>
            <w:vAlign w:val="bottom"/>
            <w:tcBorders>
              <w:bottom w:val="single" w:sz="8" w:color="EBFBFF"/>
            </w:tcBorders>
            <w:shd w:val="clear" w:color="auto" w:fill="EBFBFF"/>
          </w:tcPr>
          <w:p>
            <w:pPr>
              <w:spacing w:after="0"/>
              <w:rPr>
                <w:sz w:val="14"/>
                <w:szCs w:val="14"/>
                <w:color w:val="auto"/>
              </w:rPr>
            </w:pPr>
          </w:p>
        </w:tc>
        <w:tc>
          <w:tcPr>
            <w:tcW w:w="150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36,290</w:t>
            </w:r>
          </w:p>
        </w:tc>
        <w:tc>
          <w:tcPr>
            <w:tcW w:w="540" w:type="dxa"/>
            <w:vAlign w:val="bottom"/>
            <w:tcBorders>
              <w:bottom w:val="single" w:sz="8" w:color="EBFBFF"/>
            </w:tcBorders>
            <w:shd w:val="clear" w:color="auto" w:fill="EBFBFF"/>
          </w:tcPr>
          <w:p>
            <w:pPr>
              <w:spacing w:after="0"/>
              <w:rPr>
                <w:sz w:val="14"/>
                <w:szCs w:val="14"/>
                <w:color w:val="auto"/>
              </w:rPr>
            </w:pPr>
          </w:p>
        </w:tc>
        <w:tc>
          <w:tcPr>
            <w:tcW w:w="110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40,085</w:t>
            </w:r>
          </w:p>
        </w:tc>
        <w:tc>
          <w:tcPr>
            <w:tcW w:w="20" w:type="dxa"/>
            <w:vAlign w:val="bottom"/>
          </w:tcPr>
          <w:p>
            <w:pPr>
              <w:spacing w:after="0"/>
              <w:rPr>
                <w:sz w:val="14"/>
                <w:szCs w:val="14"/>
                <w:color w:val="auto"/>
              </w:rPr>
            </w:pPr>
          </w:p>
        </w:tc>
      </w:tr>
      <w:tr>
        <w:trPr>
          <w:trHeight w:val="157"/>
        </w:trPr>
        <w:tc>
          <w:tcPr>
            <w:tcW w:w="8000" w:type="dxa"/>
            <w:vAlign w:val="bottom"/>
          </w:tcPr>
          <w:p>
            <w:pPr>
              <w:ind w:left="180"/>
              <w:spacing w:after="0" w:line="157" w:lineRule="exact"/>
              <w:rPr>
                <w:sz w:val="20"/>
                <w:szCs w:val="20"/>
                <w:color w:val="auto"/>
              </w:rPr>
            </w:pPr>
            <w:r>
              <w:rPr>
                <w:rFonts w:ascii="Calibri" w:cs="Calibri" w:eastAsia="Calibri" w:hAnsi="Calibri"/>
                <w:sz w:val="13"/>
                <w:szCs w:val="13"/>
                <w:color w:val="51555C"/>
              </w:rPr>
              <w:t>Other liabilites</w:t>
            </w:r>
          </w:p>
        </w:tc>
        <w:tc>
          <w:tcPr>
            <w:tcW w:w="120" w:type="dxa"/>
            <w:vAlign w:val="bottom"/>
          </w:tcPr>
          <w:p>
            <w:pPr>
              <w:spacing w:after="0"/>
              <w:rPr>
                <w:sz w:val="13"/>
                <w:szCs w:val="13"/>
                <w:color w:val="auto"/>
              </w:rPr>
            </w:pPr>
          </w:p>
        </w:tc>
        <w:tc>
          <w:tcPr>
            <w:tcW w:w="1500" w:type="dxa"/>
            <w:vAlign w:val="bottom"/>
          </w:tcPr>
          <w:p>
            <w:pPr>
              <w:jc w:val="right"/>
              <w:spacing w:after="0" w:line="157" w:lineRule="exact"/>
              <w:rPr>
                <w:sz w:val="20"/>
                <w:szCs w:val="20"/>
                <w:color w:val="auto"/>
              </w:rPr>
            </w:pPr>
            <w:r>
              <w:rPr>
                <w:rFonts w:ascii="Calibri" w:cs="Calibri" w:eastAsia="Calibri" w:hAnsi="Calibri"/>
                <w:sz w:val="13"/>
                <w:szCs w:val="13"/>
                <w:color w:val="51555C"/>
              </w:rPr>
              <w:t>4,362</w:t>
            </w:r>
          </w:p>
        </w:tc>
        <w:tc>
          <w:tcPr>
            <w:tcW w:w="540" w:type="dxa"/>
            <w:vAlign w:val="bottom"/>
          </w:tcPr>
          <w:p>
            <w:pPr>
              <w:spacing w:after="0"/>
              <w:rPr>
                <w:sz w:val="13"/>
                <w:szCs w:val="13"/>
                <w:color w:val="auto"/>
              </w:rPr>
            </w:pPr>
          </w:p>
        </w:tc>
        <w:tc>
          <w:tcPr>
            <w:tcW w:w="1100" w:type="dxa"/>
            <w:vAlign w:val="bottom"/>
          </w:tcPr>
          <w:p>
            <w:pPr>
              <w:jc w:val="right"/>
              <w:spacing w:after="0" w:line="157" w:lineRule="exact"/>
              <w:rPr>
                <w:sz w:val="20"/>
                <w:szCs w:val="20"/>
                <w:color w:val="auto"/>
              </w:rPr>
            </w:pPr>
            <w:r>
              <w:rPr>
                <w:rFonts w:ascii="Calibri" w:cs="Calibri" w:eastAsia="Calibri" w:hAnsi="Calibri"/>
                <w:sz w:val="13"/>
                <w:szCs w:val="13"/>
                <w:color w:val="51555C"/>
              </w:rPr>
              <w:t>10,258</w:t>
            </w:r>
          </w:p>
        </w:tc>
        <w:tc>
          <w:tcPr>
            <w:tcW w:w="20" w:type="dxa"/>
            <w:vAlign w:val="bottom"/>
          </w:tcPr>
          <w:p>
            <w:pPr>
              <w:spacing w:after="0"/>
              <w:rPr>
                <w:sz w:val="13"/>
                <w:szCs w:val="13"/>
                <w:color w:val="auto"/>
              </w:rPr>
            </w:pPr>
          </w:p>
        </w:tc>
      </w:tr>
      <w:tr>
        <w:trPr>
          <w:trHeight w:val="34"/>
        </w:trPr>
        <w:tc>
          <w:tcPr>
            <w:tcW w:w="8000" w:type="dxa"/>
            <w:vAlign w:val="bottom"/>
            <w:tcBorders>
              <w:bottom w:val="single" w:sz="8" w:color="EBFBFF"/>
            </w:tcBorders>
          </w:tcPr>
          <w:p>
            <w:pPr>
              <w:spacing w:after="0"/>
              <w:rPr>
                <w:sz w:val="2"/>
                <w:szCs w:val="2"/>
                <w:color w:val="auto"/>
              </w:rPr>
            </w:pPr>
          </w:p>
        </w:tc>
        <w:tc>
          <w:tcPr>
            <w:tcW w:w="120" w:type="dxa"/>
            <w:vAlign w:val="bottom"/>
            <w:tcBorders>
              <w:bottom w:val="single" w:sz="8" w:color="51555C"/>
            </w:tcBorders>
          </w:tcPr>
          <w:p>
            <w:pPr>
              <w:spacing w:after="0"/>
              <w:rPr>
                <w:sz w:val="2"/>
                <w:szCs w:val="2"/>
                <w:color w:val="auto"/>
              </w:rPr>
            </w:pPr>
          </w:p>
        </w:tc>
        <w:tc>
          <w:tcPr>
            <w:tcW w:w="1500" w:type="dxa"/>
            <w:vAlign w:val="bottom"/>
            <w:tcBorders>
              <w:bottom w:val="single" w:sz="8" w:color="51555C"/>
            </w:tcBorders>
          </w:tcPr>
          <w:p>
            <w:pPr>
              <w:spacing w:after="0"/>
              <w:rPr>
                <w:sz w:val="2"/>
                <w:szCs w:val="2"/>
                <w:color w:val="auto"/>
              </w:rPr>
            </w:pPr>
          </w:p>
        </w:tc>
        <w:tc>
          <w:tcPr>
            <w:tcW w:w="540" w:type="dxa"/>
            <w:vAlign w:val="bottom"/>
            <w:tcBorders>
              <w:bottom w:val="single" w:sz="8" w:color="51555C"/>
            </w:tcBorders>
          </w:tcPr>
          <w:p>
            <w:pPr>
              <w:spacing w:after="0"/>
              <w:rPr>
                <w:sz w:val="2"/>
                <w:szCs w:val="2"/>
                <w:color w:val="auto"/>
              </w:rPr>
            </w:pPr>
          </w:p>
        </w:tc>
        <w:tc>
          <w:tcPr>
            <w:tcW w:w="1100" w:type="dxa"/>
            <w:vAlign w:val="bottom"/>
            <w:tcBorders>
              <w:bottom w:val="single" w:sz="8" w:color="51555C"/>
            </w:tcBorders>
          </w:tcPr>
          <w:p>
            <w:pPr>
              <w:spacing w:after="0"/>
              <w:rPr>
                <w:sz w:val="2"/>
                <w:szCs w:val="2"/>
                <w:color w:val="auto"/>
              </w:rPr>
            </w:pPr>
          </w:p>
        </w:tc>
        <w:tc>
          <w:tcPr>
            <w:tcW w:w="20" w:type="dxa"/>
            <w:vAlign w:val="bottom"/>
          </w:tcPr>
          <w:p>
            <w:pPr>
              <w:spacing w:after="0"/>
              <w:rPr>
                <w:sz w:val="2"/>
                <w:szCs w:val="2"/>
                <w:color w:val="auto"/>
              </w:rPr>
            </w:pPr>
          </w:p>
        </w:tc>
      </w:tr>
      <w:tr>
        <w:trPr>
          <w:trHeight w:val="182"/>
        </w:trPr>
        <w:tc>
          <w:tcPr>
            <w:tcW w:w="8000" w:type="dxa"/>
            <w:vAlign w:val="bottom"/>
            <w:tcBorders>
              <w:bottom w:val="single" w:sz="8" w:color="EBFBFF"/>
            </w:tcBorders>
            <w:shd w:val="clear" w:color="auto" w:fill="EBFBFF"/>
          </w:tcPr>
          <w:p>
            <w:pPr>
              <w:ind w:left="700"/>
              <w:spacing w:after="0" w:line="137" w:lineRule="exact"/>
              <w:rPr>
                <w:sz w:val="20"/>
                <w:szCs w:val="20"/>
                <w:color w:val="auto"/>
              </w:rPr>
            </w:pPr>
            <w:r>
              <w:rPr>
                <w:rFonts w:ascii="Calibri" w:cs="Calibri" w:eastAsia="Calibri" w:hAnsi="Calibri"/>
                <w:sz w:val="13"/>
                <w:szCs w:val="13"/>
                <w:b w:val="1"/>
                <w:bCs w:val="1"/>
                <w:color w:val="51555C"/>
              </w:rPr>
              <w:t>Total liabilites</w:t>
            </w:r>
          </w:p>
        </w:tc>
        <w:tc>
          <w:tcPr>
            <w:tcW w:w="120" w:type="dxa"/>
            <w:vAlign w:val="bottom"/>
            <w:tcBorders>
              <w:bottom w:val="single" w:sz="8" w:color="EBFBFF"/>
            </w:tcBorders>
            <w:shd w:val="clear" w:color="auto" w:fill="EBFBFF"/>
          </w:tcPr>
          <w:p>
            <w:pPr>
              <w:spacing w:after="0"/>
              <w:rPr>
                <w:sz w:val="15"/>
                <w:szCs w:val="15"/>
                <w:color w:val="auto"/>
              </w:rPr>
            </w:pPr>
          </w:p>
        </w:tc>
        <w:tc>
          <w:tcPr>
            <w:tcW w:w="1500" w:type="dxa"/>
            <w:vAlign w:val="bottom"/>
            <w:tcBorders>
              <w:bottom w:val="single" w:sz="8" w:color="EBFBFF"/>
            </w:tcBorders>
            <w:shd w:val="clear" w:color="auto" w:fill="EBFBFF"/>
          </w:tcPr>
          <w:p>
            <w:pPr>
              <w:jc w:val="right"/>
              <w:spacing w:after="0" w:line="148" w:lineRule="exact"/>
              <w:rPr>
                <w:sz w:val="20"/>
                <w:szCs w:val="20"/>
                <w:color w:val="auto"/>
              </w:rPr>
            </w:pPr>
            <w:r>
              <w:rPr>
                <w:rFonts w:ascii="Calibri" w:cs="Calibri" w:eastAsia="Calibri" w:hAnsi="Calibri"/>
                <w:sz w:val="13"/>
                <w:szCs w:val="13"/>
                <w:color w:val="51555C"/>
              </w:rPr>
              <w:t>2,465,411</w:t>
            </w:r>
          </w:p>
        </w:tc>
        <w:tc>
          <w:tcPr>
            <w:tcW w:w="540" w:type="dxa"/>
            <w:vAlign w:val="bottom"/>
            <w:tcBorders>
              <w:bottom w:val="single" w:sz="8" w:color="EBFBFF"/>
            </w:tcBorders>
            <w:shd w:val="clear" w:color="auto" w:fill="EBFBFF"/>
          </w:tcPr>
          <w:p>
            <w:pPr>
              <w:spacing w:after="0"/>
              <w:rPr>
                <w:sz w:val="15"/>
                <w:szCs w:val="15"/>
                <w:color w:val="auto"/>
              </w:rPr>
            </w:pPr>
          </w:p>
        </w:tc>
        <w:tc>
          <w:tcPr>
            <w:tcW w:w="1100" w:type="dxa"/>
            <w:vAlign w:val="bottom"/>
            <w:tcBorders>
              <w:bottom w:val="single" w:sz="8" w:color="EBFBFF"/>
            </w:tcBorders>
            <w:shd w:val="clear" w:color="auto" w:fill="EBFBFF"/>
          </w:tcPr>
          <w:p>
            <w:pPr>
              <w:jc w:val="right"/>
              <w:spacing w:after="0" w:line="148" w:lineRule="exact"/>
              <w:rPr>
                <w:sz w:val="20"/>
                <w:szCs w:val="20"/>
                <w:color w:val="auto"/>
              </w:rPr>
            </w:pPr>
            <w:r>
              <w:rPr>
                <w:rFonts w:ascii="Calibri" w:cs="Calibri" w:eastAsia="Calibri" w:hAnsi="Calibri"/>
                <w:sz w:val="13"/>
                <w:szCs w:val="13"/>
                <w:color w:val="51555C"/>
              </w:rPr>
              <w:t>2,103,574</w:t>
            </w:r>
          </w:p>
        </w:tc>
        <w:tc>
          <w:tcPr>
            <w:tcW w:w="20" w:type="dxa"/>
            <w:vAlign w:val="bottom"/>
          </w:tcPr>
          <w:p>
            <w:pPr>
              <w:spacing w:after="0"/>
              <w:rPr>
                <w:sz w:val="15"/>
                <w:szCs w:val="15"/>
                <w:color w:val="auto"/>
              </w:rPr>
            </w:pPr>
          </w:p>
        </w:tc>
      </w:tr>
      <w:tr>
        <w:trPr>
          <w:trHeight w:val="137"/>
        </w:trPr>
        <w:tc>
          <w:tcPr>
            <w:tcW w:w="8000" w:type="dxa"/>
            <w:vAlign w:val="bottom"/>
          </w:tcPr>
          <w:p>
            <w:pPr>
              <w:ind w:left="180"/>
              <w:spacing w:after="0" w:line="137" w:lineRule="exact"/>
              <w:rPr>
                <w:sz w:val="20"/>
                <w:szCs w:val="20"/>
                <w:color w:val="auto"/>
              </w:rPr>
            </w:pPr>
            <w:r>
              <w:rPr>
                <w:rFonts w:ascii="Calibri" w:cs="Calibri" w:eastAsia="Calibri" w:hAnsi="Calibri"/>
                <w:sz w:val="13"/>
                <w:szCs w:val="13"/>
                <w:color w:val="51555C"/>
              </w:rPr>
              <w:t>Commitments and contngencies (see Note 9)</w:t>
            </w:r>
          </w:p>
        </w:tc>
        <w:tc>
          <w:tcPr>
            <w:tcW w:w="120" w:type="dxa"/>
            <w:vAlign w:val="bottom"/>
            <w:tcBorders>
              <w:top w:val="single" w:sz="8" w:color="51555C"/>
            </w:tcBorders>
          </w:tcPr>
          <w:p>
            <w:pPr>
              <w:spacing w:after="0"/>
              <w:rPr>
                <w:sz w:val="11"/>
                <w:szCs w:val="11"/>
                <w:color w:val="auto"/>
              </w:rPr>
            </w:pPr>
          </w:p>
        </w:tc>
        <w:tc>
          <w:tcPr>
            <w:tcW w:w="1500" w:type="dxa"/>
            <w:vAlign w:val="bottom"/>
            <w:tcBorders>
              <w:top w:val="single" w:sz="8" w:color="51555C"/>
            </w:tcBorders>
          </w:tcPr>
          <w:p>
            <w:pPr>
              <w:spacing w:after="0"/>
              <w:rPr>
                <w:sz w:val="11"/>
                <w:szCs w:val="11"/>
                <w:color w:val="auto"/>
              </w:rPr>
            </w:pPr>
          </w:p>
        </w:tc>
        <w:tc>
          <w:tcPr>
            <w:tcW w:w="540" w:type="dxa"/>
            <w:vAlign w:val="bottom"/>
            <w:tcBorders>
              <w:top w:val="single" w:sz="8" w:color="51555C"/>
            </w:tcBorders>
          </w:tcPr>
          <w:p>
            <w:pPr>
              <w:spacing w:after="0"/>
              <w:rPr>
                <w:sz w:val="11"/>
                <w:szCs w:val="11"/>
                <w:color w:val="auto"/>
              </w:rPr>
            </w:pPr>
          </w:p>
        </w:tc>
        <w:tc>
          <w:tcPr>
            <w:tcW w:w="1100" w:type="dxa"/>
            <w:vAlign w:val="bottom"/>
            <w:tcBorders>
              <w:top w:val="single" w:sz="8" w:color="51555C"/>
            </w:tcBorders>
          </w:tcPr>
          <w:p>
            <w:pPr>
              <w:spacing w:after="0"/>
              <w:rPr>
                <w:sz w:val="11"/>
                <w:szCs w:val="11"/>
                <w:color w:val="auto"/>
              </w:rPr>
            </w:pPr>
          </w:p>
        </w:tc>
        <w:tc>
          <w:tcPr>
            <w:tcW w:w="20" w:type="dxa"/>
            <w:vAlign w:val="bottom"/>
          </w:tcPr>
          <w:p>
            <w:pPr>
              <w:spacing w:after="0"/>
              <w:rPr>
                <w:sz w:val="11"/>
                <w:szCs w:val="11"/>
                <w:color w:val="auto"/>
              </w:rPr>
            </w:pPr>
          </w:p>
        </w:tc>
      </w:tr>
      <w:tr>
        <w:trPr>
          <w:trHeight w:val="34"/>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71"/>
        </w:trPr>
        <w:tc>
          <w:tcPr>
            <w:tcW w:w="8000" w:type="dxa"/>
            <w:vAlign w:val="bottom"/>
            <w:tcBorders>
              <w:bottom w:val="single" w:sz="8" w:color="EBFBFF"/>
            </w:tcBorders>
            <w:shd w:val="clear" w:color="auto" w:fill="EBFBFF"/>
          </w:tcPr>
          <w:p>
            <w:pPr>
              <w:ind w:left="180"/>
              <w:spacing w:after="0" w:line="157" w:lineRule="exact"/>
              <w:rPr>
                <w:sz w:val="20"/>
                <w:szCs w:val="20"/>
                <w:color w:val="auto"/>
              </w:rPr>
            </w:pPr>
            <w:r>
              <w:rPr>
                <w:rFonts w:ascii="Calibri" w:cs="Calibri" w:eastAsia="Calibri" w:hAnsi="Calibri"/>
                <w:sz w:val="13"/>
                <w:szCs w:val="13"/>
                <w:color w:val="51555C"/>
              </w:rPr>
              <w:t>Stockholders’ equity:</w:t>
            </w:r>
          </w:p>
        </w:tc>
        <w:tc>
          <w:tcPr>
            <w:tcW w:w="120" w:type="dxa"/>
            <w:vAlign w:val="bottom"/>
            <w:tcBorders>
              <w:bottom w:val="single" w:sz="8" w:color="EBFBFF"/>
            </w:tcBorders>
            <w:shd w:val="clear" w:color="auto" w:fill="EBFBFF"/>
          </w:tcPr>
          <w:p>
            <w:pPr>
              <w:spacing w:after="0"/>
              <w:rPr>
                <w:sz w:val="14"/>
                <w:szCs w:val="14"/>
                <w:color w:val="auto"/>
              </w:rPr>
            </w:pPr>
          </w:p>
        </w:tc>
        <w:tc>
          <w:tcPr>
            <w:tcW w:w="1500" w:type="dxa"/>
            <w:vAlign w:val="bottom"/>
            <w:tcBorders>
              <w:bottom w:val="single" w:sz="8" w:color="EBFBFF"/>
            </w:tcBorders>
            <w:shd w:val="clear" w:color="auto" w:fill="EBFBFF"/>
          </w:tcPr>
          <w:p>
            <w:pPr>
              <w:spacing w:after="0"/>
              <w:rPr>
                <w:sz w:val="14"/>
                <w:szCs w:val="14"/>
                <w:color w:val="auto"/>
              </w:rPr>
            </w:pPr>
          </w:p>
        </w:tc>
        <w:tc>
          <w:tcPr>
            <w:tcW w:w="540" w:type="dxa"/>
            <w:vAlign w:val="bottom"/>
            <w:tcBorders>
              <w:bottom w:val="single" w:sz="8" w:color="EBFBFF"/>
            </w:tcBorders>
            <w:shd w:val="clear" w:color="auto" w:fill="EBFBFF"/>
          </w:tcPr>
          <w:p>
            <w:pPr>
              <w:spacing w:after="0"/>
              <w:rPr>
                <w:sz w:val="14"/>
                <w:szCs w:val="14"/>
                <w:color w:val="auto"/>
              </w:rPr>
            </w:pPr>
          </w:p>
        </w:tc>
        <w:tc>
          <w:tcPr>
            <w:tcW w:w="1100" w:type="dxa"/>
            <w:vAlign w:val="bottom"/>
            <w:tcBorders>
              <w:bottom w:val="single" w:sz="8" w:color="EBFBFF"/>
            </w:tcBorders>
            <w:shd w:val="clear" w:color="auto" w:fill="EBFBFF"/>
          </w:tcPr>
          <w:p>
            <w:pPr>
              <w:spacing w:after="0"/>
              <w:rPr>
                <w:sz w:val="14"/>
                <w:szCs w:val="14"/>
                <w:color w:val="auto"/>
              </w:rPr>
            </w:pPr>
          </w:p>
        </w:tc>
        <w:tc>
          <w:tcPr>
            <w:tcW w:w="20" w:type="dxa"/>
            <w:vAlign w:val="bottom"/>
          </w:tcPr>
          <w:p>
            <w:pPr>
              <w:spacing w:after="0"/>
              <w:rPr>
                <w:sz w:val="14"/>
                <w:szCs w:val="14"/>
                <w:color w:val="auto"/>
              </w:rPr>
            </w:pPr>
          </w:p>
        </w:tc>
      </w:tr>
      <w:tr>
        <w:trPr>
          <w:trHeight w:val="157"/>
        </w:trPr>
        <w:tc>
          <w:tcPr>
            <w:tcW w:w="8000" w:type="dxa"/>
            <w:vAlign w:val="bottom"/>
          </w:tcPr>
          <w:p>
            <w:pPr>
              <w:ind w:left="360"/>
              <w:spacing w:after="0" w:line="157" w:lineRule="exact"/>
              <w:rPr>
                <w:sz w:val="20"/>
                <w:szCs w:val="20"/>
                <w:color w:val="auto"/>
              </w:rPr>
            </w:pPr>
            <w:r>
              <w:rPr>
                <w:rFonts w:ascii="Calibri" w:cs="Calibri" w:eastAsia="Calibri" w:hAnsi="Calibri"/>
                <w:sz w:val="13"/>
                <w:szCs w:val="13"/>
                <w:color w:val="51555C"/>
              </w:rPr>
              <w:t>Preferred stock; 20,000,000 shares authorized, none outstanding</w:t>
            </w:r>
          </w:p>
        </w:tc>
        <w:tc>
          <w:tcPr>
            <w:tcW w:w="120" w:type="dxa"/>
            <w:vAlign w:val="bottom"/>
          </w:tcPr>
          <w:p>
            <w:pPr>
              <w:spacing w:after="0"/>
              <w:rPr>
                <w:sz w:val="13"/>
                <w:szCs w:val="13"/>
                <w:color w:val="auto"/>
              </w:rPr>
            </w:pPr>
          </w:p>
        </w:tc>
        <w:tc>
          <w:tcPr>
            <w:tcW w:w="1500" w:type="dxa"/>
            <w:vAlign w:val="bottom"/>
          </w:tcPr>
          <w:p>
            <w:pPr>
              <w:jc w:val="right"/>
              <w:spacing w:after="0" w:line="157" w:lineRule="exact"/>
              <w:rPr>
                <w:sz w:val="20"/>
                <w:szCs w:val="20"/>
                <w:color w:val="auto"/>
              </w:rPr>
            </w:pPr>
            <w:r>
              <w:rPr>
                <w:rFonts w:ascii="Calibri" w:cs="Calibri" w:eastAsia="Calibri" w:hAnsi="Calibri"/>
                <w:sz w:val="13"/>
                <w:szCs w:val="13"/>
                <w:color w:val="51555C"/>
              </w:rPr>
              <w:t>—</w:t>
            </w:r>
          </w:p>
        </w:tc>
        <w:tc>
          <w:tcPr>
            <w:tcW w:w="540" w:type="dxa"/>
            <w:vAlign w:val="bottom"/>
          </w:tcPr>
          <w:p>
            <w:pPr>
              <w:spacing w:after="0"/>
              <w:rPr>
                <w:sz w:val="13"/>
                <w:szCs w:val="13"/>
                <w:color w:val="auto"/>
              </w:rPr>
            </w:pPr>
          </w:p>
        </w:tc>
        <w:tc>
          <w:tcPr>
            <w:tcW w:w="1120" w:type="dxa"/>
            <w:vAlign w:val="bottom"/>
            <w:gridSpan w:val="2"/>
          </w:tcPr>
          <w:p>
            <w:pPr>
              <w:jc w:val="right"/>
              <w:ind w:right="60"/>
              <w:spacing w:after="0" w:line="157" w:lineRule="exact"/>
              <w:rPr>
                <w:sz w:val="20"/>
                <w:szCs w:val="20"/>
                <w:color w:val="auto"/>
              </w:rPr>
            </w:pPr>
            <w:r>
              <w:rPr>
                <w:rFonts w:ascii="Calibri" w:cs="Calibri" w:eastAsia="Calibri" w:hAnsi="Calibri"/>
                <w:sz w:val="13"/>
                <w:szCs w:val="13"/>
                <w:color w:val="51555C"/>
              </w:rPr>
              <w:t>—</w:t>
            </w:r>
          </w:p>
        </w:tc>
      </w:tr>
      <w:tr>
        <w:trPr>
          <w:trHeight w:val="34"/>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57"/>
        </w:trPr>
        <w:tc>
          <w:tcPr>
            <w:tcW w:w="8000" w:type="dxa"/>
            <w:vAlign w:val="bottom"/>
            <w:shd w:val="clear" w:color="auto" w:fill="EBFBFF"/>
          </w:tcPr>
          <w:p>
            <w:pPr>
              <w:ind w:left="360"/>
              <w:spacing w:after="0" w:line="157" w:lineRule="exact"/>
              <w:rPr>
                <w:sz w:val="20"/>
                <w:szCs w:val="20"/>
                <w:color w:val="auto"/>
              </w:rPr>
            </w:pPr>
            <w:r>
              <w:rPr>
                <w:rFonts w:ascii="Calibri" w:cs="Calibri" w:eastAsia="Calibri" w:hAnsi="Calibri"/>
                <w:sz w:val="13"/>
                <w:szCs w:val="13"/>
                <w:color w:val="51555C"/>
              </w:rPr>
              <w:t>Common stock, $0.001 par value; 180,000,000 shares authorized, 70,883,488 and 69,188,304 shares issued at June 30, 2024 and December 31,</w:t>
            </w:r>
          </w:p>
        </w:tc>
        <w:tc>
          <w:tcPr>
            <w:tcW w:w="120" w:type="dxa"/>
            <w:vAlign w:val="bottom"/>
            <w:shd w:val="clear" w:color="auto" w:fill="EBFBFF"/>
          </w:tcPr>
          <w:p>
            <w:pPr>
              <w:spacing w:after="0"/>
              <w:rPr>
                <w:sz w:val="13"/>
                <w:szCs w:val="13"/>
                <w:color w:val="auto"/>
              </w:rPr>
            </w:pPr>
          </w:p>
        </w:tc>
        <w:tc>
          <w:tcPr>
            <w:tcW w:w="1500" w:type="dxa"/>
            <w:vAlign w:val="bottom"/>
            <w:shd w:val="clear" w:color="auto" w:fill="EBFBFF"/>
          </w:tcPr>
          <w:p>
            <w:pPr>
              <w:spacing w:after="0"/>
              <w:rPr>
                <w:sz w:val="13"/>
                <w:szCs w:val="13"/>
                <w:color w:val="auto"/>
              </w:rPr>
            </w:pPr>
          </w:p>
        </w:tc>
        <w:tc>
          <w:tcPr>
            <w:tcW w:w="540" w:type="dxa"/>
            <w:vAlign w:val="bottom"/>
            <w:shd w:val="clear" w:color="auto" w:fill="EBFBFF"/>
          </w:tcPr>
          <w:p>
            <w:pPr>
              <w:spacing w:after="0"/>
              <w:rPr>
                <w:sz w:val="13"/>
                <w:szCs w:val="13"/>
                <w:color w:val="auto"/>
              </w:rPr>
            </w:pPr>
          </w:p>
        </w:tc>
        <w:tc>
          <w:tcPr>
            <w:tcW w:w="1100" w:type="dxa"/>
            <w:vAlign w:val="bottom"/>
            <w:shd w:val="clear" w:color="auto" w:fill="EBFBFF"/>
          </w:tcPr>
          <w:p>
            <w:pPr>
              <w:spacing w:after="0"/>
              <w:rPr>
                <w:sz w:val="13"/>
                <w:szCs w:val="13"/>
                <w:color w:val="auto"/>
              </w:rPr>
            </w:pPr>
          </w:p>
        </w:tc>
        <w:tc>
          <w:tcPr>
            <w:tcW w:w="20" w:type="dxa"/>
            <w:vAlign w:val="bottom"/>
          </w:tcPr>
          <w:p>
            <w:pPr>
              <w:spacing w:after="0"/>
              <w:rPr>
                <w:sz w:val="13"/>
                <w:szCs w:val="13"/>
                <w:color w:val="auto"/>
              </w:rPr>
            </w:pPr>
          </w:p>
        </w:tc>
      </w:tr>
      <w:tr>
        <w:trPr>
          <w:trHeight w:val="173"/>
        </w:trPr>
        <w:tc>
          <w:tcPr>
            <w:tcW w:w="8000" w:type="dxa"/>
            <w:vAlign w:val="bottom"/>
            <w:tcBorders>
              <w:bottom w:val="single" w:sz="8" w:color="EBFBFF"/>
            </w:tcBorders>
            <w:shd w:val="clear" w:color="auto" w:fill="EBFBFF"/>
          </w:tcPr>
          <w:p>
            <w:pPr>
              <w:ind w:left="360"/>
              <w:spacing w:after="0"/>
              <w:rPr>
                <w:sz w:val="20"/>
                <w:szCs w:val="20"/>
                <w:color w:val="auto"/>
              </w:rPr>
            </w:pPr>
            <w:r>
              <w:rPr>
                <w:rFonts w:ascii="Calibri" w:cs="Calibri" w:eastAsia="Calibri" w:hAnsi="Calibri"/>
                <w:sz w:val="13"/>
                <w:szCs w:val="13"/>
                <w:color w:val="51555C"/>
              </w:rPr>
              <w:t>2023, respectvely; 51,623,951 and 53,625,440 shares outstanding at June 30, 2024 and December 31, 2023, respectvely</w:t>
            </w:r>
          </w:p>
        </w:tc>
        <w:tc>
          <w:tcPr>
            <w:tcW w:w="120" w:type="dxa"/>
            <w:vAlign w:val="bottom"/>
            <w:tcBorders>
              <w:bottom w:val="single" w:sz="8" w:color="EBFBFF"/>
            </w:tcBorders>
            <w:shd w:val="clear" w:color="auto" w:fill="EBFBFF"/>
          </w:tcPr>
          <w:p>
            <w:pPr>
              <w:spacing w:after="0"/>
              <w:rPr>
                <w:sz w:val="15"/>
                <w:szCs w:val="15"/>
                <w:color w:val="auto"/>
              </w:rPr>
            </w:pPr>
          </w:p>
        </w:tc>
        <w:tc>
          <w:tcPr>
            <w:tcW w:w="15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3"/>
                <w:szCs w:val="13"/>
                <w:color w:val="51555C"/>
              </w:rPr>
              <w:t>71</w:t>
            </w:r>
          </w:p>
        </w:tc>
        <w:tc>
          <w:tcPr>
            <w:tcW w:w="540" w:type="dxa"/>
            <w:vAlign w:val="bottom"/>
            <w:tcBorders>
              <w:bottom w:val="single" w:sz="8" w:color="EBFBFF"/>
            </w:tcBorders>
            <w:shd w:val="clear" w:color="auto" w:fill="EBFBFF"/>
          </w:tcPr>
          <w:p>
            <w:pPr>
              <w:spacing w:after="0"/>
              <w:rPr>
                <w:sz w:val="15"/>
                <w:szCs w:val="15"/>
                <w:color w:val="auto"/>
              </w:rPr>
            </w:pPr>
          </w:p>
        </w:tc>
        <w:tc>
          <w:tcPr>
            <w:tcW w:w="11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3"/>
                <w:szCs w:val="13"/>
                <w:color w:val="51555C"/>
              </w:rPr>
              <w:t>69</w:t>
            </w:r>
          </w:p>
        </w:tc>
        <w:tc>
          <w:tcPr>
            <w:tcW w:w="20" w:type="dxa"/>
            <w:vAlign w:val="bottom"/>
          </w:tcPr>
          <w:p>
            <w:pPr>
              <w:spacing w:after="0"/>
              <w:rPr>
                <w:sz w:val="15"/>
                <w:szCs w:val="15"/>
                <w:color w:val="auto"/>
              </w:rPr>
            </w:pPr>
          </w:p>
        </w:tc>
      </w:tr>
      <w:tr>
        <w:trPr>
          <w:trHeight w:val="157"/>
        </w:trPr>
        <w:tc>
          <w:tcPr>
            <w:tcW w:w="8000" w:type="dxa"/>
            <w:vAlign w:val="bottom"/>
          </w:tcPr>
          <w:p>
            <w:pPr>
              <w:ind w:left="360"/>
              <w:spacing w:after="0" w:line="157" w:lineRule="exact"/>
              <w:rPr>
                <w:sz w:val="20"/>
                <w:szCs w:val="20"/>
                <w:color w:val="auto"/>
              </w:rPr>
            </w:pPr>
            <w:r>
              <w:rPr>
                <w:rFonts w:ascii="Calibri" w:cs="Calibri" w:eastAsia="Calibri" w:hAnsi="Calibri"/>
                <w:sz w:val="13"/>
                <w:szCs w:val="13"/>
                <w:color w:val="51555C"/>
              </w:rPr>
              <w:t>Additonal paid-in capital</w:t>
            </w:r>
          </w:p>
        </w:tc>
        <w:tc>
          <w:tcPr>
            <w:tcW w:w="120" w:type="dxa"/>
            <w:vAlign w:val="bottom"/>
          </w:tcPr>
          <w:p>
            <w:pPr>
              <w:spacing w:after="0"/>
              <w:rPr>
                <w:sz w:val="13"/>
                <w:szCs w:val="13"/>
                <w:color w:val="auto"/>
              </w:rPr>
            </w:pPr>
          </w:p>
        </w:tc>
        <w:tc>
          <w:tcPr>
            <w:tcW w:w="1500" w:type="dxa"/>
            <w:vAlign w:val="bottom"/>
          </w:tcPr>
          <w:p>
            <w:pPr>
              <w:jc w:val="right"/>
              <w:spacing w:after="0" w:line="157" w:lineRule="exact"/>
              <w:rPr>
                <w:sz w:val="20"/>
                <w:szCs w:val="20"/>
                <w:color w:val="auto"/>
              </w:rPr>
            </w:pPr>
            <w:r>
              <w:rPr>
                <w:rFonts w:ascii="Calibri" w:cs="Calibri" w:eastAsia="Calibri" w:hAnsi="Calibri"/>
                <w:sz w:val="13"/>
                <w:szCs w:val="13"/>
                <w:color w:val="51555C"/>
              </w:rPr>
              <w:t>1,208,624</w:t>
            </w:r>
          </w:p>
        </w:tc>
        <w:tc>
          <w:tcPr>
            <w:tcW w:w="540" w:type="dxa"/>
            <w:vAlign w:val="bottom"/>
          </w:tcPr>
          <w:p>
            <w:pPr>
              <w:spacing w:after="0"/>
              <w:rPr>
                <w:sz w:val="13"/>
                <w:szCs w:val="13"/>
                <w:color w:val="auto"/>
              </w:rPr>
            </w:pPr>
          </w:p>
        </w:tc>
        <w:tc>
          <w:tcPr>
            <w:tcW w:w="1100" w:type="dxa"/>
            <w:vAlign w:val="bottom"/>
          </w:tcPr>
          <w:p>
            <w:pPr>
              <w:jc w:val="right"/>
              <w:spacing w:after="0" w:line="157" w:lineRule="exact"/>
              <w:rPr>
                <w:sz w:val="20"/>
                <w:szCs w:val="20"/>
                <w:color w:val="auto"/>
              </w:rPr>
            </w:pPr>
            <w:r>
              <w:rPr>
                <w:rFonts w:ascii="Calibri" w:cs="Calibri" w:eastAsia="Calibri" w:hAnsi="Calibri"/>
                <w:sz w:val="13"/>
                <w:szCs w:val="13"/>
                <w:color w:val="51555C"/>
              </w:rPr>
              <w:t>1,203,012</w:t>
            </w:r>
          </w:p>
        </w:tc>
        <w:tc>
          <w:tcPr>
            <w:tcW w:w="20" w:type="dxa"/>
            <w:vAlign w:val="bottom"/>
          </w:tcPr>
          <w:p>
            <w:pPr>
              <w:spacing w:after="0"/>
              <w:rPr>
                <w:sz w:val="13"/>
                <w:szCs w:val="13"/>
                <w:color w:val="auto"/>
              </w:rPr>
            </w:pPr>
          </w:p>
        </w:tc>
      </w:tr>
      <w:tr>
        <w:trPr>
          <w:trHeight w:val="34"/>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71"/>
        </w:trPr>
        <w:tc>
          <w:tcPr>
            <w:tcW w:w="8000" w:type="dxa"/>
            <w:vAlign w:val="bottom"/>
            <w:tcBorders>
              <w:bottom w:val="single" w:sz="8" w:color="EBFBFF"/>
            </w:tcBorders>
            <w:shd w:val="clear" w:color="auto" w:fill="EBFBFF"/>
          </w:tcPr>
          <w:p>
            <w:pPr>
              <w:ind w:left="360"/>
              <w:spacing w:after="0" w:line="157" w:lineRule="exact"/>
              <w:rPr>
                <w:sz w:val="20"/>
                <w:szCs w:val="20"/>
                <w:color w:val="auto"/>
              </w:rPr>
            </w:pPr>
            <w:r>
              <w:rPr>
                <w:rFonts w:ascii="Calibri" w:cs="Calibri" w:eastAsia="Calibri" w:hAnsi="Calibri"/>
                <w:sz w:val="13"/>
                <w:szCs w:val="13"/>
                <w:color w:val="51555C"/>
              </w:rPr>
              <w:t>Treasury stock, at cost; 19,259,537 and 15,562,864 shares at June 30, 2024 and December 31, 2023, respectvely</w:t>
            </w:r>
          </w:p>
        </w:tc>
        <w:tc>
          <w:tcPr>
            <w:tcW w:w="120" w:type="dxa"/>
            <w:vAlign w:val="bottom"/>
            <w:tcBorders>
              <w:bottom w:val="single" w:sz="8" w:color="EBFBFF"/>
            </w:tcBorders>
            <w:shd w:val="clear" w:color="auto" w:fill="EBFBFF"/>
          </w:tcPr>
          <w:p>
            <w:pPr>
              <w:spacing w:after="0"/>
              <w:rPr>
                <w:sz w:val="14"/>
                <w:szCs w:val="14"/>
                <w:color w:val="auto"/>
              </w:rPr>
            </w:pPr>
          </w:p>
        </w:tc>
        <w:tc>
          <w:tcPr>
            <w:tcW w:w="150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(857,452)</w:t>
            </w:r>
          </w:p>
        </w:tc>
        <w:tc>
          <w:tcPr>
            <w:tcW w:w="540" w:type="dxa"/>
            <w:vAlign w:val="bottom"/>
            <w:tcBorders>
              <w:bottom w:val="single" w:sz="8" w:color="EBFBFF"/>
            </w:tcBorders>
            <w:shd w:val="clear" w:color="auto" w:fill="EBFBFF"/>
          </w:tcPr>
          <w:p>
            <w:pPr>
              <w:spacing w:after="0"/>
              <w:rPr>
                <w:sz w:val="14"/>
                <w:szCs w:val="14"/>
                <w:color w:val="auto"/>
              </w:rPr>
            </w:pPr>
          </w:p>
        </w:tc>
        <w:tc>
          <w:tcPr>
            <w:tcW w:w="110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(591,557)</w:t>
            </w:r>
          </w:p>
        </w:tc>
        <w:tc>
          <w:tcPr>
            <w:tcW w:w="20" w:type="dxa"/>
            <w:vAlign w:val="bottom"/>
          </w:tcPr>
          <w:p>
            <w:pPr>
              <w:spacing w:after="0"/>
              <w:rPr>
                <w:sz w:val="14"/>
                <w:szCs w:val="14"/>
                <w:color w:val="auto"/>
              </w:rPr>
            </w:pPr>
          </w:p>
        </w:tc>
      </w:tr>
      <w:tr>
        <w:trPr>
          <w:trHeight w:val="157"/>
        </w:trPr>
        <w:tc>
          <w:tcPr>
            <w:tcW w:w="8000" w:type="dxa"/>
            <w:vAlign w:val="bottom"/>
          </w:tcPr>
          <w:p>
            <w:pPr>
              <w:ind w:left="360"/>
              <w:spacing w:after="0" w:line="157" w:lineRule="exact"/>
              <w:rPr>
                <w:sz w:val="20"/>
                <w:szCs w:val="20"/>
                <w:color w:val="auto"/>
              </w:rPr>
            </w:pPr>
            <w:r>
              <w:rPr>
                <w:rFonts w:ascii="Calibri" w:cs="Calibri" w:eastAsia="Calibri" w:hAnsi="Calibri"/>
                <w:sz w:val="13"/>
                <w:szCs w:val="13"/>
                <w:color w:val="51555C"/>
              </w:rPr>
              <w:t>Accumulated other comprehensive income (loss)</w:t>
            </w:r>
          </w:p>
        </w:tc>
        <w:tc>
          <w:tcPr>
            <w:tcW w:w="120" w:type="dxa"/>
            <w:vAlign w:val="bottom"/>
          </w:tcPr>
          <w:p>
            <w:pPr>
              <w:spacing w:after="0"/>
              <w:rPr>
                <w:sz w:val="13"/>
                <w:szCs w:val="13"/>
                <w:color w:val="auto"/>
              </w:rPr>
            </w:pPr>
          </w:p>
        </w:tc>
        <w:tc>
          <w:tcPr>
            <w:tcW w:w="1500" w:type="dxa"/>
            <w:vAlign w:val="bottom"/>
          </w:tcPr>
          <w:p>
            <w:pPr>
              <w:jc w:val="right"/>
              <w:spacing w:after="0" w:line="157" w:lineRule="exact"/>
              <w:rPr>
                <w:sz w:val="20"/>
                <w:szCs w:val="20"/>
                <w:color w:val="auto"/>
              </w:rPr>
            </w:pPr>
            <w:r>
              <w:rPr>
                <w:rFonts w:ascii="Calibri" w:cs="Calibri" w:eastAsia="Calibri" w:hAnsi="Calibri"/>
                <w:sz w:val="13"/>
                <w:szCs w:val="13"/>
                <w:color w:val="51555C"/>
              </w:rPr>
              <w:t>175</w:t>
            </w:r>
          </w:p>
        </w:tc>
        <w:tc>
          <w:tcPr>
            <w:tcW w:w="540" w:type="dxa"/>
            <w:vAlign w:val="bottom"/>
          </w:tcPr>
          <w:p>
            <w:pPr>
              <w:spacing w:after="0"/>
              <w:rPr>
                <w:sz w:val="13"/>
                <w:szCs w:val="13"/>
                <w:color w:val="auto"/>
              </w:rPr>
            </w:pPr>
          </w:p>
        </w:tc>
        <w:tc>
          <w:tcPr>
            <w:tcW w:w="1100" w:type="dxa"/>
            <w:vAlign w:val="bottom"/>
          </w:tcPr>
          <w:p>
            <w:pPr>
              <w:jc w:val="right"/>
              <w:spacing w:after="0" w:line="157" w:lineRule="exact"/>
              <w:rPr>
                <w:sz w:val="20"/>
                <w:szCs w:val="20"/>
                <w:color w:val="auto"/>
              </w:rPr>
            </w:pPr>
            <w:r>
              <w:rPr>
                <w:rFonts w:ascii="Calibri" w:cs="Calibri" w:eastAsia="Calibri" w:hAnsi="Calibri"/>
                <w:sz w:val="13"/>
                <w:szCs w:val="13"/>
                <w:color w:val="51555C"/>
              </w:rPr>
              <w:t>(1,688)</w:t>
            </w:r>
          </w:p>
        </w:tc>
        <w:tc>
          <w:tcPr>
            <w:tcW w:w="20" w:type="dxa"/>
            <w:vAlign w:val="bottom"/>
          </w:tcPr>
          <w:p>
            <w:pPr>
              <w:spacing w:after="0"/>
              <w:rPr>
                <w:sz w:val="13"/>
                <w:szCs w:val="13"/>
                <w:color w:val="auto"/>
              </w:rPr>
            </w:pPr>
          </w:p>
        </w:tc>
      </w:tr>
      <w:tr>
        <w:trPr>
          <w:trHeight w:val="34"/>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1"/>
        </w:trPr>
        <w:tc>
          <w:tcPr>
            <w:tcW w:w="8000" w:type="dxa"/>
            <w:vAlign w:val="bottom"/>
            <w:tcBorders>
              <w:bottom w:val="single" w:sz="8" w:color="EBFBFF"/>
            </w:tcBorders>
            <w:shd w:val="clear" w:color="auto" w:fill="EBFBFF"/>
          </w:tcPr>
          <w:p>
            <w:pPr>
              <w:ind w:left="360"/>
              <w:spacing w:after="0" w:line="157" w:lineRule="exact"/>
              <w:rPr>
                <w:sz w:val="20"/>
                <w:szCs w:val="20"/>
                <w:color w:val="auto"/>
              </w:rPr>
            </w:pPr>
            <w:r>
              <w:rPr>
                <w:rFonts w:ascii="Calibri" w:cs="Calibri" w:eastAsia="Calibri" w:hAnsi="Calibri"/>
                <w:sz w:val="13"/>
                <w:szCs w:val="13"/>
                <w:color w:val="51555C"/>
              </w:rPr>
              <w:t>Retained earnings</w:t>
            </w:r>
          </w:p>
        </w:tc>
        <w:tc>
          <w:tcPr>
            <w:tcW w:w="120" w:type="dxa"/>
            <w:vAlign w:val="bottom"/>
            <w:tcBorders>
              <w:bottom w:val="single" w:sz="8" w:color="EBFBFF"/>
            </w:tcBorders>
            <w:shd w:val="clear" w:color="auto" w:fill="EBFBFF"/>
          </w:tcPr>
          <w:p>
            <w:pPr>
              <w:spacing w:after="0"/>
              <w:rPr>
                <w:sz w:val="16"/>
                <w:szCs w:val="16"/>
                <w:color w:val="auto"/>
              </w:rPr>
            </w:pPr>
          </w:p>
        </w:tc>
        <w:tc>
          <w:tcPr>
            <w:tcW w:w="150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225,919</w:t>
            </w:r>
          </w:p>
        </w:tc>
        <w:tc>
          <w:tcPr>
            <w:tcW w:w="540" w:type="dxa"/>
            <w:vAlign w:val="bottom"/>
            <w:tcBorders>
              <w:bottom w:val="single" w:sz="8" w:color="EBFBFF"/>
            </w:tcBorders>
            <w:shd w:val="clear" w:color="auto" w:fill="EBFBFF"/>
          </w:tcPr>
          <w:p>
            <w:pPr>
              <w:spacing w:after="0"/>
              <w:rPr>
                <w:sz w:val="16"/>
                <w:szCs w:val="16"/>
                <w:color w:val="auto"/>
              </w:rPr>
            </w:pPr>
          </w:p>
        </w:tc>
        <w:tc>
          <w:tcPr>
            <w:tcW w:w="110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198,869</w:t>
            </w:r>
          </w:p>
        </w:tc>
        <w:tc>
          <w:tcPr>
            <w:tcW w:w="20" w:type="dxa"/>
            <w:vAlign w:val="bottom"/>
          </w:tcPr>
          <w:p>
            <w:pPr>
              <w:spacing w:after="0"/>
              <w:rPr>
                <w:sz w:val="16"/>
                <w:szCs w:val="16"/>
                <w:color w:val="auto"/>
              </w:rPr>
            </w:pPr>
          </w:p>
        </w:tc>
      </w:tr>
      <w:tr>
        <w:trPr>
          <w:trHeight w:val="148"/>
        </w:trPr>
        <w:tc>
          <w:tcPr>
            <w:tcW w:w="8000" w:type="dxa"/>
            <w:vAlign w:val="bottom"/>
          </w:tcPr>
          <w:p>
            <w:pPr>
              <w:ind w:left="700"/>
              <w:spacing w:after="0" w:line="137" w:lineRule="exact"/>
              <w:rPr>
                <w:sz w:val="20"/>
                <w:szCs w:val="20"/>
                <w:color w:val="auto"/>
              </w:rPr>
            </w:pPr>
            <w:r>
              <w:rPr>
                <w:rFonts w:ascii="Calibri" w:cs="Calibri" w:eastAsia="Calibri" w:hAnsi="Calibri"/>
                <w:sz w:val="13"/>
                <w:szCs w:val="13"/>
                <w:b w:val="1"/>
                <w:bCs w:val="1"/>
                <w:color w:val="51555C"/>
              </w:rPr>
              <w:t>Total stockholders’ equity</w:t>
            </w:r>
          </w:p>
        </w:tc>
        <w:tc>
          <w:tcPr>
            <w:tcW w:w="120" w:type="dxa"/>
            <w:vAlign w:val="bottom"/>
            <w:tcBorders>
              <w:top w:val="single" w:sz="8" w:color="51555C"/>
            </w:tcBorders>
          </w:tcPr>
          <w:p>
            <w:pPr>
              <w:spacing w:after="0"/>
              <w:rPr>
                <w:sz w:val="12"/>
                <w:szCs w:val="12"/>
                <w:color w:val="auto"/>
              </w:rPr>
            </w:pPr>
          </w:p>
        </w:tc>
        <w:tc>
          <w:tcPr>
            <w:tcW w:w="1500" w:type="dxa"/>
            <w:vAlign w:val="bottom"/>
            <w:tcBorders>
              <w:top w:val="single" w:sz="8" w:color="51555C"/>
            </w:tcBorders>
          </w:tcPr>
          <w:p>
            <w:pPr>
              <w:jc w:val="right"/>
              <w:spacing w:after="0" w:line="148" w:lineRule="exact"/>
              <w:rPr>
                <w:sz w:val="20"/>
                <w:szCs w:val="20"/>
                <w:color w:val="auto"/>
              </w:rPr>
            </w:pPr>
            <w:r>
              <w:rPr>
                <w:rFonts w:ascii="Calibri" w:cs="Calibri" w:eastAsia="Calibri" w:hAnsi="Calibri"/>
                <w:sz w:val="13"/>
                <w:szCs w:val="13"/>
                <w:color w:val="51555C"/>
              </w:rPr>
              <w:t>577,337</w:t>
            </w:r>
          </w:p>
        </w:tc>
        <w:tc>
          <w:tcPr>
            <w:tcW w:w="540" w:type="dxa"/>
            <w:vAlign w:val="bottom"/>
            <w:tcBorders>
              <w:top w:val="single" w:sz="8" w:color="51555C"/>
            </w:tcBorders>
          </w:tcPr>
          <w:p>
            <w:pPr>
              <w:spacing w:after="0"/>
              <w:rPr>
                <w:sz w:val="12"/>
                <w:szCs w:val="12"/>
                <w:color w:val="auto"/>
              </w:rPr>
            </w:pPr>
          </w:p>
        </w:tc>
        <w:tc>
          <w:tcPr>
            <w:tcW w:w="1100" w:type="dxa"/>
            <w:vAlign w:val="bottom"/>
            <w:tcBorders>
              <w:top w:val="single" w:sz="8" w:color="51555C"/>
            </w:tcBorders>
          </w:tcPr>
          <w:p>
            <w:pPr>
              <w:jc w:val="right"/>
              <w:spacing w:after="0" w:line="148" w:lineRule="exact"/>
              <w:rPr>
                <w:sz w:val="20"/>
                <w:szCs w:val="20"/>
                <w:color w:val="auto"/>
              </w:rPr>
            </w:pPr>
            <w:r>
              <w:rPr>
                <w:rFonts w:ascii="Calibri" w:cs="Calibri" w:eastAsia="Calibri" w:hAnsi="Calibri"/>
                <w:sz w:val="13"/>
                <w:szCs w:val="13"/>
                <w:color w:val="51555C"/>
              </w:rPr>
              <w:t>808,705</w:t>
            </w:r>
          </w:p>
        </w:tc>
        <w:tc>
          <w:tcPr>
            <w:tcW w:w="20" w:type="dxa"/>
            <w:vAlign w:val="bottom"/>
          </w:tcPr>
          <w:p>
            <w:pPr>
              <w:spacing w:after="0"/>
              <w:rPr>
                <w:sz w:val="12"/>
                <w:szCs w:val="12"/>
                <w:color w:val="auto"/>
              </w:rPr>
            </w:pPr>
          </w:p>
        </w:tc>
      </w:tr>
      <w:tr>
        <w:trPr>
          <w:trHeight w:val="34"/>
        </w:trPr>
        <w:tc>
          <w:tcPr>
            <w:tcW w:w="8000" w:type="dxa"/>
            <w:vAlign w:val="bottom"/>
            <w:tcBorders>
              <w:bottom w:val="single" w:sz="8" w:color="EBFBFF"/>
            </w:tcBorders>
          </w:tcPr>
          <w:p>
            <w:pPr>
              <w:spacing w:after="0"/>
              <w:rPr>
                <w:sz w:val="2"/>
                <w:szCs w:val="2"/>
                <w:color w:val="auto"/>
              </w:rPr>
            </w:pPr>
          </w:p>
        </w:tc>
        <w:tc>
          <w:tcPr>
            <w:tcW w:w="120" w:type="dxa"/>
            <w:vAlign w:val="bottom"/>
            <w:tcBorders>
              <w:bottom w:val="single" w:sz="8" w:color="51555C"/>
            </w:tcBorders>
          </w:tcPr>
          <w:p>
            <w:pPr>
              <w:spacing w:after="0"/>
              <w:rPr>
                <w:sz w:val="2"/>
                <w:szCs w:val="2"/>
                <w:color w:val="auto"/>
              </w:rPr>
            </w:pPr>
          </w:p>
        </w:tc>
        <w:tc>
          <w:tcPr>
            <w:tcW w:w="1500" w:type="dxa"/>
            <w:vAlign w:val="bottom"/>
            <w:tcBorders>
              <w:bottom w:val="single" w:sz="8" w:color="51555C"/>
            </w:tcBorders>
          </w:tcPr>
          <w:p>
            <w:pPr>
              <w:spacing w:after="0"/>
              <w:rPr>
                <w:sz w:val="2"/>
                <w:szCs w:val="2"/>
                <w:color w:val="auto"/>
              </w:rPr>
            </w:pPr>
          </w:p>
        </w:tc>
        <w:tc>
          <w:tcPr>
            <w:tcW w:w="540" w:type="dxa"/>
            <w:vAlign w:val="bottom"/>
            <w:tcBorders>
              <w:bottom w:val="single" w:sz="8" w:color="51555C"/>
            </w:tcBorders>
          </w:tcPr>
          <w:p>
            <w:pPr>
              <w:spacing w:after="0"/>
              <w:rPr>
                <w:sz w:val="2"/>
                <w:szCs w:val="2"/>
                <w:color w:val="auto"/>
              </w:rPr>
            </w:pPr>
          </w:p>
        </w:tc>
        <w:tc>
          <w:tcPr>
            <w:tcW w:w="1100" w:type="dxa"/>
            <w:vAlign w:val="bottom"/>
            <w:tcBorders>
              <w:bottom w:val="single" w:sz="8" w:color="51555C"/>
            </w:tcBorders>
          </w:tcPr>
          <w:p>
            <w:pPr>
              <w:spacing w:after="0"/>
              <w:rPr>
                <w:sz w:val="2"/>
                <w:szCs w:val="2"/>
                <w:color w:val="auto"/>
              </w:rPr>
            </w:pPr>
          </w:p>
        </w:tc>
        <w:tc>
          <w:tcPr>
            <w:tcW w:w="20" w:type="dxa"/>
            <w:vAlign w:val="bottom"/>
          </w:tcPr>
          <w:p>
            <w:pPr>
              <w:spacing w:after="0"/>
              <w:rPr>
                <w:sz w:val="2"/>
                <w:szCs w:val="2"/>
                <w:color w:val="auto"/>
              </w:rPr>
            </w:pPr>
          </w:p>
        </w:tc>
      </w:tr>
      <w:tr>
        <w:trPr>
          <w:trHeight w:val="187"/>
        </w:trPr>
        <w:tc>
          <w:tcPr>
            <w:tcW w:w="8000" w:type="dxa"/>
            <w:vAlign w:val="bottom"/>
            <w:tcBorders>
              <w:bottom w:val="single" w:sz="8" w:color="EBFBFF"/>
            </w:tcBorders>
            <w:shd w:val="clear" w:color="auto" w:fill="EBFBFF"/>
          </w:tcPr>
          <w:p>
            <w:pPr>
              <w:ind w:left="700"/>
              <w:spacing w:after="0" w:line="137" w:lineRule="exact"/>
              <w:rPr>
                <w:sz w:val="20"/>
                <w:szCs w:val="20"/>
                <w:color w:val="auto"/>
              </w:rPr>
            </w:pPr>
            <w:r>
              <w:rPr>
                <w:rFonts w:ascii="Calibri" w:cs="Calibri" w:eastAsia="Calibri" w:hAnsi="Calibri"/>
                <w:sz w:val="13"/>
                <w:szCs w:val="13"/>
                <w:b w:val="1"/>
                <w:bCs w:val="1"/>
                <w:color w:val="51555C"/>
              </w:rPr>
              <w:t>Total liabilites and stockholders’ equity</w:t>
            </w:r>
          </w:p>
        </w:tc>
        <w:tc>
          <w:tcPr>
            <w:tcW w:w="120" w:type="dxa"/>
            <w:vAlign w:val="bottom"/>
            <w:tcBorders>
              <w:bottom w:val="single" w:sz="8" w:color="EBFBFF"/>
            </w:tcBorders>
            <w:shd w:val="clear" w:color="auto" w:fill="EBFBFF"/>
          </w:tcPr>
          <w:p>
            <w:pPr>
              <w:jc w:val="right"/>
              <w:spacing w:after="0" w:line="148" w:lineRule="exact"/>
              <w:rPr>
                <w:sz w:val="20"/>
                <w:szCs w:val="20"/>
                <w:color w:val="auto"/>
              </w:rPr>
            </w:pPr>
            <w:r>
              <w:rPr>
                <w:rFonts w:ascii="Calibri" w:cs="Calibri" w:eastAsia="Calibri" w:hAnsi="Calibri"/>
                <w:sz w:val="13"/>
                <w:szCs w:val="13"/>
                <w:color w:val="51555C"/>
                <w:w w:val="90"/>
              </w:rPr>
              <w:t>$</w:t>
            </w:r>
          </w:p>
        </w:tc>
        <w:tc>
          <w:tcPr>
            <w:tcW w:w="1500" w:type="dxa"/>
            <w:vAlign w:val="bottom"/>
            <w:tcBorders>
              <w:bottom w:val="single" w:sz="8" w:color="EBFBFF"/>
            </w:tcBorders>
            <w:shd w:val="clear" w:color="auto" w:fill="EBFBFF"/>
          </w:tcPr>
          <w:p>
            <w:pPr>
              <w:jc w:val="right"/>
              <w:spacing w:after="0" w:line="148" w:lineRule="exact"/>
              <w:rPr>
                <w:sz w:val="20"/>
                <w:szCs w:val="20"/>
                <w:color w:val="auto"/>
              </w:rPr>
            </w:pPr>
            <w:r>
              <w:rPr>
                <w:rFonts w:ascii="Calibri" w:cs="Calibri" w:eastAsia="Calibri" w:hAnsi="Calibri"/>
                <w:sz w:val="13"/>
                <w:szCs w:val="13"/>
                <w:color w:val="51555C"/>
              </w:rPr>
              <w:t>3,042,748</w:t>
            </w:r>
          </w:p>
        </w:tc>
        <w:tc>
          <w:tcPr>
            <w:tcW w:w="540" w:type="dxa"/>
            <w:vAlign w:val="bottom"/>
            <w:tcBorders>
              <w:bottom w:val="single" w:sz="8" w:color="EBFBFF"/>
            </w:tcBorders>
            <w:shd w:val="clear" w:color="auto" w:fill="EBFBFF"/>
          </w:tcPr>
          <w:p>
            <w:pPr>
              <w:jc w:val="right"/>
              <w:ind w:right="396"/>
              <w:spacing w:after="0" w:line="148" w:lineRule="exact"/>
              <w:rPr>
                <w:sz w:val="20"/>
                <w:szCs w:val="20"/>
                <w:color w:val="auto"/>
              </w:rPr>
            </w:pPr>
            <w:r>
              <w:rPr>
                <w:rFonts w:ascii="Calibri" w:cs="Calibri" w:eastAsia="Calibri" w:hAnsi="Calibri"/>
                <w:sz w:val="13"/>
                <w:szCs w:val="13"/>
                <w:color w:val="51555C"/>
                <w:w w:val="90"/>
              </w:rPr>
              <w:t>$</w:t>
            </w:r>
          </w:p>
        </w:tc>
        <w:tc>
          <w:tcPr>
            <w:tcW w:w="1100" w:type="dxa"/>
            <w:vAlign w:val="bottom"/>
            <w:tcBorders>
              <w:bottom w:val="single" w:sz="8" w:color="EBFBFF"/>
            </w:tcBorders>
            <w:shd w:val="clear" w:color="auto" w:fill="EBFBFF"/>
          </w:tcPr>
          <w:p>
            <w:pPr>
              <w:jc w:val="right"/>
              <w:spacing w:after="0" w:line="148" w:lineRule="exact"/>
              <w:rPr>
                <w:sz w:val="20"/>
                <w:szCs w:val="20"/>
                <w:color w:val="auto"/>
              </w:rPr>
            </w:pPr>
            <w:r>
              <w:rPr>
                <w:rFonts w:ascii="Calibri" w:cs="Calibri" w:eastAsia="Calibri" w:hAnsi="Calibri"/>
                <w:sz w:val="13"/>
                <w:szCs w:val="13"/>
                <w:color w:val="51555C"/>
              </w:rPr>
              <w:t>2,912,279</w:t>
            </w:r>
          </w:p>
        </w:tc>
        <w:tc>
          <w:tcPr>
            <w:tcW w:w="20" w:type="dxa"/>
            <w:vAlign w:val="bottom"/>
          </w:tcPr>
          <w:p>
            <w:pPr>
              <w:spacing w:after="0"/>
              <w:rPr>
                <w:sz w:val="15"/>
                <w:szCs w:val="15"/>
                <w:color w:val="auto"/>
              </w:rPr>
            </w:pPr>
          </w:p>
        </w:tc>
      </w:tr>
      <w:tr>
        <w:trPr>
          <w:trHeight w:val="180"/>
        </w:trPr>
        <w:tc>
          <w:tcPr>
            <w:tcW w:w="9620" w:type="dxa"/>
            <w:vAlign w:val="bottom"/>
            <w:tcBorders>
              <w:top w:val="single" w:sz="8" w:color="0CD973"/>
            </w:tcBorders>
            <w:gridSpan w:val="3"/>
          </w:tcPr>
          <w:p>
            <w:pPr>
              <w:ind w:left="3060"/>
              <w:spacing w:after="0"/>
              <w:rPr>
                <w:sz w:val="20"/>
                <w:szCs w:val="20"/>
                <w:color w:val="auto"/>
              </w:rPr>
            </w:pPr>
            <w:r>
              <w:rPr>
                <w:rFonts w:ascii="Calibri" w:cs="Calibri" w:eastAsia="Calibri" w:hAnsi="Calibri"/>
                <w:sz w:val="13"/>
                <w:szCs w:val="13"/>
                <w:color w:val="51555C"/>
              </w:rPr>
              <w:t>The accompanying notes are an integral part of these condensed consolidated fnancial statements.</w:t>
            </w:r>
          </w:p>
        </w:tc>
        <w:tc>
          <w:tcPr>
            <w:tcW w:w="540" w:type="dxa"/>
            <w:vAlign w:val="bottom"/>
            <w:tcBorders>
              <w:top w:val="single" w:sz="8" w:color="0CD973"/>
            </w:tcBorders>
          </w:tcPr>
          <w:p>
            <w:pPr>
              <w:spacing w:after="0"/>
              <w:rPr>
                <w:sz w:val="15"/>
                <w:szCs w:val="15"/>
                <w:color w:val="auto"/>
              </w:rPr>
            </w:pPr>
          </w:p>
        </w:tc>
        <w:tc>
          <w:tcPr>
            <w:tcW w:w="1100" w:type="dxa"/>
            <w:vAlign w:val="bottom"/>
            <w:tcBorders>
              <w:top w:val="single" w:sz="8" w:color="0CD973"/>
            </w:tcBorders>
          </w:tcPr>
          <w:p>
            <w:pPr>
              <w:spacing w:after="0"/>
              <w:rPr>
                <w:sz w:val="15"/>
                <w:szCs w:val="15"/>
                <w:color w:val="auto"/>
              </w:rPr>
            </w:pPr>
          </w:p>
        </w:tc>
        <w:tc>
          <w:tcPr>
            <w:tcW w:w="20" w:type="dxa"/>
            <w:vAlign w:val="bottom"/>
          </w:tcPr>
          <w:p>
            <w:pPr>
              <w:spacing w:after="0"/>
              <w:rPr>
                <w:sz w:val="15"/>
                <w:szCs w:val="15"/>
                <w:color w:val="auto"/>
              </w:rPr>
            </w:pPr>
          </w:p>
        </w:tc>
      </w:tr>
      <w:tr>
        <w:trPr>
          <w:trHeight w:val="550"/>
        </w:trPr>
        <w:tc>
          <w:tcPr>
            <w:tcW w:w="8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gridSpan w:val="2"/>
          </w:tcPr>
          <w:p>
            <w:pPr>
              <w:jc w:val="right"/>
              <w:ind w:right="456"/>
              <w:spacing w:after="0"/>
              <w:rPr>
                <w:sz w:val="20"/>
                <w:szCs w:val="20"/>
                <w:color w:val="auto"/>
              </w:rPr>
            </w:pPr>
            <w:r>
              <w:rPr>
                <w:rFonts w:ascii="Calibri" w:cs="Calibri" w:eastAsia="Calibri" w:hAnsi="Calibri"/>
                <w:sz w:val="11"/>
                <w:szCs w:val="11"/>
                <w:color w:val="51555C"/>
              </w:rPr>
              <w:t>Second Quarter 2024 Form 10-Q</w:t>
            </w:r>
          </w:p>
        </w:tc>
        <w:tc>
          <w:tcPr>
            <w:tcW w:w="1120" w:type="dxa"/>
            <w:vAlign w:val="bottom"/>
            <w:gridSpan w:val="2"/>
          </w:tcPr>
          <w:p>
            <w:pPr>
              <w:jc w:val="right"/>
              <w:ind w:right="20"/>
              <w:spacing w:after="0"/>
              <w:rPr>
                <w:sz w:val="20"/>
                <w:szCs w:val="20"/>
                <w:color w:val="auto"/>
              </w:rPr>
            </w:pPr>
            <w:r>
              <w:rPr>
                <w:rFonts w:ascii="Calibri" w:cs="Calibri" w:eastAsia="Calibri" w:hAnsi="Calibri"/>
                <w:sz w:val="11"/>
                <w:szCs w:val="11"/>
                <w:color w:val="51555C"/>
              </w:rPr>
              <w:t>3</w:t>
            </w:r>
          </w:p>
        </w:tc>
      </w:tr>
      <w:tr>
        <w:trPr>
          <w:trHeight w:val="281"/>
        </w:trPr>
        <w:tc>
          <w:tcPr>
            <w:tcW w:w="8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-295910</wp:posOffset>
            </wp:positionV>
            <wp:extent cx="532130" cy="134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32130" cy="134620"/>
                    </a:xfrm>
                    <a:prstGeom prst="rect">
                      <a:avLst/>
                    </a:prstGeom>
                    <a:noFill/>
                  </pic:spPr>
                </pic:pic>
              </a:graphicData>
            </a:graphic>
          </wp:anchor>
        </w:drawing>
      </w:r>
    </w:p>
    <w:p>
      <w:pPr>
        <w:sectPr>
          <w:pgSz w:w="11900" w:h="16838" w:orient="portrait"/>
          <w:cols w:equalWidth="0" w:num="1">
            <w:col w:w="11280"/>
          </w:cols>
          <w:pgMar w:left="300" w:top="781" w:right="319" w:bottom="1440" w:gutter="0" w:footer="0" w:header="0"/>
        </w:sectPr>
      </w:pPr>
    </w:p>
    <w:bookmarkStart w:id="4" w:name="page5"/>
    <w:bookmarkEnd w:id="4"/>
    <w:p>
      <w:pPr>
        <w:jc w:val="center"/>
        <w:ind w:right="20"/>
        <w:spacing w:after="0"/>
        <w:rPr>
          <w:sz w:val="20"/>
          <w:szCs w:val="20"/>
          <w:color w:val="auto"/>
        </w:rPr>
      </w:pPr>
      <w:r>
        <w:rPr>
          <w:rFonts w:ascii="Calibri" w:cs="Calibri" w:eastAsia="Calibri" w:hAnsi="Calibri"/>
          <w:sz w:val="14"/>
          <w:szCs w:val="14"/>
          <w:b w:val="1"/>
          <w:bCs w:val="1"/>
          <w:color w:val="51555C"/>
        </w:rPr>
        <w:t>Blackbaud, Inc.</w:t>
      </w:r>
    </w:p>
    <w:p>
      <w:pPr>
        <w:jc w:val="center"/>
        <w:ind w:right="20"/>
        <w:spacing w:after="0" w:line="238" w:lineRule="auto"/>
        <w:rPr>
          <w:sz w:val="20"/>
          <w:szCs w:val="20"/>
          <w:color w:val="auto"/>
        </w:rPr>
      </w:pPr>
      <w:r>
        <w:rPr>
          <w:rFonts w:ascii="Calibri" w:cs="Calibri" w:eastAsia="Calibri" w:hAnsi="Calibri"/>
          <w:sz w:val="14"/>
          <w:szCs w:val="14"/>
          <w:b w:val="1"/>
          <w:bCs w:val="1"/>
          <w:color w:val="51555C"/>
        </w:rPr>
        <w:t>Condensed Consolidated Statements of Comprehensive Income (Loss)</w:t>
      </w:r>
    </w:p>
    <w:p>
      <w:pPr>
        <w:jc w:val="center"/>
        <w:ind w:right="20"/>
        <w:spacing w:after="0"/>
        <w:rPr>
          <w:sz w:val="20"/>
          <w:szCs w:val="20"/>
          <w:color w:val="auto"/>
        </w:rPr>
      </w:pPr>
      <w:r>
        <w:rPr>
          <w:rFonts w:ascii="Calibri" w:cs="Calibri" w:eastAsia="Calibri" w:hAnsi="Calibri"/>
          <w:sz w:val="14"/>
          <w:szCs w:val="14"/>
          <w:b w:val="1"/>
          <w:bCs w:val="1"/>
          <w:color w:val="51555C"/>
        </w:rPr>
        <w:t>(Unaudited)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140" w:type="dxa"/>
            <w:vAlign w:val="bottom"/>
            <w:tcBorders>
              <w:top w:val="single" w:sz="8" w:color="004054"/>
            </w:tcBorders>
            <w:shd w:val="clear" w:color="auto" w:fill="004054"/>
          </w:tcPr>
          <w:p>
            <w:pPr>
              <w:spacing w:after="0"/>
              <w:rPr>
                <w:sz w:val="12"/>
                <w:szCs w:val="12"/>
                <w:color w:val="auto"/>
              </w:rPr>
            </w:pPr>
          </w:p>
        </w:tc>
        <w:tc>
          <w:tcPr>
            <w:tcW w:w="5820" w:type="dxa"/>
            <w:vAlign w:val="bottom"/>
            <w:tcBorders>
              <w:top w:val="single" w:sz="8" w:color="004054"/>
            </w:tcBorders>
            <w:shd w:val="clear" w:color="auto" w:fill="004054"/>
          </w:tcPr>
          <w:p>
            <w:pPr>
              <w:spacing w:after="0"/>
              <w:rPr>
                <w:sz w:val="12"/>
                <w:szCs w:val="12"/>
                <w:color w:val="auto"/>
              </w:rPr>
            </w:pPr>
          </w:p>
        </w:tc>
        <w:tc>
          <w:tcPr>
            <w:tcW w:w="380" w:type="dxa"/>
            <w:vAlign w:val="bottom"/>
            <w:tcBorders>
              <w:top w:val="single" w:sz="8" w:color="004054"/>
            </w:tcBorders>
            <w:shd w:val="clear" w:color="auto" w:fill="004054"/>
          </w:tcPr>
          <w:p>
            <w:pPr>
              <w:spacing w:after="0"/>
              <w:rPr>
                <w:sz w:val="12"/>
                <w:szCs w:val="12"/>
                <w:color w:val="auto"/>
              </w:rPr>
            </w:pPr>
          </w:p>
        </w:tc>
        <w:tc>
          <w:tcPr>
            <w:tcW w:w="940" w:type="dxa"/>
            <w:vAlign w:val="bottom"/>
            <w:tcBorders>
              <w:top w:val="single" w:sz="8" w:color="004054"/>
            </w:tcBorders>
            <w:shd w:val="clear" w:color="auto" w:fill="004054"/>
          </w:tcPr>
          <w:p>
            <w:pPr>
              <w:spacing w:after="0"/>
              <w:rPr>
                <w:sz w:val="12"/>
                <w:szCs w:val="12"/>
                <w:color w:val="auto"/>
              </w:rPr>
            </w:pPr>
          </w:p>
        </w:tc>
        <w:tc>
          <w:tcPr>
            <w:tcW w:w="200" w:type="dxa"/>
            <w:vAlign w:val="bottom"/>
            <w:tcBorders>
              <w:top w:val="single" w:sz="8" w:color="004054"/>
            </w:tcBorders>
            <w:shd w:val="clear" w:color="auto" w:fill="004054"/>
          </w:tcPr>
          <w:p>
            <w:pPr>
              <w:spacing w:after="0"/>
              <w:rPr>
                <w:sz w:val="12"/>
                <w:szCs w:val="12"/>
                <w:color w:val="auto"/>
              </w:rPr>
            </w:pPr>
          </w:p>
        </w:tc>
        <w:tc>
          <w:tcPr>
            <w:tcW w:w="1100" w:type="dxa"/>
            <w:vAlign w:val="bottom"/>
            <w:tcBorders>
              <w:top w:val="single" w:sz="8" w:color="004054"/>
            </w:tcBorders>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Three months ended</w:t>
            </w:r>
          </w:p>
        </w:tc>
        <w:tc>
          <w:tcPr>
            <w:tcW w:w="100" w:type="dxa"/>
            <w:vAlign w:val="bottom"/>
            <w:tcBorders>
              <w:top w:val="single" w:sz="8" w:color="004054"/>
            </w:tcBorders>
          </w:tcPr>
          <w:p>
            <w:pPr>
              <w:spacing w:after="0"/>
              <w:rPr>
                <w:sz w:val="12"/>
                <w:szCs w:val="12"/>
                <w:color w:val="auto"/>
              </w:rPr>
            </w:pPr>
          </w:p>
        </w:tc>
        <w:tc>
          <w:tcPr>
            <w:tcW w:w="380" w:type="dxa"/>
            <w:vAlign w:val="bottom"/>
            <w:tcBorders>
              <w:top w:val="single" w:sz="8" w:color="004054"/>
            </w:tcBorders>
            <w:shd w:val="clear" w:color="auto" w:fill="004054"/>
          </w:tcPr>
          <w:p>
            <w:pPr>
              <w:spacing w:after="0"/>
              <w:rPr>
                <w:sz w:val="12"/>
                <w:szCs w:val="12"/>
                <w:color w:val="auto"/>
              </w:rPr>
            </w:pPr>
          </w:p>
        </w:tc>
        <w:tc>
          <w:tcPr>
            <w:tcW w:w="920" w:type="dxa"/>
            <w:vAlign w:val="bottom"/>
            <w:tcBorders>
              <w:top w:val="single" w:sz="8" w:color="004054"/>
            </w:tcBorders>
            <w:shd w:val="clear" w:color="auto" w:fill="004054"/>
          </w:tcPr>
          <w:p>
            <w:pPr>
              <w:spacing w:after="0"/>
              <w:rPr>
                <w:sz w:val="12"/>
                <w:szCs w:val="12"/>
                <w:color w:val="auto"/>
              </w:rPr>
            </w:pPr>
          </w:p>
        </w:tc>
        <w:tc>
          <w:tcPr>
            <w:tcW w:w="260" w:type="dxa"/>
            <w:vAlign w:val="bottom"/>
            <w:tcBorders>
              <w:top w:val="single" w:sz="8" w:color="004054"/>
            </w:tcBorders>
            <w:shd w:val="clear" w:color="auto" w:fill="004054"/>
          </w:tcPr>
          <w:p>
            <w:pPr>
              <w:spacing w:after="0"/>
              <w:rPr>
                <w:sz w:val="12"/>
                <w:szCs w:val="12"/>
                <w:color w:val="auto"/>
              </w:rPr>
            </w:pPr>
          </w:p>
        </w:tc>
        <w:tc>
          <w:tcPr>
            <w:tcW w:w="1040" w:type="dxa"/>
            <w:vAlign w:val="bottom"/>
            <w:tcBorders>
              <w:top w:val="single" w:sz="8" w:color="004054"/>
            </w:tcBorders>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Six months ended</w:t>
            </w:r>
          </w:p>
        </w:tc>
        <w:tc>
          <w:tcPr>
            <w:tcW w:w="20" w:type="dxa"/>
            <w:vAlign w:val="bottom"/>
            <w:tcBorders>
              <w:top w:val="single" w:sz="8" w:color="004054"/>
            </w:tcBorders>
            <w:shd w:val="clear" w:color="auto" w:fill="004054"/>
          </w:tcPr>
          <w:p>
            <w:pPr>
              <w:spacing w:after="0"/>
              <w:rPr>
                <w:sz w:val="12"/>
                <w:szCs w:val="12"/>
                <w:color w:val="auto"/>
              </w:rPr>
            </w:pPr>
          </w:p>
        </w:tc>
      </w:tr>
      <w:tr>
        <w:trPr>
          <w:trHeight w:val="135"/>
        </w:trPr>
        <w:tc>
          <w:tcPr>
            <w:tcW w:w="140" w:type="dxa"/>
            <w:vAlign w:val="bottom"/>
            <w:shd w:val="clear" w:color="auto" w:fill="004054"/>
          </w:tcPr>
          <w:p>
            <w:pPr>
              <w:spacing w:after="0"/>
              <w:rPr>
                <w:sz w:val="11"/>
                <w:szCs w:val="11"/>
                <w:color w:val="auto"/>
              </w:rPr>
            </w:pPr>
          </w:p>
        </w:tc>
        <w:tc>
          <w:tcPr>
            <w:tcW w:w="5820" w:type="dxa"/>
            <w:vAlign w:val="bottom"/>
            <w:shd w:val="clear" w:color="auto" w:fill="004054"/>
          </w:tcPr>
          <w:p>
            <w:pPr>
              <w:spacing w:after="0"/>
              <w:rPr>
                <w:sz w:val="11"/>
                <w:szCs w:val="11"/>
                <w:color w:val="auto"/>
              </w:rPr>
            </w:pPr>
          </w:p>
        </w:tc>
        <w:tc>
          <w:tcPr>
            <w:tcW w:w="380" w:type="dxa"/>
            <w:vAlign w:val="bottom"/>
            <w:shd w:val="clear" w:color="auto" w:fill="004054"/>
          </w:tcPr>
          <w:p>
            <w:pPr>
              <w:spacing w:after="0"/>
              <w:rPr>
                <w:sz w:val="11"/>
                <w:szCs w:val="11"/>
                <w:color w:val="auto"/>
              </w:rPr>
            </w:pPr>
          </w:p>
        </w:tc>
        <w:tc>
          <w:tcPr>
            <w:tcW w:w="940" w:type="dxa"/>
            <w:vAlign w:val="bottom"/>
            <w:shd w:val="clear" w:color="auto" w:fill="004054"/>
          </w:tcPr>
          <w:p>
            <w:pPr>
              <w:spacing w:after="0"/>
              <w:rPr>
                <w:sz w:val="11"/>
                <w:szCs w:val="11"/>
                <w:color w:val="auto"/>
              </w:rPr>
            </w:pPr>
          </w:p>
        </w:tc>
        <w:tc>
          <w:tcPr>
            <w:tcW w:w="200" w:type="dxa"/>
            <w:vAlign w:val="bottom"/>
            <w:shd w:val="clear" w:color="auto" w:fill="004054"/>
          </w:tcPr>
          <w:p>
            <w:pPr>
              <w:spacing w:after="0"/>
              <w:rPr>
                <w:sz w:val="11"/>
                <w:szCs w:val="11"/>
                <w:color w:val="auto"/>
              </w:rPr>
            </w:pPr>
          </w:p>
        </w:tc>
        <w:tc>
          <w:tcPr>
            <w:tcW w:w="110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June 30,</w:t>
            </w:r>
          </w:p>
        </w:tc>
        <w:tc>
          <w:tcPr>
            <w:tcW w:w="100" w:type="dxa"/>
            <w:vAlign w:val="bottom"/>
          </w:tcPr>
          <w:p>
            <w:pPr>
              <w:spacing w:after="0"/>
              <w:rPr>
                <w:sz w:val="11"/>
                <w:szCs w:val="11"/>
                <w:color w:val="auto"/>
              </w:rPr>
            </w:pPr>
          </w:p>
        </w:tc>
        <w:tc>
          <w:tcPr>
            <w:tcW w:w="380" w:type="dxa"/>
            <w:vAlign w:val="bottom"/>
            <w:shd w:val="clear" w:color="auto" w:fill="004054"/>
          </w:tcPr>
          <w:p>
            <w:pPr>
              <w:spacing w:after="0"/>
              <w:rPr>
                <w:sz w:val="11"/>
                <w:szCs w:val="11"/>
                <w:color w:val="auto"/>
              </w:rPr>
            </w:pPr>
          </w:p>
        </w:tc>
        <w:tc>
          <w:tcPr>
            <w:tcW w:w="920" w:type="dxa"/>
            <w:vAlign w:val="bottom"/>
            <w:shd w:val="clear" w:color="auto" w:fill="004054"/>
          </w:tcPr>
          <w:p>
            <w:pPr>
              <w:spacing w:after="0"/>
              <w:rPr>
                <w:sz w:val="11"/>
                <w:szCs w:val="11"/>
                <w:color w:val="auto"/>
              </w:rPr>
            </w:pPr>
          </w:p>
        </w:tc>
        <w:tc>
          <w:tcPr>
            <w:tcW w:w="260" w:type="dxa"/>
            <w:vAlign w:val="bottom"/>
            <w:shd w:val="clear" w:color="auto" w:fill="004054"/>
          </w:tcPr>
          <w:p>
            <w:pPr>
              <w:spacing w:after="0"/>
              <w:rPr>
                <w:sz w:val="11"/>
                <w:szCs w:val="11"/>
                <w:color w:val="auto"/>
              </w:rPr>
            </w:pPr>
          </w:p>
        </w:tc>
        <w:tc>
          <w:tcPr>
            <w:tcW w:w="104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June 30,</w:t>
            </w:r>
          </w:p>
        </w:tc>
        <w:tc>
          <w:tcPr>
            <w:tcW w:w="20" w:type="dxa"/>
            <w:vAlign w:val="bottom"/>
            <w:shd w:val="clear" w:color="auto" w:fill="004054"/>
          </w:tcPr>
          <w:p>
            <w:pPr>
              <w:spacing w:after="0"/>
              <w:rPr>
                <w:sz w:val="11"/>
                <w:szCs w:val="11"/>
                <w:color w:val="auto"/>
              </w:rPr>
            </w:pPr>
          </w:p>
        </w:tc>
      </w:tr>
      <w:tr>
        <w:trPr>
          <w:trHeight w:val="191"/>
        </w:trPr>
        <w:tc>
          <w:tcPr>
            <w:tcW w:w="5960" w:type="dxa"/>
            <w:vAlign w:val="bottom"/>
            <w:gridSpan w:val="2"/>
            <w:shd w:val="clear" w:color="auto" w:fill="004054"/>
          </w:tcPr>
          <w:p>
            <w:pPr>
              <w:ind w:left="20"/>
              <w:spacing w:after="0"/>
              <w:rPr>
                <w:sz w:val="20"/>
                <w:szCs w:val="20"/>
                <w:color w:val="auto"/>
              </w:rPr>
            </w:pPr>
            <w:r>
              <w:rPr>
                <w:rFonts w:ascii="Calibri" w:cs="Calibri" w:eastAsia="Calibri" w:hAnsi="Calibri"/>
                <w:sz w:val="11"/>
                <w:szCs w:val="11"/>
                <w:b w:val="1"/>
                <w:bCs w:val="1"/>
                <w:color w:val="FFFFFF"/>
              </w:rPr>
              <w:t>(dollars in thousands, except per share amounts)</w:t>
            </w:r>
          </w:p>
        </w:tc>
        <w:tc>
          <w:tcPr>
            <w:tcW w:w="380" w:type="dxa"/>
            <w:vAlign w:val="bottom"/>
            <w:shd w:val="clear" w:color="auto" w:fill="004054"/>
          </w:tcPr>
          <w:p>
            <w:pPr>
              <w:spacing w:after="0"/>
              <w:rPr>
                <w:sz w:val="16"/>
                <w:szCs w:val="16"/>
                <w:color w:val="auto"/>
              </w:rPr>
            </w:pPr>
          </w:p>
        </w:tc>
        <w:tc>
          <w:tcPr>
            <w:tcW w:w="94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2024</w:t>
            </w:r>
          </w:p>
        </w:tc>
        <w:tc>
          <w:tcPr>
            <w:tcW w:w="200" w:type="dxa"/>
            <w:vAlign w:val="bottom"/>
            <w:shd w:val="clear" w:color="auto" w:fill="004054"/>
          </w:tcPr>
          <w:p>
            <w:pPr>
              <w:spacing w:after="0"/>
              <w:rPr>
                <w:sz w:val="16"/>
                <w:szCs w:val="16"/>
                <w:color w:val="auto"/>
              </w:rPr>
            </w:pPr>
          </w:p>
        </w:tc>
        <w:tc>
          <w:tcPr>
            <w:tcW w:w="110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2023</w:t>
            </w:r>
          </w:p>
        </w:tc>
        <w:tc>
          <w:tcPr>
            <w:tcW w:w="100" w:type="dxa"/>
            <w:vAlign w:val="bottom"/>
          </w:tcPr>
          <w:p>
            <w:pPr>
              <w:spacing w:after="0"/>
              <w:rPr>
                <w:sz w:val="16"/>
                <w:szCs w:val="16"/>
                <w:color w:val="auto"/>
              </w:rPr>
            </w:pPr>
          </w:p>
        </w:tc>
        <w:tc>
          <w:tcPr>
            <w:tcW w:w="380" w:type="dxa"/>
            <w:vAlign w:val="bottom"/>
            <w:shd w:val="clear" w:color="auto" w:fill="004054"/>
          </w:tcPr>
          <w:p>
            <w:pPr>
              <w:spacing w:after="0"/>
              <w:rPr>
                <w:sz w:val="16"/>
                <w:szCs w:val="16"/>
                <w:color w:val="auto"/>
              </w:rPr>
            </w:pPr>
          </w:p>
        </w:tc>
        <w:tc>
          <w:tcPr>
            <w:tcW w:w="92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2024</w:t>
            </w:r>
          </w:p>
        </w:tc>
        <w:tc>
          <w:tcPr>
            <w:tcW w:w="260" w:type="dxa"/>
            <w:vAlign w:val="bottom"/>
            <w:shd w:val="clear" w:color="auto" w:fill="004054"/>
          </w:tcPr>
          <w:p>
            <w:pPr>
              <w:spacing w:after="0"/>
              <w:rPr>
                <w:sz w:val="16"/>
                <w:szCs w:val="16"/>
                <w:color w:val="auto"/>
              </w:rPr>
            </w:pPr>
          </w:p>
        </w:tc>
        <w:tc>
          <w:tcPr>
            <w:tcW w:w="104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2023</w:t>
            </w:r>
          </w:p>
        </w:tc>
        <w:tc>
          <w:tcPr>
            <w:tcW w:w="20" w:type="dxa"/>
            <w:vAlign w:val="bottom"/>
            <w:shd w:val="clear" w:color="auto" w:fill="004054"/>
          </w:tcPr>
          <w:p>
            <w:pPr>
              <w:spacing w:after="0"/>
              <w:rPr>
                <w:sz w:val="16"/>
                <w:szCs w:val="16"/>
                <w:color w:val="auto"/>
              </w:rPr>
            </w:pPr>
          </w:p>
        </w:tc>
      </w:tr>
      <w:tr>
        <w:trPr>
          <w:trHeight w:val="46"/>
        </w:trPr>
        <w:tc>
          <w:tcPr>
            <w:tcW w:w="5960" w:type="dxa"/>
            <w:vAlign w:val="bottom"/>
            <w:tcBorders>
              <w:bottom w:val="single" w:sz="8" w:color="004054"/>
            </w:tcBorders>
            <w:gridSpan w:val="2"/>
            <w:shd w:val="clear" w:color="auto" w:fill="004054"/>
          </w:tcPr>
          <w:p>
            <w:pPr>
              <w:spacing w:after="0"/>
              <w:rPr>
                <w:sz w:val="4"/>
                <w:szCs w:val="4"/>
                <w:color w:val="auto"/>
              </w:rPr>
            </w:pPr>
          </w:p>
        </w:tc>
        <w:tc>
          <w:tcPr>
            <w:tcW w:w="380" w:type="dxa"/>
            <w:vAlign w:val="bottom"/>
            <w:tcBorders>
              <w:bottom w:val="single" w:sz="8" w:color="004054"/>
            </w:tcBorders>
            <w:shd w:val="clear" w:color="auto" w:fill="004054"/>
          </w:tcPr>
          <w:p>
            <w:pPr>
              <w:spacing w:after="0"/>
              <w:rPr>
                <w:sz w:val="4"/>
                <w:szCs w:val="4"/>
                <w:color w:val="auto"/>
              </w:rPr>
            </w:pPr>
          </w:p>
        </w:tc>
        <w:tc>
          <w:tcPr>
            <w:tcW w:w="940" w:type="dxa"/>
            <w:vAlign w:val="bottom"/>
            <w:tcBorders>
              <w:bottom w:val="single" w:sz="8" w:color="004054"/>
            </w:tcBorders>
            <w:shd w:val="clear" w:color="auto" w:fill="004054"/>
          </w:tcPr>
          <w:p>
            <w:pPr>
              <w:spacing w:after="0"/>
              <w:rPr>
                <w:sz w:val="4"/>
                <w:szCs w:val="4"/>
                <w:color w:val="auto"/>
              </w:rPr>
            </w:pPr>
          </w:p>
        </w:tc>
        <w:tc>
          <w:tcPr>
            <w:tcW w:w="200" w:type="dxa"/>
            <w:vAlign w:val="bottom"/>
            <w:tcBorders>
              <w:bottom w:val="single" w:sz="8" w:color="004054"/>
            </w:tcBorders>
            <w:shd w:val="clear" w:color="auto" w:fill="004054"/>
          </w:tcPr>
          <w:p>
            <w:pPr>
              <w:spacing w:after="0"/>
              <w:rPr>
                <w:sz w:val="4"/>
                <w:szCs w:val="4"/>
                <w:color w:val="auto"/>
              </w:rPr>
            </w:pPr>
          </w:p>
        </w:tc>
        <w:tc>
          <w:tcPr>
            <w:tcW w:w="1100" w:type="dxa"/>
            <w:vAlign w:val="bottom"/>
            <w:tcBorders>
              <w:bottom w:val="single" w:sz="8" w:color="004054"/>
            </w:tcBorders>
            <w:shd w:val="clear" w:color="auto" w:fill="004054"/>
          </w:tcPr>
          <w:p>
            <w:pPr>
              <w:spacing w:after="0"/>
              <w:rPr>
                <w:sz w:val="4"/>
                <w:szCs w:val="4"/>
                <w:color w:val="auto"/>
              </w:rPr>
            </w:pPr>
          </w:p>
        </w:tc>
        <w:tc>
          <w:tcPr>
            <w:tcW w:w="100" w:type="dxa"/>
            <w:vAlign w:val="bottom"/>
            <w:tcBorders>
              <w:bottom w:val="single" w:sz="8" w:color="EBFBFF"/>
            </w:tcBorders>
          </w:tcPr>
          <w:p>
            <w:pPr>
              <w:spacing w:after="0"/>
              <w:rPr>
                <w:sz w:val="4"/>
                <w:szCs w:val="4"/>
                <w:color w:val="auto"/>
              </w:rPr>
            </w:pPr>
          </w:p>
        </w:tc>
        <w:tc>
          <w:tcPr>
            <w:tcW w:w="380" w:type="dxa"/>
            <w:vAlign w:val="bottom"/>
            <w:tcBorders>
              <w:bottom w:val="single" w:sz="8" w:color="004054"/>
            </w:tcBorders>
            <w:shd w:val="clear" w:color="auto" w:fill="004054"/>
          </w:tcPr>
          <w:p>
            <w:pPr>
              <w:spacing w:after="0"/>
              <w:rPr>
                <w:sz w:val="4"/>
                <w:szCs w:val="4"/>
                <w:color w:val="auto"/>
              </w:rPr>
            </w:pPr>
          </w:p>
        </w:tc>
        <w:tc>
          <w:tcPr>
            <w:tcW w:w="920" w:type="dxa"/>
            <w:vAlign w:val="bottom"/>
            <w:tcBorders>
              <w:bottom w:val="single" w:sz="8" w:color="004054"/>
            </w:tcBorders>
            <w:shd w:val="clear" w:color="auto" w:fill="004054"/>
          </w:tcPr>
          <w:p>
            <w:pPr>
              <w:spacing w:after="0"/>
              <w:rPr>
                <w:sz w:val="4"/>
                <w:szCs w:val="4"/>
                <w:color w:val="auto"/>
              </w:rPr>
            </w:pPr>
          </w:p>
        </w:tc>
        <w:tc>
          <w:tcPr>
            <w:tcW w:w="260" w:type="dxa"/>
            <w:vAlign w:val="bottom"/>
            <w:tcBorders>
              <w:bottom w:val="single" w:sz="8" w:color="004054"/>
            </w:tcBorders>
            <w:shd w:val="clear" w:color="auto" w:fill="004054"/>
          </w:tcPr>
          <w:p>
            <w:pPr>
              <w:spacing w:after="0"/>
              <w:rPr>
                <w:sz w:val="4"/>
                <w:szCs w:val="4"/>
                <w:color w:val="auto"/>
              </w:rPr>
            </w:pPr>
          </w:p>
        </w:tc>
        <w:tc>
          <w:tcPr>
            <w:tcW w:w="1040" w:type="dxa"/>
            <w:vAlign w:val="bottom"/>
            <w:tcBorders>
              <w:bottom w:val="single" w:sz="8" w:color="004054"/>
            </w:tcBorders>
            <w:shd w:val="clear" w:color="auto" w:fill="004054"/>
          </w:tcPr>
          <w:p>
            <w:pPr>
              <w:spacing w:after="0"/>
              <w:rPr>
                <w:sz w:val="4"/>
                <w:szCs w:val="4"/>
                <w:color w:val="auto"/>
              </w:rPr>
            </w:pPr>
          </w:p>
        </w:tc>
        <w:tc>
          <w:tcPr>
            <w:tcW w:w="20" w:type="dxa"/>
            <w:vAlign w:val="bottom"/>
            <w:tcBorders>
              <w:bottom w:val="single" w:sz="8" w:color="004054"/>
            </w:tcBorders>
            <w:shd w:val="clear" w:color="auto" w:fill="004054"/>
          </w:tcPr>
          <w:p>
            <w:pPr>
              <w:spacing w:after="0"/>
              <w:rPr>
                <w:sz w:val="4"/>
                <w:szCs w:val="4"/>
                <w:color w:val="auto"/>
              </w:rPr>
            </w:pPr>
          </w:p>
        </w:tc>
      </w:tr>
      <w:tr>
        <w:trPr>
          <w:trHeight w:val="162"/>
        </w:trPr>
        <w:tc>
          <w:tcPr>
            <w:tcW w:w="5960" w:type="dxa"/>
            <w:vAlign w:val="bottom"/>
            <w:tcBorders>
              <w:bottom w:val="single" w:sz="8" w:color="EBFBFF"/>
            </w:tcBorders>
            <w:gridSpan w:val="2"/>
            <w:shd w:val="clear" w:color="auto" w:fill="EBFBFF"/>
          </w:tcPr>
          <w:p>
            <w:pPr>
              <w:ind w:left="20"/>
              <w:spacing w:after="0" w:line="148" w:lineRule="exact"/>
              <w:rPr>
                <w:sz w:val="20"/>
                <w:szCs w:val="20"/>
                <w:color w:val="auto"/>
              </w:rPr>
            </w:pPr>
            <w:r>
              <w:rPr>
                <w:rFonts w:ascii="Calibri" w:cs="Calibri" w:eastAsia="Calibri" w:hAnsi="Calibri"/>
                <w:sz w:val="13"/>
                <w:szCs w:val="13"/>
                <w:b w:val="1"/>
                <w:bCs w:val="1"/>
                <w:color w:val="51555C"/>
              </w:rPr>
              <w:t>Revenue</w:t>
            </w:r>
          </w:p>
        </w:tc>
        <w:tc>
          <w:tcPr>
            <w:tcW w:w="380" w:type="dxa"/>
            <w:vAlign w:val="bottom"/>
            <w:tcBorders>
              <w:bottom w:val="single" w:sz="8" w:color="EBFBFF"/>
            </w:tcBorders>
            <w:shd w:val="clear" w:color="auto" w:fill="EBFBFF"/>
          </w:tcPr>
          <w:p>
            <w:pPr>
              <w:spacing w:after="0"/>
              <w:rPr>
                <w:sz w:val="14"/>
                <w:szCs w:val="14"/>
                <w:color w:val="auto"/>
              </w:rPr>
            </w:pPr>
          </w:p>
        </w:tc>
        <w:tc>
          <w:tcPr>
            <w:tcW w:w="940" w:type="dxa"/>
            <w:vAlign w:val="bottom"/>
            <w:tcBorders>
              <w:bottom w:val="single" w:sz="8" w:color="EBFBFF"/>
            </w:tcBorders>
            <w:shd w:val="clear" w:color="auto" w:fill="EBFBFF"/>
          </w:tcPr>
          <w:p>
            <w:pPr>
              <w:spacing w:after="0"/>
              <w:rPr>
                <w:sz w:val="14"/>
                <w:szCs w:val="14"/>
                <w:color w:val="auto"/>
              </w:rPr>
            </w:pPr>
          </w:p>
        </w:tc>
        <w:tc>
          <w:tcPr>
            <w:tcW w:w="200" w:type="dxa"/>
            <w:vAlign w:val="bottom"/>
            <w:tcBorders>
              <w:bottom w:val="single" w:sz="8" w:color="EBFBFF"/>
            </w:tcBorders>
            <w:shd w:val="clear" w:color="auto" w:fill="EBFBFF"/>
          </w:tcPr>
          <w:p>
            <w:pPr>
              <w:spacing w:after="0"/>
              <w:rPr>
                <w:sz w:val="14"/>
                <w:szCs w:val="14"/>
                <w:color w:val="auto"/>
              </w:rPr>
            </w:pPr>
          </w:p>
        </w:tc>
        <w:tc>
          <w:tcPr>
            <w:tcW w:w="1100" w:type="dxa"/>
            <w:vAlign w:val="bottom"/>
            <w:tcBorders>
              <w:bottom w:val="single" w:sz="8" w:color="EBFBFF"/>
            </w:tcBorders>
            <w:shd w:val="clear" w:color="auto" w:fill="EBFBFF"/>
          </w:tcPr>
          <w:p>
            <w:pPr>
              <w:spacing w:after="0"/>
              <w:rPr>
                <w:sz w:val="14"/>
                <w:szCs w:val="14"/>
                <w:color w:val="auto"/>
              </w:rPr>
            </w:pPr>
          </w:p>
        </w:tc>
        <w:tc>
          <w:tcPr>
            <w:tcW w:w="100" w:type="dxa"/>
            <w:vAlign w:val="bottom"/>
            <w:tcBorders>
              <w:bottom w:val="single" w:sz="8" w:color="EBFBFF"/>
            </w:tcBorders>
            <w:shd w:val="clear" w:color="auto" w:fill="EBFBFF"/>
          </w:tcPr>
          <w:p>
            <w:pPr>
              <w:spacing w:after="0"/>
              <w:rPr>
                <w:sz w:val="14"/>
                <w:szCs w:val="14"/>
                <w:color w:val="auto"/>
              </w:rPr>
            </w:pPr>
          </w:p>
        </w:tc>
        <w:tc>
          <w:tcPr>
            <w:tcW w:w="380" w:type="dxa"/>
            <w:vAlign w:val="bottom"/>
            <w:tcBorders>
              <w:bottom w:val="single" w:sz="8" w:color="EBFBFF"/>
            </w:tcBorders>
            <w:shd w:val="clear" w:color="auto" w:fill="EBFBFF"/>
          </w:tcPr>
          <w:p>
            <w:pPr>
              <w:spacing w:after="0"/>
              <w:rPr>
                <w:sz w:val="14"/>
                <w:szCs w:val="14"/>
                <w:color w:val="auto"/>
              </w:rPr>
            </w:pPr>
          </w:p>
        </w:tc>
        <w:tc>
          <w:tcPr>
            <w:tcW w:w="920" w:type="dxa"/>
            <w:vAlign w:val="bottom"/>
            <w:tcBorders>
              <w:bottom w:val="single" w:sz="8" w:color="EBFBFF"/>
            </w:tcBorders>
            <w:shd w:val="clear" w:color="auto" w:fill="EBFBFF"/>
          </w:tcPr>
          <w:p>
            <w:pPr>
              <w:spacing w:after="0"/>
              <w:rPr>
                <w:sz w:val="14"/>
                <w:szCs w:val="14"/>
                <w:color w:val="auto"/>
              </w:rPr>
            </w:pPr>
          </w:p>
        </w:tc>
        <w:tc>
          <w:tcPr>
            <w:tcW w:w="260" w:type="dxa"/>
            <w:vAlign w:val="bottom"/>
            <w:tcBorders>
              <w:bottom w:val="single" w:sz="8" w:color="EBFBFF"/>
            </w:tcBorders>
            <w:shd w:val="clear" w:color="auto" w:fill="EBFBFF"/>
          </w:tcPr>
          <w:p>
            <w:pPr>
              <w:spacing w:after="0"/>
              <w:rPr>
                <w:sz w:val="14"/>
                <w:szCs w:val="14"/>
                <w:color w:val="auto"/>
              </w:rPr>
            </w:pPr>
          </w:p>
        </w:tc>
        <w:tc>
          <w:tcPr>
            <w:tcW w:w="1040" w:type="dxa"/>
            <w:vAlign w:val="bottom"/>
            <w:tcBorders>
              <w:bottom w:val="single" w:sz="8" w:color="EBFBFF"/>
            </w:tcBorders>
            <w:shd w:val="clear" w:color="auto" w:fill="EBFBFF"/>
          </w:tcPr>
          <w:p>
            <w:pPr>
              <w:spacing w:after="0"/>
              <w:rPr>
                <w:sz w:val="14"/>
                <w:szCs w:val="14"/>
                <w:color w:val="auto"/>
              </w:rPr>
            </w:pPr>
          </w:p>
        </w:tc>
        <w:tc>
          <w:tcPr>
            <w:tcW w:w="20" w:type="dxa"/>
            <w:vAlign w:val="bottom"/>
          </w:tcPr>
          <w:p>
            <w:pPr>
              <w:spacing w:after="0"/>
              <w:rPr>
                <w:sz w:val="14"/>
                <w:szCs w:val="14"/>
                <w:color w:val="auto"/>
              </w:rPr>
            </w:pPr>
          </w:p>
        </w:tc>
      </w:tr>
      <w:tr>
        <w:trPr>
          <w:trHeight w:val="157"/>
        </w:trPr>
        <w:tc>
          <w:tcPr>
            <w:tcW w:w="140" w:type="dxa"/>
            <w:vAlign w:val="bottom"/>
          </w:tcPr>
          <w:p>
            <w:pPr>
              <w:spacing w:after="0"/>
              <w:rPr>
                <w:sz w:val="13"/>
                <w:szCs w:val="13"/>
                <w:color w:val="auto"/>
              </w:rPr>
            </w:pPr>
          </w:p>
        </w:tc>
        <w:tc>
          <w:tcPr>
            <w:tcW w:w="5820" w:type="dxa"/>
            <w:vAlign w:val="bottom"/>
          </w:tcPr>
          <w:p>
            <w:pPr>
              <w:ind w:left="40"/>
              <w:spacing w:after="0" w:line="157" w:lineRule="exact"/>
              <w:rPr>
                <w:sz w:val="20"/>
                <w:szCs w:val="20"/>
                <w:color w:val="auto"/>
              </w:rPr>
            </w:pPr>
            <w:r>
              <w:rPr>
                <w:rFonts w:ascii="Calibri" w:cs="Calibri" w:eastAsia="Calibri" w:hAnsi="Calibri"/>
                <w:sz w:val="13"/>
                <w:szCs w:val="13"/>
                <w:color w:val="51555C"/>
              </w:rPr>
              <w:t>Recurring</w:t>
            </w:r>
          </w:p>
        </w:tc>
        <w:tc>
          <w:tcPr>
            <w:tcW w:w="380" w:type="dxa"/>
            <w:vAlign w:val="bottom"/>
          </w:tcPr>
          <w:p>
            <w:pPr>
              <w:jc w:val="right"/>
              <w:ind w:right="236"/>
              <w:spacing w:after="0" w:line="157" w:lineRule="exact"/>
              <w:rPr>
                <w:sz w:val="20"/>
                <w:szCs w:val="20"/>
                <w:color w:val="auto"/>
              </w:rPr>
            </w:pPr>
            <w:r>
              <w:rPr>
                <w:rFonts w:ascii="Calibri" w:cs="Calibri" w:eastAsia="Calibri" w:hAnsi="Calibri"/>
                <w:sz w:val="13"/>
                <w:szCs w:val="13"/>
                <w:color w:val="51555C"/>
                <w:w w:val="90"/>
              </w:rPr>
              <w:t>$</w:t>
            </w:r>
          </w:p>
        </w:tc>
        <w:tc>
          <w:tcPr>
            <w:tcW w:w="940" w:type="dxa"/>
            <w:vAlign w:val="bottom"/>
          </w:tcPr>
          <w:p>
            <w:pPr>
              <w:jc w:val="right"/>
              <w:spacing w:after="0" w:line="157" w:lineRule="exact"/>
              <w:rPr>
                <w:sz w:val="20"/>
                <w:szCs w:val="20"/>
                <w:color w:val="auto"/>
              </w:rPr>
            </w:pPr>
            <w:r>
              <w:rPr>
                <w:rFonts w:ascii="Calibri" w:cs="Calibri" w:eastAsia="Calibri" w:hAnsi="Calibri"/>
                <w:sz w:val="13"/>
                <w:szCs w:val="13"/>
                <w:color w:val="51555C"/>
              </w:rPr>
              <w:t>281,376</w:t>
            </w:r>
          </w:p>
        </w:tc>
        <w:tc>
          <w:tcPr>
            <w:tcW w:w="200" w:type="dxa"/>
            <w:vAlign w:val="bottom"/>
          </w:tcPr>
          <w:p>
            <w:pPr>
              <w:jc w:val="right"/>
              <w:ind w:right="56"/>
              <w:spacing w:after="0" w:line="157" w:lineRule="exact"/>
              <w:rPr>
                <w:sz w:val="20"/>
                <w:szCs w:val="20"/>
                <w:color w:val="auto"/>
              </w:rPr>
            </w:pPr>
            <w:r>
              <w:rPr>
                <w:rFonts w:ascii="Calibri" w:cs="Calibri" w:eastAsia="Calibri" w:hAnsi="Calibri"/>
                <w:sz w:val="13"/>
                <w:szCs w:val="13"/>
                <w:color w:val="51555C"/>
                <w:w w:val="90"/>
              </w:rPr>
              <w:t>$</w:t>
            </w:r>
          </w:p>
        </w:tc>
        <w:tc>
          <w:tcPr>
            <w:tcW w:w="1100" w:type="dxa"/>
            <w:vAlign w:val="bottom"/>
          </w:tcPr>
          <w:p>
            <w:pPr>
              <w:jc w:val="right"/>
              <w:spacing w:after="0" w:line="157" w:lineRule="exact"/>
              <w:rPr>
                <w:sz w:val="20"/>
                <w:szCs w:val="20"/>
                <w:color w:val="auto"/>
              </w:rPr>
            </w:pPr>
            <w:r>
              <w:rPr>
                <w:rFonts w:ascii="Calibri" w:cs="Calibri" w:eastAsia="Calibri" w:hAnsi="Calibri"/>
                <w:sz w:val="13"/>
                <w:szCs w:val="13"/>
                <w:color w:val="51555C"/>
              </w:rPr>
              <w:t>262,390</w:t>
            </w:r>
          </w:p>
        </w:tc>
        <w:tc>
          <w:tcPr>
            <w:tcW w:w="480" w:type="dxa"/>
            <w:vAlign w:val="bottom"/>
            <w:gridSpan w:val="2"/>
          </w:tcPr>
          <w:p>
            <w:pPr>
              <w:jc w:val="right"/>
              <w:ind w:right="236"/>
              <w:spacing w:after="0" w:line="157" w:lineRule="exact"/>
              <w:rPr>
                <w:sz w:val="20"/>
                <w:szCs w:val="20"/>
                <w:color w:val="auto"/>
              </w:rPr>
            </w:pPr>
            <w:r>
              <w:rPr>
                <w:rFonts w:ascii="Calibri" w:cs="Calibri" w:eastAsia="Calibri" w:hAnsi="Calibri"/>
                <w:sz w:val="13"/>
                <w:szCs w:val="13"/>
                <w:color w:val="51555C"/>
              </w:rPr>
              <w:t>$</w:t>
            </w:r>
          </w:p>
        </w:tc>
        <w:tc>
          <w:tcPr>
            <w:tcW w:w="920" w:type="dxa"/>
            <w:vAlign w:val="bottom"/>
          </w:tcPr>
          <w:p>
            <w:pPr>
              <w:jc w:val="right"/>
              <w:spacing w:after="0" w:line="157" w:lineRule="exact"/>
              <w:rPr>
                <w:sz w:val="20"/>
                <w:szCs w:val="20"/>
                <w:color w:val="auto"/>
              </w:rPr>
            </w:pPr>
            <w:r>
              <w:rPr>
                <w:rFonts w:ascii="Calibri" w:cs="Calibri" w:eastAsia="Calibri" w:hAnsi="Calibri"/>
                <w:sz w:val="13"/>
                <w:szCs w:val="13"/>
                <w:color w:val="51555C"/>
              </w:rPr>
              <w:t>552,894</w:t>
            </w:r>
          </w:p>
        </w:tc>
        <w:tc>
          <w:tcPr>
            <w:tcW w:w="260" w:type="dxa"/>
            <w:vAlign w:val="bottom"/>
          </w:tcPr>
          <w:p>
            <w:pPr>
              <w:jc w:val="right"/>
              <w:ind w:right="116"/>
              <w:spacing w:after="0" w:line="157" w:lineRule="exact"/>
              <w:rPr>
                <w:sz w:val="20"/>
                <w:szCs w:val="20"/>
                <w:color w:val="auto"/>
              </w:rPr>
            </w:pPr>
            <w:r>
              <w:rPr>
                <w:rFonts w:ascii="Calibri" w:cs="Calibri" w:eastAsia="Calibri" w:hAnsi="Calibri"/>
                <w:sz w:val="13"/>
                <w:szCs w:val="13"/>
                <w:color w:val="51555C"/>
                <w:w w:val="90"/>
              </w:rPr>
              <w:t>$</w:t>
            </w:r>
          </w:p>
        </w:tc>
        <w:tc>
          <w:tcPr>
            <w:tcW w:w="1040" w:type="dxa"/>
            <w:vAlign w:val="bottom"/>
          </w:tcPr>
          <w:p>
            <w:pPr>
              <w:jc w:val="right"/>
              <w:spacing w:after="0" w:line="157" w:lineRule="exact"/>
              <w:rPr>
                <w:sz w:val="20"/>
                <w:szCs w:val="20"/>
                <w:color w:val="auto"/>
              </w:rPr>
            </w:pPr>
            <w:r>
              <w:rPr>
                <w:rFonts w:ascii="Calibri" w:cs="Calibri" w:eastAsia="Calibri" w:hAnsi="Calibri"/>
                <w:sz w:val="13"/>
                <w:szCs w:val="13"/>
                <w:color w:val="51555C"/>
              </w:rPr>
              <w:t>515,138</w:t>
            </w:r>
          </w:p>
        </w:tc>
        <w:tc>
          <w:tcPr>
            <w:tcW w:w="20" w:type="dxa"/>
            <w:vAlign w:val="bottom"/>
          </w:tcPr>
          <w:p>
            <w:pPr>
              <w:spacing w:after="0"/>
              <w:rPr>
                <w:sz w:val="13"/>
                <w:szCs w:val="13"/>
                <w:color w:val="auto"/>
              </w:rPr>
            </w:pPr>
          </w:p>
        </w:tc>
      </w:tr>
      <w:tr>
        <w:trPr>
          <w:trHeight w:val="34"/>
        </w:trPr>
        <w:tc>
          <w:tcPr>
            <w:tcW w:w="140" w:type="dxa"/>
            <w:vAlign w:val="bottom"/>
          </w:tcPr>
          <w:p>
            <w:pPr>
              <w:spacing w:after="0"/>
              <w:rPr>
                <w:sz w:val="2"/>
                <w:szCs w:val="2"/>
                <w:color w:val="auto"/>
              </w:rPr>
            </w:pPr>
          </w:p>
        </w:tc>
        <w:tc>
          <w:tcPr>
            <w:tcW w:w="5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1"/>
        </w:trPr>
        <w:tc>
          <w:tcPr>
            <w:tcW w:w="140" w:type="dxa"/>
            <w:vAlign w:val="bottom"/>
            <w:tcBorders>
              <w:bottom w:val="single" w:sz="8" w:color="EBFBFF"/>
            </w:tcBorders>
            <w:shd w:val="clear" w:color="auto" w:fill="EBFBFF"/>
          </w:tcPr>
          <w:p>
            <w:pPr>
              <w:spacing w:after="0"/>
              <w:rPr>
                <w:sz w:val="16"/>
                <w:szCs w:val="16"/>
                <w:color w:val="auto"/>
              </w:rPr>
            </w:pPr>
          </w:p>
        </w:tc>
        <w:tc>
          <w:tcPr>
            <w:tcW w:w="5820" w:type="dxa"/>
            <w:vAlign w:val="bottom"/>
            <w:tcBorders>
              <w:bottom w:val="single" w:sz="8" w:color="EBFBFF"/>
            </w:tcBorders>
            <w:shd w:val="clear" w:color="auto" w:fill="EBFBFF"/>
          </w:tcPr>
          <w:p>
            <w:pPr>
              <w:ind w:left="40"/>
              <w:spacing w:after="0" w:line="157" w:lineRule="exact"/>
              <w:rPr>
                <w:sz w:val="20"/>
                <w:szCs w:val="20"/>
                <w:color w:val="auto"/>
              </w:rPr>
            </w:pPr>
            <w:r>
              <w:rPr>
                <w:rFonts w:ascii="Calibri" w:cs="Calibri" w:eastAsia="Calibri" w:hAnsi="Calibri"/>
                <w:sz w:val="13"/>
                <w:szCs w:val="13"/>
                <w:color w:val="51555C"/>
              </w:rPr>
              <w:t>One-tme services and other</w:t>
            </w:r>
          </w:p>
        </w:tc>
        <w:tc>
          <w:tcPr>
            <w:tcW w:w="380" w:type="dxa"/>
            <w:vAlign w:val="bottom"/>
            <w:tcBorders>
              <w:bottom w:val="single" w:sz="8" w:color="EBFBFF"/>
            </w:tcBorders>
            <w:shd w:val="clear" w:color="auto" w:fill="EBFBFF"/>
          </w:tcPr>
          <w:p>
            <w:pPr>
              <w:spacing w:after="0"/>
              <w:rPr>
                <w:sz w:val="16"/>
                <w:szCs w:val="16"/>
                <w:color w:val="auto"/>
              </w:rPr>
            </w:pPr>
          </w:p>
        </w:tc>
        <w:tc>
          <w:tcPr>
            <w:tcW w:w="94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5,910</w:t>
            </w:r>
          </w:p>
        </w:tc>
        <w:tc>
          <w:tcPr>
            <w:tcW w:w="200" w:type="dxa"/>
            <w:vAlign w:val="bottom"/>
            <w:tcBorders>
              <w:bottom w:val="single" w:sz="8" w:color="EBFBFF"/>
            </w:tcBorders>
            <w:shd w:val="clear" w:color="auto" w:fill="EBFBFF"/>
          </w:tcPr>
          <w:p>
            <w:pPr>
              <w:spacing w:after="0"/>
              <w:rPr>
                <w:sz w:val="16"/>
                <w:szCs w:val="16"/>
                <w:color w:val="auto"/>
              </w:rPr>
            </w:pPr>
          </w:p>
        </w:tc>
        <w:tc>
          <w:tcPr>
            <w:tcW w:w="110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8,652</w:t>
            </w:r>
          </w:p>
        </w:tc>
        <w:tc>
          <w:tcPr>
            <w:tcW w:w="100" w:type="dxa"/>
            <w:vAlign w:val="bottom"/>
            <w:tcBorders>
              <w:bottom w:val="single" w:sz="8" w:color="EBFBFF"/>
            </w:tcBorders>
            <w:shd w:val="clear" w:color="auto" w:fill="EBFBFF"/>
          </w:tcPr>
          <w:p>
            <w:pPr>
              <w:spacing w:after="0"/>
              <w:rPr>
                <w:sz w:val="16"/>
                <w:szCs w:val="16"/>
                <w:color w:val="auto"/>
              </w:rPr>
            </w:pPr>
          </w:p>
        </w:tc>
        <w:tc>
          <w:tcPr>
            <w:tcW w:w="380" w:type="dxa"/>
            <w:vAlign w:val="bottom"/>
            <w:tcBorders>
              <w:bottom w:val="single" w:sz="8" w:color="EBFBFF"/>
            </w:tcBorders>
            <w:shd w:val="clear" w:color="auto" w:fill="EBFBFF"/>
          </w:tcPr>
          <w:p>
            <w:pPr>
              <w:spacing w:after="0"/>
              <w:rPr>
                <w:sz w:val="16"/>
                <w:szCs w:val="16"/>
                <w:color w:val="auto"/>
              </w:rPr>
            </w:pPr>
          </w:p>
        </w:tc>
        <w:tc>
          <w:tcPr>
            <w:tcW w:w="92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13,642</w:t>
            </w:r>
          </w:p>
        </w:tc>
        <w:tc>
          <w:tcPr>
            <w:tcW w:w="260" w:type="dxa"/>
            <w:vAlign w:val="bottom"/>
            <w:tcBorders>
              <w:bottom w:val="single" w:sz="8" w:color="EBFBFF"/>
            </w:tcBorders>
            <w:shd w:val="clear" w:color="auto" w:fill="EBFBFF"/>
          </w:tcPr>
          <w:p>
            <w:pPr>
              <w:spacing w:after="0"/>
              <w:rPr>
                <w:sz w:val="16"/>
                <w:szCs w:val="16"/>
                <w:color w:val="auto"/>
              </w:rPr>
            </w:pPr>
          </w:p>
        </w:tc>
        <w:tc>
          <w:tcPr>
            <w:tcW w:w="104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17,657</w:t>
            </w:r>
          </w:p>
        </w:tc>
        <w:tc>
          <w:tcPr>
            <w:tcW w:w="20" w:type="dxa"/>
            <w:vAlign w:val="bottom"/>
          </w:tcPr>
          <w:p>
            <w:pPr>
              <w:spacing w:after="0"/>
              <w:rPr>
                <w:sz w:val="16"/>
                <w:szCs w:val="16"/>
                <w:color w:val="auto"/>
              </w:rPr>
            </w:pPr>
          </w:p>
        </w:tc>
      </w:tr>
      <w:tr>
        <w:trPr>
          <w:trHeight w:val="148"/>
        </w:trPr>
        <w:tc>
          <w:tcPr>
            <w:tcW w:w="140" w:type="dxa"/>
            <w:vAlign w:val="bottom"/>
          </w:tcPr>
          <w:p>
            <w:pPr>
              <w:spacing w:after="0"/>
              <w:rPr>
                <w:sz w:val="12"/>
                <w:szCs w:val="12"/>
                <w:color w:val="auto"/>
              </w:rPr>
            </w:pPr>
          </w:p>
        </w:tc>
        <w:tc>
          <w:tcPr>
            <w:tcW w:w="5820" w:type="dxa"/>
            <w:vAlign w:val="bottom"/>
          </w:tcPr>
          <w:p>
            <w:pPr>
              <w:ind w:left="220"/>
              <w:spacing w:after="0" w:line="137" w:lineRule="exact"/>
              <w:rPr>
                <w:sz w:val="20"/>
                <w:szCs w:val="20"/>
                <w:color w:val="auto"/>
              </w:rPr>
            </w:pPr>
            <w:r>
              <w:rPr>
                <w:rFonts w:ascii="Calibri" w:cs="Calibri" w:eastAsia="Calibri" w:hAnsi="Calibri"/>
                <w:sz w:val="13"/>
                <w:szCs w:val="13"/>
                <w:b w:val="1"/>
                <w:bCs w:val="1"/>
                <w:color w:val="51555C"/>
              </w:rPr>
              <w:t>Total revenue</w:t>
            </w:r>
          </w:p>
        </w:tc>
        <w:tc>
          <w:tcPr>
            <w:tcW w:w="380" w:type="dxa"/>
            <w:vAlign w:val="bottom"/>
            <w:tcBorders>
              <w:top w:val="single" w:sz="8" w:color="51555C"/>
            </w:tcBorders>
          </w:tcPr>
          <w:p>
            <w:pPr>
              <w:spacing w:after="0"/>
              <w:rPr>
                <w:sz w:val="12"/>
                <w:szCs w:val="12"/>
                <w:color w:val="auto"/>
              </w:rPr>
            </w:pPr>
          </w:p>
        </w:tc>
        <w:tc>
          <w:tcPr>
            <w:tcW w:w="940" w:type="dxa"/>
            <w:vAlign w:val="bottom"/>
            <w:tcBorders>
              <w:top w:val="single" w:sz="8" w:color="51555C"/>
            </w:tcBorders>
          </w:tcPr>
          <w:p>
            <w:pPr>
              <w:jc w:val="right"/>
              <w:spacing w:after="0" w:line="148" w:lineRule="exact"/>
              <w:rPr>
                <w:sz w:val="20"/>
                <w:szCs w:val="20"/>
                <w:color w:val="auto"/>
              </w:rPr>
            </w:pPr>
            <w:r>
              <w:rPr>
                <w:rFonts w:ascii="Calibri" w:cs="Calibri" w:eastAsia="Calibri" w:hAnsi="Calibri"/>
                <w:sz w:val="13"/>
                <w:szCs w:val="13"/>
                <w:color w:val="51555C"/>
              </w:rPr>
              <w:t>287,286</w:t>
            </w:r>
          </w:p>
        </w:tc>
        <w:tc>
          <w:tcPr>
            <w:tcW w:w="200" w:type="dxa"/>
            <w:vAlign w:val="bottom"/>
            <w:tcBorders>
              <w:top w:val="single" w:sz="8" w:color="51555C"/>
            </w:tcBorders>
          </w:tcPr>
          <w:p>
            <w:pPr>
              <w:spacing w:after="0"/>
              <w:rPr>
                <w:sz w:val="12"/>
                <w:szCs w:val="12"/>
                <w:color w:val="auto"/>
              </w:rPr>
            </w:pPr>
          </w:p>
        </w:tc>
        <w:tc>
          <w:tcPr>
            <w:tcW w:w="1100" w:type="dxa"/>
            <w:vAlign w:val="bottom"/>
            <w:tcBorders>
              <w:top w:val="single" w:sz="8" w:color="51555C"/>
            </w:tcBorders>
          </w:tcPr>
          <w:p>
            <w:pPr>
              <w:jc w:val="right"/>
              <w:spacing w:after="0" w:line="148" w:lineRule="exact"/>
              <w:rPr>
                <w:sz w:val="20"/>
                <w:szCs w:val="20"/>
                <w:color w:val="auto"/>
              </w:rPr>
            </w:pPr>
            <w:r>
              <w:rPr>
                <w:rFonts w:ascii="Calibri" w:cs="Calibri" w:eastAsia="Calibri" w:hAnsi="Calibri"/>
                <w:sz w:val="13"/>
                <w:szCs w:val="13"/>
                <w:color w:val="51555C"/>
              </w:rPr>
              <w:t>271,042</w:t>
            </w:r>
          </w:p>
        </w:tc>
        <w:tc>
          <w:tcPr>
            <w:tcW w:w="100" w:type="dxa"/>
            <w:vAlign w:val="bottom"/>
          </w:tcPr>
          <w:p>
            <w:pPr>
              <w:spacing w:after="0"/>
              <w:rPr>
                <w:sz w:val="12"/>
                <w:szCs w:val="12"/>
                <w:color w:val="auto"/>
              </w:rPr>
            </w:pPr>
          </w:p>
        </w:tc>
        <w:tc>
          <w:tcPr>
            <w:tcW w:w="380" w:type="dxa"/>
            <w:vAlign w:val="bottom"/>
            <w:tcBorders>
              <w:top w:val="single" w:sz="8" w:color="51555C"/>
            </w:tcBorders>
          </w:tcPr>
          <w:p>
            <w:pPr>
              <w:spacing w:after="0"/>
              <w:rPr>
                <w:sz w:val="12"/>
                <w:szCs w:val="12"/>
                <w:color w:val="auto"/>
              </w:rPr>
            </w:pPr>
          </w:p>
        </w:tc>
        <w:tc>
          <w:tcPr>
            <w:tcW w:w="920" w:type="dxa"/>
            <w:vAlign w:val="bottom"/>
            <w:tcBorders>
              <w:top w:val="single" w:sz="8" w:color="51555C"/>
            </w:tcBorders>
          </w:tcPr>
          <w:p>
            <w:pPr>
              <w:jc w:val="right"/>
              <w:spacing w:after="0" w:line="148" w:lineRule="exact"/>
              <w:rPr>
                <w:sz w:val="20"/>
                <w:szCs w:val="20"/>
                <w:color w:val="auto"/>
              </w:rPr>
            </w:pPr>
            <w:r>
              <w:rPr>
                <w:rFonts w:ascii="Calibri" w:cs="Calibri" w:eastAsia="Calibri" w:hAnsi="Calibri"/>
                <w:sz w:val="13"/>
                <w:szCs w:val="13"/>
                <w:color w:val="51555C"/>
              </w:rPr>
              <w:t>566,536</w:t>
            </w:r>
          </w:p>
        </w:tc>
        <w:tc>
          <w:tcPr>
            <w:tcW w:w="260" w:type="dxa"/>
            <w:vAlign w:val="bottom"/>
            <w:tcBorders>
              <w:top w:val="single" w:sz="8" w:color="51555C"/>
            </w:tcBorders>
          </w:tcPr>
          <w:p>
            <w:pPr>
              <w:spacing w:after="0"/>
              <w:rPr>
                <w:sz w:val="12"/>
                <w:szCs w:val="12"/>
                <w:color w:val="auto"/>
              </w:rPr>
            </w:pPr>
          </w:p>
        </w:tc>
        <w:tc>
          <w:tcPr>
            <w:tcW w:w="1040" w:type="dxa"/>
            <w:vAlign w:val="bottom"/>
            <w:tcBorders>
              <w:top w:val="single" w:sz="8" w:color="51555C"/>
            </w:tcBorders>
          </w:tcPr>
          <w:p>
            <w:pPr>
              <w:jc w:val="right"/>
              <w:spacing w:after="0" w:line="148" w:lineRule="exact"/>
              <w:rPr>
                <w:sz w:val="20"/>
                <w:szCs w:val="20"/>
                <w:color w:val="auto"/>
              </w:rPr>
            </w:pPr>
            <w:r>
              <w:rPr>
                <w:rFonts w:ascii="Calibri" w:cs="Calibri" w:eastAsia="Calibri" w:hAnsi="Calibri"/>
                <w:sz w:val="13"/>
                <w:szCs w:val="13"/>
                <w:color w:val="51555C"/>
              </w:rPr>
              <w:t>532,795</w:t>
            </w:r>
          </w:p>
        </w:tc>
        <w:tc>
          <w:tcPr>
            <w:tcW w:w="20" w:type="dxa"/>
            <w:vAlign w:val="bottom"/>
          </w:tcPr>
          <w:p>
            <w:pPr>
              <w:spacing w:after="0"/>
              <w:rPr>
                <w:sz w:val="12"/>
                <w:szCs w:val="12"/>
                <w:color w:val="auto"/>
              </w:rPr>
            </w:pPr>
          </w:p>
        </w:tc>
      </w:tr>
      <w:tr>
        <w:trPr>
          <w:trHeight w:val="34"/>
        </w:trPr>
        <w:tc>
          <w:tcPr>
            <w:tcW w:w="596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71"/>
        </w:trPr>
        <w:tc>
          <w:tcPr>
            <w:tcW w:w="5960" w:type="dxa"/>
            <w:vAlign w:val="bottom"/>
            <w:tcBorders>
              <w:bottom w:val="single" w:sz="8" w:color="EBFBFF"/>
            </w:tcBorders>
            <w:gridSpan w:val="2"/>
            <w:shd w:val="clear" w:color="auto" w:fill="EBFBFF"/>
          </w:tcPr>
          <w:p>
            <w:pPr>
              <w:ind w:left="20"/>
              <w:spacing w:after="0" w:line="157" w:lineRule="exact"/>
              <w:rPr>
                <w:sz w:val="20"/>
                <w:szCs w:val="20"/>
                <w:color w:val="auto"/>
              </w:rPr>
            </w:pPr>
            <w:r>
              <w:rPr>
                <w:rFonts w:ascii="Calibri" w:cs="Calibri" w:eastAsia="Calibri" w:hAnsi="Calibri"/>
                <w:sz w:val="13"/>
                <w:szCs w:val="13"/>
                <w:b w:val="1"/>
                <w:bCs w:val="1"/>
                <w:color w:val="51555C"/>
              </w:rPr>
              <w:t>Cost of revenue</w:t>
            </w:r>
          </w:p>
        </w:tc>
        <w:tc>
          <w:tcPr>
            <w:tcW w:w="380" w:type="dxa"/>
            <w:vAlign w:val="bottom"/>
            <w:tcBorders>
              <w:bottom w:val="single" w:sz="8" w:color="EBFBFF"/>
            </w:tcBorders>
            <w:shd w:val="clear" w:color="auto" w:fill="EBFBFF"/>
          </w:tcPr>
          <w:p>
            <w:pPr>
              <w:spacing w:after="0"/>
              <w:rPr>
                <w:sz w:val="14"/>
                <w:szCs w:val="14"/>
                <w:color w:val="auto"/>
              </w:rPr>
            </w:pPr>
          </w:p>
        </w:tc>
        <w:tc>
          <w:tcPr>
            <w:tcW w:w="940" w:type="dxa"/>
            <w:vAlign w:val="bottom"/>
            <w:tcBorders>
              <w:bottom w:val="single" w:sz="8" w:color="EBFBFF"/>
            </w:tcBorders>
            <w:shd w:val="clear" w:color="auto" w:fill="EBFBFF"/>
          </w:tcPr>
          <w:p>
            <w:pPr>
              <w:spacing w:after="0"/>
              <w:rPr>
                <w:sz w:val="14"/>
                <w:szCs w:val="14"/>
                <w:color w:val="auto"/>
              </w:rPr>
            </w:pPr>
          </w:p>
        </w:tc>
        <w:tc>
          <w:tcPr>
            <w:tcW w:w="200" w:type="dxa"/>
            <w:vAlign w:val="bottom"/>
            <w:tcBorders>
              <w:bottom w:val="single" w:sz="8" w:color="EBFBFF"/>
            </w:tcBorders>
            <w:shd w:val="clear" w:color="auto" w:fill="EBFBFF"/>
          </w:tcPr>
          <w:p>
            <w:pPr>
              <w:spacing w:after="0"/>
              <w:rPr>
                <w:sz w:val="14"/>
                <w:szCs w:val="14"/>
                <w:color w:val="auto"/>
              </w:rPr>
            </w:pPr>
          </w:p>
        </w:tc>
        <w:tc>
          <w:tcPr>
            <w:tcW w:w="1100" w:type="dxa"/>
            <w:vAlign w:val="bottom"/>
            <w:tcBorders>
              <w:bottom w:val="single" w:sz="8" w:color="EBFBFF"/>
            </w:tcBorders>
            <w:shd w:val="clear" w:color="auto" w:fill="EBFBFF"/>
          </w:tcPr>
          <w:p>
            <w:pPr>
              <w:spacing w:after="0"/>
              <w:rPr>
                <w:sz w:val="14"/>
                <w:szCs w:val="14"/>
                <w:color w:val="auto"/>
              </w:rPr>
            </w:pPr>
          </w:p>
        </w:tc>
        <w:tc>
          <w:tcPr>
            <w:tcW w:w="100" w:type="dxa"/>
            <w:vAlign w:val="bottom"/>
            <w:tcBorders>
              <w:bottom w:val="single" w:sz="8" w:color="EBFBFF"/>
            </w:tcBorders>
            <w:shd w:val="clear" w:color="auto" w:fill="EBFBFF"/>
          </w:tcPr>
          <w:p>
            <w:pPr>
              <w:spacing w:after="0"/>
              <w:rPr>
                <w:sz w:val="14"/>
                <w:szCs w:val="14"/>
                <w:color w:val="auto"/>
              </w:rPr>
            </w:pPr>
          </w:p>
        </w:tc>
        <w:tc>
          <w:tcPr>
            <w:tcW w:w="380" w:type="dxa"/>
            <w:vAlign w:val="bottom"/>
            <w:tcBorders>
              <w:bottom w:val="single" w:sz="8" w:color="EBFBFF"/>
            </w:tcBorders>
            <w:shd w:val="clear" w:color="auto" w:fill="EBFBFF"/>
          </w:tcPr>
          <w:p>
            <w:pPr>
              <w:spacing w:after="0"/>
              <w:rPr>
                <w:sz w:val="14"/>
                <w:szCs w:val="14"/>
                <w:color w:val="auto"/>
              </w:rPr>
            </w:pPr>
          </w:p>
        </w:tc>
        <w:tc>
          <w:tcPr>
            <w:tcW w:w="920" w:type="dxa"/>
            <w:vAlign w:val="bottom"/>
            <w:tcBorders>
              <w:bottom w:val="single" w:sz="8" w:color="EBFBFF"/>
            </w:tcBorders>
            <w:shd w:val="clear" w:color="auto" w:fill="EBFBFF"/>
          </w:tcPr>
          <w:p>
            <w:pPr>
              <w:spacing w:after="0"/>
              <w:rPr>
                <w:sz w:val="14"/>
                <w:szCs w:val="14"/>
                <w:color w:val="auto"/>
              </w:rPr>
            </w:pPr>
          </w:p>
        </w:tc>
        <w:tc>
          <w:tcPr>
            <w:tcW w:w="260" w:type="dxa"/>
            <w:vAlign w:val="bottom"/>
            <w:tcBorders>
              <w:bottom w:val="single" w:sz="8" w:color="EBFBFF"/>
            </w:tcBorders>
            <w:shd w:val="clear" w:color="auto" w:fill="EBFBFF"/>
          </w:tcPr>
          <w:p>
            <w:pPr>
              <w:spacing w:after="0"/>
              <w:rPr>
                <w:sz w:val="14"/>
                <w:szCs w:val="14"/>
                <w:color w:val="auto"/>
              </w:rPr>
            </w:pPr>
          </w:p>
        </w:tc>
        <w:tc>
          <w:tcPr>
            <w:tcW w:w="1040" w:type="dxa"/>
            <w:vAlign w:val="bottom"/>
            <w:tcBorders>
              <w:bottom w:val="single" w:sz="8" w:color="EBFBFF"/>
            </w:tcBorders>
            <w:shd w:val="clear" w:color="auto" w:fill="EBFBFF"/>
          </w:tcPr>
          <w:p>
            <w:pPr>
              <w:spacing w:after="0"/>
              <w:rPr>
                <w:sz w:val="14"/>
                <w:szCs w:val="14"/>
                <w:color w:val="auto"/>
              </w:rPr>
            </w:pPr>
          </w:p>
        </w:tc>
        <w:tc>
          <w:tcPr>
            <w:tcW w:w="20" w:type="dxa"/>
            <w:vAlign w:val="bottom"/>
          </w:tcPr>
          <w:p>
            <w:pPr>
              <w:spacing w:after="0"/>
              <w:rPr>
                <w:sz w:val="14"/>
                <w:szCs w:val="14"/>
                <w:color w:val="auto"/>
              </w:rPr>
            </w:pPr>
          </w:p>
        </w:tc>
      </w:tr>
      <w:tr>
        <w:trPr>
          <w:trHeight w:val="157"/>
        </w:trPr>
        <w:tc>
          <w:tcPr>
            <w:tcW w:w="140" w:type="dxa"/>
            <w:vAlign w:val="bottom"/>
          </w:tcPr>
          <w:p>
            <w:pPr>
              <w:spacing w:after="0"/>
              <w:rPr>
                <w:sz w:val="13"/>
                <w:szCs w:val="13"/>
                <w:color w:val="auto"/>
              </w:rPr>
            </w:pPr>
          </w:p>
        </w:tc>
        <w:tc>
          <w:tcPr>
            <w:tcW w:w="5820" w:type="dxa"/>
            <w:vAlign w:val="bottom"/>
          </w:tcPr>
          <w:p>
            <w:pPr>
              <w:ind w:left="40"/>
              <w:spacing w:after="0" w:line="157" w:lineRule="exact"/>
              <w:rPr>
                <w:sz w:val="20"/>
                <w:szCs w:val="20"/>
                <w:color w:val="auto"/>
              </w:rPr>
            </w:pPr>
            <w:r>
              <w:rPr>
                <w:rFonts w:ascii="Calibri" w:cs="Calibri" w:eastAsia="Calibri" w:hAnsi="Calibri"/>
                <w:sz w:val="13"/>
                <w:szCs w:val="13"/>
                <w:color w:val="51555C"/>
              </w:rPr>
              <w:t>Cost of recurring</w:t>
            </w:r>
          </w:p>
        </w:tc>
        <w:tc>
          <w:tcPr>
            <w:tcW w:w="380" w:type="dxa"/>
            <w:vAlign w:val="bottom"/>
          </w:tcPr>
          <w:p>
            <w:pPr>
              <w:spacing w:after="0"/>
              <w:rPr>
                <w:sz w:val="13"/>
                <w:szCs w:val="13"/>
                <w:color w:val="auto"/>
              </w:rPr>
            </w:pPr>
          </w:p>
        </w:tc>
        <w:tc>
          <w:tcPr>
            <w:tcW w:w="940" w:type="dxa"/>
            <w:vAlign w:val="bottom"/>
          </w:tcPr>
          <w:p>
            <w:pPr>
              <w:jc w:val="right"/>
              <w:spacing w:after="0" w:line="157" w:lineRule="exact"/>
              <w:rPr>
                <w:sz w:val="20"/>
                <w:szCs w:val="20"/>
                <w:color w:val="auto"/>
              </w:rPr>
            </w:pPr>
            <w:r>
              <w:rPr>
                <w:rFonts w:ascii="Calibri" w:cs="Calibri" w:eastAsia="Calibri" w:hAnsi="Calibri"/>
                <w:sz w:val="13"/>
                <w:szCs w:val="13"/>
                <w:color w:val="51555C"/>
              </w:rPr>
              <w:t>119,810</w:t>
            </w:r>
          </w:p>
        </w:tc>
        <w:tc>
          <w:tcPr>
            <w:tcW w:w="200" w:type="dxa"/>
            <w:vAlign w:val="bottom"/>
          </w:tcPr>
          <w:p>
            <w:pPr>
              <w:spacing w:after="0"/>
              <w:rPr>
                <w:sz w:val="13"/>
                <w:szCs w:val="13"/>
                <w:color w:val="auto"/>
              </w:rPr>
            </w:pPr>
          </w:p>
        </w:tc>
        <w:tc>
          <w:tcPr>
            <w:tcW w:w="1100" w:type="dxa"/>
            <w:vAlign w:val="bottom"/>
          </w:tcPr>
          <w:p>
            <w:pPr>
              <w:jc w:val="right"/>
              <w:spacing w:after="0" w:line="157" w:lineRule="exact"/>
              <w:rPr>
                <w:sz w:val="20"/>
                <w:szCs w:val="20"/>
                <w:color w:val="auto"/>
              </w:rPr>
            </w:pPr>
            <w:r>
              <w:rPr>
                <w:rFonts w:ascii="Calibri" w:cs="Calibri" w:eastAsia="Calibri" w:hAnsi="Calibri"/>
                <w:sz w:val="13"/>
                <w:szCs w:val="13"/>
                <w:color w:val="51555C"/>
              </w:rPr>
              <w:t>113,926</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20" w:type="dxa"/>
            <w:vAlign w:val="bottom"/>
          </w:tcPr>
          <w:p>
            <w:pPr>
              <w:jc w:val="right"/>
              <w:spacing w:after="0" w:line="157" w:lineRule="exact"/>
              <w:rPr>
                <w:sz w:val="20"/>
                <w:szCs w:val="20"/>
                <w:color w:val="auto"/>
              </w:rPr>
            </w:pPr>
            <w:r>
              <w:rPr>
                <w:rFonts w:ascii="Calibri" w:cs="Calibri" w:eastAsia="Calibri" w:hAnsi="Calibri"/>
                <w:sz w:val="13"/>
                <w:szCs w:val="13"/>
                <w:color w:val="51555C"/>
              </w:rPr>
              <w:t>238,998</w:t>
            </w:r>
          </w:p>
        </w:tc>
        <w:tc>
          <w:tcPr>
            <w:tcW w:w="260" w:type="dxa"/>
            <w:vAlign w:val="bottom"/>
          </w:tcPr>
          <w:p>
            <w:pPr>
              <w:spacing w:after="0"/>
              <w:rPr>
                <w:sz w:val="13"/>
                <w:szCs w:val="13"/>
                <w:color w:val="auto"/>
              </w:rPr>
            </w:pPr>
          </w:p>
        </w:tc>
        <w:tc>
          <w:tcPr>
            <w:tcW w:w="1040" w:type="dxa"/>
            <w:vAlign w:val="bottom"/>
          </w:tcPr>
          <w:p>
            <w:pPr>
              <w:jc w:val="right"/>
              <w:spacing w:after="0" w:line="157" w:lineRule="exact"/>
              <w:rPr>
                <w:sz w:val="20"/>
                <w:szCs w:val="20"/>
                <w:color w:val="auto"/>
              </w:rPr>
            </w:pPr>
            <w:r>
              <w:rPr>
                <w:rFonts w:ascii="Calibri" w:cs="Calibri" w:eastAsia="Calibri" w:hAnsi="Calibri"/>
                <w:sz w:val="13"/>
                <w:szCs w:val="13"/>
                <w:color w:val="51555C"/>
              </w:rPr>
              <w:t>228,426</w:t>
            </w:r>
          </w:p>
        </w:tc>
        <w:tc>
          <w:tcPr>
            <w:tcW w:w="20" w:type="dxa"/>
            <w:vAlign w:val="bottom"/>
          </w:tcPr>
          <w:p>
            <w:pPr>
              <w:spacing w:after="0"/>
              <w:rPr>
                <w:sz w:val="13"/>
                <w:szCs w:val="13"/>
                <w:color w:val="auto"/>
              </w:rPr>
            </w:pPr>
          </w:p>
        </w:tc>
      </w:tr>
      <w:tr>
        <w:trPr>
          <w:trHeight w:val="34"/>
        </w:trPr>
        <w:tc>
          <w:tcPr>
            <w:tcW w:w="140" w:type="dxa"/>
            <w:vAlign w:val="bottom"/>
          </w:tcPr>
          <w:p>
            <w:pPr>
              <w:spacing w:after="0"/>
              <w:rPr>
                <w:sz w:val="2"/>
                <w:szCs w:val="2"/>
                <w:color w:val="auto"/>
              </w:rPr>
            </w:pPr>
          </w:p>
        </w:tc>
        <w:tc>
          <w:tcPr>
            <w:tcW w:w="5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1"/>
        </w:trPr>
        <w:tc>
          <w:tcPr>
            <w:tcW w:w="140" w:type="dxa"/>
            <w:vAlign w:val="bottom"/>
            <w:tcBorders>
              <w:bottom w:val="single" w:sz="8" w:color="EBFBFF"/>
            </w:tcBorders>
            <w:shd w:val="clear" w:color="auto" w:fill="EBFBFF"/>
          </w:tcPr>
          <w:p>
            <w:pPr>
              <w:spacing w:after="0"/>
              <w:rPr>
                <w:sz w:val="16"/>
                <w:szCs w:val="16"/>
                <w:color w:val="auto"/>
              </w:rPr>
            </w:pPr>
          </w:p>
        </w:tc>
        <w:tc>
          <w:tcPr>
            <w:tcW w:w="5820" w:type="dxa"/>
            <w:vAlign w:val="bottom"/>
            <w:tcBorders>
              <w:bottom w:val="single" w:sz="8" w:color="EBFBFF"/>
            </w:tcBorders>
            <w:shd w:val="clear" w:color="auto" w:fill="EBFBFF"/>
          </w:tcPr>
          <w:p>
            <w:pPr>
              <w:ind w:left="40"/>
              <w:spacing w:after="0" w:line="157" w:lineRule="exact"/>
              <w:rPr>
                <w:sz w:val="20"/>
                <w:szCs w:val="20"/>
                <w:color w:val="auto"/>
              </w:rPr>
            </w:pPr>
            <w:r>
              <w:rPr>
                <w:rFonts w:ascii="Calibri" w:cs="Calibri" w:eastAsia="Calibri" w:hAnsi="Calibri"/>
                <w:sz w:val="13"/>
                <w:szCs w:val="13"/>
                <w:color w:val="51555C"/>
              </w:rPr>
              <w:t>Cost of one-tme services and other</w:t>
            </w:r>
          </w:p>
        </w:tc>
        <w:tc>
          <w:tcPr>
            <w:tcW w:w="380" w:type="dxa"/>
            <w:vAlign w:val="bottom"/>
            <w:tcBorders>
              <w:bottom w:val="single" w:sz="8" w:color="EBFBFF"/>
            </w:tcBorders>
            <w:shd w:val="clear" w:color="auto" w:fill="EBFBFF"/>
          </w:tcPr>
          <w:p>
            <w:pPr>
              <w:spacing w:after="0"/>
              <w:rPr>
                <w:sz w:val="16"/>
                <w:szCs w:val="16"/>
                <w:color w:val="auto"/>
              </w:rPr>
            </w:pPr>
          </w:p>
        </w:tc>
        <w:tc>
          <w:tcPr>
            <w:tcW w:w="94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4,890</w:t>
            </w:r>
          </w:p>
        </w:tc>
        <w:tc>
          <w:tcPr>
            <w:tcW w:w="200" w:type="dxa"/>
            <w:vAlign w:val="bottom"/>
            <w:tcBorders>
              <w:bottom w:val="single" w:sz="8" w:color="EBFBFF"/>
            </w:tcBorders>
            <w:shd w:val="clear" w:color="auto" w:fill="EBFBFF"/>
          </w:tcPr>
          <w:p>
            <w:pPr>
              <w:spacing w:after="0"/>
              <w:rPr>
                <w:sz w:val="16"/>
                <w:szCs w:val="16"/>
                <w:color w:val="auto"/>
              </w:rPr>
            </w:pPr>
          </w:p>
        </w:tc>
        <w:tc>
          <w:tcPr>
            <w:tcW w:w="110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7,549</w:t>
            </w:r>
          </w:p>
        </w:tc>
        <w:tc>
          <w:tcPr>
            <w:tcW w:w="100" w:type="dxa"/>
            <w:vAlign w:val="bottom"/>
            <w:tcBorders>
              <w:bottom w:val="single" w:sz="8" w:color="EBFBFF"/>
            </w:tcBorders>
            <w:shd w:val="clear" w:color="auto" w:fill="EBFBFF"/>
          </w:tcPr>
          <w:p>
            <w:pPr>
              <w:spacing w:after="0"/>
              <w:rPr>
                <w:sz w:val="16"/>
                <w:szCs w:val="16"/>
                <w:color w:val="auto"/>
              </w:rPr>
            </w:pPr>
          </w:p>
        </w:tc>
        <w:tc>
          <w:tcPr>
            <w:tcW w:w="380" w:type="dxa"/>
            <w:vAlign w:val="bottom"/>
            <w:tcBorders>
              <w:bottom w:val="single" w:sz="8" w:color="EBFBFF"/>
            </w:tcBorders>
            <w:shd w:val="clear" w:color="auto" w:fill="EBFBFF"/>
          </w:tcPr>
          <w:p>
            <w:pPr>
              <w:spacing w:after="0"/>
              <w:rPr>
                <w:sz w:val="16"/>
                <w:szCs w:val="16"/>
                <w:color w:val="auto"/>
              </w:rPr>
            </w:pPr>
          </w:p>
        </w:tc>
        <w:tc>
          <w:tcPr>
            <w:tcW w:w="92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11,908</w:t>
            </w:r>
          </w:p>
        </w:tc>
        <w:tc>
          <w:tcPr>
            <w:tcW w:w="260" w:type="dxa"/>
            <w:vAlign w:val="bottom"/>
            <w:tcBorders>
              <w:bottom w:val="single" w:sz="8" w:color="EBFBFF"/>
            </w:tcBorders>
            <w:shd w:val="clear" w:color="auto" w:fill="EBFBFF"/>
          </w:tcPr>
          <w:p>
            <w:pPr>
              <w:spacing w:after="0"/>
              <w:rPr>
                <w:sz w:val="16"/>
                <w:szCs w:val="16"/>
                <w:color w:val="auto"/>
              </w:rPr>
            </w:pPr>
          </w:p>
        </w:tc>
        <w:tc>
          <w:tcPr>
            <w:tcW w:w="104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16,161</w:t>
            </w:r>
          </w:p>
        </w:tc>
        <w:tc>
          <w:tcPr>
            <w:tcW w:w="20" w:type="dxa"/>
            <w:vAlign w:val="bottom"/>
          </w:tcPr>
          <w:p>
            <w:pPr>
              <w:spacing w:after="0"/>
              <w:rPr>
                <w:sz w:val="16"/>
                <w:szCs w:val="16"/>
                <w:color w:val="auto"/>
              </w:rPr>
            </w:pPr>
          </w:p>
        </w:tc>
      </w:tr>
      <w:tr>
        <w:trPr>
          <w:trHeight w:val="148"/>
        </w:trPr>
        <w:tc>
          <w:tcPr>
            <w:tcW w:w="140" w:type="dxa"/>
            <w:vAlign w:val="bottom"/>
          </w:tcPr>
          <w:p>
            <w:pPr>
              <w:spacing w:after="0"/>
              <w:rPr>
                <w:sz w:val="12"/>
                <w:szCs w:val="12"/>
                <w:color w:val="auto"/>
              </w:rPr>
            </w:pPr>
          </w:p>
        </w:tc>
        <w:tc>
          <w:tcPr>
            <w:tcW w:w="5820" w:type="dxa"/>
            <w:vAlign w:val="bottom"/>
          </w:tcPr>
          <w:p>
            <w:pPr>
              <w:ind w:left="220"/>
              <w:spacing w:after="0" w:line="137" w:lineRule="exact"/>
              <w:rPr>
                <w:sz w:val="20"/>
                <w:szCs w:val="20"/>
                <w:color w:val="auto"/>
              </w:rPr>
            </w:pPr>
            <w:r>
              <w:rPr>
                <w:rFonts w:ascii="Calibri" w:cs="Calibri" w:eastAsia="Calibri" w:hAnsi="Calibri"/>
                <w:sz w:val="13"/>
                <w:szCs w:val="13"/>
                <w:b w:val="1"/>
                <w:bCs w:val="1"/>
                <w:color w:val="51555C"/>
              </w:rPr>
              <w:t>Total cost of revenue</w:t>
            </w:r>
          </w:p>
        </w:tc>
        <w:tc>
          <w:tcPr>
            <w:tcW w:w="380" w:type="dxa"/>
            <w:vAlign w:val="bottom"/>
            <w:tcBorders>
              <w:top w:val="single" w:sz="8" w:color="51555C"/>
            </w:tcBorders>
          </w:tcPr>
          <w:p>
            <w:pPr>
              <w:spacing w:after="0"/>
              <w:rPr>
                <w:sz w:val="12"/>
                <w:szCs w:val="12"/>
                <w:color w:val="auto"/>
              </w:rPr>
            </w:pPr>
          </w:p>
        </w:tc>
        <w:tc>
          <w:tcPr>
            <w:tcW w:w="940" w:type="dxa"/>
            <w:vAlign w:val="bottom"/>
            <w:tcBorders>
              <w:top w:val="single" w:sz="8" w:color="51555C"/>
            </w:tcBorders>
          </w:tcPr>
          <w:p>
            <w:pPr>
              <w:jc w:val="right"/>
              <w:spacing w:after="0" w:line="148" w:lineRule="exact"/>
              <w:rPr>
                <w:sz w:val="20"/>
                <w:szCs w:val="20"/>
                <w:color w:val="auto"/>
              </w:rPr>
            </w:pPr>
            <w:r>
              <w:rPr>
                <w:rFonts w:ascii="Calibri" w:cs="Calibri" w:eastAsia="Calibri" w:hAnsi="Calibri"/>
                <w:sz w:val="13"/>
                <w:szCs w:val="13"/>
                <w:color w:val="51555C"/>
              </w:rPr>
              <w:t>124,700</w:t>
            </w:r>
          </w:p>
        </w:tc>
        <w:tc>
          <w:tcPr>
            <w:tcW w:w="200" w:type="dxa"/>
            <w:vAlign w:val="bottom"/>
            <w:tcBorders>
              <w:top w:val="single" w:sz="8" w:color="51555C"/>
            </w:tcBorders>
          </w:tcPr>
          <w:p>
            <w:pPr>
              <w:spacing w:after="0"/>
              <w:rPr>
                <w:sz w:val="12"/>
                <w:szCs w:val="12"/>
                <w:color w:val="auto"/>
              </w:rPr>
            </w:pPr>
          </w:p>
        </w:tc>
        <w:tc>
          <w:tcPr>
            <w:tcW w:w="1100" w:type="dxa"/>
            <w:vAlign w:val="bottom"/>
            <w:tcBorders>
              <w:top w:val="single" w:sz="8" w:color="51555C"/>
            </w:tcBorders>
          </w:tcPr>
          <w:p>
            <w:pPr>
              <w:jc w:val="right"/>
              <w:spacing w:after="0" w:line="148" w:lineRule="exact"/>
              <w:rPr>
                <w:sz w:val="20"/>
                <w:szCs w:val="20"/>
                <w:color w:val="auto"/>
              </w:rPr>
            </w:pPr>
            <w:r>
              <w:rPr>
                <w:rFonts w:ascii="Calibri" w:cs="Calibri" w:eastAsia="Calibri" w:hAnsi="Calibri"/>
                <w:sz w:val="13"/>
                <w:szCs w:val="13"/>
                <w:color w:val="51555C"/>
              </w:rPr>
              <w:t>121,475</w:t>
            </w:r>
          </w:p>
        </w:tc>
        <w:tc>
          <w:tcPr>
            <w:tcW w:w="100" w:type="dxa"/>
            <w:vAlign w:val="bottom"/>
          </w:tcPr>
          <w:p>
            <w:pPr>
              <w:spacing w:after="0"/>
              <w:rPr>
                <w:sz w:val="12"/>
                <w:szCs w:val="12"/>
                <w:color w:val="auto"/>
              </w:rPr>
            </w:pPr>
          </w:p>
        </w:tc>
        <w:tc>
          <w:tcPr>
            <w:tcW w:w="380" w:type="dxa"/>
            <w:vAlign w:val="bottom"/>
            <w:tcBorders>
              <w:top w:val="single" w:sz="8" w:color="51555C"/>
            </w:tcBorders>
          </w:tcPr>
          <w:p>
            <w:pPr>
              <w:spacing w:after="0"/>
              <w:rPr>
                <w:sz w:val="12"/>
                <w:szCs w:val="12"/>
                <w:color w:val="auto"/>
              </w:rPr>
            </w:pPr>
          </w:p>
        </w:tc>
        <w:tc>
          <w:tcPr>
            <w:tcW w:w="920" w:type="dxa"/>
            <w:vAlign w:val="bottom"/>
            <w:tcBorders>
              <w:top w:val="single" w:sz="8" w:color="51555C"/>
            </w:tcBorders>
          </w:tcPr>
          <w:p>
            <w:pPr>
              <w:jc w:val="right"/>
              <w:spacing w:after="0" w:line="148" w:lineRule="exact"/>
              <w:rPr>
                <w:sz w:val="20"/>
                <w:szCs w:val="20"/>
                <w:color w:val="auto"/>
              </w:rPr>
            </w:pPr>
            <w:r>
              <w:rPr>
                <w:rFonts w:ascii="Calibri" w:cs="Calibri" w:eastAsia="Calibri" w:hAnsi="Calibri"/>
                <w:sz w:val="13"/>
                <w:szCs w:val="13"/>
                <w:color w:val="51555C"/>
              </w:rPr>
              <w:t>250,906</w:t>
            </w:r>
          </w:p>
        </w:tc>
        <w:tc>
          <w:tcPr>
            <w:tcW w:w="260" w:type="dxa"/>
            <w:vAlign w:val="bottom"/>
            <w:tcBorders>
              <w:top w:val="single" w:sz="8" w:color="51555C"/>
            </w:tcBorders>
          </w:tcPr>
          <w:p>
            <w:pPr>
              <w:spacing w:after="0"/>
              <w:rPr>
                <w:sz w:val="12"/>
                <w:szCs w:val="12"/>
                <w:color w:val="auto"/>
              </w:rPr>
            </w:pPr>
          </w:p>
        </w:tc>
        <w:tc>
          <w:tcPr>
            <w:tcW w:w="1040" w:type="dxa"/>
            <w:vAlign w:val="bottom"/>
            <w:tcBorders>
              <w:top w:val="single" w:sz="8" w:color="51555C"/>
            </w:tcBorders>
          </w:tcPr>
          <w:p>
            <w:pPr>
              <w:jc w:val="right"/>
              <w:spacing w:after="0" w:line="148" w:lineRule="exact"/>
              <w:rPr>
                <w:sz w:val="20"/>
                <w:szCs w:val="20"/>
                <w:color w:val="auto"/>
              </w:rPr>
            </w:pPr>
            <w:r>
              <w:rPr>
                <w:rFonts w:ascii="Calibri" w:cs="Calibri" w:eastAsia="Calibri" w:hAnsi="Calibri"/>
                <w:sz w:val="13"/>
                <w:szCs w:val="13"/>
                <w:color w:val="51555C"/>
              </w:rPr>
              <w:t>244,587</w:t>
            </w:r>
          </w:p>
        </w:tc>
        <w:tc>
          <w:tcPr>
            <w:tcW w:w="20" w:type="dxa"/>
            <w:vAlign w:val="bottom"/>
          </w:tcPr>
          <w:p>
            <w:pPr>
              <w:spacing w:after="0"/>
              <w:rPr>
                <w:sz w:val="12"/>
                <w:szCs w:val="12"/>
                <w:color w:val="auto"/>
              </w:rPr>
            </w:pPr>
          </w:p>
        </w:tc>
      </w:tr>
      <w:tr>
        <w:trPr>
          <w:trHeight w:val="34"/>
        </w:trPr>
        <w:tc>
          <w:tcPr>
            <w:tcW w:w="5960" w:type="dxa"/>
            <w:vAlign w:val="bottom"/>
            <w:tcBorders>
              <w:bottom w:val="single" w:sz="8" w:color="EBFBFF"/>
            </w:tcBorders>
            <w:gridSpan w:val="2"/>
          </w:tcPr>
          <w:p>
            <w:pPr>
              <w:spacing w:after="0"/>
              <w:rPr>
                <w:sz w:val="2"/>
                <w:szCs w:val="2"/>
                <w:color w:val="auto"/>
              </w:rPr>
            </w:pPr>
          </w:p>
        </w:tc>
        <w:tc>
          <w:tcPr>
            <w:tcW w:w="380" w:type="dxa"/>
            <w:vAlign w:val="bottom"/>
            <w:tcBorders>
              <w:bottom w:val="single" w:sz="8" w:color="51555C"/>
            </w:tcBorders>
          </w:tcPr>
          <w:p>
            <w:pPr>
              <w:spacing w:after="0"/>
              <w:rPr>
                <w:sz w:val="2"/>
                <w:szCs w:val="2"/>
                <w:color w:val="auto"/>
              </w:rPr>
            </w:pPr>
          </w:p>
        </w:tc>
        <w:tc>
          <w:tcPr>
            <w:tcW w:w="940" w:type="dxa"/>
            <w:vAlign w:val="bottom"/>
            <w:tcBorders>
              <w:bottom w:val="single" w:sz="8" w:color="51555C"/>
            </w:tcBorders>
          </w:tcPr>
          <w:p>
            <w:pPr>
              <w:spacing w:after="0"/>
              <w:rPr>
                <w:sz w:val="2"/>
                <w:szCs w:val="2"/>
                <w:color w:val="auto"/>
              </w:rPr>
            </w:pPr>
          </w:p>
        </w:tc>
        <w:tc>
          <w:tcPr>
            <w:tcW w:w="200" w:type="dxa"/>
            <w:vAlign w:val="bottom"/>
            <w:tcBorders>
              <w:bottom w:val="single" w:sz="8" w:color="51555C"/>
            </w:tcBorders>
          </w:tcPr>
          <w:p>
            <w:pPr>
              <w:spacing w:after="0"/>
              <w:rPr>
                <w:sz w:val="2"/>
                <w:szCs w:val="2"/>
                <w:color w:val="auto"/>
              </w:rPr>
            </w:pPr>
          </w:p>
        </w:tc>
        <w:tc>
          <w:tcPr>
            <w:tcW w:w="1100" w:type="dxa"/>
            <w:vAlign w:val="bottom"/>
            <w:tcBorders>
              <w:bottom w:val="single" w:sz="8" w:color="51555C"/>
            </w:tcBorders>
          </w:tcPr>
          <w:p>
            <w:pPr>
              <w:spacing w:after="0"/>
              <w:rPr>
                <w:sz w:val="2"/>
                <w:szCs w:val="2"/>
                <w:color w:val="auto"/>
              </w:rPr>
            </w:pPr>
          </w:p>
        </w:tc>
        <w:tc>
          <w:tcPr>
            <w:tcW w:w="100" w:type="dxa"/>
            <w:vAlign w:val="bottom"/>
            <w:tcBorders>
              <w:bottom w:val="single" w:sz="8" w:color="EBFBFF"/>
            </w:tcBorders>
          </w:tcPr>
          <w:p>
            <w:pPr>
              <w:spacing w:after="0"/>
              <w:rPr>
                <w:sz w:val="2"/>
                <w:szCs w:val="2"/>
                <w:color w:val="auto"/>
              </w:rPr>
            </w:pPr>
          </w:p>
        </w:tc>
        <w:tc>
          <w:tcPr>
            <w:tcW w:w="380" w:type="dxa"/>
            <w:vAlign w:val="bottom"/>
            <w:tcBorders>
              <w:bottom w:val="single" w:sz="8" w:color="51555C"/>
            </w:tcBorders>
          </w:tcPr>
          <w:p>
            <w:pPr>
              <w:spacing w:after="0"/>
              <w:rPr>
                <w:sz w:val="2"/>
                <w:szCs w:val="2"/>
                <w:color w:val="auto"/>
              </w:rPr>
            </w:pPr>
          </w:p>
        </w:tc>
        <w:tc>
          <w:tcPr>
            <w:tcW w:w="920" w:type="dxa"/>
            <w:vAlign w:val="bottom"/>
            <w:tcBorders>
              <w:bottom w:val="single" w:sz="8" w:color="51555C"/>
            </w:tcBorders>
          </w:tcPr>
          <w:p>
            <w:pPr>
              <w:spacing w:after="0"/>
              <w:rPr>
                <w:sz w:val="2"/>
                <w:szCs w:val="2"/>
                <w:color w:val="auto"/>
              </w:rPr>
            </w:pPr>
          </w:p>
        </w:tc>
        <w:tc>
          <w:tcPr>
            <w:tcW w:w="260" w:type="dxa"/>
            <w:vAlign w:val="bottom"/>
            <w:tcBorders>
              <w:bottom w:val="single" w:sz="8" w:color="51555C"/>
            </w:tcBorders>
          </w:tcPr>
          <w:p>
            <w:pPr>
              <w:spacing w:after="0"/>
              <w:rPr>
                <w:sz w:val="2"/>
                <w:szCs w:val="2"/>
                <w:color w:val="auto"/>
              </w:rPr>
            </w:pPr>
          </w:p>
        </w:tc>
        <w:tc>
          <w:tcPr>
            <w:tcW w:w="1040" w:type="dxa"/>
            <w:vAlign w:val="bottom"/>
            <w:tcBorders>
              <w:bottom w:val="single" w:sz="8" w:color="51555C"/>
            </w:tcBorders>
          </w:tcPr>
          <w:p>
            <w:pPr>
              <w:spacing w:after="0"/>
              <w:rPr>
                <w:sz w:val="2"/>
                <w:szCs w:val="2"/>
                <w:color w:val="auto"/>
              </w:rPr>
            </w:pPr>
          </w:p>
        </w:tc>
        <w:tc>
          <w:tcPr>
            <w:tcW w:w="20" w:type="dxa"/>
            <w:vAlign w:val="bottom"/>
          </w:tcPr>
          <w:p>
            <w:pPr>
              <w:spacing w:after="0"/>
              <w:rPr>
                <w:sz w:val="2"/>
                <w:szCs w:val="2"/>
                <w:color w:val="auto"/>
              </w:rPr>
            </w:pPr>
          </w:p>
        </w:tc>
      </w:tr>
      <w:tr>
        <w:trPr>
          <w:trHeight w:val="182"/>
        </w:trPr>
        <w:tc>
          <w:tcPr>
            <w:tcW w:w="5960" w:type="dxa"/>
            <w:vAlign w:val="bottom"/>
            <w:tcBorders>
              <w:bottom w:val="single" w:sz="8" w:color="EBFBFF"/>
            </w:tcBorders>
            <w:gridSpan w:val="2"/>
            <w:shd w:val="clear" w:color="auto" w:fill="EBFBFF"/>
          </w:tcPr>
          <w:p>
            <w:pPr>
              <w:ind w:left="20"/>
              <w:spacing w:after="0" w:line="137" w:lineRule="exact"/>
              <w:rPr>
                <w:sz w:val="20"/>
                <w:szCs w:val="20"/>
                <w:color w:val="auto"/>
              </w:rPr>
            </w:pPr>
            <w:r>
              <w:rPr>
                <w:rFonts w:ascii="Calibri" w:cs="Calibri" w:eastAsia="Calibri" w:hAnsi="Calibri"/>
                <w:sz w:val="13"/>
                <w:szCs w:val="13"/>
                <w:b w:val="1"/>
                <w:bCs w:val="1"/>
                <w:color w:val="51555C"/>
              </w:rPr>
              <w:t>Gross proft</w:t>
            </w:r>
          </w:p>
        </w:tc>
        <w:tc>
          <w:tcPr>
            <w:tcW w:w="380" w:type="dxa"/>
            <w:vAlign w:val="bottom"/>
            <w:tcBorders>
              <w:bottom w:val="single" w:sz="8" w:color="EBFBFF"/>
            </w:tcBorders>
            <w:shd w:val="clear" w:color="auto" w:fill="EBFBFF"/>
          </w:tcPr>
          <w:p>
            <w:pPr>
              <w:spacing w:after="0"/>
              <w:rPr>
                <w:sz w:val="15"/>
                <w:szCs w:val="15"/>
                <w:color w:val="auto"/>
              </w:rPr>
            </w:pPr>
          </w:p>
        </w:tc>
        <w:tc>
          <w:tcPr>
            <w:tcW w:w="940" w:type="dxa"/>
            <w:vAlign w:val="bottom"/>
            <w:tcBorders>
              <w:bottom w:val="single" w:sz="8" w:color="EBFBFF"/>
            </w:tcBorders>
            <w:shd w:val="clear" w:color="auto" w:fill="EBFBFF"/>
          </w:tcPr>
          <w:p>
            <w:pPr>
              <w:jc w:val="right"/>
              <w:spacing w:after="0" w:line="148" w:lineRule="exact"/>
              <w:rPr>
                <w:sz w:val="20"/>
                <w:szCs w:val="20"/>
                <w:color w:val="auto"/>
              </w:rPr>
            </w:pPr>
            <w:r>
              <w:rPr>
                <w:rFonts w:ascii="Calibri" w:cs="Calibri" w:eastAsia="Calibri" w:hAnsi="Calibri"/>
                <w:sz w:val="13"/>
                <w:szCs w:val="13"/>
                <w:color w:val="51555C"/>
              </w:rPr>
              <w:t>162,586</w:t>
            </w:r>
          </w:p>
        </w:tc>
        <w:tc>
          <w:tcPr>
            <w:tcW w:w="200" w:type="dxa"/>
            <w:vAlign w:val="bottom"/>
            <w:tcBorders>
              <w:bottom w:val="single" w:sz="8" w:color="EBFBFF"/>
            </w:tcBorders>
            <w:shd w:val="clear" w:color="auto" w:fill="EBFBFF"/>
          </w:tcPr>
          <w:p>
            <w:pPr>
              <w:spacing w:after="0"/>
              <w:rPr>
                <w:sz w:val="15"/>
                <w:szCs w:val="15"/>
                <w:color w:val="auto"/>
              </w:rPr>
            </w:pPr>
          </w:p>
        </w:tc>
        <w:tc>
          <w:tcPr>
            <w:tcW w:w="1100" w:type="dxa"/>
            <w:vAlign w:val="bottom"/>
            <w:tcBorders>
              <w:bottom w:val="single" w:sz="8" w:color="EBFBFF"/>
            </w:tcBorders>
            <w:shd w:val="clear" w:color="auto" w:fill="EBFBFF"/>
          </w:tcPr>
          <w:p>
            <w:pPr>
              <w:jc w:val="right"/>
              <w:spacing w:after="0" w:line="148" w:lineRule="exact"/>
              <w:rPr>
                <w:sz w:val="20"/>
                <w:szCs w:val="20"/>
                <w:color w:val="auto"/>
              </w:rPr>
            </w:pPr>
            <w:r>
              <w:rPr>
                <w:rFonts w:ascii="Calibri" w:cs="Calibri" w:eastAsia="Calibri" w:hAnsi="Calibri"/>
                <w:sz w:val="13"/>
                <w:szCs w:val="13"/>
                <w:color w:val="51555C"/>
              </w:rPr>
              <w:t>149,567</w:t>
            </w:r>
          </w:p>
        </w:tc>
        <w:tc>
          <w:tcPr>
            <w:tcW w:w="100" w:type="dxa"/>
            <w:vAlign w:val="bottom"/>
            <w:tcBorders>
              <w:bottom w:val="single" w:sz="8" w:color="EBFBFF"/>
            </w:tcBorders>
            <w:shd w:val="clear" w:color="auto" w:fill="EBFBFF"/>
          </w:tcPr>
          <w:p>
            <w:pPr>
              <w:spacing w:after="0"/>
              <w:rPr>
                <w:sz w:val="15"/>
                <w:szCs w:val="15"/>
                <w:color w:val="auto"/>
              </w:rPr>
            </w:pPr>
          </w:p>
        </w:tc>
        <w:tc>
          <w:tcPr>
            <w:tcW w:w="380" w:type="dxa"/>
            <w:vAlign w:val="bottom"/>
            <w:tcBorders>
              <w:bottom w:val="single" w:sz="8" w:color="EBFBFF"/>
            </w:tcBorders>
            <w:shd w:val="clear" w:color="auto" w:fill="EBFBFF"/>
          </w:tcPr>
          <w:p>
            <w:pPr>
              <w:spacing w:after="0"/>
              <w:rPr>
                <w:sz w:val="15"/>
                <w:szCs w:val="15"/>
                <w:color w:val="auto"/>
              </w:rPr>
            </w:pPr>
          </w:p>
        </w:tc>
        <w:tc>
          <w:tcPr>
            <w:tcW w:w="920" w:type="dxa"/>
            <w:vAlign w:val="bottom"/>
            <w:tcBorders>
              <w:bottom w:val="single" w:sz="8" w:color="EBFBFF"/>
            </w:tcBorders>
            <w:shd w:val="clear" w:color="auto" w:fill="EBFBFF"/>
          </w:tcPr>
          <w:p>
            <w:pPr>
              <w:jc w:val="right"/>
              <w:spacing w:after="0" w:line="148" w:lineRule="exact"/>
              <w:rPr>
                <w:sz w:val="20"/>
                <w:szCs w:val="20"/>
                <w:color w:val="auto"/>
              </w:rPr>
            </w:pPr>
            <w:r>
              <w:rPr>
                <w:rFonts w:ascii="Calibri" w:cs="Calibri" w:eastAsia="Calibri" w:hAnsi="Calibri"/>
                <w:sz w:val="13"/>
                <w:szCs w:val="13"/>
                <w:color w:val="51555C"/>
              </w:rPr>
              <w:t>315,630</w:t>
            </w:r>
          </w:p>
        </w:tc>
        <w:tc>
          <w:tcPr>
            <w:tcW w:w="260" w:type="dxa"/>
            <w:vAlign w:val="bottom"/>
            <w:tcBorders>
              <w:bottom w:val="single" w:sz="8" w:color="EBFBFF"/>
            </w:tcBorders>
            <w:shd w:val="clear" w:color="auto" w:fill="EBFBFF"/>
          </w:tcPr>
          <w:p>
            <w:pPr>
              <w:spacing w:after="0"/>
              <w:rPr>
                <w:sz w:val="15"/>
                <w:szCs w:val="15"/>
                <w:color w:val="auto"/>
              </w:rPr>
            </w:pPr>
          </w:p>
        </w:tc>
        <w:tc>
          <w:tcPr>
            <w:tcW w:w="1040" w:type="dxa"/>
            <w:vAlign w:val="bottom"/>
            <w:tcBorders>
              <w:bottom w:val="single" w:sz="8" w:color="EBFBFF"/>
            </w:tcBorders>
            <w:shd w:val="clear" w:color="auto" w:fill="EBFBFF"/>
          </w:tcPr>
          <w:p>
            <w:pPr>
              <w:jc w:val="right"/>
              <w:spacing w:after="0" w:line="148" w:lineRule="exact"/>
              <w:rPr>
                <w:sz w:val="20"/>
                <w:szCs w:val="20"/>
                <w:color w:val="auto"/>
              </w:rPr>
            </w:pPr>
            <w:r>
              <w:rPr>
                <w:rFonts w:ascii="Calibri" w:cs="Calibri" w:eastAsia="Calibri" w:hAnsi="Calibri"/>
                <w:sz w:val="13"/>
                <w:szCs w:val="13"/>
                <w:color w:val="51555C"/>
              </w:rPr>
              <w:t>288,208</w:t>
            </w:r>
          </w:p>
        </w:tc>
        <w:tc>
          <w:tcPr>
            <w:tcW w:w="20" w:type="dxa"/>
            <w:vAlign w:val="bottom"/>
          </w:tcPr>
          <w:p>
            <w:pPr>
              <w:spacing w:after="0"/>
              <w:rPr>
                <w:sz w:val="15"/>
                <w:szCs w:val="15"/>
                <w:color w:val="auto"/>
              </w:rPr>
            </w:pPr>
          </w:p>
        </w:tc>
      </w:tr>
      <w:tr>
        <w:trPr>
          <w:trHeight w:val="137"/>
        </w:trPr>
        <w:tc>
          <w:tcPr>
            <w:tcW w:w="5960" w:type="dxa"/>
            <w:vAlign w:val="bottom"/>
            <w:gridSpan w:val="2"/>
          </w:tcPr>
          <w:p>
            <w:pPr>
              <w:ind w:left="20"/>
              <w:spacing w:after="0" w:line="137" w:lineRule="exact"/>
              <w:rPr>
                <w:sz w:val="20"/>
                <w:szCs w:val="20"/>
                <w:color w:val="auto"/>
              </w:rPr>
            </w:pPr>
            <w:r>
              <w:rPr>
                <w:rFonts w:ascii="Calibri" w:cs="Calibri" w:eastAsia="Calibri" w:hAnsi="Calibri"/>
                <w:sz w:val="13"/>
                <w:szCs w:val="13"/>
                <w:b w:val="1"/>
                <w:bCs w:val="1"/>
                <w:color w:val="51555C"/>
              </w:rPr>
              <w:t>Operatng expenses</w:t>
            </w:r>
          </w:p>
        </w:tc>
        <w:tc>
          <w:tcPr>
            <w:tcW w:w="380" w:type="dxa"/>
            <w:vAlign w:val="bottom"/>
            <w:tcBorders>
              <w:top w:val="single" w:sz="8" w:color="51555C"/>
            </w:tcBorders>
          </w:tcPr>
          <w:p>
            <w:pPr>
              <w:spacing w:after="0"/>
              <w:rPr>
                <w:sz w:val="11"/>
                <w:szCs w:val="11"/>
                <w:color w:val="auto"/>
              </w:rPr>
            </w:pPr>
          </w:p>
        </w:tc>
        <w:tc>
          <w:tcPr>
            <w:tcW w:w="940" w:type="dxa"/>
            <w:vAlign w:val="bottom"/>
            <w:tcBorders>
              <w:top w:val="single" w:sz="8" w:color="51555C"/>
            </w:tcBorders>
          </w:tcPr>
          <w:p>
            <w:pPr>
              <w:spacing w:after="0"/>
              <w:rPr>
                <w:sz w:val="11"/>
                <w:szCs w:val="11"/>
                <w:color w:val="auto"/>
              </w:rPr>
            </w:pPr>
          </w:p>
        </w:tc>
        <w:tc>
          <w:tcPr>
            <w:tcW w:w="200" w:type="dxa"/>
            <w:vAlign w:val="bottom"/>
            <w:tcBorders>
              <w:top w:val="single" w:sz="8" w:color="51555C"/>
            </w:tcBorders>
          </w:tcPr>
          <w:p>
            <w:pPr>
              <w:spacing w:after="0"/>
              <w:rPr>
                <w:sz w:val="11"/>
                <w:szCs w:val="11"/>
                <w:color w:val="auto"/>
              </w:rPr>
            </w:pPr>
          </w:p>
        </w:tc>
        <w:tc>
          <w:tcPr>
            <w:tcW w:w="1100" w:type="dxa"/>
            <w:vAlign w:val="bottom"/>
            <w:tcBorders>
              <w:top w:val="single" w:sz="8" w:color="51555C"/>
            </w:tcBorders>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Borders>
              <w:top w:val="single" w:sz="8" w:color="51555C"/>
            </w:tcBorders>
          </w:tcPr>
          <w:p>
            <w:pPr>
              <w:spacing w:after="0"/>
              <w:rPr>
                <w:sz w:val="11"/>
                <w:szCs w:val="11"/>
                <w:color w:val="auto"/>
              </w:rPr>
            </w:pPr>
          </w:p>
        </w:tc>
        <w:tc>
          <w:tcPr>
            <w:tcW w:w="920" w:type="dxa"/>
            <w:vAlign w:val="bottom"/>
            <w:tcBorders>
              <w:top w:val="single" w:sz="8" w:color="51555C"/>
            </w:tcBorders>
          </w:tcPr>
          <w:p>
            <w:pPr>
              <w:spacing w:after="0"/>
              <w:rPr>
                <w:sz w:val="11"/>
                <w:szCs w:val="11"/>
                <w:color w:val="auto"/>
              </w:rPr>
            </w:pPr>
          </w:p>
        </w:tc>
        <w:tc>
          <w:tcPr>
            <w:tcW w:w="260" w:type="dxa"/>
            <w:vAlign w:val="bottom"/>
            <w:tcBorders>
              <w:top w:val="single" w:sz="8" w:color="51555C"/>
            </w:tcBorders>
          </w:tcPr>
          <w:p>
            <w:pPr>
              <w:spacing w:after="0"/>
              <w:rPr>
                <w:sz w:val="11"/>
                <w:szCs w:val="11"/>
                <w:color w:val="auto"/>
              </w:rPr>
            </w:pPr>
          </w:p>
        </w:tc>
        <w:tc>
          <w:tcPr>
            <w:tcW w:w="1040" w:type="dxa"/>
            <w:vAlign w:val="bottom"/>
            <w:tcBorders>
              <w:top w:val="single" w:sz="8" w:color="51555C"/>
            </w:tcBorders>
          </w:tcPr>
          <w:p>
            <w:pPr>
              <w:spacing w:after="0"/>
              <w:rPr>
                <w:sz w:val="11"/>
                <w:szCs w:val="11"/>
                <w:color w:val="auto"/>
              </w:rPr>
            </w:pPr>
          </w:p>
        </w:tc>
        <w:tc>
          <w:tcPr>
            <w:tcW w:w="20" w:type="dxa"/>
            <w:vAlign w:val="bottom"/>
          </w:tcPr>
          <w:p>
            <w:pPr>
              <w:spacing w:after="0"/>
              <w:rPr>
                <w:sz w:val="11"/>
                <w:szCs w:val="11"/>
                <w:color w:val="auto"/>
              </w:rPr>
            </w:pPr>
          </w:p>
        </w:tc>
      </w:tr>
      <w:tr>
        <w:trPr>
          <w:trHeight w:val="34"/>
        </w:trPr>
        <w:tc>
          <w:tcPr>
            <w:tcW w:w="140" w:type="dxa"/>
            <w:vAlign w:val="bottom"/>
          </w:tcPr>
          <w:p>
            <w:pPr>
              <w:spacing w:after="0"/>
              <w:rPr>
                <w:sz w:val="2"/>
                <w:szCs w:val="2"/>
                <w:color w:val="auto"/>
              </w:rPr>
            </w:pPr>
          </w:p>
        </w:tc>
        <w:tc>
          <w:tcPr>
            <w:tcW w:w="5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71"/>
        </w:trPr>
        <w:tc>
          <w:tcPr>
            <w:tcW w:w="140" w:type="dxa"/>
            <w:vAlign w:val="bottom"/>
            <w:tcBorders>
              <w:bottom w:val="single" w:sz="8" w:color="EBFBFF"/>
            </w:tcBorders>
            <w:shd w:val="clear" w:color="auto" w:fill="EBFBFF"/>
          </w:tcPr>
          <w:p>
            <w:pPr>
              <w:spacing w:after="0"/>
              <w:rPr>
                <w:sz w:val="14"/>
                <w:szCs w:val="14"/>
                <w:color w:val="auto"/>
              </w:rPr>
            </w:pPr>
          </w:p>
        </w:tc>
        <w:tc>
          <w:tcPr>
            <w:tcW w:w="5820" w:type="dxa"/>
            <w:vAlign w:val="bottom"/>
            <w:tcBorders>
              <w:bottom w:val="single" w:sz="8" w:color="EBFBFF"/>
            </w:tcBorders>
            <w:shd w:val="clear" w:color="auto" w:fill="EBFBFF"/>
          </w:tcPr>
          <w:p>
            <w:pPr>
              <w:ind w:left="40"/>
              <w:spacing w:after="0" w:line="157" w:lineRule="exact"/>
              <w:rPr>
                <w:sz w:val="20"/>
                <w:szCs w:val="20"/>
                <w:color w:val="auto"/>
              </w:rPr>
            </w:pPr>
            <w:r>
              <w:rPr>
                <w:rFonts w:ascii="Calibri" w:cs="Calibri" w:eastAsia="Calibri" w:hAnsi="Calibri"/>
                <w:sz w:val="13"/>
                <w:szCs w:val="13"/>
                <w:color w:val="51555C"/>
              </w:rPr>
              <w:t>Sales, marketng and customer success</w:t>
            </w:r>
          </w:p>
        </w:tc>
        <w:tc>
          <w:tcPr>
            <w:tcW w:w="380" w:type="dxa"/>
            <w:vAlign w:val="bottom"/>
            <w:tcBorders>
              <w:bottom w:val="single" w:sz="8" w:color="EBFBFF"/>
            </w:tcBorders>
            <w:shd w:val="clear" w:color="auto" w:fill="EBFBFF"/>
          </w:tcPr>
          <w:p>
            <w:pPr>
              <w:spacing w:after="0"/>
              <w:rPr>
                <w:sz w:val="14"/>
                <w:szCs w:val="14"/>
                <w:color w:val="auto"/>
              </w:rPr>
            </w:pPr>
          </w:p>
        </w:tc>
        <w:tc>
          <w:tcPr>
            <w:tcW w:w="94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47,081</w:t>
            </w:r>
          </w:p>
        </w:tc>
        <w:tc>
          <w:tcPr>
            <w:tcW w:w="200" w:type="dxa"/>
            <w:vAlign w:val="bottom"/>
            <w:tcBorders>
              <w:bottom w:val="single" w:sz="8" w:color="EBFBFF"/>
            </w:tcBorders>
            <w:shd w:val="clear" w:color="auto" w:fill="EBFBFF"/>
          </w:tcPr>
          <w:p>
            <w:pPr>
              <w:spacing w:after="0"/>
              <w:rPr>
                <w:sz w:val="14"/>
                <w:szCs w:val="14"/>
                <w:color w:val="auto"/>
              </w:rPr>
            </w:pPr>
          </w:p>
        </w:tc>
        <w:tc>
          <w:tcPr>
            <w:tcW w:w="110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53,191</w:t>
            </w:r>
          </w:p>
        </w:tc>
        <w:tc>
          <w:tcPr>
            <w:tcW w:w="100" w:type="dxa"/>
            <w:vAlign w:val="bottom"/>
            <w:tcBorders>
              <w:bottom w:val="single" w:sz="8" w:color="EBFBFF"/>
            </w:tcBorders>
            <w:shd w:val="clear" w:color="auto" w:fill="EBFBFF"/>
          </w:tcPr>
          <w:p>
            <w:pPr>
              <w:spacing w:after="0"/>
              <w:rPr>
                <w:sz w:val="14"/>
                <w:szCs w:val="14"/>
                <w:color w:val="auto"/>
              </w:rPr>
            </w:pPr>
          </w:p>
        </w:tc>
        <w:tc>
          <w:tcPr>
            <w:tcW w:w="380" w:type="dxa"/>
            <w:vAlign w:val="bottom"/>
            <w:tcBorders>
              <w:bottom w:val="single" w:sz="8" w:color="EBFBFF"/>
            </w:tcBorders>
            <w:shd w:val="clear" w:color="auto" w:fill="EBFBFF"/>
          </w:tcPr>
          <w:p>
            <w:pPr>
              <w:spacing w:after="0"/>
              <w:rPr>
                <w:sz w:val="14"/>
                <w:szCs w:val="14"/>
                <w:color w:val="auto"/>
              </w:rPr>
            </w:pPr>
          </w:p>
        </w:tc>
        <w:tc>
          <w:tcPr>
            <w:tcW w:w="92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97,946</w:t>
            </w:r>
          </w:p>
        </w:tc>
        <w:tc>
          <w:tcPr>
            <w:tcW w:w="260" w:type="dxa"/>
            <w:vAlign w:val="bottom"/>
            <w:tcBorders>
              <w:bottom w:val="single" w:sz="8" w:color="EBFBFF"/>
            </w:tcBorders>
            <w:shd w:val="clear" w:color="auto" w:fill="EBFBFF"/>
          </w:tcPr>
          <w:p>
            <w:pPr>
              <w:spacing w:after="0"/>
              <w:rPr>
                <w:sz w:val="14"/>
                <w:szCs w:val="14"/>
                <w:color w:val="auto"/>
              </w:rPr>
            </w:pPr>
          </w:p>
        </w:tc>
        <w:tc>
          <w:tcPr>
            <w:tcW w:w="104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107,576</w:t>
            </w:r>
          </w:p>
        </w:tc>
        <w:tc>
          <w:tcPr>
            <w:tcW w:w="20" w:type="dxa"/>
            <w:vAlign w:val="bottom"/>
          </w:tcPr>
          <w:p>
            <w:pPr>
              <w:spacing w:after="0"/>
              <w:rPr>
                <w:sz w:val="14"/>
                <w:szCs w:val="14"/>
                <w:color w:val="auto"/>
              </w:rPr>
            </w:pPr>
          </w:p>
        </w:tc>
      </w:tr>
      <w:tr>
        <w:trPr>
          <w:trHeight w:val="157"/>
        </w:trPr>
        <w:tc>
          <w:tcPr>
            <w:tcW w:w="140" w:type="dxa"/>
            <w:vAlign w:val="bottom"/>
          </w:tcPr>
          <w:p>
            <w:pPr>
              <w:spacing w:after="0"/>
              <w:rPr>
                <w:sz w:val="13"/>
                <w:szCs w:val="13"/>
                <w:color w:val="auto"/>
              </w:rPr>
            </w:pPr>
          </w:p>
        </w:tc>
        <w:tc>
          <w:tcPr>
            <w:tcW w:w="5820" w:type="dxa"/>
            <w:vAlign w:val="bottom"/>
          </w:tcPr>
          <w:p>
            <w:pPr>
              <w:ind w:left="40"/>
              <w:spacing w:after="0" w:line="157" w:lineRule="exact"/>
              <w:rPr>
                <w:sz w:val="20"/>
                <w:szCs w:val="20"/>
                <w:color w:val="auto"/>
              </w:rPr>
            </w:pPr>
            <w:r>
              <w:rPr>
                <w:rFonts w:ascii="Calibri" w:cs="Calibri" w:eastAsia="Calibri" w:hAnsi="Calibri"/>
                <w:sz w:val="13"/>
                <w:szCs w:val="13"/>
                <w:color w:val="51555C"/>
              </w:rPr>
              <w:t>Research and development</w:t>
            </w:r>
          </w:p>
        </w:tc>
        <w:tc>
          <w:tcPr>
            <w:tcW w:w="380" w:type="dxa"/>
            <w:vAlign w:val="bottom"/>
          </w:tcPr>
          <w:p>
            <w:pPr>
              <w:spacing w:after="0"/>
              <w:rPr>
                <w:sz w:val="13"/>
                <w:szCs w:val="13"/>
                <w:color w:val="auto"/>
              </w:rPr>
            </w:pPr>
          </w:p>
        </w:tc>
        <w:tc>
          <w:tcPr>
            <w:tcW w:w="940" w:type="dxa"/>
            <w:vAlign w:val="bottom"/>
          </w:tcPr>
          <w:p>
            <w:pPr>
              <w:jc w:val="right"/>
              <w:spacing w:after="0" w:line="157" w:lineRule="exact"/>
              <w:rPr>
                <w:sz w:val="20"/>
                <w:szCs w:val="20"/>
                <w:color w:val="auto"/>
              </w:rPr>
            </w:pPr>
            <w:r>
              <w:rPr>
                <w:rFonts w:ascii="Calibri" w:cs="Calibri" w:eastAsia="Calibri" w:hAnsi="Calibri"/>
                <w:sz w:val="13"/>
                <w:szCs w:val="13"/>
                <w:color w:val="51555C"/>
              </w:rPr>
              <w:t>39,068</w:t>
            </w:r>
          </w:p>
        </w:tc>
        <w:tc>
          <w:tcPr>
            <w:tcW w:w="200" w:type="dxa"/>
            <w:vAlign w:val="bottom"/>
          </w:tcPr>
          <w:p>
            <w:pPr>
              <w:spacing w:after="0"/>
              <w:rPr>
                <w:sz w:val="13"/>
                <w:szCs w:val="13"/>
                <w:color w:val="auto"/>
              </w:rPr>
            </w:pPr>
          </w:p>
        </w:tc>
        <w:tc>
          <w:tcPr>
            <w:tcW w:w="1100" w:type="dxa"/>
            <w:vAlign w:val="bottom"/>
          </w:tcPr>
          <w:p>
            <w:pPr>
              <w:jc w:val="right"/>
              <w:spacing w:after="0" w:line="157" w:lineRule="exact"/>
              <w:rPr>
                <w:sz w:val="20"/>
                <w:szCs w:val="20"/>
                <w:color w:val="auto"/>
              </w:rPr>
            </w:pPr>
            <w:r>
              <w:rPr>
                <w:rFonts w:ascii="Calibri" w:cs="Calibri" w:eastAsia="Calibri" w:hAnsi="Calibri"/>
                <w:sz w:val="13"/>
                <w:szCs w:val="13"/>
                <w:color w:val="51555C"/>
              </w:rPr>
              <w:t>36,146</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20" w:type="dxa"/>
            <w:vAlign w:val="bottom"/>
          </w:tcPr>
          <w:p>
            <w:pPr>
              <w:jc w:val="right"/>
              <w:spacing w:after="0" w:line="157" w:lineRule="exact"/>
              <w:rPr>
                <w:sz w:val="20"/>
                <w:szCs w:val="20"/>
                <w:color w:val="auto"/>
              </w:rPr>
            </w:pPr>
            <w:r>
              <w:rPr>
                <w:rFonts w:ascii="Calibri" w:cs="Calibri" w:eastAsia="Calibri" w:hAnsi="Calibri"/>
                <w:sz w:val="13"/>
                <w:szCs w:val="13"/>
                <w:color w:val="51555C"/>
              </w:rPr>
              <w:t>81,870</w:t>
            </w:r>
          </w:p>
        </w:tc>
        <w:tc>
          <w:tcPr>
            <w:tcW w:w="260" w:type="dxa"/>
            <w:vAlign w:val="bottom"/>
          </w:tcPr>
          <w:p>
            <w:pPr>
              <w:spacing w:after="0"/>
              <w:rPr>
                <w:sz w:val="13"/>
                <w:szCs w:val="13"/>
                <w:color w:val="auto"/>
              </w:rPr>
            </w:pPr>
          </w:p>
        </w:tc>
        <w:tc>
          <w:tcPr>
            <w:tcW w:w="1040" w:type="dxa"/>
            <w:vAlign w:val="bottom"/>
          </w:tcPr>
          <w:p>
            <w:pPr>
              <w:jc w:val="right"/>
              <w:spacing w:after="0" w:line="157" w:lineRule="exact"/>
              <w:rPr>
                <w:sz w:val="20"/>
                <w:szCs w:val="20"/>
                <w:color w:val="auto"/>
              </w:rPr>
            </w:pPr>
            <w:r>
              <w:rPr>
                <w:rFonts w:ascii="Calibri" w:cs="Calibri" w:eastAsia="Calibri" w:hAnsi="Calibri"/>
                <w:sz w:val="13"/>
                <w:szCs w:val="13"/>
                <w:color w:val="51555C"/>
              </w:rPr>
              <w:t>76,737</w:t>
            </w:r>
          </w:p>
        </w:tc>
        <w:tc>
          <w:tcPr>
            <w:tcW w:w="20" w:type="dxa"/>
            <w:vAlign w:val="bottom"/>
          </w:tcPr>
          <w:p>
            <w:pPr>
              <w:spacing w:after="0"/>
              <w:rPr>
                <w:sz w:val="13"/>
                <w:szCs w:val="13"/>
                <w:color w:val="auto"/>
              </w:rPr>
            </w:pPr>
          </w:p>
        </w:tc>
      </w:tr>
      <w:tr>
        <w:trPr>
          <w:trHeight w:val="34"/>
        </w:trPr>
        <w:tc>
          <w:tcPr>
            <w:tcW w:w="140" w:type="dxa"/>
            <w:vAlign w:val="bottom"/>
          </w:tcPr>
          <w:p>
            <w:pPr>
              <w:spacing w:after="0"/>
              <w:rPr>
                <w:sz w:val="2"/>
                <w:szCs w:val="2"/>
                <w:color w:val="auto"/>
              </w:rPr>
            </w:pPr>
          </w:p>
        </w:tc>
        <w:tc>
          <w:tcPr>
            <w:tcW w:w="5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71"/>
        </w:trPr>
        <w:tc>
          <w:tcPr>
            <w:tcW w:w="140" w:type="dxa"/>
            <w:vAlign w:val="bottom"/>
            <w:tcBorders>
              <w:bottom w:val="single" w:sz="8" w:color="EBFBFF"/>
            </w:tcBorders>
            <w:shd w:val="clear" w:color="auto" w:fill="EBFBFF"/>
          </w:tcPr>
          <w:p>
            <w:pPr>
              <w:spacing w:after="0"/>
              <w:rPr>
                <w:sz w:val="14"/>
                <w:szCs w:val="14"/>
                <w:color w:val="auto"/>
              </w:rPr>
            </w:pPr>
          </w:p>
        </w:tc>
        <w:tc>
          <w:tcPr>
            <w:tcW w:w="5820" w:type="dxa"/>
            <w:vAlign w:val="bottom"/>
            <w:tcBorders>
              <w:bottom w:val="single" w:sz="8" w:color="EBFBFF"/>
            </w:tcBorders>
            <w:shd w:val="clear" w:color="auto" w:fill="EBFBFF"/>
          </w:tcPr>
          <w:p>
            <w:pPr>
              <w:ind w:left="40"/>
              <w:spacing w:after="0" w:line="157" w:lineRule="exact"/>
              <w:rPr>
                <w:sz w:val="20"/>
                <w:szCs w:val="20"/>
                <w:color w:val="auto"/>
              </w:rPr>
            </w:pPr>
            <w:r>
              <w:rPr>
                <w:rFonts w:ascii="Calibri" w:cs="Calibri" w:eastAsia="Calibri" w:hAnsi="Calibri"/>
                <w:sz w:val="13"/>
                <w:szCs w:val="13"/>
                <w:color w:val="51555C"/>
              </w:rPr>
              <w:t>General and administratve</w:t>
            </w:r>
          </w:p>
        </w:tc>
        <w:tc>
          <w:tcPr>
            <w:tcW w:w="380" w:type="dxa"/>
            <w:vAlign w:val="bottom"/>
            <w:tcBorders>
              <w:bottom w:val="single" w:sz="8" w:color="EBFBFF"/>
            </w:tcBorders>
            <w:shd w:val="clear" w:color="auto" w:fill="EBFBFF"/>
          </w:tcPr>
          <w:p>
            <w:pPr>
              <w:spacing w:after="0"/>
              <w:rPr>
                <w:sz w:val="14"/>
                <w:szCs w:val="14"/>
                <w:color w:val="auto"/>
              </w:rPr>
            </w:pPr>
          </w:p>
        </w:tc>
        <w:tc>
          <w:tcPr>
            <w:tcW w:w="94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33,443</w:t>
            </w:r>
          </w:p>
        </w:tc>
        <w:tc>
          <w:tcPr>
            <w:tcW w:w="200" w:type="dxa"/>
            <w:vAlign w:val="bottom"/>
            <w:tcBorders>
              <w:bottom w:val="single" w:sz="8" w:color="EBFBFF"/>
            </w:tcBorders>
            <w:shd w:val="clear" w:color="auto" w:fill="EBFBFF"/>
          </w:tcPr>
          <w:p>
            <w:pPr>
              <w:spacing w:after="0"/>
              <w:rPr>
                <w:sz w:val="14"/>
                <w:szCs w:val="14"/>
                <w:color w:val="auto"/>
              </w:rPr>
            </w:pPr>
          </w:p>
        </w:tc>
        <w:tc>
          <w:tcPr>
            <w:tcW w:w="110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59,148</w:t>
            </w:r>
          </w:p>
        </w:tc>
        <w:tc>
          <w:tcPr>
            <w:tcW w:w="100" w:type="dxa"/>
            <w:vAlign w:val="bottom"/>
            <w:tcBorders>
              <w:bottom w:val="single" w:sz="8" w:color="EBFBFF"/>
            </w:tcBorders>
            <w:shd w:val="clear" w:color="auto" w:fill="EBFBFF"/>
          </w:tcPr>
          <w:p>
            <w:pPr>
              <w:spacing w:after="0"/>
              <w:rPr>
                <w:sz w:val="14"/>
                <w:szCs w:val="14"/>
                <w:color w:val="auto"/>
              </w:rPr>
            </w:pPr>
          </w:p>
        </w:tc>
        <w:tc>
          <w:tcPr>
            <w:tcW w:w="380" w:type="dxa"/>
            <w:vAlign w:val="bottom"/>
            <w:tcBorders>
              <w:bottom w:val="single" w:sz="8" w:color="EBFBFF"/>
            </w:tcBorders>
            <w:shd w:val="clear" w:color="auto" w:fill="EBFBFF"/>
          </w:tcPr>
          <w:p>
            <w:pPr>
              <w:spacing w:after="0"/>
              <w:rPr>
                <w:sz w:val="14"/>
                <w:szCs w:val="14"/>
                <w:color w:val="auto"/>
              </w:rPr>
            </w:pPr>
          </w:p>
        </w:tc>
        <w:tc>
          <w:tcPr>
            <w:tcW w:w="92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81,197</w:t>
            </w:r>
          </w:p>
        </w:tc>
        <w:tc>
          <w:tcPr>
            <w:tcW w:w="260" w:type="dxa"/>
            <w:vAlign w:val="bottom"/>
            <w:tcBorders>
              <w:bottom w:val="single" w:sz="8" w:color="EBFBFF"/>
            </w:tcBorders>
            <w:shd w:val="clear" w:color="auto" w:fill="EBFBFF"/>
          </w:tcPr>
          <w:p>
            <w:pPr>
              <w:spacing w:after="0"/>
              <w:rPr>
                <w:sz w:val="14"/>
                <w:szCs w:val="14"/>
                <w:color w:val="auto"/>
              </w:rPr>
            </w:pPr>
          </w:p>
        </w:tc>
        <w:tc>
          <w:tcPr>
            <w:tcW w:w="104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111,986</w:t>
            </w:r>
          </w:p>
        </w:tc>
        <w:tc>
          <w:tcPr>
            <w:tcW w:w="20" w:type="dxa"/>
            <w:vAlign w:val="bottom"/>
          </w:tcPr>
          <w:p>
            <w:pPr>
              <w:spacing w:after="0"/>
              <w:rPr>
                <w:sz w:val="14"/>
                <w:szCs w:val="14"/>
                <w:color w:val="auto"/>
              </w:rPr>
            </w:pPr>
          </w:p>
        </w:tc>
      </w:tr>
      <w:tr>
        <w:trPr>
          <w:trHeight w:val="157"/>
        </w:trPr>
        <w:tc>
          <w:tcPr>
            <w:tcW w:w="140" w:type="dxa"/>
            <w:vAlign w:val="bottom"/>
          </w:tcPr>
          <w:p>
            <w:pPr>
              <w:spacing w:after="0"/>
              <w:rPr>
                <w:sz w:val="13"/>
                <w:szCs w:val="13"/>
                <w:color w:val="auto"/>
              </w:rPr>
            </w:pPr>
          </w:p>
        </w:tc>
        <w:tc>
          <w:tcPr>
            <w:tcW w:w="5820" w:type="dxa"/>
            <w:vAlign w:val="bottom"/>
          </w:tcPr>
          <w:p>
            <w:pPr>
              <w:ind w:left="40"/>
              <w:spacing w:after="0" w:line="157" w:lineRule="exact"/>
              <w:rPr>
                <w:sz w:val="20"/>
                <w:szCs w:val="20"/>
                <w:color w:val="auto"/>
              </w:rPr>
            </w:pPr>
            <w:r>
              <w:rPr>
                <w:rFonts w:ascii="Calibri" w:cs="Calibri" w:eastAsia="Calibri" w:hAnsi="Calibri"/>
                <w:sz w:val="13"/>
                <w:szCs w:val="13"/>
                <w:color w:val="51555C"/>
              </w:rPr>
              <w:t>Amortzaton</w:t>
            </w:r>
          </w:p>
        </w:tc>
        <w:tc>
          <w:tcPr>
            <w:tcW w:w="380" w:type="dxa"/>
            <w:vAlign w:val="bottom"/>
          </w:tcPr>
          <w:p>
            <w:pPr>
              <w:spacing w:after="0"/>
              <w:rPr>
                <w:sz w:val="13"/>
                <w:szCs w:val="13"/>
                <w:color w:val="auto"/>
              </w:rPr>
            </w:pPr>
          </w:p>
        </w:tc>
        <w:tc>
          <w:tcPr>
            <w:tcW w:w="940" w:type="dxa"/>
            <w:vAlign w:val="bottom"/>
          </w:tcPr>
          <w:p>
            <w:pPr>
              <w:jc w:val="right"/>
              <w:spacing w:after="0" w:line="157" w:lineRule="exact"/>
              <w:rPr>
                <w:sz w:val="20"/>
                <w:szCs w:val="20"/>
                <w:color w:val="auto"/>
              </w:rPr>
            </w:pPr>
            <w:r>
              <w:rPr>
                <w:rFonts w:ascii="Calibri" w:cs="Calibri" w:eastAsia="Calibri" w:hAnsi="Calibri"/>
                <w:sz w:val="13"/>
                <w:szCs w:val="13"/>
                <w:color w:val="51555C"/>
              </w:rPr>
              <w:t>902</w:t>
            </w:r>
          </w:p>
        </w:tc>
        <w:tc>
          <w:tcPr>
            <w:tcW w:w="200" w:type="dxa"/>
            <w:vAlign w:val="bottom"/>
          </w:tcPr>
          <w:p>
            <w:pPr>
              <w:spacing w:after="0"/>
              <w:rPr>
                <w:sz w:val="13"/>
                <w:szCs w:val="13"/>
                <w:color w:val="auto"/>
              </w:rPr>
            </w:pPr>
          </w:p>
        </w:tc>
        <w:tc>
          <w:tcPr>
            <w:tcW w:w="1100" w:type="dxa"/>
            <w:vAlign w:val="bottom"/>
          </w:tcPr>
          <w:p>
            <w:pPr>
              <w:jc w:val="right"/>
              <w:spacing w:after="0" w:line="157" w:lineRule="exact"/>
              <w:rPr>
                <w:sz w:val="20"/>
                <w:szCs w:val="20"/>
                <w:color w:val="auto"/>
              </w:rPr>
            </w:pPr>
            <w:r>
              <w:rPr>
                <w:rFonts w:ascii="Calibri" w:cs="Calibri" w:eastAsia="Calibri" w:hAnsi="Calibri"/>
                <w:sz w:val="13"/>
                <w:szCs w:val="13"/>
                <w:color w:val="51555C"/>
              </w:rPr>
              <w:t>788</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20" w:type="dxa"/>
            <w:vAlign w:val="bottom"/>
          </w:tcPr>
          <w:p>
            <w:pPr>
              <w:jc w:val="right"/>
              <w:spacing w:after="0" w:line="157" w:lineRule="exact"/>
              <w:rPr>
                <w:sz w:val="20"/>
                <w:szCs w:val="20"/>
                <w:color w:val="auto"/>
              </w:rPr>
            </w:pPr>
            <w:r>
              <w:rPr>
                <w:rFonts w:ascii="Calibri" w:cs="Calibri" w:eastAsia="Calibri" w:hAnsi="Calibri"/>
                <w:sz w:val="13"/>
                <w:szCs w:val="13"/>
                <w:color w:val="51555C"/>
              </w:rPr>
              <w:t>1,806</w:t>
            </w:r>
          </w:p>
        </w:tc>
        <w:tc>
          <w:tcPr>
            <w:tcW w:w="260" w:type="dxa"/>
            <w:vAlign w:val="bottom"/>
          </w:tcPr>
          <w:p>
            <w:pPr>
              <w:spacing w:after="0"/>
              <w:rPr>
                <w:sz w:val="13"/>
                <w:szCs w:val="13"/>
                <w:color w:val="auto"/>
              </w:rPr>
            </w:pPr>
          </w:p>
        </w:tc>
        <w:tc>
          <w:tcPr>
            <w:tcW w:w="1040" w:type="dxa"/>
            <w:vAlign w:val="bottom"/>
          </w:tcPr>
          <w:p>
            <w:pPr>
              <w:jc w:val="right"/>
              <w:spacing w:after="0" w:line="157" w:lineRule="exact"/>
              <w:rPr>
                <w:sz w:val="20"/>
                <w:szCs w:val="20"/>
                <w:color w:val="auto"/>
              </w:rPr>
            </w:pPr>
            <w:r>
              <w:rPr>
                <w:rFonts w:ascii="Calibri" w:cs="Calibri" w:eastAsia="Calibri" w:hAnsi="Calibri"/>
                <w:sz w:val="13"/>
                <w:szCs w:val="13"/>
                <w:color w:val="51555C"/>
              </w:rPr>
              <w:t>1,562</w:t>
            </w:r>
          </w:p>
        </w:tc>
        <w:tc>
          <w:tcPr>
            <w:tcW w:w="20" w:type="dxa"/>
            <w:vAlign w:val="bottom"/>
          </w:tcPr>
          <w:p>
            <w:pPr>
              <w:spacing w:after="0"/>
              <w:rPr>
                <w:sz w:val="13"/>
                <w:szCs w:val="13"/>
                <w:color w:val="auto"/>
              </w:rPr>
            </w:pPr>
          </w:p>
        </w:tc>
      </w:tr>
      <w:tr>
        <w:trPr>
          <w:trHeight w:val="34"/>
        </w:trPr>
        <w:tc>
          <w:tcPr>
            <w:tcW w:w="140" w:type="dxa"/>
            <w:vAlign w:val="bottom"/>
            <w:tcBorders>
              <w:bottom w:val="single" w:sz="8" w:color="EBFBFF"/>
            </w:tcBorders>
          </w:tcPr>
          <w:p>
            <w:pPr>
              <w:spacing w:after="0"/>
              <w:rPr>
                <w:sz w:val="2"/>
                <w:szCs w:val="2"/>
                <w:color w:val="auto"/>
              </w:rPr>
            </w:pPr>
          </w:p>
        </w:tc>
        <w:tc>
          <w:tcPr>
            <w:tcW w:w="5820" w:type="dxa"/>
            <w:vAlign w:val="bottom"/>
            <w:tcBorders>
              <w:bottom w:val="single" w:sz="8" w:color="EBFBFF"/>
            </w:tcBorders>
          </w:tcPr>
          <w:p>
            <w:pPr>
              <w:spacing w:after="0"/>
              <w:rPr>
                <w:sz w:val="2"/>
                <w:szCs w:val="2"/>
                <w:color w:val="auto"/>
              </w:rPr>
            </w:pPr>
          </w:p>
        </w:tc>
        <w:tc>
          <w:tcPr>
            <w:tcW w:w="380" w:type="dxa"/>
            <w:vAlign w:val="bottom"/>
            <w:tcBorders>
              <w:bottom w:val="single" w:sz="8" w:color="51555C"/>
            </w:tcBorders>
          </w:tcPr>
          <w:p>
            <w:pPr>
              <w:spacing w:after="0"/>
              <w:rPr>
                <w:sz w:val="2"/>
                <w:szCs w:val="2"/>
                <w:color w:val="auto"/>
              </w:rPr>
            </w:pPr>
          </w:p>
        </w:tc>
        <w:tc>
          <w:tcPr>
            <w:tcW w:w="940" w:type="dxa"/>
            <w:vAlign w:val="bottom"/>
            <w:tcBorders>
              <w:bottom w:val="single" w:sz="8" w:color="51555C"/>
            </w:tcBorders>
          </w:tcPr>
          <w:p>
            <w:pPr>
              <w:spacing w:after="0"/>
              <w:rPr>
                <w:sz w:val="2"/>
                <w:szCs w:val="2"/>
                <w:color w:val="auto"/>
              </w:rPr>
            </w:pPr>
          </w:p>
        </w:tc>
        <w:tc>
          <w:tcPr>
            <w:tcW w:w="200" w:type="dxa"/>
            <w:vAlign w:val="bottom"/>
            <w:tcBorders>
              <w:bottom w:val="single" w:sz="8" w:color="51555C"/>
            </w:tcBorders>
          </w:tcPr>
          <w:p>
            <w:pPr>
              <w:spacing w:after="0"/>
              <w:rPr>
                <w:sz w:val="2"/>
                <w:szCs w:val="2"/>
                <w:color w:val="auto"/>
              </w:rPr>
            </w:pPr>
          </w:p>
        </w:tc>
        <w:tc>
          <w:tcPr>
            <w:tcW w:w="1100" w:type="dxa"/>
            <w:vAlign w:val="bottom"/>
            <w:tcBorders>
              <w:bottom w:val="single" w:sz="8" w:color="51555C"/>
            </w:tcBorders>
          </w:tcPr>
          <w:p>
            <w:pPr>
              <w:spacing w:after="0"/>
              <w:rPr>
                <w:sz w:val="2"/>
                <w:szCs w:val="2"/>
                <w:color w:val="auto"/>
              </w:rPr>
            </w:pPr>
          </w:p>
        </w:tc>
        <w:tc>
          <w:tcPr>
            <w:tcW w:w="100" w:type="dxa"/>
            <w:vAlign w:val="bottom"/>
            <w:tcBorders>
              <w:bottom w:val="single" w:sz="8" w:color="EBFBFF"/>
            </w:tcBorders>
          </w:tcPr>
          <w:p>
            <w:pPr>
              <w:spacing w:after="0"/>
              <w:rPr>
                <w:sz w:val="2"/>
                <w:szCs w:val="2"/>
                <w:color w:val="auto"/>
              </w:rPr>
            </w:pPr>
          </w:p>
        </w:tc>
        <w:tc>
          <w:tcPr>
            <w:tcW w:w="380" w:type="dxa"/>
            <w:vAlign w:val="bottom"/>
            <w:tcBorders>
              <w:bottom w:val="single" w:sz="8" w:color="51555C"/>
            </w:tcBorders>
          </w:tcPr>
          <w:p>
            <w:pPr>
              <w:spacing w:after="0"/>
              <w:rPr>
                <w:sz w:val="2"/>
                <w:szCs w:val="2"/>
                <w:color w:val="auto"/>
              </w:rPr>
            </w:pPr>
          </w:p>
        </w:tc>
        <w:tc>
          <w:tcPr>
            <w:tcW w:w="920" w:type="dxa"/>
            <w:vAlign w:val="bottom"/>
            <w:tcBorders>
              <w:bottom w:val="single" w:sz="8" w:color="51555C"/>
            </w:tcBorders>
          </w:tcPr>
          <w:p>
            <w:pPr>
              <w:spacing w:after="0"/>
              <w:rPr>
                <w:sz w:val="2"/>
                <w:szCs w:val="2"/>
                <w:color w:val="auto"/>
              </w:rPr>
            </w:pPr>
          </w:p>
        </w:tc>
        <w:tc>
          <w:tcPr>
            <w:tcW w:w="260" w:type="dxa"/>
            <w:vAlign w:val="bottom"/>
            <w:tcBorders>
              <w:bottom w:val="single" w:sz="8" w:color="51555C"/>
            </w:tcBorders>
          </w:tcPr>
          <w:p>
            <w:pPr>
              <w:spacing w:after="0"/>
              <w:rPr>
                <w:sz w:val="2"/>
                <w:szCs w:val="2"/>
                <w:color w:val="auto"/>
              </w:rPr>
            </w:pPr>
          </w:p>
        </w:tc>
        <w:tc>
          <w:tcPr>
            <w:tcW w:w="1040" w:type="dxa"/>
            <w:vAlign w:val="bottom"/>
            <w:tcBorders>
              <w:bottom w:val="single" w:sz="8" w:color="51555C"/>
            </w:tcBorders>
          </w:tcPr>
          <w:p>
            <w:pPr>
              <w:spacing w:after="0"/>
              <w:rPr>
                <w:sz w:val="2"/>
                <w:szCs w:val="2"/>
                <w:color w:val="auto"/>
              </w:rPr>
            </w:pPr>
          </w:p>
        </w:tc>
        <w:tc>
          <w:tcPr>
            <w:tcW w:w="20" w:type="dxa"/>
            <w:vAlign w:val="bottom"/>
          </w:tcPr>
          <w:p>
            <w:pPr>
              <w:spacing w:after="0"/>
              <w:rPr>
                <w:sz w:val="2"/>
                <w:szCs w:val="2"/>
                <w:color w:val="auto"/>
              </w:rPr>
            </w:pPr>
          </w:p>
        </w:tc>
      </w:tr>
      <w:tr>
        <w:trPr>
          <w:trHeight w:val="182"/>
        </w:trPr>
        <w:tc>
          <w:tcPr>
            <w:tcW w:w="140" w:type="dxa"/>
            <w:vAlign w:val="bottom"/>
            <w:tcBorders>
              <w:bottom w:val="single" w:sz="8" w:color="EBFBFF"/>
            </w:tcBorders>
            <w:shd w:val="clear" w:color="auto" w:fill="EBFBFF"/>
          </w:tcPr>
          <w:p>
            <w:pPr>
              <w:spacing w:after="0"/>
              <w:rPr>
                <w:sz w:val="15"/>
                <w:szCs w:val="15"/>
                <w:color w:val="auto"/>
              </w:rPr>
            </w:pPr>
          </w:p>
        </w:tc>
        <w:tc>
          <w:tcPr>
            <w:tcW w:w="5820" w:type="dxa"/>
            <w:vAlign w:val="bottom"/>
            <w:tcBorders>
              <w:bottom w:val="single" w:sz="8" w:color="EBFBFF"/>
            </w:tcBorders>
            <w:shd w:val="clear" w:color="auto" w:fill="EBFBFF"/>
          </w:tcPr>
          <w:p>
            <w:pPr>
              <w:ind w:left="220"/>
              <w:spacing w:after="0" w:line="137" w:lineRule="exact"/>
              <w:rPr>
                <w:sz w:val="20"/>
                <w:szCs w:val="20"/>
                <w:color w:val="auto"/>
              </w:rPr>
            </w:pPr>
            <w:r>
              <w:rPr>
                <w:rFonts w:ascii="Calibri" w:cs="Calibri" w:eastAsia="Calibri" w:hAnsi="Calibri"/>
                <w:sz w:val="13"/>
                <w:szCs w:val="13"/>
                <w:b w:val="1"/>
                <w:bCs w:val="1"/>
                <w:color w:val="51555C"/>
              </w:rPr>
              <w:t>Total operatng expenses</w:t>
            </w:r>
          </w:p>
        </w:tc>
        <w:tc>
          <w:tcPr>
            <w:tcW w:w="380" w:type="dxa"/>
            <w:vAlign w:val="bottom"/>
            <w:tcBorders>
              <w:bottom w:val="single" w:sz="8" w:color="EBFBFF"/>
            </w:tcBorders>
            <w:shd w:val="clear" w:color="auto" w:fill="EBFBFF"/>
          </w:tcPr>
          <w:p>
            <w:pPr>
              <w:spacing w:after="0"/>
              <w:rPr>
                <w:sz w:val="15"/>
                <w:szCs w:val="15"/>
                <w:color w:val="auto"/>
              </w:rPr>
            </w:pPr>
          </w:p>
        </w:tc>
        <w:tc>
          <w:tcPr>
            <w:tcW w:w="940" w:type="dxa"/>
            <w:vAlign w:val="bottom"/>
            <w:tcBorders>
              <w:bottom w:val="single" w:sz="8" w:color="EBFBFF"/>
            </w:tcBorders>
            <w:shd w:val="clear" w:color="auto" w:fill="EBFBFF"/>
          </w:tcPr>
          <w:p>
            <w:pPr>
              <w:jc w:val="right"/>
              <w:spacing w:after="0" w:line="148" w:lineRule="exact"/>
              <w:rPr>
                <w:sz w:val="20"/>
                <w:szCs w:val="20"/>
                <w:color w:val="auto"/>
              </w:rPr>
            </w:pPr>
            <w:r>
              <w:rPr>
                <w:rFonts w:ascii="Calibri" w:cs="Calibri" w:eastAsia="Calibri" w:hAnsi="Calibri"/>
                <w:sz w:val="13"/>
                <w:szCs w:val="13"/>
                <w:color w:val="51555C"/>
              </w:rPr>
              <w:t>120,494</w:t>
            </w:r>
          </w:p>
        </w:tc>
        <w:tc>
          <w:tcPr>
            <w:tcW w:w="200" w:type="dxa"/>
            <w:vAlign w:val="bottom"/>
            <w:tcBorders>
              <w:bottom w:val="single" w:sz="8" w:color="EBFBFF"/>
            </w:tcBorders>
            <w:shd w:val="clear" w:color="auto" w:fill="EBFBFF"/>
          </w:tcPr>
          <w:p>
            <w:pPr>
              <w:spacing w:after="0"/>
              <w:rPr>
                <w:sz w:val="15"/>
                <w:szCs w:val="15"/>
                <w:color w:val="auto"/>
              </w:rPr>
            </w:pPr>
          </w:p>
        </w:tc>
        <w:tc>
          <w:tcPr>
            <w:tcW w:w="1100" w:type="dxa"/>
            <w:vAlign w:val="bottom"/>
            <w:tcBorders>
              <w:bottom w:val="single" w:sz="8" w:color="EBFBFF"/>
            </w:tcBorders>
            <w:shd w:val="clear" w:color="auto" w:fill="EBFBFF"/>
          </w:tcPr>
          <w:p>
            <w:pPr>
              <w:jc w:val="right"/>
              <w:spacing w:after="0" w:line="148" w:lineRule="exact"/>
              <w:rPr>
                <w:sz w:val="20"/>
                <w:szCs w:val="20"/>
                <w:color w:val="auto"/>
              </w:rPr>
            </w:pPr>
            <w:r>
              <w:rPr>
                <w:rFonts w:ascii="Calibri" w:cs="Calibri" w:eastAsia="Calibri" w:hAnsi="Calibri"/>
                <w:sz w:val="13"/>
                <w:szCs w:val="13"/>
                <w:color w:val="51555C"/>
              </w:rPr>
              <w:t>149,273</w:t>
            </w:r>
          </w:p>
        </w:tc>
        <w:tc>
          <w:tcPr>
            <w:tcW w:w="100" w:type="dxa"/>
            <w:vAlign w:val="bottom"/>
            <w:tcBorders>
              <w:bottom w:val="single" w:sz="8" w:color="EBFBFF"/>
            </w:tcBorders>
            <w:shd w:val="clear" w:color="auto" w:fill="EBFBFF"/>
          </w:tcPr>
          <w:p>
            <w:pPr>
              <w:spacing w:after="0"/>
              <w:rPr>
                <w:sz w:val="15"/>
                <w:szCs w:val="15"/>
                <w:color w:val="auto"/>
              </w:rPr>
            </w:pPr>
          </w:p>
        </w:tc>
        <w:tc>
          <w:tcPr>
            <w:tcW w:w="380" w:type="dxa"/>
            <w:vAlign w:val="bottom"/>
            <w:tcBorders>
              <w:bottom w:val="single" w:sz="8" w:color="EBFBFF"/>
            </w:tcBorders>
            <w:shd w:val="clear" w:color="auto" w:fill="EBFBFF"/>
          </w:tcPr>
          <w:p>
            <w:pPr>
              <w:spacing w:after="0"/>
              <w:rPr>
                <w:sz w:val="15"/>
                <w:szCs w:val="15"/>
                <w:color w:val="auto"/>
              </w:rPr>
            </w:pPr>
          </w:p>
        </w:tc>
        <w:tc>
          <w:tcPr>
            <w:tcW w:w="920" w:type="dxa"/>
            <w:vAlign w:val="bottom"/>
            <w:tcBorders>
              <w:bottom w:val="single" w:sz="8" w:color="EBFBFF"/>
            </w:tcBorders>
            <w:shd w:val="clear" w:color="auto" w:fill="EBFBFF"/>
          </w:tcPr>
          <w:p>
            <w:pPr>
              <w:jc w:val="right"/>
              <w:spacing w:after="0" w:line="148" w:lineRule="exact"/>
              <w:rPr>
                <w:sz w:val="20"/>
                <w:szCs w:val="20"/>
                <w:color w:val="auto"/>
              </w:rPr>
            </w:pPr>
            <w:r>
              <w:rPr>
                <w:rFonts w:ascii="Calibri" w:cs="Calibri" w:eastAsia="Calibri" w:hAnsi="Calibri"/>
                <w:sz w:val="13"/>
                <w:szCs w:val="13"/>
                <w:color w:val="51555C"/>
              </w:rPr>
              <w:t>262,819</w:t>
            </w:r>
          </w:p>
        </w:tc>
        <w:tc>
          <w:tcPr>
            <w:tcW w:w="260" w:type="dxa"/>
            <w:vAlign w:val="bottom"/>
            <w:tcBorders>
              <w:bottom w:val="single" w:sz="8" w:color="EBFBFF"/>
            </w:tcBorders>
            <w:shd w:val="clear" w:color="auto" w:fill="EBFBFF"/>
          </w:tcPr>
          <w:p>
            <w:pPr>
              <w:spacing w:after="0"/>
              <w:rPr>
                <w:sz w:val="15"/>
                <w:szCs w:val="15"/>
                <w:color w:val="auto"/>
              </w:rPr>
            </w:pPr>
          </w:p>
        </w:tc>
        <w:tc>
          <w:tcPr>
            <w:tcW w:w="1040" w:type="dxa"/>
            <w:vAlign w:val="bottom"/>
            <w:tcBorders>
              <w:bottom w:val="single" w:sz="8" w:color="EBFBFF"/>
            </w:tcBorders>
            <w:shd w:val="clear" w:color="auto" w:fill="EBFBFF"/>
          </w:tcPr>
          <w:p>
            <w:pPr>
              <w:jc w:val="right"/>
              <w:spacing w:after="0" w:line="148" w:lineRule="exact"/>
              <w:rPr>
                <w:sz w:val="20"/>
                <w:szCs w:val="20"/>
                <w:color w:val="auto"/>
              </w:rPr>
            </w:pPr>
            <w:r>
              <w:rPr>
                <w:rFonts w:ascii="Calibri" w:cs="Calibri" w:eastAsia="Calibri" w:hAnsi="Calibri"/>
                <w:sz w:val="13"/>
                <w:szCs w:val="13"/>
                <w:color w:val="51555C"/>
              </w:rPr>
              <w:t>297,861</w:t>
            </w:r>
          </w:p>
        </w:tc>
        <w:tc>
          <w:tcPr>
            <w:tcW w:w="20" w:type="dxa"/>
            <w:vAlign w:val="bottom"/>
          </w:tcPr>
          <w:p>
            <w:pPr>
              <w:spacing w:after="0"/>
              <w:rPr>
                <w:sz w:val="15"/>
                <w:szCs w:val="15"/>
                <w:color w:val="auto"/>
              </w:rPr>
            </w:pPr>
          </w:p>
        </w:tc>
      </w:tr>
      <w:tr>
        <w:trPr>
          <w:trHeight w:val="148"/>
        </w:trPr>
        <w:tc>
          <w:tcPr>
            <w:tcW w:w="5960" w:type="dxa"/>
            <w:vAlign w:val="bottom"/>
            <w:gridSpan w:val="2"/>
          </w:tcPr>
          <w:p>
            <w:pPr>
              <w:ind w:left="20"/>
              <w:spacing w:after="0" w:line="137" w:lineRule="exact"/>
              <w:rPr>
                <w:sz w:val="20"/>
                <w:szCs w:val="20"/>
                <w:color w:val="auto"/>
              </w:rPr>
            </w:pPr>
            <w:r>
              <w:rPr>
                <w:rFonts w:ascii="Calibri" w:cs="Calibri" w:eastAsia="Calibri" w:hAnsi="Calibri"/>
                <w:sz w:val="13"/>
                <w:szCs w:val="13"/>
                <w:b w:val="1"/>
                <w:bCs w:val="1"/>
                <w:color w:val="51555C"/>
              </w:rPr>
              <w:t>Income (loss) from operatons</w:t>
            </w:r>
          </w:p>
        </w:tc>
        <w:tc>
          <w:tcPr>
            <w:tcW w:w="380" w:type="dxa"/>
            <w:vAlign w:val="bottom"/>
            <w:tcBorders>
              <w:top w:val="single" w:sz="8" w:color="51555C"/>
            </w:tcBorders>
          </w:tcPr>
          <w:p>
            <w:pPr>
              <w:spacing w:after="0"/>
              <w:rPr>
                <w:sz w:val="12"/>
                <w:szCs w:val="12"/>
                <w:color w:val="auto"/>
              </w:rPr>
            </w:pPr>
          </w:p>
        </w:tc>
        <w:tc>
          <w:tcPr>
            <w:tcW w:w="940" w:type="dxa"/>
            <w:vAlign w:val="bottom"/>
            <w:tcBorders>
              <w:top w:val="single" w:sz="8" w:color="51555C"/>
            </w:tcBorders>
          </w:tcPr>
          <w:p>
            <w:pPr>
              <w:jc w:val="right"/>
              <w:spacing w:after="0" w:line="148" w:lineRule="exact"/>
              <w:rPr>
                <w:sz w:val="20"/>
                <w:szCs w:val="20"/>
                <w:color w:val="auto"/>
              </w:rPr>
            </w:pPr>
            <w:r>
              <w:rPr>
                <w:rFonts w:ascii="Calibri" w:cs="Calibri" w:eastAsia="Calibri" w:hAnsi="Calibri"/>
                <w:sz w:val="13"/>
                <w:szCs w:val="13"/>
                <w:color w:val="51555C"/>
              </w:rPr>
              <w:t>42,092</w:t>
            </w:r>
          </w:p>
        </w:tc>
        <w:tc>
          <w:tcPr>
            <w:tcW w:w="200" w:type="dxa"/>
            <w:vAlign w:val="bottom"/>
            <w:tcBorders>
              <w:top w:val="single" w:sz="8" w:color="51555C"/>
            </w:tcBorders>
          </w:tcPr>
          <w:p>
            <w:pPr>
              <w:spacing w:after="0"/>
              <w:rPr>
                <w:sz w:val="12"/>
                <w:szCs w:val="12"/>
                <w:color w:val="auto"/>
              </w:rPr>
            </w:pPr>
          </w:p>
        </w:tc>
        <w:tc>
          <w:tcPr>
            <w:tcW w:w="1100" w:type="dxa"/>
            <w:vAlign w:val="bottom"/>
            <w:tcBorders>
              <w:top w:val="single" w:sz="8" w:color="51555C"/>
            </w:tcBorders>
          </w:tcPr>
          <w:p>
            <w:pPr>
              <w:jc w:val="right"/>
              <w:spacing w:after="0" w:line="148" w:lineRule="exact"/>
              <w:rPr>
                <w:sz w:val="20"/>
                <w:szCs w:val="20"/>
                <w:color w:val="auto"/>
              </w:rPr>
            </w:pPr>
            <w:r>
              <w:rPr>
                <w:rFonts w:ascii="Calibri" w:cs="Calibri" w:eastAsia="Calibri" w:hAnsi="Calibri"/>
                <w:sz w:val="13"/>
                <w:szCs w:val="13"/>
                <w:color w:val="51555C"/>
              </w:rPr>
              <w:t>294</w:t>
            </w:r>
          </w:p>
        </w:tc>
        <w:tc>
          <w:tcPr>
            <w:tcW w:w="100" w:type="dxa"/>
            <w:vAlign w:val="bottom"/>
          </w:tcPr>
          <w:p>
            <w:pPr>
              <w:spacing w:after="0"/>
              <w:rPr>
                <w:sz w:val="12"/>
                <w:szCs w:val="12"/>
                <w:color w:val="auto"/>
              </w:rPr>
            </w:pPr>
          </w:p>
        </w:tc>
        <w:tc>
          <w:tcPr>
            <w:tcW w:w="380" w:type="dxa"/>
            <w:vAlign w:val="bottom"/>
            <w:tcBorders>
              <w:top w:val="single" w:sz="8" w:color="51555C"/>
            </w:tcBorders>
          </w:tcPr>
          <w:p>
            <w:pPr>
              <w:spacing w:after="0"/>
              <w:rPr>
                <w:sz w:val="12"/>
                <w:szCs w:val="12"/>
                <w:color w:val="auto"/>
              </w:rPr>
            </w:pPr>
          </w:p>
        </w:tc>
        <w:tc>
          <w:tcPr>
            <w:tcW w:w="920" w:type="dxa"/>
            <w:vAlign w:val="bottom"/>
            <w:tcBorders>
              <w:top w:val="single" w:sz="8" w:color="51555C"/>
            </w:tcBorders>
          </w:tcPr>
          <w:p>
            <w:pPr>
              <w:jc w:val="right"/>
              <w:spacing w:after="0" w:line="148" w:lineRule="exact"/>
              <w:rPr>
                <w:sz w:val="20"/>
                <w:szCs w:val="20"/>
                <w:color w:val="auto"/>
              </w:rPr>
            </w:pPr>
            <w:r>
              <w:rPr>
                <w:rFonts w:ascii="Calibri" w:cs="Calibri" w:eastAsia="Calibri" w:hAnsi="Calibri"/>
                <w:sz w:val="13"/>
                <w:szCs w:val="13"/>
                <w:color w:val="51555C"/>
              </w:rPr>
              <w:t>52,811</w:t>
            </w:r>
          </w:p>
        </w:tc>
        <w:tc>
          <w:tcPr>
            <w:tcW w:w="260" w:type="dxa"/>
            <w:vAlign w:val="bottom"/>
            <w:tcBorders>
              <w:top w:val="single" w:sz="8" w:color="51555C"/>
            </w:tcBorders>
          </w:tcPr>
          <w:p>
            <w:pPr>
              <w:spacing w:after="0"/>
              <w:rPr>
                <w:sz w:val="12"/>
                <w:szCs w:val="12"/>
                <w:color w:val="auto"/>
              </w:rPr>
            </w:pPr>
          </w:p>
        </w:tc>
        <w:tc>
          <w:tcPr>
            <w:tcW w:w="1040" w:type="dxa"/>
            <w:vAlign w:val="bottom"/>
            <w:tcBorders>
              <w:top w:val="single" w:sz="8" w:color="51555C"/>
            </w:tcBorders>
          </w:tcPr>
          <w:p>
            <w:pPr>
              <w:jc w:val="right"/>
              <w:spacing w:after="0" w:line="148" w:lineRule="exact"/>
              <w:rPr>
                <w:sz w:val="20"/>
                <w:szCs w:val="20"/>
                <w:color w:val="auto"/>
              </w:rPr>
            </w:pPr>
            <w:r>
              <w:rPr>
                <w:rFonts w:ascii="Calibri" w:cs="Calibri" w:eastAsia="Calibri" w:hAnsi="Calibri"/>
                <w:sz w:val="13"/>
                <w:szCs w:val="13"/>
                <w:color w:val="51555C"/>
              </w:rPr>
              <w:t>(9,653)</w:t>
            </w:r>
          </w:p>
        </w:tc>
        <w:tc>
          <w:tcPr>
            <w:tcW w:w="20" w:type="dxa"/>
            <w:vAlign w:val="bottom"/>
          </w:tcPr>
          <w:p>
            <w:pPr>
              <w:spacing w:after="0"/>
              <w:rPr>
                <w:sz w:val="12"/>
                <w:szCs w:val="12"/>
                <w:color w:val="auto"/>
              </w:rPr>
            </w:pPr>
          </w:p>
        </w:tc>
      </w:tr>
      <w:tr>
        <w:trPr>
          <w:trHeight w:val="34"/>
        </w:trPr>
        <w:tc>
          <w:tcPr>
            <w:tcW w:w="140" w:type="dxa"/>
            <w:vAlign w:val="bottom"/>
            <w:tcBorders>
              <w:bottom w:val="single" w:sz="8" w:color="EBFBFF"/>
            </w:tcBorders>
          </w:tcPr>
          <w:p>
            <w:pPr>
              <w:spacing w:after="0"/>
              <w:rPr>
                <w:sz w:val="2"/>
                <w:szCs w:val="2"/>
                <w:color w:val="auto"/>
              </w:rPr>
            </w:pPr>
          </w:p>
        </w:tc>
        <w:tc>
          <w:tcPr>
            <w:tcW w:w="5820" w:type="dxa"/>
            <w:vAlign w:val="bottom"/>
            <w:tcBorders>
              <w:bottom w:val="single" w:sz="8" w:color="EBFBFF"/>
            </w:tcBorders>
          </w:tcPr>
          <w:p>
            <w:pPr>
              <w:spacing w:after="0"/>
              <w:rPr>
                <w:sz w:val="2"/>
                <w:szCs w:val="2"/>
                <w:color w:val="auto"/>
              </w:rPr>
            </w:pPr>
          </w:p>
        </w:tc>
        <w:tc>
          <w:tcPr>
            <w:tcW w:w="380" w:type="dxa"/>
            <w:vAlign w:val="bottom"/>
            <w:tcBorders>
              <w:bottom w:val="single" w:sz="8" w:color="51555C"/>
            </w:tcBorders>
          </w:tcPr>
          <w:p>
            <w:pPr>
              <w:spacing w:after="0"/>
              <w:rPr>
                <w:sz w:val="2"/>
                <w:szCs w:val="2"/>
                <w:color w:val="auto"/>
              </w:rPr>
            </w:pPr>
          </w:p>
        </w:tc>
        <w:tc>
          <w:tcPr>
            <w:tcW w:w="940" w:type="dxa"/>
            <w:vAlign w:val="bottom"/>
            <w:tcBorders>
              <w:bottom w:val="single" w:sz="8" w:color="51555C"/>
            </w:tcBorders>
          </w:tcPr>
          <w:p>
            <w:pPr>
              <w:spacing w:after="0"/>
              <w:rPr>
                <w:sz w:val="2"/>
                <w:szCs w:val="2"/>
                <w:color w:val="auto"/>
              </w:rPr>
            </w:pPr>
          </w:p>
        </w:tc>
        <w:tc>
          <w:tcPr>
            <w:tcW w:w="200" w:type="dxa"/>
            <w:vAlign w:val="bottom"/>
            <w:tcBorders>
              <w:bottom w:val="single" w:sz="8" w:color="51555C"/>
            </w:tcBorders>
          </w:tcPr>
          <w:p>
            <w:pPr>
              <w:spacing w:after="0"/>
              <w:rPr>
                <w:sz w:val="2"/>
                <w:szCs w:val="2"/>
                <w:color w:val="auto"/>
              </w:rPr>
            </w:pPr>
          </w:p>
        </w:tc>
        <w:tc>
          <w:tcPr>
            <w:tcW w:w="1100" w:type="dxa"/>
            <w:vAlign w:val="bottom"/>
            <w:tcBorders>
              <w:bottom w:val="single" w:sz="8" w:color="51555C"/>
            </w:tcBorders>
          </w:tcPr>
          <w:p>
            <w:pPr>
              <w:spacing w:after="0"/>
              <w:rPr>
                <w:sz w:val="2"/>
                <w:szCs w:val="2"/>
                <w:color w:val="auto"/>
              </w:rPr>
            </w:pPr>
          </w:p>
        </w:tc>
        <w:tc>
          <w:tcPr>
            <w:tcW w:w="100" w:type="dxa"/>
            <w:vAlign w:val="bottom"/>
            <w:tcBorders>
              <w:bottom w:val="single" w:sz="8" w:color="EBFBFF"/>
            </w:tcBorders>
          </w:tcPr>
          <w:p>
            <w:pPr>
              <w:spacing w:after="0"/>
              <w:rPr>
                <w:sz w:val="2"/>
                <w:szCs w:val="2"/>
                <w:color w:val="auto"/>
              </w:rPr>
            </w:pPr>
          </w:p>
        </w:tc>
        <w:tc>
          <w:tcPr>
            <w:tcW w:w="380" w:type="dxa"/>
            <w:vAlign w:val="bottom"/>
            <w:tcBorders>
              <w:bottom w:val="single" w:sz="8" w:color="51555C"/>
            </w:tcBorders>
          </w:tcPr>
          <w:p>
            <w:pPr>
              <w:spacing w:after="0"/>
              <w:rPr>
                <w:sz w:val="2"/>
                <w:szCs w:val="2"/>
                <w:color w:val="auto"/>
              </w:rPr>
            </w:pPr>
          </w:p>
        </w:tc>
        <w:tc>
          <w:tcPr>
            <w:tcW w:w="920" w:type="dxa"/>
            <w:vAlign w:val="bottom"/>
            <w:tcBorders>
              <w:bottom w:val="single" w:sz="8" w:color="51555C"/>
            </w:tcBorders>
          </w:tcPr>
          <w:p>
            <w:pPr>
              <w:spacing w:after="0"/>
              <w:rPr>
                <w:sz w:val="2"/>
                <w:szCs w:val="2"/>
                <w:color w:val="auto"/>
              </w:rPr>
            </w:pPr>
          </w:p>
        </w:tc>
        <w:tc>
          <w:tcPr>
            <w:tcW w:w="260" w:type="dxa"/>
            <w:vAlign w:val="bottom"/>
            <w:tcBorders>
              <w:bottom w:val="single" w:sz="8" w:color="51555C"/>
            </w:tcBorders>
          </w:tcPr>
          <w:p>
            <w:pPr>
              <w:spacing w:after="0"/>
              <w:rPr>
                <w:sz w:val="2"/>
                <w:szCs w:val="2"/>
                <w:color w:val="auto"/>
              </w:rPr>
            </w:pPr>
          </w:p>
        </w:tc>
        <w:tc>
          <w:tcPr>
            <w:tcW w:w="1040" w:type="dxa"/>
            <w:vAlign w:val="bottom"/>
            <w:tcBorders>
              <w:bottom w:val="single" w:sz="8" w:color="51555C"/>
            </w:tcBorders>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140" w:type="dxa"/>
            <w:vAlign w:val="bottom"/>
            <w:tcBorders>
              <w:bottom w:val="single" w:sz="8" w:color="EBFBFF"/>
            </w:tcBorders>
            <w:shd w:val="clear" w:color="auto" w:fill="EBFBFF"/>
          </w:tcPr>
          <w:p>
            <w:pPr>
              <w:spacing w:after="0"/>
              <w:rPr>
                <w:sz w:val="14"/>
                <w:szCs w:val="14"/>
                <w:color w:val="auto"/>
              </w:rPr>
            </w:pPr>
          </w:p>
        </w:tc>
        <w:tc>
          <w:tcPr>
            <w:tcW w:w="5820" w:type="dxa"/>
            <w:vAlign w:val="bottom"/>
            <w:tcBorders>
              <w:bottom w:val="single" w:sz="8" w:color="EBFBFF"/>
            </w:tcBorders>
            <w:shd w:val="clear" w:color="auto" w:fill="EBFBFF"/>
          </w:tcPr>
          <w:p>
            <w:pPr>
              <w:ind w:left="40"/>
              <w:spacing w:after="0" w:line="137" w:lineRule="exact"/>
              <w:rPr>
                <w:sz w:val="20"/>
                <w:szCs w:val="20"/>
                <w:color w:val="auto"/>
              </w:rPr>
            </w:pPr>
            <w:r>
              <w:rPr>
                <w:rFonts w:ascii="Calibri" w:cs="Calibri" w:eastAsia="Calibri" w:hAnsi="Calibri"/>
                <w:sz w:val="13"/>
                <w:szCs w:val="13"/>
                <w:color w:val="51555C"/>
              </w:rPr>
              <w:t>Interest expense</w:t>
            </w:r>
          </w:p>
        </w:tc>
        <w:tc>
          <w:tcPr>
            <w:tcW w:w="380" w:type="dxa"/>
            <w:vAlign w:val="bottom"/>
            <w:tcBorders>
              <w:bottom w:val="single" w:sz="8" w:color="EBFBFF"/>
            </w:tcBorders>
            <w:shd w:val="clear" w:color="auto" w:fill="EBFBFF"/>
          </w:tcPr>
          <w:p>
            <w:pPr>
              <w:spacing w:after="0"/>
              <w:rPr>
                <w:sz w:val="14"/>
                <w:szCs w:val="14"/>
                <w:color w:val="auto"/>
              </w:rPr>
            </w:pPr>
          </w:p>
        </w:tc>
        <w:tc>
          <w:tcPr>
            <w:tcW w:w="940" w:type="dxa"/>
            <w:vAlign w:val="bottom"/>
            <w:tcBorders>
              <w:bottom w:val="single" w:sz="8" w:color="EBFBFF"/>
            </w:tcBorders>
            <w:shd w:val="clear" w:color="auto" w:fill="EBFBFF"/>
          </w:tcPr>
          <w:p>
            <w:pPr>
              <w:jc w:val="right"/>
              <w:spacing w:after="0" w:line="148" w:lineRule="exact"/>
              <w:rPr>
                <w:sz w:val="20"/>
                <w:szCs w:val="20"/>
                <w:color w:val="auto"/>
              </w:rPr>
            </w:pPr>
            <w:r>
              <w:rPr>
                <w:rFonts w:ascii="Calibri" w:cs="Calibri" w:eastAsia="Calibri" w:hAnsi="Calibri"/>
                <w:sz w:val="13"/>
                <w:szCs w:val="13"/>
                <w:color w:val="51555C"/>
              </w:rPr>
              <w:t>(15,715)</w:t>
            </w:r>
          </w:p>
        </w:tc>
        <w:tc>
          <w:tcPr>
            <w:tcW w:w="200" w:type="dxa"/>
            <w:vAlign w:val="bottom"/>
            <w:tcBorders>
              <w:bottom w:val="single" w:sz="8" w:color="EBFBFF"/>
            </w:tcBorders>
            <w:shd w:val="clear" w:color="auto" w:fill="EBFBFF"/>
          </w:tcPr>
          <w:p>
            <w:pPr>
              <w:spacing w:after="0"/>
              <w:rPr>
                <w:sz w:val="14"/>
                <w:szCs w:val="14"/>
                <w:color w:val="auto"/>
              </w:rPr>
            </w:pPr>
          </w:p>
        </w:tc>
        <w:tc>
          <w:tcPr>
            <w:tcW w:w="1100" w:type="dxa"/>
            <w:vAlign w:val="bottom"/>
            <w:tcBorders>
              <w:bottom w:val="single" w:sz="8" w:color="EBFBFF"/>
            </w:tcBorders>
            <w:shd w:val="clear" w:color="auto" w:fill="EBFBFF"/>
          </w:tcPr>
          <w:p>
            <w:pPr>
              <w:jc w:val="right"/>
              <w:spacing w:after="0" w:line="148" w:lineRule="exact"/>
              <w:rPr>
                <w:sz w:val="20"/>
                <w:szCs w:val="20"/>
                <w:color w:val="auto"/>
              </w:rPr>
            </w:pPr>
            <w:r>
              <w:rPr>
                <w:rFonts w:ascii="Calibri" w:cs="Calibri" w:eastAsia="Calibri" w:hAnsi="Calibri"/>
                <w:sz w:val="13"/>
                <w:szCs w:val="13"/>
                <w:color w:val="51555C"/>
              </w:rPr>
              <w:t>(11,167)</w:t>
            </w:r>
          </w:p>
        </w:tc>
        <w:tc>
          <w:tcPr>
            <w:tcW w:w="100" w:type="dxa"/>
            <w:vAlign w:val="bottom"/>
            <w:tcBorders>
              <w:bottom w:val="single" w:sz="8" w:color="EBFBFF"/>
            </w:tcBorders>
            <w:shd w:val="clear" w:color="auto" w:fill="EBFBFF"/>
          </w:tcPr>
          <w:p>
            <w:pPr>
              <w:spacing w:after="0"/>
              <w:rPr>
                <w:sz w:val="14"/>
                <w:szCs w:val="14"/>
                <w:color w:val="auto"/>
              </w:rPr>
            </w:pPr>
          </w:p>
        </w:tc>
        <w:tc>
          <w:tcPr>
            <w:tcW w:w="380" w:type="dxa"/>
            <w:vAlign w:val="bottom"/>
            <w:tcBorders>
              <w:bottom w:val="single" w:sz="8" w:color="EBFBFF"/>
            </w:tcBorders>
            <w:shd w:val="clear" w:color="auto" w:fill="EBFBFF"/>
          </w:tcPr>
          <w:p>
            <w:pPr>
              <w:spacing w:after="0"/>
              <w:rPr>
                <w:sz w:val="14"/>
                <w:szCs w:val="14"/>
                <w:color w:val="auto"/>
              </w:rPr>
            </w:pPr>
          </w:p>
        </w:tc>
        <w:tc>
          <w:tcPr>
            <w:tcW w:w="920" w:type="dxa"/>
            <w:vAlign w:val="bottom"/>
            <w:tcBorders>
              <w:bottom w:val="single" w:sz="8" w:color="EBFBFF"/>
            </w:tcBorders>
            <w:shd w:val="clear" w:color="auto" w:fill="EBFBFF"/>
          </w:tcPr>
          <w:p>
            <w:pPr>
              <w:jc w:val="right"/>
              <w:spacing w:after="0" w:line="148" w:lineRule="exact"/>
              <w:rPr>
                <w:sz w:val="20"/>
                <w:szCs w:val="20"/>
                <w:color w:val="auto"/>
              </w:rPr>
            </w:pPr>
            <w:r>
              <w:rPr>
                <w:rFonts w:ascii="Calibri" w:cs="Calibri" w:eastAsia="Calibri" w:hAnsi="Calibri"/>
                <w:sz w:val="13"/>
                <w:szCs w:val="13"/>
                <w:color w:val="51555C"/>
              </w:rPr>
              <w:t>(25,991)</w:t>
            </w:r>
          </w:p>
        </w:tc>
        <w:tc>
          <w:tcPr>
            <w:tcW w:w="260" w:type="dxa"/>
            <w:vAlign w:val="bottom"/>
            <w:tcBorders>
              <w:bottom w:val="single" w:sz="8" w:color="EBFBFF"/>
            </w:tcBorders>
            <w:shd w:val="clear" w:color="auto" w:fill="EBFBFF"/>
          </w:tcPr>
          <w:p>
            <w:pPr>
              <w:spacing w:after="0"/>
              <w:rPr>
                <w:sz w:val="14"/>
                <w:szCs w:val="14"/>
                <w:color w:val="auto"/>
              </w:rPr>
            </w:pPr>
          </w:p>
        </w:tc>
        <w:tc>
          <w:tcPr>
            <w:tcW w:w="1040" w:type="dxa"/>
            <w:vAlign w:val="bottom"/>
            <w:tcBorders>
              <w:bottom w:val="single" w:sz="8" w:color="EBFBFF"/>
            </w:tcBorders>
            <w:shd w:val="clear" w:color="auto" w:fill="EBFBFF"/>
          </w:tcPr>
          <w:p>
            <w:pPr>
              <w:jc w:val="right"/>
              <w:spacing w:after="0" w:line="148" w:lineRule="exact"/>
              <w:rPr>
                <w:sz w:val="20"/>
                <w:szCs w:val="20"/>
                <w:color w:val="auto"/>
              </w:rPr>
            </w:pPr>
            <w:r>
              <w:rPr>
                <w:rFonts w:ascii="Calibri" w:cs="Calibri" w:eastAsia="Calibri" w:hAnsi="Calibri"/>
                <w:sz w:val="13"/>
                <w:szCs w:val="13"/>
                <w:color w:val="51555C"/>
              </w:rPr>
              <w:t>(21,829)</w:t>
            </w:r>
          </w:p>
        </w:tc>
        <w:tc>
          <w:tcPr>
            <w:tcW w:w="20" w:type="dxa"/>
            <w:vAlign w:val="bottom"/>
          </w:tcPr>
          <w:p>
            <w:pPr>
              <w:spacing w:after="0"/>
              <w:rPr>
                <w:sz w:val="14"/>
                <w:szCs w:val="14"/>
                <w:color w:val="auto"/>
              </w:rPr>
            </w:pPr>
          </w:p>
        </w:tc>
      </w:tr>
      <w:tr>
        <w:trPr>
          <w:trHeight w:val="157"/>
        </w:trPr>
        <w:tc>
          <w:tcPr>
            <w:tcW w:w="140" w:type="dxa"/>
            <w:vAlign w:val="bottom"/>
          </w:tcPr>
          <w:p>
            <w:pPr>
              <w:spacing w:after="0"/>
              <w:rPr>
                <w:sz w:val="13"/>
                <w:szCs w:val="13"/>
                <w:color w:val="auto"/>
              </w:rPr>
            </w:pPr>
          </w:p>
        </w:tc>
        <w:tc>
          <w:tcPr>
            <w:tcW w:w="5820" w:type="dxa"/>
            <w:vAlign w:val="bottom"/>
          </w:tcPr>
          <w:p>
            <w:pPr>
              <w:ind w:left="40"/>
              <w:spacing w:after="0" w:line="157" w:lineRule="exact"/>
              <w:rPr>
                <w:sz w:val="20"/>
                <w:szCs w:val="20"/>
                <w:color w:val="auto"/>
              </w:rPr>
            </w:pPr>
            <w:r>
              <w:rPr>
                <w:rFonts w:ascii="Calibri" w:cs="Calibri" w:eastAsia="Calibri" w:hAnsi="Calibri"/>
                <w:sz w:val="13"/>
                <w:szCs w:val="13"/>
                <w:color w:val="51555C"/>
              </w:rPr>
              <w:t>Other income, net</w:t>
            </w:r>
          </w:p>
        </w:tc>
        <w:tc>
          <w:tcPr>
            <w:tcW w:w="380" w:type="dxa"/>
            <w:vAlign w:val="bottom"/>
          </w:tcPr>
          <w:p>
            <w:pPr>
              <w:spacing w:after="0"/>
              <w:rPr>
                <w:sz w:val="13"/>
                <w:szCs w:val="13"/>
                <w:color w:val="auto"/>
              </w:rPr>
            </w:pPr>
          </w:p>
        </w:tc>
        <w:tc>
          <w:tcPr>
            <w:tcW w:w="940" w:type="dxa"/>
            <w:vAlign w:val="bottom"/>
          </w:tcPr>
          <w:p>
            <w:pPr>
              <w:jc w:val="right"/>
              <w:spacing w:after="0" w:line="157" w:lineRule="exact"/>
              <w:rPr>
                <w:sz w:val="20"/>
                <w:szCs w:val="20"/>
                <w:color w:val="auto"/>
              </w:rPr>
            </w:pPr>
            <w:r>
              <w:rPr>
                <w:rFonts w:ascii="Calibri" w:cs="Calibri" w:eastAsia="Calibri" w:hAnsi="Calibri"/>
                <w:sz w:val="13"/>
                <w:szCs w:val="13"/>
                <w:color w:val="51555C"/>
              </w:rPr>
              <w:t>3,310</w:t>
            </w:r>
          </w:p>
        </w:tc>
        <w:tc>
          <w:tcPr>
            <w:tcW w:w="200" w:type="dxa"/>
            <w:vAlign w:val="bottom"/>
          </w:tcPr>
          <w:p>
            <w:pPr>
              <w:spacing w:after="0"/>
              <w:rPr>
                <w:sz w:val="13"/>
                <w:szCs w:val="13"/>
                <w:color w:val="auto"/>
              </w:rPr>
            </w:pPr>
          </w:p>
        </w:tc>
        <w:tc>
          <w:tcPr>
            <w:tcW w:w="1100" w:type="dxa"/>
            <w:vAlign w:val="bottom"/>
          </w:tcPr>
          <w:p>
            <w:pPr>
              <w:jc w:val="right"/>
              <w:spacing w:after="0" w:line="157" w:lineRule="exact"/>
              <w:rPr>
                <w:sz w:val="20"/>
                <w:szCs w:val="20"/>
                <w:color w:val="auto"/>
              </w:rPr>
            </w:pPr>
            <w:r>
              <w:rPr>
                <w:rFonts w:ascii="Calibri" w:cs="Calibri" w:eastAsia="Calibri" w:hAnsi="Calibri"/>
                <w:sz w:val="13"/>
                <w:szCs w:val="13"/>
                <w:color w:val="51555C"/>
              </w:rPr>
              <w:t>2,778</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20" w:type="dxa"/>
            <w:vAlign w:val="bottom"/>
          </w:tcPr>
          <w:p>
            <w:pPr>
              <w:jc w:val="right"/>
              <w:spacing w:after="0" w:line="157" w:lineRule="exact"/>
              <w:rPr>
                <w:sz w:val="20"/>
                <w:szCs w:val="20"/>
                <w:color w:val="auto"/>
              </w:rPr>
            </w:pPr>
            <w:r>
              <w:rPr>
                <w:rFonts w:ascii="Calibri" w:cs="Calibri" w:eastAsia="Calibri" w:hAnsi="Calibri"/>
                <w:sz w:val="13"/>
                <w:szCs w:val="13"/>
                <w:color w:val="51555C"/>
              </w:rPr>
              <w:t>6,657</w:t>
            </w:r>
          </w:p>
        </w:tc>
        <w:tc>
          <w:tcPr>
            <w:tcW w:w="260" w:type="dxa"/>
            <w:vAlign w:val="bottom"/>
          </w:tcPr>
          <w:p>
            <w:pPr>
              <w:spacing w:after="0"/>
              <w:rPr>
                <w:sz w:val="13"/>
                <w:szCs w:val="13"/>
                <w:color w:val="auto"/>
              </w:rPr>
            </w:pPr>
          </w:p>
        </w:tc>
        <w:tc>
          <w:tcPr>
            <w:tcW w:w="1040" w:type="dxa"/>
            <w:vAlign w:val="bottom"/>
          </w:tcPr>
          <w:p>
            <w:pPr>
              <w:jc w:val="right"/>
              <w:spacing w:after="0" w:line="157" w:lineRule="exact"/>
              <w:rPr>
                <w:sz w:val="20"/>
                <w:szCs w:val="20"/>
                <w:color w:val="auto"/>
              </w:rPr>
            </w:pPr>
            <w:r>
              <w:rPr>
                <w:rFonts w:ascii="Calibri" w:cs="Calibri" w:eastAsia="Calibri" w:hAnsi="Calibri"/>
                <w:sz w:val="13"/>
                <w:szCs w:val="13"/>
                <w:color w:val="51555C"/>
              </w:rPr>
              <w:t>4,785</w:t>
            </w:r>
          </w:p>
        </w:tc>
        <w:tc>
          <w:tcPr>
            <w:tcW w:w="20" w:type="dxa"/>
            <w:vAlign w:val="bottom"/>
          </w:tcPr>
          <w:p>
            <w:pPr>
              <w:spacing w:after="0"/>
              <w:rPr>
                <w:sz w:val="13"/>
                <w:szCs w:val="13"/>
                <w:color w:val="auto"/>
              </w:rPr>
            </w:pPr>
          </w:p>
        </w:tc>
      </w:tr>
      <w:tr>
        <w:trPr>
          <w:trHeight w:val="34"/>
        </w:trPr>
        <w:tc>
          <w:tcPr>
            <w:tcW w:w="5960" w:type="dxa"/>
            <w:vAlign w:val="bottom"/>
            <w:tcBorders>
              <w:bottom w:val="single" w:sz="8" w:color="EBFBFF"/>
            </w:tcBorders>
            <w:gridSpan w:val="2"/>
          </w:tcPr>
          <w:p>
            <w:pPr>
              <w:spacing w:after="0"/>
              <w:rPr>
                <w:sz w:val="2"/>
                <w:szCs w:val="2"/>
                <w:color w:val="auto"/>
              </w:rPr>
            </w:pPr>
          </w:p>
        </w:tc>
        <w:tc>
          <w:tcPr>
            <w:tcW w:w="380" w:type="dxa"/>
            <w:vAlign w:val="bottom"/>
            <w:tcBorders>
              <w:bottom w:val="single" w:sz="8" w:color="51555C"/>
            </w:tcBorders>
          </w:tcPr>
          <w:p>
            <w:pPr>
              <w:spacing w:after="0"/>
              <w:rPr>
                <w:sz w:val="2"/>
                <w:szCs w:val="2"/>
                <w:color w:val="auto"/>
              </w:rPr>
            </w:pPr>
          </w:p>
        </w:tc>
        <w:tc>
          <w:tcPr>
            <w:tcW w:w="940" w:type="dxa"/>
            <w:vAlign w:val="bottom"/>
            <w:tcBorders>
              <w:bottom w:val="single" w:sz="8" w:color="51555C"/>
            </w:tcBorders>
          </w:tcPr>
          <w:p>
            <w:pPr>
              <w:spacing w:after="0"/>
              <w:rPr>
                <w:sz w:val="2"/>
                <w:szCs w:val="2"/>
                <w:color w:val="auto"/>
              </w:rPr>
            </w:pPr>
          </w:p>
        </w:tc>
        <w:tc>
          <w:tcPr>
            <w:tcW w:w="200" w:type="dxa"/>
            <w:vAlign w:val="bottom"/>
            <w:tcBorders>
              <w:bottom w:val="single" w:sz="8" w:color="51555C"/>
            </w:tcBorders>
          </w:tcPr>
          <w:p>
            <w:pPr>
              <w:spacing w:after="0"/>
              <w:rPr>
                <w:sz w:val="2"/>
                <w:szCs w:val="2"/>
                <w:color w:val="auto"/>
              </w:rPr>
            </w:pPr>
          </w:p>
        </w:tc>
        <w:tc>
          <w:tcPr>
            <w:tcW w:w="1100" w:type="dxa"/>
            <w:vAlign w:val="bottom"/>
            <w:tcBorders>
              <w:bottom w:val="single" w:sz="8" w:color="51555C"/>
            </w:tcBorders>
          </w:tcPr>
          <w:p>
            <w:pPr>
              <w:spacing w:after="0"/>
              <w:rPr>
                <w:sz w:val="2"/>
                <w:szCs w:val="2"/>
                <w:color w:val="auto"/>
              </w:rPr>
            </w:pPr>
          </w:p>
        </w:tc>
        <w:tc>
          <w:tcPr>
            <w:tcW w:w="100" w:type="dxa"/>
            <w:vAlign w:val="bottom"/>
            <w:tcBorders>
              <w:bottom w:val="single" w:sz="8" w:color="EBFBFF"/>
            </w:tcBorders>
          </w:tcPr>
          <w:p>
            <w:pPr>
              <w:spacing w:after="0"/>
              <w:rPr>
                <w:sz w:val="2"/>
                <w:szCs w:val="2"/>
                <w:color w:val="auto"/>
              </w:rPr>
            </w:pPr>
          </w:p>
        </w:tc>
        <w:tc>
          <w:tcPr>
            <w:tcW w:w="380" w:type="dxa"/>
            <w:vAlign w:val="bottom"/>
            <w:tcBorders>
              <w:bottom w:val="single" w:sz="8" w:color="51555C"/>
            </w:tcBorders>
          </w:tcPr>
          <w:p>
            <w:pPr>
              <w:spacing w:after="0"/>
              <w:rPr>
                <w:sz w:val="2"/>
                <w:szCs w:val="2"/>
                <w:color w:val="auto"/>
              </w:rPr>
            </w:pPr>
          </w:p>
        </w:tc>
        <w:tc>
          <w:tcPr>
            <w:tcW w:w="920" w:type="dxa"/>
            <w:vAlign w:val="bottom"/>
            <w:tcBorders>
              <w:bottom w:val="single" w:sz="8" w:color="51555C"/>
            </w:tcBorders>
          </w:tcPr>
          <w:p>
            <w:pPr>
              <w:spacing w:after="0"/>
              <w:rPr>
                <w:sz w:val="2"/>
                <w:szCs w:val="2"/>
                <w:color w:val="auto"/>
              </w:rPr>
            </w:pPr>
          </w:p>
        </w:tc>
        <w:tc>
          <w:tcPr>
            <w:tcW w:w="260" w:type="dxa"/>
            <w:vAlign w:val="bottom"/>
            <w:tcBorders>
              <w:bottom w:val="single" w:sz="8" w:color="51555C"/>
            </w:tcBorders>
          </w:tcPr>
          <w:p>
            <w:pPr>
              <w:spacing w:after="0"/>
              <w:rPr>
                <w:sz w:val="2"/>
                <w:szCs w:val="2"/>
                <w:color w:val="auto"/>
              </w:rPr>
            </w:pPr>
          </w:p>
        </w:tc>
        <w:tc>
          <w:tcPr>
            <w:tcW w:w="1040" w:type="dxa"/>
            <w:vAlign w:val="bottom"/>
            <w:tcBorders>
              <w:bottom w:val="single" w:sz="8" w:color="51555C"/>
            </w:tcBorders>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5960" w:type="dxa"/>
            <w:vAlign w:val="bottom"/>
            <w:tcBorders>
              <w:bottom w:val="single" w:sz="8" w:color="EBFBFF"/>
            </w:tcBorders>
            <w:gridSpan w:val="2"/>
            <w:shd w:val="clear" w:color="auto" w:fill="EBFBFF"/>
          </w:tcPr>
          <w:p>
            <w:pPr>
              <w:ind w:left="20"/>
              <w:spacing w:after="0" w:line="137" w:lineRule="exact"/>
              <w:rPr>
                <w:sz w:val="20"/>
                <w:szCs w:val="20"/>
                <w:color w:val="auto"/>
              </w:rPr>
            </w:pPr>
            <w:r>
              <w:rPr>
                <w:rFonts w:ascii="Calibri" w:cs="Calibri" w:eastAsia="Calibri" w:hAnsi="Calibri"/>
                <w:sz w:val="13"/>
                <w:szCs w:val="13"/>
                <w:b w:val="1"/>
                <w:bCs w:val="1"/>
                <w:color w:val="51555C"/>
              </w:rPr>
              <w:t>Income (loss) before provision (beneft) for income taxes</w:t>
            </w:r>
          </w:p>
        </w:tc>
        <w:tc>
          <w:tcPr>
            <w:tcW w:w="380" w:type="dxa"/>
            <w:vAlign w:val="bottom"/>
            <w:tcBorders>
              <w:bottom w:val="single" w:sz="8" w:color="EBFBFF"/>
            </w:tcBorders>
            <w:shd w:val="clear" w:color="auto" w:fill="EBFBFF"/>
          </w:tcPr>
          <w:p>
            <w:pPr>
              <w:spacing w:after="0"/>
              <w:rPr>
                <w:sz w:val="14"/>
                <w:szCs w:val="14"/>
                <w:color w:val="auto"/>
              </w:rPr>
            </w:pPr>
          </w:p>
        </w:tc>
        <w:tc>
          <w:tcPr>
            <w:tcW w:w="940" w:type="dxa"/>
            <w:vAlign w:val="bottom"/>
            <w:tcBorders>
              <w:bottom w:val="single" w:sz="8" w:color="EBFBFF"/>
            </w:tcBorders>
            <w:shd w:val="clear" w:color="auto" w:fill="EBFBFF"/>
          </w:tcPr>
          <w:p>
            <w:pPr>
              <w:jc w:val="right"/>
              <w:spacing w:after="0" w:line="148" w:lineRule="exact"/>
              <w:rPr>
                <w:sz w:val="20"/>
                <w:szCs w:val="20"/>
                <w:color w:val="auto"/>
              </w:rPr>
            </w:pPr>
            <w:r>
              <w:rPr>
                <w:rFonts w:ascii="Calibri" w:cs="Calibri" w:eastAsia="Calibri" w:hAnsi="Calibri"/>
                <w:sz w:val="13"/>
                <w:szCs w:val="13"/>
                <w:color w:val="51555C"/>
              </w:rPr>
              <w:t>29,687</w:t>
            </w:r>
          </w:p>
        </w:tc>
        <w:tc>
          <w:tcPr>
            <w:tcW w:w="200" w:type="dxa"/>
            <w:vAlign w:val="bottom"/>
            <w:tcBorders>
              <w:bottom w:val="single" w:sz="8" w:color="EBFBFF"/>
            </w:tcBorders>
            <w:shd w:val="clear" w:color="auto" w:fill="EBFBFF"/>
          </w:tcPr>
          <w:p>
            <w:pPr>
              <w:spacing w:after="0"/>
              <w:rPr>
                <w:sz w:val="14"/>
                <w:szCs w:val="14"/>
                <w:color w:val="auto"/>
              </w:rPr>
            </w:pPr>
          </w:p>
        </w:tc>
        <w:tc>
          <w:tcPr>
            <w:tcW w:w="1100" w:type="dxa"/>
            <w:vAlign w:val="bottom"/>
            <w:tcBorders>
              <w:bottom w:val="single" w:sz="8" w:color="EBFBFF"/>
            </w:tcBorders>
            <w:shd w:val="clear" w:color="auto" w:fill="EBFBFF"/>
          </w:tcPr>
          <w:p>
            <w:pPr>
              <w:jc w:val="right"/>
              <w:spacing w:after="0" w:line="148" w:lineRule="exact"/>
              <w:rPr>
                <w:sz w:val="20"/>
                <w:szCs w:val="20"/>
                <w:color w:val="auto"/>
              </w:rPr>
            </w:pPr>
            <w:r>
              <w:rPr>
                <w:rFonts w:ascii="Calibri" w:cs="Calibri" w:eastAsia="Calibri" w:hAnsi="Calibri"/>
                <w:sz w:val="13"/>
                <w:szCs w:val="13"/>
                <w:color w:val="51555C"/>
              </w:rPr>
              <w:t>(8,095)</w:t>
            </w:r>
          </w:p>
        </w:tc>
        <w:tc>
          <w:tcPr>
            <w:tcW w:w="100" w:type="dxa"/>
            <w:vAlign w:val="bottom"/>
            <w:tcBorders>
              <w:bottom w:val="single" w:sz="8" w:color="EBFBFF"/>
            </w:tcBorders>
            <w:shd w:val="clear" w:color="auto" w:fill="EBFBFF"/>
          </w:tcPr>
          <w:p>
            <w:pPr>
              <w:spacing w:after="0"/>
              <w:rPr>
                <w:sz w:val="14"/>
                <w:szCs w:val="14"/>
                <w:color w:val="auto"/>
              </w:rPr>
            </w:pPr>
          </w:p>
        </w:tc>
        <w:tc>
          <w:tcPr>
            <w:tcW w:w="380" w:type="dxa"/>
            <w:vAlign w:val="bottom"/>
            <w:tcBorders>
              <w:bottom w:val="single" w:sz="8" w:color="EBFBFF"/>
            </w:tcBorders>
            <w:shd w:val="clear" w:color="auto" w:fill="EBFBFF"/>
          </w:tcPr>
          <w:p>
            <w:pPr>
              <w:spacing w:after="0"/>
              <w:rPr>
                <w:sz w:val="14"/>
                <w:szCs w:val="14"/>
                <w:color w:val="auto"/>
              </w:rPr>
            </w:pPr>
          </w:p>
        </w:tc>
        <w:tc>
          <w:tcPr>
            <w:tcW w:w="920" w:type="dxa"/>
            <w:vAlign w:val="bottom"/>
            <w:tcBorders>
              <w:bottom w:val="single" w:sz="8" w:color="EBFBFF"/>
            </w:tcBorders>
            <w:shd w:val="clear" w:color="auto" w:fill="EBFBFF"/>
          </w:tcPr>
          <w:p>
            <w:pPr>
              <w:jc w:val="right"/>
              <w:spacing w:after="0" w:line="148" w:lineRule="exact"/>
              <w:rPr>
                <w:sz w:val="20"/>
                <w:szCs w:val="20"/>
                <w:color w:val="auto"/>
              </w:rPr>
            </w:pPr>
            <w:r>
              <w:rPr>
                <w:rFonts w:ascii="Calibri" w:cs="Calibri" w:eastAsia="Calibri" w:hAnsi="Calibri"/>
                <w:sz w:val="13"/>
                <w:szCs w:val="13"/>
                <w:color w:val="51555C"/>
              </w:rPr>
              <w:t>33,477</w:t>
            </w:r>
          </w:p>
        </w:tc>
        <w:tc>
          <w:tcPr>
            <w:tcW w:w="260" w:type="dxa"/>
            <w:vAlign w:val="bottom"/>
            <w:tcBorders>
              <w:bottom w:val="single" w:sz="8" w:color="EBFBFF"/>
            </w:tcBorders>
            <w:shd w:val="clear" w:color="auto" w:fill="EBFBFF"/>
          </w:tcPr>
          <w:p>
            <w:pPr>
              <w:spacing w:after="0"/>
              <w:rPr>
                <w:sz w:val="14"/>
                <w:szCs w:val="14"/>
                <w:color w:val="auto"/>
              </w:rPr>
            </w:pPr>
          </w:p>
        </w:tc>
        <w:tc>
          <w:tcPr>
            <w:tcW w:w="1040" w:type="dxa"/>
            <w:vAlign w:val="bottom"/>
            <w:tcBorders>
              <w:bottom w:val="single" w:sz="8" w:color="EBFBFF"/>
            </w:tcBorders>
            <w:shd w:val="clear" w:color="auto" w:fill="EBFBFF"/>
          </w:tcPr>
          <w:p>
            <w:pPr>
              <w:jc w:val="right"/>
              <w:spacing w:after="0" w:line="148" w:lineRule="exact"/>
              <w:rPr>
                <w:sz w:val="20"/>
                <w:szCs w:val="20"/>
                <w:color w:val="auto"/>
              </w:rPr>
            </w:pPr>
            <w:r>
              <w:rPr>
                <w:rFonts w:ascii="Calibri" w:cs="Calibri" w:eastAsia="Calibri" w:hAnsi="Calibri"/>
                <w:sz w:val="13"/>
                <w:szCs w:val="13"/>
                <w:color w:val="51555C"/>
              </w:rPr>
              <w:t>(26,697)</w:t>
            </w:r>
          </w:p>
        </w:tc>
        <w:tc>
          <w:tcPr>
            <w:tcW w:w="20" w:type="dxa"/>
            <w:vAlign w:val="bottom"/>
          </w:tcPr>
          <w:p>
            <w:pPr>
              <w:spacing w:after="0"/>
              <w:rPr>
                <w:sz w:val="14"/>
                <w:szCs w:val="14"/>
                <w:color w:val="auto"/>
              </w:rPr>
            </w:pPr>
          </w:p>
        </w:tc>
      </w:tr>
      <w:tr>
        <w:trPr>
          <w:trHeight w:val="157"/>
        </w:trPr>
        <w:tc>
          <w:tcPr>
            <w:tcW w:w="140" w:type="dxa"/>
            <w:vAlign w:val="bottom"/>
          </w:tcPr>
          <w:p>
            <w:pPr>
              <w:spacing w:after="0"/>
              <w:rPr>
                <w:sz w:val="13"/>
                <w:szCs w:val="13"/>
                <w:color w:val="auto"/>
              </w:rPr>
            </w:pPr>
          </w:p>
        </w:tc>
        <w:tc>
          <w:tcPr>
            <w:tcW w:w="5820" w:type="dxa"/>
            <w:vAlign w:val="bottom"/>
          </w:tcPr>
          <w:p>
            <w:pPr>
              <w:ind w:left="40"/>
              <w:spacing w:after="0" w:line="157" w:lineRule="exact"/>
              <w:rPr>
                <w:sz w:val="20"/>
                <w:szCs w:val="20"/>
                <w:color w:val="auto"/>
              </w:rPr>
            </w:pPr>
            <w:r>
              <w:rPr>
                <w:rFonts w:ascii="Calibri" w:cs="Calibri" w:eastAsia="Calibri" w:hAnsi="Calibri"/>
                <w:sz w:val="13"/>
                <w:szCs w:val="13"/>
                <w:color w:val="51555C"/>
              </w:rPr>
              <w:t>Income tax provision (beneft)</w:t>
            </w:r>
          </w:p>
        </w:tc>
        <w:tc>
          <w:tcPr>
            <w:tcW w:w="380" w:type="dxa"/>
            <w:vAlign w:val="bottom"/>
          </w:tcPr>
          <w:p>
            <w:pPr>
              <w:spacing w:after="0"/>
              <w:rPr>
                <w:sz w:val="13"/>
                <w:szCs w:val="13"/>
                <w:color w:val="auto"/>
              </w:rPr>
            </w:pPr>
          </w:p>
        </w:tc>
        <w:tc>
          <w:tcPr>
            <w:tcW w:w="940" w:type="dxa"/>
            <w:vAlign w:val="bottom"/>
          </w:tcPr>
          <w:p>
            <w:pPr>
              <w:jc w:val="right"/>
              <w:spacing w:after="0" w:line="157" w:lineRule="exact"/>
              <w:rPr>
                <w:sz w:val="20"/>
                <w:szCs w:val="20"/>
                <w:color w:val="auto"/>
              </w:rPr>
            </w:pPr>
            <w:r>
              <w:rPr>
                <w:rFonts w:ascii="Calibri" w:cs="Calibri" w:eastAsia="Calibri" w:hAnsi="Calibri"/>
                <w:sz w:val="13"/>
                <w:szCs w:val="13"/>
                <w:color w:val="51555C"/>
              </w:rPr>
              <w:t>7,883</w:t>
            </w:r>
          </w:p>
        </w:tc>
        <w:tc>
          <w:tcPr>
            <w:tcW w:w="200" w:type="dxa"/>
            <w:vAlign w:val="bottom"/>
          </w:tcPr>
          <w:p>
            <w:pPr>
              <w:spacing w:after="0"/>
              <w:rPr>
                <w:sz w:val="13"/>
                <w:szCs w:val="13"/>
                <w:color w:val="auto"/>
              </w:rPr>
            </w:pPr>
          </w:p>
        </w:tc>
        <w:tc>
          <w:tcPr>
            <w:tcW w:w="1100" w:type="dxa"/>
            <w:vAlign w:val="bottom"/>
          </w:tcPr>
          <w:p>
            <w:pPr>
              <w:jc w:val="right"/>
              <w:spacing w:after="0" w:line="157" w:lineRule="exact"/>
              <w:rPr>
                <w:sz w:val="20"/>
                <w:szCs w:val="20"/>
                <w:color w:val="auto"/>
              </w:rPr>
            </w:pPr>
            <w:r>
              <w:rPr>
                <w:rFonts w:ascii="Calibri" w:cs="Calibri" w:eastAsia="Calibri" w:hAnsi="Calibri"/>
                <w:sz w:val="13"/>
                <w:szCs w:val="13"/>
                <w:color w:val="51555C"/>
              </w:rPr>
              <w:t>(10,200)</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20" w:type="dxa"/>
            <w:vAlign w:val="bottom"/>
          </w:tcPr>
          <w:p>
            <w:pPr>
              <w:jc w:val="right"/>
              <w:spacing w:after="0" w:line="157" w:lineRule="exact"/>
              <w:rPr>
                <w:sz w:val="20"/>
                <w:szCs w:val="20"/>
                <w:color w:val="auto"/>
              </w:rPr>
            </w:pPr>
            <w:r>
              <w:rPr>
                <w:rFonts w:ascii="Calibri" w:cs="Calibri" w:eastAsia="Calibri" w:hAnsi="Calibri"/>
                <w:sz w:val="13"/>
                <w:szCs w:val="13"/>
                <w:color w:val="51555C"/>
              </w:rPr>
              <w:t>6,427</w:t>
            </w:r>
          </w:p>
        </w:tc>
        <w:tc>
          <w:tcPr>
            <w:tcW w:w="260" w:type="dxa"/>
            <w:vAlign w:val="bottom"/>
          </w:tcPr>
          <w:p>
            <w:pPr>
              <w:spacing w:after="0"/>
              <w:rPr>
                <w:sz w:val="13"/>
                <w:szCs w:val="13"/>
                <w:color w:val="auto"/>
              </w:rPr>
            </w:pPr>
          </w:p>
        </w:tc>
        <w:tc>
          <w:tcPr>
            <w:tcW w:w="1040" w:type="dxa"/>
            <w:vAlign w:val="bottom"/>
          </w:tcPr>
          <w:p>
            <w:pPr>
              <w:jc w:val="right"/>
              <w:spacing w:after="0" w:line="157" w:lineRule="exact"/>
              <w:rPr>
                <w:sz w:val="20"/>
                <w:szCs w:val="20"/>
                <w:color w:val="auto"/>
              </w:rPr>
            </w:pPr>
            <w:r>
              <w:rPr>
                <w:rFonts w:ascii="Calibri" w:cs="Calibri" w:eastAsia="Calibri" w:hAnsi="Calibri"/>
                <w:sz w:val="13"/>
                <w:szCs w:val="13"/>
                <w:color w:val="51555C"/>
              </w:rPr>
              <w:t>(14,101)</w:t>
            </w:r>
          </w:p>
        </w:tc>
        <w:tc>
          <w:tcPr>
            <w:tcW w:w="20" w:type="dxa"/>
            <w:vAlign w:val="bottom"/>
          </w:tcPr>
          <w:p>
            <w:pPr>
              <w:spacing w:after="0"/>
              <w:rPr>
                <w:sz w:val="13"/>
                <w:szCs w:val="13"/>
                <w:color w:val="auto"/>
              </w:rPr>
            </w:pPr>
          </w:p>
        </w:tc>
      </w:tr>
      <w:tr>
        <w:trPr>
          <w:trHeight w:val="34"/>
        </w:trPr>
        <w:tc>
          <w:tcPr>
            <w:tcW w:w="5960" w:type="dxa"/>
            <w:vAlign w:val="bottom"/>
            <w:tcBorders>
              <w:bottom w:val="single" w:sz="8" w:color="EBFBFF"/>
            </w:tcBorders>
            <w:gridSpan w:val="2"/>
          </w:tcPr>
          <w:p>
            <w:pPr>
              <w:spacing w:after="0"/>
              <w:rPr>
                <w:sz w:val="2"/>
                <w:szCs w:val="2"/>
                <w:color w:val="auto"/>
              </w:rPr>
            </w:pPr>
          </w:p>
        </w:tc>
        <w:tc>
          <w:tcPr>
            <w:tcW w:w="380" w:type="dxa"/>
            <w:vAlign w:val="bottom"/>
            <w:tcBorders>
              <w:bottom w:val="single" w:sz="8" w:color="51555C"/>
            </w:tcBorders>
          </w:tcPr>
          <w:p>
            <w:pPr>
              <w:spacing w:after="0"/>
              <w:rPr>
                <w:sz w:val="2"/>
                <w:szCs w:val="2"/>
                <w:color w:val="auto"/>
              </w:rPr>
            </w:pPr>
          </w:p>
        </w:tc>
        <w:tc>
          <w:tcPr>
            <w:tcW w:w="940" w:type="dxa"/>
            <w:vAlign w:val="bottom"/>
            <w:tcBorders>
              <w:bottom w:val="single" w:sz="8" w:color="51555C"/>
            </w:tcBorders>
          </w:tcPr>
          <w:p>
            <w:pPr>
              <w:spacing w:after="0"/>
              <w:rPr>
                <w:sz w:val="2"/>
                <w:szCs w:val="2"/>
                <w:color w:val="auto"/>
              </w:rPr>
            </w:pPr>
          </w:p>
        </w:tc>
        <w:tc>
          <w:tcPr>
            <w:tcW w:w="200" w:type="dxa"/>
            <w:vAlign w:val="bottom"/>
            <w:tcBorders>
              <w:bottom w:val="single" w:sz="8" w:color="51555C"/>
            </w:tcBorders>
          </w:tcPr>
          <w:p>
            <w:pPr>
              <w:spacing w:after="0"/>
              <w:rPr>
                <w:sz w:val="2"/>
                <w:szCs w:val="2"/>
                <w:color w:val="auto"/>
              </w:rPr>
            </w:pPr>
          </w:p>
        </w:tc>
        <w:tc>
          <w:tcPr>
            <w:tcW w:w="1100" w:type="dxa"/>
            <w:vAlign w:val="bottom"/>
            <w:tcBorders>
              <w:bottom w:val="single" w:sz="8" w:color="51555C"/>
            </w:tcBorders>
          </w:tcPr>
          <w:p>
            <w:pPr>
              <w:spacing w:after="0"/>
              <w:rPr>
                <w:sz w:val="2"/>
                <w:szCs w:val="2"/>
                <w:color w:val="auto"/>
              </w:rPr>
            </w:pPr>
          </w:p>
        </w:tc>
        <w:tc>
          <w:tcPr>
            <w:tcW w:w="100" w:type="dxa"/>
            <w:vAlign w:val="bottom"/>
            <w:tcBorders>
              <w:bottom w:val="single" w:sz="8" w:color="EBFBFF"/>
            </w:tcBorders>
          </w:tcPr>
          <w:p>
            <w:pPr>
              <w:spacing w:after="0"/>
              <w:rPr>
                <w:sz w:val="2"/>
                <w:szCs w:val="2"/>
                <w:color w:val="auto"/>
              </w:rPr>
            </w:pPr>
          </w:p>
        </w:tc>
        <w:tc>
          <w:tcPr>
            <w:tcW w:w="380" w:type="dxa"/>
            <w:vAlign w:val="bottom"/>
            <w:tcBorders>
              <w:bottom w:val="single" w:sz="8" w:color="51555C"/>
            </w:tcBorders>
          </w:tcPr>
          <w:p>
            <w:pPr>
              <w:spacing w:after="0"/>
              <w:rPr>
                <w:sz w:val="2"/>
                <w:szCs w:val="2"/>
                <w:color w:val="auto"/>
              </w:rPr>
            </w:pPr>
          </w:p>
        </w:tc>
        <w:tc>
          <w:tcPr>
            <w:tcW w:w="920" w:type="dxa"/>
            <w:vAlign w:val="bottom"/>
            <w:tcBorders>
              <w:bottom w:val="single" w:sz="8" w:color="51555C"/>
            </w:tcBorders>
          </w:tcPr>
          <w:p>
            <w:pPr>
              <w:spacing w:after="0"/>
              <w:rPr>
                <w:sz w:val="2"/>
                <w:szCs w:val="2"/>
                <w:color w:val="auto"/>
              </w:rPr>
            </w:pPr>
          </w:p>
        </w:tc>
        <w:tc>
          <w:tcPr>
            <w:tcW w:w="260" w:type="dxa"/>
            <w:vAlign w:val="bottom"/>
            <w:tcBorders>
              <w:bottom w:val="single" w:sz="8" w:color="51555C"/>
            </w:tcBorders>
          </w:tcPr>
          <w:p>
            <w:pPr>
              <w:spacing w:after="0"/>
              <w:rPr>
                <w:sz w:val="2"/>
                <w:szCs w:val="2"/>
                <w:color w:val="auto"/>
              </w:rPr>
            </w:pPr>
          </w:p>
        </w:tc>
        <w:tc>
          <w:tcPr>
            <w:tcW w:w="1040" w:type="dxa"/>
            <w:vAlign w:val="bottom"/>
            <w:tcBorders>
              <w:bottom w:val="single" w:sz="8" w:color="51555C"/>
            </w:tcBorders>
          </w:tcPr>
          <w:p>
            <w:pPr>
              <w:spacing w:after="0"/>
              <w:rPr>
                <w:sz w:val="2"/>
                <w:szCs w:val="2"/>
                <w:color w:val="auto"/>
              </w:rPr>
            </w:pPr>
          </w:p>
        </w:tc>
        <w:tc>
          <w:tcPr>
            <w:tcW w:w="20" w:type="dxa"/>
            <w:vAlign w:val="bottom"/>
          </w:tcPr>
          <w:p>
            <w:pPr>
              <w:spacing w:after="0"/>
              <w:rPr>
                <w:sz w:val="2"/>
                <w:szCs w:val="2"/>
                <w:color w:val="auto"/>
              </w:rPr>
            </w:pPr>
          </w:p>
        </w:tc>
      </w:tr>
      <w:tr>
        <w:trPr>
          <w:trHeight w:val="182"/>
        </w:trPr>
        <w:tc>
          <w:tcPr>
            <w:tcW w:w="5960" w:type="dxa"/>
            <w:vAlign w:val="bottom"/>
            <w:tcBorders>
              <w:bottom w:val="single" w:sz="8" w:color="EBFBFF"/>
            </w:tcBorders>
            <w:gridSpan w:val="2"/>
            <w:shd w:val="clear" w:color="auto" w:fill="EBFBFF"/>
          </w:tcPr>
          <w:p>
            <w:pPr>
              <w:ind w:left="20"/>
              <w:spacing w:after="0" w:line="137" w:lineRule="exact"/>
              <w:rPr>
                <w:sz w:val="20"/>
                <w:szCs w:val="20"/>
                <w:color w:val="auto"/>
              </w:rPr>
            </w:pPr>
            <w:r>
              <w:rPr>
                <w:rFonts w:ascii="Calibri" w:cs="Calibri" w:eastAsia="Calibri" w:hAnsi="Calibri"/>
                <w:sz w:val="13"/>
                <w:szCs w:val="13"/>
                <w:b w:val="1"/>
                <w:bCs w:val="1"/>
                <w:color w:val="51555C"/>
              </w:rPr>
              <w:t>Net income (loss)</w:t>
            </w:r>
          </w:p>
        </w:tc>
        <w:tc>
          <w:tcPr>
            <w:tcW w:w="380" w:type="dxa"/>
            <w:vAlign w:val="bottom"/>
            <w:tcBorders>
              <w:bottom w:val="single" w:sz="8" w:color="EBFBFF"/>
            </w:tcBorders>
            <w:shd w:val="clear" w:color="auto" w:fill="EBFBFF"/>
          </w:tcPr>
          <w:p>
            <w:pPr>
              <w:jc w:val="right"/>
              <w:ind w:right="236"/>
              <w:spacing w:after="0" w:line="148" w:lineRule="exact"/>
              <w:rPr>
                <w:sz w:val="20"/>
                <w:szCs w:val="20"/>
                <w:color w:val="auto"/>
              </w:rPr>
            </w:pPr>
            <w:r>
              <w:rPr>
                <w:rFonts w:ascii="Calibri" w:cs="Calibri" w:eastAsia="Calibri" w:hAnsi="Calibri"/>
                <w:sz w:val="13"/>
                <w:szCs w:val="13"/>
                <w:color w:val="51555C"/>
                <w:w w:val="90"/>
              </w:rPr>
              <w:t>$</w:t>
            </w:r>
          </w:p>
        </w:tc>
        <w:tc>
          <w:tcPr>
            <w:tcW w:w="940" w:type="dxa"/>
            <w:vAlign w:val="bottom"/>
            <w:tcBorders>
              <w:bottom w:val="single" w:sz="8" w:color="EBFBFF"/>
            </w:tcBorders>
            <w:shd w:val="clear" w:color="auto" w:fill="EBFBFF"/>
          </w:tcPr>
          <w:p>
            <w:pPr>
              <w:jc w:val="right"/>
              <w:spacing w:after="0" w:line="148" w:lineRule="exact"/>
              <w:rPr>
                <w:sz w:val="20"/>
                <w:szCs w:val="20"/>
                <w:color w:val="auto"/>
              </w:rPr>
            </w:pPr>
            <w:r>
              <w:rPr>
                <w:rFonts w:ascii="Calibri" w:cs="Calibri" w:eastAsia="Calibri" w:hAnsi="Calibri"/>
                <w:sz w:val="13"/>
                <w:szCs w:val="13"/>
                <w:color w:val="51555C"/>
              </w:rPr>
              <w:t>21,804</w:t>
            </w:r>
          </w:p>
        </w:tc>
        <w:tc>
          <w:tcPr>
            <w:tcW w:w="200" w:type="dxa"/>
            <w:vAlign w:val="bottom"/>
            <w:tcBorders>
              <w:bottom w:val="single" w:sz="8" w:color="EBFBFF"/>
            </w:tcBorders>
            <w:shd w:val="clear" w:color="auto" w:fill="EBFBFF"/>
          </w:tcPr>
          <w:p>
            <w:pPr>
              <w:jc w:val="right"/>
              <w:ind w:right="56"/>
              <w:spacing w:after="0" w:line="148" w:lineRule="exact"/>
              <w:rPr>
                <w:sz w:val="20"/>
                <w:szCs w:val="20"/>
                <w:color w:val="auto"/>
              </w:rPr>
            </w:pPr>
            <w:r>
              <w:rPr>
                <w:rFonts w:ascii="Calibri" w:cs="Calibri" w:eastAsia="Calibri" w:hAnsi="Calibri"/>
                <w:sz w:val="13"/>
                <w:szCs w:val="13"/>
                <w:color w:val="51555C"/>
                <w:w w:val="90"/>
              </w:rPr>
              <w:t>$</w:t>
            </w:r>
          </w:p>
        </w:tc>
        <w:tc>
          <w:tcPr>
            <w:tcW w:w="1100" w:type="dxa"/>
            <w:vAlign w:val="bottom"/>
            <w:tcBorders>
              <w:bottom w:val="single" w:sz="8" w:color="EBFBFF"/>
            </w:tcBorders>
            <w:shd w:val="clear" w:color="auto" w:fill="EBFBFF"/>
          </w:tcPr>
          <w:p>
            <w:pPr>
              <w:jc w:val="right"/>
              <w:spacing w:after="0" w:line="148" w:lineRule="exact"/>
              <w:rPr>
                <w:sz w:val="20"/>
                <w:szCs w:val="20"/>
                <w:color w:val="auto"/>
              </w:rPr>
            </w:pPr>
            <w:r>
              <w:rPr>
                <w:rFonts w:ascii="Calibri" w:cs="Calibri" w:eastAsia="Calibri" w:hAnsi="Calibri"/>
                <w:sz w:val="13"/>
                <w:szCs w:val="13"/>
                <w:color w:val="51555C"/>
              </w:rPr>
              <w:t>2,105</w:t>
            </w:r>
          </w:p>
        </w:tc>
        <w:tc>
          <w:tcPr>
            <w:tcW w:w="480" w:type="dxa"/>
            <w:vAlign w:val="bottom"/>
            <w:tcBorders>
              <w:bottom w:val="single" w:sz="8" w:color="EBFBFF"/>
            </w:tcBorders>
            <w:gridSpan w:val="2"/>
            <w:shd w:val="clear" w:color="auto" w:fill="EBFBFF"/>
          </w:tcPr>
          <w:p>
            <w:pPr>
              <w:jc w:val="right"/>
              <w:ind w:right="236"/>
              <w:spacing w:after="0" w:line="148" w:lineRule="exact"/>
              <w:rPr>
                <w:sz w:val="20"/>
                <w:szCs w:val="20"/>
                <w:color w:val="auto"/>
              </w:rPr>
            </w:pPr>
            <w:r>
              <w:rPr>
                <w:rFonts w:ascii="Calibri" w:cs="Calibri" w:eastAsia="Calibri" w:hAnsi="Calibri"/>
                <w:sz w:val="13"/>
                <w:szCs w:val="13"/>
                <w:color w:val="51555C"/>
              </w:rPr>
              <w:t>$</w:t>
            </w:r>
          </w:p>
        </w:tc>
        <w:tc>
          <w:tcPr>
            <w:tcW w:w="920" w:type="dxa"/>
            <w:vAlign w:val="bottom"/>
            <w:tcBorders>
              <w:bottom w:val="single" w:sz="8" w:color="EBFBFF"/>
            </w:tcBorders>
            <w:shd w:val="clear" w:color="auto" w:fill="EBFBFF"/>
          </w:tcPr>
          <w:p>
            <w:pPr>
              <w:jc w:val="right"/>
              <w:spacing w:after="0" w:line="148" w:lineRule="exact"/>
              <w:rPr>
                <w:sz w:val="20"/>
                <w:szCs w:val="20"/>
                <w:color w:val="auto"/>
              </w:rPr>
            </w:pPr>
            <w:r>
              <w:rPr>
                <w:rFonts w:ascii="Calibri" w:cs="Calibri" w:eastAsia="Calibri" w:hAnsi="Calibri"/>
                <w:sz w:val="13"/>
                <w:szCs w:val="13"/>
                <w:color w:val="51555C"/>
              </w:rPr>
              <w:t>27,050</w:t>
            </w:r>
          </w:p>
        </w:tc>
        <w:tc>
          <w:tcPr>
            <w:tcW w:w="260" w:type="dxa"/>
            <w:vAlign w:val="bottom"/>
            <w:tcBorders>
              <w:bottom w:val="single" w:sz="8" w:color="EBFBFF"/>
            </w:tcBorders>
            <w:shd w:val="clear" w:color="auto" w:fill="EBFBFF"/>
          </w:tcPr>
          <w:p>
            <w:pPr>
              <w:jc w:val="right"/>
              <w:ind w:right="116"/>
              <w:spacing w:after="0" w:line="148" w:lineRule="exact"/>
              <w:rPr>
                <w:sz w:val="20"/>
                <w:szCs w:val="20"/>
                <w:color w:val="auto"/>
              </w:rPr>
            </w:pPr>
            <w:r>
              <w:rPr>
                <w:rFonts w:ascii="Calibri" w:cs="Calibri" w:eastAsia="Calibri" w:hAnsi="Calibri"/>
                <w:sz w:val="13"/>
                <w:szCs w:val="13"/>
                <w:color w:val="51555C"/>
                <w:w w:val="90"/>
              </w:rPr>
              <w:t>$</w:t>
            </w:r>
          </w:p>
        </w:tc>
        <w:tc>
          <w:tcPr>
            <w:tcW w:w="1040" w:type="dxa"/>
            <w:vAlign w:val="bottom"/>
            <w:tcBorders>
              <w:bottom w:val="single" w:sz="8" w:color="EBFBFF"/>
            </w:tcBorders>
            <w:shd w:val="clear" w:color="auto" w:fill="EBFBFF"/>
          </w:tcPr>
          <w:p>
            <w:pPr>
              <w:jc w:val="right"/>
              <w:spacing w:after="0" w:line="148" w:lineRule="exact"/>
              <w:rPr>
                <w:sz w:val="20"/>
                <w:szCs w:val="20"/>
                <w:color w:val="auto"/>
              </w:rPr>
            </w:pPr>
            <w:r>
              <w:rPr>
                <w:rFonts w:ascii="Calibri" w:cs="Calibri" w:eastAsia="Calibri" w:hAnsi="Calibri"/>
                <w:sz w:val="13"/>
                <w:szCs w:val="13"/>
                <w:color w:val="51555C"/>
              </w:rPr>
              <w:t>(12,596)</w:t>
            </w:r>
          </w:p>
        </w:tc>
        <w:tc>
          <w:tcPr>
            <w:tcW w:w="20" w:type="dxa"/>
            <w:vAlign w:val="bottom"/>
          </w:tcPr>
          <w:p>
            <w:pPr>
              <w:spacing w:after="0"/>
              <w:rPr>
                <w:sz w:val="15"/>
                <w:szCs w:val="15"/>
                <w:color w:val="auto"/>
              </w:rPr>
            </w:pPr>
          </w:p>
        </w:tc>
      </w:tr>
      <w:tr>
        <w:trPr>
          <w:trHeight w:val="137"/>
        </w:trPr>
        <w:tc>
          <w:tcPr>
            <w:tcW w:w="5960" w:type="dxa"/>
            <w:vAlign w:val="bottom"/>
            <w:gridSpan w:val="2"/>
          </w:tcPr>
          <w:p>
            <w:pPr>
              <w:ind w:left="20"/>
              <w:spacing w:after="0" w:line="137" w:lineRule="exact"/>
              <w:rPr>
                <w:sz w:val="20"/>
                <w:szCs w:val="20"/>
                <w:color w:val="auto"/>
              </w:rPr>
            </w:pPr>
            <w:r>
              <w:rPr>
                <w:rFonts w:ascii="Calibri" w:cs="Calibri" w:eastAsia="Calibri" w:hAnsi="Calibri"/>
                <w:sz w:val="13"/>
                <w:szCs w:val="13"/>
                <w:b w:val="1"/>
                <w:bCs w:val="1"/>
                <w:color w:val="51555C"/>
              </w:rPr>
              <w:t>Earnings (loss) per share</w:t>
            </w:r>
          </w:p>
        </w:tc>
        <w:tc>
          <w:tcPr>
            <w:tcW w:w="380" w:type="dxa"/>
            <w:vAlign w:val="bottom"/>
            <w:tcBorders>
              <w:top w:val="single" w:sz="8" w:color="51555C"/>
            </w:tcBorders>
          </w:tcPr>
          <w:p>
            <w:pPr>
              <w:spacing w:after="0"/>
              <w:rPr>
                <w:sz w:val="11"/>
                <w:szCs w:val="11"/>
                <w:color w:val="auto"/>
              </w:rPr>
            </w:pPr>
          </w:p>
        </w:tc>
        <w:tc>
          <w:tcPr>
            <w:tcW w:w="940" w:type="dxa"/>
            <w:vAlign w:val="bottom"/>
            <w:tcBorders>
              <w:top w:val="single" w:sz="8" w:color="51555C"/>
            </w:tcBorders>
          </w:tcPr>
          <w:p>
            <w:pPr>
              <w:spacing w:after="0"/>
              <w:rPr>
                <w:sz w:val="11"/>
                <w:szCs w:val="11"/>
                <w:color w:val="auto"/>
              </w:rPr>
            </w:pPr>
          </w:p>
        </w:tc>
        <w:tc>
          <w:tcPr>
            <w:tcW w:w="200" w:type="dxa"/>
            <w:vAlign w:val="bottom"/>
            <w:tcBorders>
              <w:top w:val="single" w:sz="8" w:color="51555C"/>
            </w:tcBorders>
          </w:tcPr>
          <w:p>
            <w:pPr>
              <w:spacing w:after="0"/>
              <w:rPr>
                <w:sz w:val="11"/>
                <w:szCs w:val="11"/>
                <w:color w:val="auto"/>
              </w:rPr>
            </w:pPr>
          </w:p>
        </w:tc>
        <w:tc>
          <w:tcPr>
            <w:tcW w:w="1100" w:type="dxa"/>
            <w:vAlign w:val="bottom"/>
            <w:tcBorders>
              <w:top w:val="single" w:sz="8" w:color="51555C"/>
            </w:tcBorders>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Borders>
              <w:top w:val="single" w:sz="8" w:color="51555C"/>
            </w:tcBorders>
          </w:tcPr>
          <w:p>
            <w:pPr>
              <w:spacing w:after="0"/>
              <w:rPr>
                <w:sz w:val="11"/>
                <w:szCs w:val="11"/>
                <w:color w:val="auto"/>
              </w:rPr>
            </w:pPr>
          </w:p>
        </w:tc>
        <w:tc>
          <w:tcPr>
            <w:tcW w:w="920" w:type="dxa"/>
            <w:vAlign w:val="bottom"/>
            <w:tcBorders>
              <w:top w:val="single" w:sz="8" w:color="51555C"/>
            </w:tcBorders>
          </w:tcPr>
          <w:p>
            <w:pPr>
              <w:spacing w:after="0"/>
              <w:rPr>
                <w:sz w:val="11"/>
                <w:szCs w:val="11"/>
                <w:color w:val="auto"/>
              </w:rPr>
            </w:pPr>
          </w:p>
        </w:tc>
        <w:tc>
          <w:tcPr>
            <w:tcW w:w="260" w:type="dxa"/>
            <w:vAlign w:val="bottom"/>
            <w:tcBorders>
              <w:top w:val="single" w:sz="8" w:color="51555C"/>
            </w:tcBorders>
          </w:tcPr>
          <w:p>
            <w:pPr>
              <w:spacing w:after="0"/>
              <w:rPr>
                <w:sz w:val="11"/>
                <w:szCs w:val="11"/>
                <w:color w:val="auto"/>
              </w:rPr>
            </w:pPr>
          </w:p>
        </w:tc>
        <w:tc>
          <w:tcPr>
            <w:tcW w:w="1040" w:type="dxa"/>
            <w:vAlign w:val="bottom"/>
            <w:tcBorders>
              <w:top w:val="single" w:sz="8" w:color="51555C"/>
            </w:tcBorders>
          </w:tcPr>
          <w:p>
            <w:pPr>
              <w:spacing w:after="0"/>
              <w:rPr>
                <w:sz w:val="11"/>
                <w:szCs w:val="11"/>
                <w:color w:val="auto"/>
              </w:rPr>
            </w:pPr>
          </w:p>
        </w:tc>
        <w:tc>
          <w:tcPr>
            <w:tcW w:w="20" w:type="dxa"/>
            <w:vAlign w:val="bottom"/>
          </w:tcPr>
          <w:p>
            <w:pPr>
              <w:spacing w:after="0"/>
              <w:rPr>
                <w:sz w:val="11"/>
                <w:szCs w:val="11"/>
                <w:color w:val="auto"/>
              </w:rPr>
            </w:pPr>
          </w:p>
        </w:tc>
      </w:tr>
      <w:tr>
        <w:trPr>
          <w:trHeight w:val="34"/>
        </w:trPr>
        <w:tc>
          <w:tcPr>
            <w:tcW w:w="140" w:type="dxa"/>
            <w:vAlign w:val="bottom"/>
          </w:tcPr>
          <w:p>
            <w:pPr>
              <w:spacing w:after="0"/>
              <w:rPr>
                <w:sz w:val="2"/>
                <w:szCs w:val="2"/>
                <w:color w:val="auto"/>
              </w:rPr>
            </w:pPr>
          </w:p>
        </w:tc>
        <w:tc>
          <w:tcPr>
            <w:tcW w:w="5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71"/>
        </w:trPr>
        <w:tc>
          <w:tcPr>
            <w:tcW w:w="140" w:type="dxa"/>
            <w:vAlign w:val="bottom"/>
            <w:tcBorders>
              <w:bottom w:val="single" w:sz="8" w:color="EBFBFF"/>
            </w:tcBorders>
            <w:shd w:val="clear" w:color="auto" w:fill="EBFBFF"/>
          </w:tcPr>
          <w:p>
            <w:pPr>
              <w:spacing w:after="0"/>
              <w:rPr>
                <w:sz w:val="14"/>
                <w:szCs w:val="14"/>
                <w:color w:val="auto"/>
              </w:rPr>
            </w:pPr>
          </w:p>
        </w:tc>
        <w:tc>
          <w:tcPr>
            <w:tcW w:w="5820" w:type="dxa"/>
            <w:vAlign w:val="bottom"/>
            <w:tcBorders>
              <w:bottom w:val="single" w:sz="8" w:color="EBFBFF"/>
            </w:tcBorders>
            <w:shd w:val="clear" w:color="auto" w:fill="EBFBFF"/>
          </w:tcPr>
          <w:p>
            <w:pPr>
              <w:ind w:left="40"/>
              <w:spacing w:after="0" w:line="157" w:lineRule="exact"/>
              <w:rPr>
                <w:sz w:val="20"/>
                <w:szCs w:val="20"/>
                <w:color w:val="auto"/>
              </w:rPr>
            </w:pPr>
            <w:r>
              <w:rPr>
                <w:rFonts w:ascii="Calibri" w:cs="Calibri" w:eastAsia="Calibri" w:hAnsi="Calibri"/>
                <w:sz w:val="13"/>
                <w:szCs w:val="13"/>
                <w:color w:val="51555C"/>
              </w:rPr>
              <w:t>Basic</w:t>
            </w:r>
          </w:p>
        </w:tc>
        <w:tc>
          <w:tcPr>
            <w:tcW w:w="380" w:type="dxa"/>
            <w:vAlign w:val="bottom"/>
            <w:tcBorders>
              <w:bottom w:val="single" w:sz="8" w:color="EBFBFF"/>
            </w:tcBorders>
            <w:shd w:val="clear" w:color="auto" w:fill="EBFBFF"/>
          </w:tcPr>
          <w:p>
            <w:pPr>
              <w:jc w:val="right"/>
              <w:ind w:right="236"/>
              <w:spacing w:after="0" w:line="157" w:lineRule="exact"/>
              <w:rPr>
                <w:sz w:val="20"/>
                <w:szCs w:val="20"/>
                <w:color w:val="auto"/>
              </w:rPr>
            </w:pPr>
            <w:r>
              <w:rPr>
                <w:rFonts w:ascii="Calibri" w:cs="Calibri" w:eastAsia="Calibri" w:hAnsi="Calibri"/>
                <w:sz w:val="13"/>
                <w:szCs w:val="13"/>
                <w:color w:val="51555C"/>
                <w:w w:val="90"/>
              </w:rPr>
              <w:t>$</w:t>
            </w:r>
          </w:p>
        </w:tc>
        <w:tc>
          <w:tcPr>
            <w:tcW w:w="94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0.43</w:t>
            </w:r>
          </w:p>
        </w:tc>
        <w:tc>
          <w:tcPr>
            <w:tcW w:w="200" w:type="dxa"/>
            <w:vAlign w:val="bottom"/>
            <w:tcBorders>
              <w:bottom w:val="single" w:sz="8" w:color="EBFBFF"/>
            </w:tcBorders>
            <w:shd w:val="clear" w:color="auto" w:fill="EBFBFF"/>
          </w:tcPr>
          <w:p>
            <w:pPr>
              <w:jc w:val="right"/>
              <w:ind w:right="56"/>
              <w:spacing w:after="0" w:line="157" w:lineRule="exact"/>
              <w:rPr>
                <w:sz w:val="20"/>
                <w:szCs w:val="20"/>
                <w:color w:val="auto"/>
              </w:rPr>
            </w:pPr>
            <w:r>
              <w:rPr>
                <w:rFonts w:ascii="Calibri" w:cs="Calibri" w:eastAsia="Calibri" w:hAnsi="Calibri"/>
                <w:sz w:val="13"/>
                <w:szCs w:val="13"/>
                <w:color w:val="51555C"/>
                <w:w w:val="90"/>
              </w:rPr>
              <w:t>$</w:t>
            </w:r>
          </w:p>
        </w:tc>
        <w:tc>
          <w:tcPr>
            <w:tcW w:w="110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0.04</w:t>
            </w:r>
          </w:p>
        </w:tc>
        <w:tc>
          <w:tcPr>
            <w:tcW w:w="480" w:type="dxa"/>
            <w:vAlign w:val="bottom"/>
            <w:tcBorders>
              <w:bottom w:val="single" w:sz="8" w:color="EBFBFF"/>
            </w:tcBorders>
            <w:gridSpan w:val="2"/>
            <w:shd w:val="clear" w:color="auto" w:fill="EBFBFF"/>
          </w:tcPr>
          <w:p>
            <w:pPr>
              <w:jc w:val="right"/>
              <w:ind w:right="236"/>
              <w:spacing w:after="0" w:line="157" w:lineRule="exact"/>
              <w:rPr>
                <w:sz w:val="20"/>
                <w:szCs w:val="20"/>
                <w:color w:val="auto"/>
              </w:rPr>
            </w:pPr>
            <w:r>
              <w:rPr>
                <w:rFonts w:ascii="Calibri" w:cs="Calibri" w:eastAsia="Calibri" w:hAnsi="Calibri"/>
                <w:sz w:val="13"/>
                <w:szCs w:val="13"/>
                <w:color w:val="51555C"/>
              </w:rPr>
              <w:t>$</w:t>
            </w:r>
          </w:p>
        </w:tc>
        <w:tc>
          <w:tcPr>
            <w:tcW w:w="92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0.53</w:t>
            </w:r>
          </w:p>
        </w:tc>
        <w:tc>
          <w:tcPr>
            <w:tcW w:w="260" w:type="dxa"/>
            <w:vAlign w:val="bottom"/>
            <w:tcBorders>
              <w:bottom w:val="single" w:sz="8" w:color="EBFBFF"/>
            </w:tcBorders>
            <w:shd w:val="clear" w:color="auto" w:fill="EBFBFF"/>
          </w:tcPr>
          <w:p>
            <w:pPr>
              <w:jc w:val="right"/>
              <w:ind w:right="116"/>
              <w:spacing w:after="0" w:line="157" w:lineRule="exact"/>
              <w:rPr>
                <w:sz w:val="20"/>
                <w:szCs w:val="20"/>
                <w:color w:val="auto"/>
              </w:rPr>
            </w:pPr>
            <w:r>
              <w:rPr>
                <w:rFonts w:ascii="Calibri" w:cs="Calibri" w:eastAsia="Calibri" w:hAnsi="Calibri"/>
                <w:sz w:val="13"/>
                <w:szCs w:val="13"/>
                <w:color w:val="51555C"/>
                <w:w w:val="90"/>
              </w:rPr>
              <w:t>$</w:t>
            </w:r>
          </w:p>
        </w:tc>
        <w:tc>
          <w:tcPr>
            <w:tcW w:w="104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(0.24)</w:t>
            </w:r>
          </w:p>
        </w:tc>
        <w:tc>
          <w:tcPr>
            <w:tcW w:w="20" w:type="dxa"/>
            <w:vAlign w:val="bottom"/>
          </w:tcPr>
          <w:p>
            <w:pPr>
              <w:spacing w:after="0"/>
              <w:rPr>
                <w:sz w:val="14"/>
                <w:szCs w:val="14"/>
                <w:color w:val="auto"/>
              </w:rPr>
            </w:pPr>
          </w:p>
        </w:tc>
      </w:tr>
      <w:tr>
        <w:trPr>
          <w:trHeight w:val="157"/>
        </w:trPr>
        <w:tc>
          <w:tcPr>
            <w:tcW w:w="140" w:type="dxa"/>
            <w:vAlign w:val="bottom"/>
          </w:tcPr>
          <w:p>
            <w:pPr>
              <w:spacing w:after="0"/>
              <w:rPr>
                <w:sz w:val="13"/>
                <w:szCs w:val="13"/>
                <w:color w:val="auto"/>
              </w:rPr>
            </w:pPr>
          </w:p>
        </w:tc>
        <w:tc>
          <w:tcPr>
            <w:tcW w:w="5820" w:type="dxa"/>
            <w:vAlign w:val="bottom"/>
          </w:tcPr>
          <w:p>
            <w:pPr>
              <w:ind w:left="40"/>
              <w:spacing w:after="0" w:line="157" w:lineRule="exact"/>
              <w:rPr>
                <w:sz w:val="20"/>
                <w:szCs w:val="20"/>
                <w:color w:val="auto"/>
              </w:rPr>
            </w:pPr>
            <w:r>
              <w:rPr>
                <w:rFonts w:ascii="Calibri" w:cs="Calibri" w:eastAsia="Calibri" w:hAnsi="Calibri"/>
                <w:sz w:val="13"/>
                <w:szCs w:val="13"/>
                <w:color w:val="51555C"/>
              </w:rPr>
              <w:t>Diluted</w:t>
            </w:r>
          </w:p>
        </w:tc>
        <w:tc>
          <w:tcPr>
            <w:tcW w:w="380" w:type="dxa"/>
            <w:vAlign w:val="bottom"/>
          </w:tcPr>
          <w:p>
            <w:pPr>
              <w:jc w:val="right"/>
              <w:ind w:right="236"/>
              <w:spacing w:after="0" w:line="157" w:lineRule="exact"/>
              <w:rPr>
                <w:sz w:val="20"/>
                <w:szCs w:val="20"/>
                <w:color w:val="auto"/>
              </w:rPr>
            </w:pPr>
            <w:r>
              <w:rPr>
                <w:rFonts w:ascii="Calibri" w:cs="Calibri" w:eastAsia="Calibri" w:hAnsi="Calibri"/>
                <w:sz w:val="13"/>
                <w:szCs w:val="13"/>
                <w:color w:val="51555C"/>
                <w:w w:val="90"/>
              </w:rPr>
              <w:t>$</w:t>
            </w:r>
          </w:p>
        </w:tc>
        <w:tc>
          <w:tcPr>
            <w:tcW w:w="940" w:type="dxa"/>
            <w:vAlign w:val="bottom"/>
          </w:tcPr>
          <w:p>
            <w:pPr>
              <w:jc w:val="right"/>
              <w:spacing w:after="0" w:line="157" w:lineRule="exact"/>
              <w:rPr>
                <w:sz w:val="20"/>
                <w:szCs w:val="20"/>
                <w:color w:val="auto"/>
              </w:rPr>
            </w:pPr>
            <w:r>
              <w:rPr>
                <w:rFonts w:ascii="Calibri" w:cs="Calibri" w:eastAsia="Calibri" w:hAnsi="Calibri"/>
                <w:sz w:val="13"/>
                <w:szCs w:val="13"/>
                <w:color w:val="51555C"/>
              </w:rPr>
              <w:t>0.42</w:t>
            </w:r>
          </w:p>
        </w:tc>
        <w:tc>
          <w:tcPr>
            <w:tcW w:w="200" w:type="dxa"/>
            <w:vAlign w:val="bottom"/>
          </w:tcPr>
          <w:p>
            <w:pPr>
              <w:jc w:val="right"/>
              <w:ind w:right="56"/>
              <w:spacing w:after="0" w:line="157" w:lineRule="exact"/>
              <w:rPr>
                <w:sz w:val="20"/>
                <w:szCs w:val="20"/>
                <w:color w:val="auto"/>
              </w:rPr>
            </w:pPr>
            <w:r>
              <w:rPr>
                <w:rFonts w:ascii="Calibri" w:cs="Calibri" w:eastAsia="Calibri" w:hAnsi="Calibri"/>
                <w:sz w:val="13"/>
                <w:szCs w:val="13"/>
                <w:color w:val="51555C"/>
                <w:w w:val="90"/>
              </w:rPr>
              <w:t>$</w:t>
            </w:r>
          </w:p>
        </w:tc>
        <w:tc>
          <w:tcPr>
            <w:tcW w:w="1100" w:type="dxa"/>
            <w:vAlign w:val="bottom"/>
          </w:tcPr>
          <w:p>
            <w:pPr>
              <w:jc w:val="right"/>
              <w:spacing w:after="0" w:line="157" w:lineRule="exact"/>
              <w:rPr>
                <w:sz w:val="20"/>
                <w:szCs w:val="20"/>
                <w:color w:val="auto"/>
              </w:rPr>
            </w:pPr>
            <w:r>
              <w:rPr>
                <w:rFonts w:ascii="Calibri" w:cs="Calibri" w:eastAsia="Calibri" w:hAnsi="Calibri"/>
                <w:sz w:val="13"/>
                <w:szCs w:val="13"/>
                <w:color w:val="51555C"/>
              </w:rPr>
              <w:t>0.04</w:t>
            </w:r>
          </w:p>
        </w:tc>
        <w:tc>
          <w:tcPr>
            <w:tcW w:w="480" w:type="dxa"/>
            <w:vAlign w:val="bottom"/>
            <w:gridSpan w:val="2"/>
          </w:tcPr>
          <w:p>
            <w:pPr>
              <w:jc w:val="right"/>
              <w:ind w:right="236"/>
              <w:spacing w:after="0" w:line="157" w:lineRule="exact"/>
              <w:rPr>
                <w:sz w:val="20"/>
                <w:szCs w:val="20"/>
                <w:color w:val="auto"/>
              </w:rPr>
            </w:pPr>
            <w:r>
              <w:rPr>
                <w:rFonts w:ascii="Calibri" w:cs="Calibri" w:eastAsia="Calibri" w:hAnsi="Calibri"/>
                <w:sz w:val="13"/>
                <w:szCs w:val="13"/>
                <w:color w:val="51555C"/>
              </w:rPr>
              <w:t>$</w:t>
            </w:r>
          </w:p>
        </w:tc>
        <w:tc>
          <w:tcPr>
            <w:tcW w:w="920" w:type="dxa"/>
            <w:vAlign w:val="bottom"/>
          </w:tcPr>
          <w:p>
            <w:pPr>
              <w:jc w:val="right"/>
              <w:spacing w:after="0" w:line="157" w:lineRule="exact"/>
              <w:rPr>
                <w:sz w:val="20"/>
                <w:szCs w:val="20"/>
                <w:color w:val="auto"/>
              </w:rPr>
            </w:pPr>
            <w:r>
              <w:rPr>
                <w:rFonts w:ascii="Calibri" w:cs="Calibri" w:eastAsia="Calibri" w:hAnsi="Calibri"/>
                <w:sz w:val="13"/>
                <w:szCs w:val="13"/>
                <w:color w:val="51555C"/>
              </w:rPr>
              <w:t>0.52</w:t>
            </w:r>
          </w:p>
        </w:tc>
        <w:tc>
          <w:tcPr>
            <w:tcW w:w="260" w:type="dxa"/>
            <w:vAlign w:val="bottom"/>
          </w:tcPr>
          <w:p>
            <w:pPr>
              <w:jc w:val="right"/>
              <w:ind w:right="116"/>
              <w:spacing w:after="0" w:line="157" w:lineRule="exact"/>
              <w:rPr>
                <w:sz w:val="20"/>
                <w:szCs w:val="20"/>
                <w:color w:val="auto"/>
              </w:rPr>
            </w:pPr>
            <w:r>
              <w:rPr>
                <w:rFonts w:ascii="Calibri" w:cs="Calibri" w:eastAsia="Calibri" w:hAnsi="Calibri"/>
                <w:sz w:val="13"/>
                <w:szCs w:val="13"/>
                <w:color w:val="51555C"/>
                <w:w w:val="90"/>
              </w:rPr>
              <w:t>$</w:t>
            </w:r>
          </w:p>
        </w:tc>
        <w:tc>
          <w:tcPr>
            <w:tcW w:w="1040" w:type="dxa"/>
            <w:vAlign w:val="bottom"/>
          </w:tcPr>
          <w:p>
            <w:pPr>
              <w:jc w:val="right"/>
              <w:spacing w:after="0" w:line="157" w:lineRule="exact"/>
              <w:rPr>
                <w:sz w:val="20"/>
                <w:szCs w:val="20"/>
                <w:color w:val="auto"/>
              </w:rPr>
            </w:pPr>
            <w:r>
              <w:rPr>
                <w:rFonts w:ascii="Calibri" w:cs="Calibri" w:eastAsia="Calibri" w:hAnsi="Calibri"/>
                <w:sz w:val="13"/>
                <w:szCs w:val="13"/>
                <w:color w:val="51555C"/>
              </w:rPr>
              <w:t>(0.24)</w:t>
            </w:r>
          </w:p>
        </w:tc>
        <w:tc>
          <w:tcPr>
            <w:tcW w:w="20" w:type="dxa"/>
            <w:vAlign w:val="bottom"/>
          </w:tcPr>
          <w:p>
            <w:pPr>
              <w:spacing w:after="0"/>
              <w:rPr>
                <w:sz w:val="13"/>
                <w:szCs w:val="13"/>
                <w:color w:val="auto"/>
              </w:rPr>
            </w:pPr>
          </w:p>
        </w:tc>
      </w:tr>
      <w:tr>
        <w:trPr>
          <w:trHeight w:val="34"/>
        </w:trPr>
        <w:tc>
          <w:tcPr>
            <w:tcW w:w="596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71"/>
        </w:trPr>
        <w:tc>
          <w:tcPr>
            <w:tcW w:w="5960" w:type="dxa"/>
            <w:vAlign w:val="bottom"/>
            <w:tcBorders>
              <w:bottom w:val="single" w:sz="8" w:color="EBFBFF"/>
            </w:tcBorders>
            <w:gridSpan w:val="2"/>
            <w:shd w:val="clear" w:color="auto" w:fill="EBFBFF"/>
          </w:tcPr>
          <w:p>
            <w:pPr>
              <w:ind w:left="20"/>
              <w:spacing w:after="0" w:line="157" w:lineRule="exact"/>
              <w:rPr>
                <w:sz w:val="20"/>
                <w:szCs w:val="20"/>
                <w:color w:val="auto"/>
              </w:rPr>
            </w:pPr>
            <w:r>
              <w:rPr>
                <w:rFonts w:ascii="Calibri" w:cs="Calibri" w:eastAsia="Calibri" w:hAnsi="Calibri"/>
                <w:sz w:val="13"/>
                <w:szCs w:val="13"/>
                <w:b w:val="1"/>
                <w:bCs w:val="1"/>
                <w:color w:val="51555C"/>
              </w:rPr>
              <w:t>Common shares and equivalents outstanding</w:t>
            </w:r>
          </w:p>
        </w:tc>
        <w:tc>
          <w:tcPr>
            <w:tcW w:w="380" w:type="dxa"/>
            <w:vAlign w:val="bottom"/>
            <w:tcBorders>
              <w:bottom w:val="single" w:sz="8" w:color="EBFBFF"/>
            </w:tcBorders>
            <w:shd w:val="clear" w:color="auto" w:fill="EBFBFF"/>
          </w:tcPr>
          <w:p>
            <w:pPr>
              <w:spacing w:after="0"/>
              <w:rPr>
                <w:sz w:val="14"/>
                <w:szCs w:val="14"/>
                <w:color w:val="auto"/>
              </w:rPr>
            </w:pPr>
          </w:p>
        </w:tc>
        <w:tc>
          <w:tcPr>
            <w:tcW w:w="940" w:type="dxa"/>
            <w:vAlign w:val="bottom"/>
            <w:tcBorders>
              <w:bottom w:val="single" w:sz="8" w:color="EBFBFF"/>
            </w:tcBorders>
            <w:shd w:val="clear" w:color="auto" w:fill="EBFBFF"/>
          </w:tcPr>
          <w:p>
            <w:pPr>
              <w:spacing w:after="0"/>
              <w:rPr>
                <w:sz w:val="14"/>
                <w:szCs w:val="14"/>
                <w:color w:val="auto"/>
              </w:rPr>
            </w:pPr>
          </w:p>
        </w:tc>
        <w:tc>
          <w:tcPr>
            <w:tcW w:w="200" w:type="dxa"/>
            <w:vAlign w:val="bottom"/>
            <w:tcBorders>
              <w:bottom w:val="single" w:sz="8" w:color="EBFBFF"/>
            </w:tcBorders>
            <w:shd w:val="clear" w:color="auto" w:fill="EBFBFF"/>
          </w:tcPr>
          <w:p>
            <w:pPr>
              <w:spacing w:after="0"/>
              <w:rPr>
                <w:sz w:val="14"/>
                <w:szCs w:val="14"/>
                <w:color w:val="auto"/>
              </w:rPr>
            </w:pPr>
          </w:p>
        </w:tc>
        <w:tc>
          <w:tcPr>
            <w:tcW w:w="1100" w:type="dxa"/>
            <w:vAlign w:val="bottom"/>
            <w:tcBorders>
              <w:bottom w:val="single" w:sz="8" w:color="EBFBFF"/>
            </w:tcBorders>
            <w:shd w:val="clear" w:color="auto" w:fill="EBFBFF"/>
          </w:tcPr>
          <w:p>
            <w:pPr>
              <w:spacing w:after="0"/>
              <w:rPr>
                <w:sz w:val="14"/>
                <w:szCs w:val="14"/>
                <w:color w:val="auto"/>
              </w:rPr>
            </w:pPr>
          </w:p>
        </w:tc>
        <w:tc>
          <w:tcPr>
            <w:tcW w:w="100" w:type="dxa"/>
            <w:vAlign w:val="bottom"/>
            <w:tcBorders>
              <w:bottom w:val="single" w:sz="8" w:color="EBFBFF"/>
            </w:tcBorders>
            <w:shd w:val="clear" w:color="auto" w:fill="EBFBFF"/>
          </w:tcPr>
          <w:p>
            <w:pPr>
              <w:spacing w:after="0"/>
              <w:rPr>
                <w:sz w:val="14"/>
                <w:szCs w:val="14"/>
                <w:color w:val="auto"/>
              </w:rPr>
            </w:pPr>
          </w:p>
        </w:tc>
        <w:tc>
          <w:tcPr>
            <w:tcW w:w="380" w:type="dxa"/>
            <w:vAlign w:val="bottom"/>
            <w:tcBorders>
              <w:bottom w:val="single" w:sz="8" w:color="EBFBFF"/>
            </w:tcBorders>
            <w:shd w:val="clear" w:color="auto" w:fill="EBFBFF"/>
          </w:tcPr>
          <w:p>
            <w:pPr>
              <w:spacing w:after="0"/>
              <w:rPr>
                <w:sz w:val="14"/>
                <w:szCs w:val="14"/>
                <w:color w:val="auto"/>
              </w:rPr>
            </w:pPr>
          </w:p>
        </w:tc>
        <w:tc>
          <w:tcPr>
            <w:tcW w:w="920" w:type="dxa"/>
            <w:vAlign w:val="bottom"/>
            <w:tcBorders>
              <w:bottom w:val="single" w:sz="8" w:color="EBFBFF"/>
            </w:tcBorders>
            <w:shd w:val="clear" w:color="auto" w:fill="EBFBFF"/>
          </w:tcPr>
          <w:p>
            <w:pPr>
              <w:spacing w:after="0"/>
              <w:rPr>
                <w:sz w:val="14"/>
                <w:szCs w:val="14"/>
                <w:color w:val="auto"/>
              </w:rPr>
            </w:pPr>
          </w:p>
        </w:tc>
        <w:tc>
          <w:tcPr>
            <w:tcW w:w="260" w:type="dxa"/>
            <w:vAlign w:val="bottom"/>
            <w:tcBorders>
              <w:bottom w:val="single" w:sz="8" w:color="EBFBFF"/>
            </w:tcBorders>
            <w:shd w:val="clear" w:color="auto" w:fill="EBFBFF"/>
          </w:tcPr>
          <w:p>
            <w:pPr>
              <w:spacing w:after="0"/>
              <w:rPr>
                <w:sz w:val="14"/>
                <w:szCs w:val="14"/>
                <w:color w:val="auto"/>
              </w:rPr>
            </w:pPr>
          </w:p>
        </w:tc>
        <w:tc>
          <w:tcPr>
            <w:tcW w:w="1040" w:type="dxa"/>
            <w:vAlign w:val="bottom"/>
            <w:tcBorders>
              <w:bottom w:val="single" w:sz="8" w:color="EBFBFF"/>
            </w:tcBorders>
            <w:shd w:val="clear" w:color="auto" w:fill="EBFBFF"/>
          </w:tcPr>
          <w:p>
            <w:pPr>
              <w:spacing w:after="0"/>
              <w:rPr>
                <w:sz w:val="14"/>
                <w:szCs w:val="14"/>
                <w:color w:val="auto"/>
              </w:rPr>
            </w:pPr>
          </w:p>
        </w:tc>
        <w:tc>
          <w:tcPr>
            <w:tcW w:w="20" w:type="dxa"/>
            <w:vAlign w:val="bottom"/>
          </w:tcPr>
          <w:p>
            <w:pPr>
              <w:spacing w:after="0"/>
              <w:rPr>
                <w:sz w:val="14"/>
                <w:szCs w:val="14"/>
                <w:color w:val="auto"/>
              </w:rPr>
            </w:pPr>
          </w:p>
        </w:tc>
      </w:tr>
      <w:tr>
        <w:trPr>
          <w:trHeight w:val="157"/>
        </w:trPr>
        <w:tc>
          <w:tcPr>
            <w:tcW w:w="140" w:type="dxa"/>
            <w:vAlign w:val="bottom"/>
          </w:tcPr>
          <w:p>
            <w:pPr>
              <w:spacing w:after="0"/>
              <w:rPr>
                <w:sz w:val="13"/>
                <w:szCs w:val="13"/>
                <w:color w:val="auto"/>
              </w:rPr>
            </w:pPr>
          </w:p>
        </w:tc>
        <w:tc>
          <w:tcPr>
            <w:tcW w:w="5820" w:type="dxa"/>
            <w:vAlign w:val="bottom"/>
          </w:tcPr>
          <w:p>
            <w:pPr>
              <w:ind w:left="40"/>
              <w:spacing w:after="0" w:line="157" w:lineRule="exact"/>
              <w:rPr>
                <w:sz w:val="20"/>
                <w:szCs w:val="20"/>
                <w:color w:val="auto"/>
              </w:rPr>
            </w:pPr>
            <w:r>
              <w:rPr>
                <w:rFonts w:ascii="Calibri" w:cs="Calibri" w:eastAsia="Calibri" w:hAnsi="Calibri"/>
                <w:sz w:val="13"/>
                <w:szCs w:val="13"/>
                <w:color w:val="51555C"/>
              </w:rPr>
              <w:t>Basic weighted average shares</w:t>
            </w:r>
          </w:p>
        </w:tc>
        <w:tc>
          <w:tcPr>
            <w:tcW w:w="380" w:type="dxa"/>
            <w:vAlign w:val="bottom"/>
          </w:tcPr>
          <w:p>
            <w:pPr>
              <w:spacing w:after="0"/>
              <w:rPr>
                <w:sz w:val="13"/>
                <w:szCs w:val="13"/>
                <w:color w:val="auto"/>
              </w:rPr>
            </w:pPr>
          </w:p>
        </w:tc>
        <w:tc>
          <w:tcPr>
            <w:tcW w:w="940" w:type="dxa"/>
            <w:vAlign w:val="bottom"/>
          </w:tcPr>
          <w:p>
            <w:pPr>
              <w:jc w:val="right"/>
              <w:spacing w:after="0" w:line="157" w:lineRule="exact"/>
              <w:rPr>
                <w:sz w:val="20"/>
                <w:szCs w:val="20"/>
                <w:color w:val="auto"/>
              </w:rPr>
            </w:pPr>
            <w:r>
              <w:rPr>
                <w:rFonts w:ascii="Calibri" w:cs="Calibri" w:eastAsia="Calibri" w:hAnsi="Calibri"/>
                <w:sz w:val="13"/>
                <w:szCs w:val="13"/>
                <w:color w:val="51555C"/>
              </w:rPr>
              <w:t>50,747,337</w:t>
            </w:r>
          </w:p>
        </w:tc>
        <w:tc>
          <w:tcPr>
            <w:tcW w:w="200" w:type="dxa"/>
            <w:vAlign w:val="bottom"/>
          </w:tcPr>
          <w:p>
            <w:pPr>
              <w:spacing w:after="0"/>
              <w:rPr>
                <w:sz w:val="13"/>
                <w:szCs w:val="13"/>
                <w:color w:val="auto"/>
              </w:rPr>
            </w:pPr>
          </w:p>
        </w:tc>
        <w:tc>
          <w:tcPr>
            <w:tcW w:w="1100" w:type="dxa"/>
            <w:vAlign w:val="bottom"/>
          </w:tcPr>
          <w:p>
            <w:pPr>
              <w:jc w:val="right"/>
              <w:spacing w:after="0" w:line="157" w:lineRule="exact"/>
              <w:rPr>
                <w:sz w:val="20"/>
                <w:szCs w:val="20"/>
                <w:color w:val="auto"/>
              </w:rPr>
            </w:pPr>
            <w:r>
              <w:rPr>
                <w:rFonts w:ascii="Calibri" w:cs="Calibri" w:eastAsia="Calibri" w:hAnsi="Calibri"/>
                <w:sz w:val="13"/>
                <w:szCs w:val="13"/>
                <w:color w:val="51555C"/>
              </w:rPr>
              <w:t>52,642,411</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20" w:type="dxa"/>
            <w:vAlign w:val="bottom"/>
          </w:tcPr>
          <w:p>
            <w:pPr>
              <w:jc w:val="right"/>
              <w:spacing w:after="0" w:line="157" w:lineRule="exact"/>
              <w:rPr>
                <w:sz w:val="20"/>
                <w:szCs w:val="20"/>
                <w:color w:val="auto"/>
              </w:rPr>
            </w:pPr>
            <w:r>
              <w:rPr>
                <w:rFonts w:ascii="Calibri" w:cs="Calibri" w:eastAsia="Calibri" w:hAnsi="Calibri"/>
                <w:sz w:val="13"/>
                <w:szCs w:val="13"/>
                <w:color w:val="51555C"/>
              </w:rPr>
              <w:t>51,399,853</w:t>
            </w:r>
          </w:p>
        </w:tc>
        <w:tc>
          <w:tcPr>
            <w:tcW w:w="260" w:type="dxa"/>
            <w:vAlign w:val="bottom"/>
          </w:tcPr>
          <w:p>
            <w:pPr>
              <w:spacing w:after="0"/>
              <w:rPr>
                <w:sz w:val="13"/>
                <w:szCs w:val="13"/>
                <w:color w:val="auto"/>
              </w:rPr>
            </w:pPr>
          </w:p>
        </w:tc>
        <w:tc>
          <w:tcPr>
            <w:tcW w:w="1040" w:type="dxa"/>
            <w:vAlign w:val="bottom"/>
          </w:tcPr>
          <w:p>
            <w:pPr>
              <w:jc w:val="right"/>
              <w:spacing w:after="0" w:line="157" w:lineRule="exact"/>
              <w:rPr>
                <w:sz w:val="20"/>
                <w:szCs w:val="20"/>
                <w:color w:val="auto"/>
              </w:rPr>
            </w:pPr>
            <w:r>
              <w:rPr>
                <w:rFonts w:ascii="Calibri" w:cs="Calibri" w:eastAsia="Calibri" w:hAnsi="Calibri"/>
                <w:sz w:val="13"/>
                <w:szCs w:val="13"/>
                <w:color w:val="51555C"/>
              </w:rPr>
              <w:t>52,389,112</w:t>
            </w:r>
          </w:p>
        </w:tc>
        <w:tc>
          <w:tcPr>
            <w:tcW w:w="20" w:type="dxa"/>
            <w:vAlign w:val="bottom"/>
          </w:tcPr>
          <w:p>
            <w:pPr>
              <w:spacing w:after="0"/>
              <w:rPr>
                <w:sz w:val="13"/>
                <w:szCs w:val="13"/>
                <w:color w:val="auto"/>
              </w:rPr>
            </w:pPr>
          </w:p>
        </w:tc>
      </w:tr>
      <w:tr>
        <w:trPr>
          <w:trHeight w:val="34"/>
        </w:trPr>
        <w:tc>
          <w:tcPr>
            <w:tcW w:w="140" w:type="dxa"/>
            <w:vAlign w:val="bottom"/>
          </w:tcPr>
          <w:p>
            <w:pPr>
              <w:spacing w:after="0"/>
              <w:rPr>
                <w:sz w:val="2"/>
                <w:szCs w:val="2"/>
                <w:color w:val="auto"/>
              </w:rPr>
            </w:pPr>
          </w:p>
        </w:tc>
        <w:tc>
          <w:tcPr>
            <w:tcW w:w="5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71"/>
        </w:trPr>
        <w:tc>
          <w:tcPr>
            <w:tcW w:w="140" w:type="dxa"/>
            <w:vAlign w:val="bottom"/>
            <w:tcBorders>
              <w:bottom w:val="single" w:sz="8" w:color="EBFBFF"/>
            </w:tcBorders>
            <w:shd w:val="clear" w:color="auto" w:fill="EBFBFF"/>
          </w:tcPr>
          <w:p>
            <w:pPr>
              <w:spacing w:after="0"/>
              <w:rPr>
                <w:sz w:val="14"/>
                <w:szCs w:val="14"/>
                <w:color w:val="auto"/>
              </w:rPr>
            </w:pPr>
          </w:p>
        </w:tc>
        <w:tc>
          <w:tcPr>
            <w:tcW w:w="5820" w:type="dxa"/>
            <w:vAlign w:val="bottom"/>
            <w:tcBorders>
              <w:bottom w:val="single" w:sz="8" w:color="EBFBFF"/>
            </w:tcBorders>
            <w:shd w:val="clear" w:color="auto" w:fill="EBFBFF"/>
          </w:tcPr>
          <w:p>
            <w:pPr>
              <w:ind w:left="40"/>
              <w:spacing w:after="0" w:line="157" w:lineRule="exact"/>
              <w:rPr>
                <w:sz w:val="20"/>
                <w:szCs w:val="20"/>
                <w:color w:val="auto"/>
              </w:rPr>
            </w:pPr>
            <w:r>
              <w:rPr>
                <w:rFonts w:ascii="Calibri" w:cs="Calibri" w:eastAsia="Calibri" w:hAnsi="Calibri"/>
                <w:sz w:val="13"/>
                <w:szCs w:val="13"/>
                <w:color w:val="51555C"/>
              </w:rPr>
              <w:t>Diluted weighted average shares</w:t>
            </w:r>
          </w:p>
        </w:tc>
        <w:tc>
          <w:tcPr>
            <w:tcW w:w="380" w:type="dxa"/>
            <w:vAlign w:val="bottom"/>
            <w:tcBorders>
              <w:bottom w:val="single" w:sz="8" w:color="EBFBFF"/>
            </w:tcBorders>
            <w:shd w:val="clear" w:color="auto" w:fill="EBFBFF"/>
          </w:tcPr>
          <w:p>
            <w:pPr>
              <w:spacing w:after="0"/>
              <w:rPr>
                <w:sz w:val="14"/>
                <w:szCs w:val="14"/>
                <w:color w:val="auto"/>
              </w:rPr>
            </w:pPr>
          </w:p>
        </w:tc>
        <w:tc>
          <w:tcPr>
            <w:tcW w:w="94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51,677,418</w:t>
            </w:r>
          </w:p>
        </w:tc>
        <w:tc>
          <w:tcPr>
            <w:tcW w:w="200" w:type="dxa"/>
            <w:vAlign w:val="bottom"/>
            <w:tcBorders>
              <w:bottom w:val="single" w:sz="8" w:color="EBFBFF"/>
            </w:tcBorders>
            <w:shd w:val="clear" w:color="auto" w:fill="EBFBFF"/>
          </w:tcPr>
          <w:p>
            <w:pPr>
              <w:spacing w:after="0"/>
              <w:rPr>
                <w:sz w:val="14"/>
                <w:szCs w:val="14"/>
                <w:color w:val="auto"/>
              </w:rPr>
            </w:pPr>
          </w:p>
        </w:tc>
        <w:tc>
          <w:tcPr>
            <w:tcW w:w="110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53,643,124</w:t>
            </w:r>
          </w:p>
        </w:tc>
        <w:tc>
          <w:tcPr>
            <w:tcW w:w="100" w:type="dxa"/>
            <w:vAlign w:val="bottom"/>
            <w:tcBorders>
              <w:bottom w:val="single" w:sz="8" w:color="EBFBFF"/>
            </w:tcBorders>
            <w:shd w:val="clear" w:color="auto" w:fill="EBFBFF"/>
          </w:tcPr>
          <w:p>
            <w:pPr>
              <w:spacing w:after="0"/>
              <w:rPr>
                <w:sz w:val="14"/>
                <w:szCs w:val="14"/>
                <w:color w:val="auto"/>
              </w:rPr>
            </w:pPr>
          </w:p>
        </w:tc>
        <w:tc>
          <w:tcPr>
            <w:tcW w:w="380" w:type="dxa"/>
            <w:vAlign w:val="bottom"/>
            <w:tcBorders>
              <w:bottom w:val="single" w:sz="8" w:color="EBFBFF"/>
            </w:tcBorders>
            <w:shd w:val="clear" w:color="auto" w:fill="EBFBFF"/>
          </w:tcPr>
          <w:p>
            <w:pPr>
              <w:spacing w:after="0"/>
              <w:rPr>
                <w:sz w:val="14"/>
                <w:szCs w:val="14"/>
                <w:color w:val="auto"/>
              </w:rPr>
            </w:pPr>
          </w:p>
        </w:tc>
        <w:tc>
          <w:tcPr>
            <w:tcW w:w="92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52,371,927</w:t>
            </w:r>
          </w:p>
        </w:tc>
        <w:tc>
          <w:tcPr>
            <w:tcW w:w="260" w:type="dxa"/>
            <w:vAlign w:val="bottom"/>
            <w:tcBorders>
              <w:bottom w:val="single" w:sz="8" w:color="EBFBFF"/>
            </w:tcBorders>
            <w:shd w:val="clear" w:color="auto" w:fill="EBFBFF"/>
          </w:tcPr>
          <w:p>
            <w:pPr>
              <w:spacing w:after="0"/>
              <w:rPr>
                <w:sz w:val="14"/>
                <w:szCs w:val="14"/>
                <w:color w:val="auto"/>
              </w:rPr>
            </w:pPr>
          </w:p>
        </w:tc>
        <w:tc>
          <w:tcPr>
            <w:tcW w:w="104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52,389,112</w:t>
            </w:r>
          </w:p>
        </w:tc>
        <w:tc>
          <w:tcPr>
            <w:tcW w:w="20" w:type="dxa"/>
            <w:vAlign w:val="bottom"/>
          </w:tcPr>
          <w:p>
            <w:pPr>
              <w:spacing w:after="0"/>
              <w:rPr>
                <w:sz w:val="14"/>
                <w:szCs w:val="14"/>
                <w:color w:val="auto"/>
              </w:rPr>
            </w:pPr>
          </w:p>
        </w:tc>
      </w:tr>
      <w:tr>
        <w:trPr>
          <w:trHeight w:val="157"/>
        </w:trPr>
        <w:tc>
          <w:tcPr>
            <w:tcW w:w="5960" w:type="dxa"/>
            <w:vAlign w:val="bottom"/>
            <w:gridSpan w:val="2"/>
          </w:tcPr>
          <w:p>
            <w:pPr>
              <w:ind w:left="20"/>
              <w:spacing w:after="0" w:line="157" w:lineRule="exact"/>
              <w:rPr>
                <w:sz w:val="20"/>
                <w:szCs w:val="20"/>
                <w:color w:val="auto"/>
              </w:rPr>
            </w:pPr>
            <w:r>
              <w:rPr>
                <w:rFonts w:ascii="Calibri" w:cs="Calibri" w:eastAsia="Calibri" w:hAnsi="Calibri"/>
                <w:sz w:val="13"/>
                <w:szCs w:val="13"/>
                <w:b w:val="1"/>
                <w:bCs w:val="1"/>
                <w:color w:val="51555C"/>
              </w:rPr>
              <w:t>Other comprehensive (loss) income</w:t>
            </w:r>
          </w:p>
        </w:tc>
        <w:tc>
          <w:tcPr>
            <w:tcW w:w="3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
        </w:trPr>
        <w:tc>
          <w:tcPr>
            <w:tcW w:w="140" w:type="dxa"/>
            <w:vAlign w:val="bottom"/>
          </w:tcPr>
          <w:p>
            <w:pPr>
              <w:spacing w:after="0"/>
              <w:rPr>
                <w:sz w:val="2"/>
                <w:szCs w:val="2"/>
                <w:color w:val="auto"/>
              </w:rPr>
            </w:pPr>
          </w:p>
        </w:tc>
        <w:tc>
          <w:tcPr>
            <w:tcW w:w="5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71"/>
        </w:trPr>
        <w:tc>
          <w:tcPr>
            <w:tcW w:w="140" w:type="dxa"/>
            <w:vAlign w:val="bottom"/>
            <w:tcBorders>
              <w:bottom w:val="single" w:sz="8" w:color="EBFBFF"/>
            </w:tcBorders>
            <w:shd w:val="clear" w:color="auto" w:fill="EBFBFF"/>
          </w:tcPr>
          <w:p>
            <w:pPr>
              <w:spacing w:after="0"/>
              <w:rPr>
                <w:sz w:val="14"/>
                <w:szCs w:val="14"/>
                <w:color w:val="auto"/>
              </w:rPr>
            </w:pPr>
          </w:p>
        </w:tc>
        <w:tc>
          <w:tcPr>
            <w:tcW w:w="5820" w:type="dxa"/>
            <w:vAlign w:val="bottom"/>
            <w:tcBorders>
              <w:bottom w:val="single" w:sz="8" w:color="EBFBFF"/>
            </w:tcBorders>
            <w:shd w:val="clear" w:color="auto" w:fill="EBFBFF"/>
          </w:tcPr>
          <w:p>
            <w:pPr>
              <w:ind w:left="40"/>
              <w:spacing w:after="0" w:line="157" w:lineRule="exact"/>
              <w:rPr>
                <w:sz w:val="20"/>
                <w:szCs w:val="20"/>
                <w:color w:val="auto"/>
              </w:rPr>
            </w:pPr>
            <w:r>
              <w:rPr>
                <w:rFonts w:ascii="Calibri" w:cs="Calibri" w:eastAsia="Calibri" w:hAnsi="Calibri"/>
                <w:sz w:val="13"/>
                <w:szCs w:val="13"/>
                <w:color w:val="51555C"/>
              </w:rPr>
              <w:t>Foreign currency translaton adjustment</w:t>
            </w:r>
          </w:p>
        </w:tc>
        <w:tc>
          <w:tcPr>
            <w:tcW w:w="380" w:type="dxa"/>
            <w:vAlign w:val="bottom"/>
            <w:tcBorders>
              <w:bottom w:val="single" w:sz="8" w:color="EBFBFF"/>
            </w:tcBorders>
            <w:shd w:val="clear" w:color="auto" w:fill="EBFBFF"/>
          </w:tcPr>
          <w:p>
            <w:pPr>
              <w:jc w:val="right"/>
              <w:ind w:right="236"/>
              <w:spacing w:after="0" w:line="157" w:lineRule="exact"/>
              <w:rPr>
                <w:sz w:val="20"/>
                <w:szCs w:val="20"/>
                <w:color w:val="auto"/>
              </w:rPr>
            </w:pPr>
            <w:r>
              <w:rPr>
                <w:rFonts w:ascii="Calibri" w:cs="Calibri" w:eastAsia="Calibri" w:hAnsi="Calibri"/>
                <w:sz w:val="13"/>
                <w:szCs w:val="13"/>
                <w:color w:val="51555C"/>
                <w:w w:val="90"/>
              </w:rPr>
              <w:t>$</w:t>
            </w:r>
          </w:p>
        </w:tc>
        <w:tc>
          <w:tcPr>
            <w:tcW w:w="94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339</w:t>
            </w:r>
          </w:p>
        </w:tc>
        <w:tc>
          <w:tcPr>
            <w:tcW w:w="200" w:type="dxa"/>
            <w:vAlign w:val="bottom"/>
            <w:tcBorders>
              <w:bottom w:val="single" w:sz="8" w:color="EBFBFF"/>
            </w:tcBorders>
            <w:shd w:val="clear" w:color="auto" w:fill="EBFBFF"/>
          </w:tcPr>
          <w:p>
            <w:pPr>
              <w:jc w:val="right"/>
              <w:ind w:right="56"/>
              <w:spacing w:after="0" w:line="157" w:lineRule="exact"/>
              <w:rPr>
                <w:sz w:val="20"/>
                <w:szCs w:val="20"/>
                <w:color w:val="auto"/>
              </w:rPr>
            </w:pPr>
            <w:r>
              <w:rPr>
                <w:rFonts w:ascii="Calibri" w:cs="Calibri" w:eastAsia="Calibri" w:hAnsi="Calibri"/>
                <w:sz w:val="13"/>
                <w:szCs w:val="13"/>
                <w:color w:val="51555C"/>
                <w:w w:val="90"/>
              </w:rPr>
              <w:t>$</w:t>
            </w:r>
          </w:p>
        </w:tc>
        <w:tc>
          <w:tcPr>
            <w:tcW w:w="110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3,055</w:t>
            </w:r>
          </w:p>
        </w:tc>
        <w:tc>
          <w:tcPr>
            <w:tcW w:w="480" w:type="dxa"/>
            <w:vAlign w:val="bottom"/>
            <w:tcBorders>
              <w:bottom w:val="single" w:sz="8" w:color="EBFBFF"/>
            </w:tcBorders>
            <w:gridSpan w:val="2"/>
            <w:shd w:val="clear" w:color="auto" w:fill="EBFBFF"/>
          </w:tcPr>
          <w:p>
            <w:pPr>
              <w:jc w:val="right"/>
              <w:ind w:right="236"/>
              <w:spacing w:after="0" w:line="157" w:lineRule="exact"/>
              <w:rPr>
                <w:sz w:val="20"/>
                <w:szCs w:val="20"/>
                <w:color w:val="auto"/>
              </w:rPr>
            </w:pPr>
            <w:r>
              <w:rPr>
                <w:rFonts w:ascii="Calibri" w:cs="Calibri" w:eastAsia="Calibri" w:hAnsi="Calibri"/>
                <w:sz w:val="13"/>
                <w:szCs w:val="13"/>
                <w:color w:val="51555C"/>
              </w:rPr>
              <w:t>$</w:t>
            </w:r>
          </w:p>
        </w:tc>
        <w:tc>
          <w:tcPr>
            <w:tcW w:w="92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(846)</w:t>
            </w:r>
          </w:p>
        </w:tc>
        <w:tc>
          <w:tcPr>
            <w:tcW w:w="260" w:type="dxa"/>
            <w:vAlign w:val="bottom"/>
            <w:tcBorders>
              <w:bottom w:val="single" w:sz="8" w:color="EBFBFF"/>
            </w:tcBorders>
            <w:shd w:val="clear" w:color="auto" w:fill="EBFBFF"/>
          </w:tcPr>
          <w:p>
            <w:pPr>
              <w:jc w:val="right"/>
              <w:ind w:right="116"/>
              <w:spacing w:after="0" w:line="157" w:lineRule="exact"/>
              <w:rPr>
                <w:sz w:val="20"/>
                <w:szCs w:val="20"/>
                <w:color w:val="auto"/>
              </w:rPr>
            </w:pPr>
            <w:r>
              <w:rPr>
                <w:rFonts w:ascii="Calibri" w:cs="Calibri" w:eastAsia="Calibri" w:hAnsi="Calibri"/>
                <w:sz w:val="13"/>
                <w:szCs w:val="13"/>
                <w:color w:val="51555C"/>
                <w:w w:val="90"/>
              </w:rPr>
              <w:t>$</w:t>
            </w:r>
          </w:p>
        </w:tc>
        <w:tc>
          <w:tcPr>
            <w:tcW w:w="104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5,213</w:t>
            </w:r>
          </w:p>
        </w:tc>
        <w:tc>
          <w:tcPr>
            <w:tcW w:w="20" w:type="dxa"/>
            <w:vAlign w:val="bottom"/>
          </w:tcPr>
          <w:p>
            <w:pPr>
              <w:spacing w:after="0"/>
              <w:rPr>
                <w:sz w:val="14"/>
                <w:szCs w:val="14"/>
                <w:color w:val="auto"/>
              </w:rPr>
            </w:pPr>
          </w:p>
        </w:tc>
      </w:tr>
      <w:tr>
        <w:trPr>
          <w:trHeight w:val="157"/>
        </w:trPr>
        <w:tc>
          <w:tcPr>
            <w:tcW w:w="140" w:type="dxa"/>
            <w:vAlign w:val="bottom"/>
          </w:tcPr>
          <w:p>
            <w:pPr>
              <w:spacing w:after="0"/>
              <w:rPr>
                <w:sz w:val="13"/>
                <w:szCs w:val="13"/>
                <w:color w:val="auto"/>
              </w:rPr>
            </w:pPr>
          </w:p>
        </w:tc>
        <w:tc>
          <w:tcPr>
            <w:tcW w:w="5820" w:type="dxa"/>
            <w:vAlign w:val="bottom"/>
          </w:tcPr>
          <w:p>
            <w:pPr>
              <w:ind w:left="40"/>
              <w:spacing w:after="0" w:line="157" w:lineRule="exact"/>
              <w:rPr>
                <w:sz w:val="20"/>
                <w:szCs w:val="20"/>
                <w:color w:val="auto"/>
              </w:rPr>
            </w:pPr>
            <w:r>
              <w:rPr>
                <w:rFonts w:ascii="Calibri" w:cs="Calibri" w:eastAsia="Calibri" w:hAnsi="Calibri"/>
                <w:sz w:val="13"/>
                <w:szCs w:val="13"/>
                <w:color w:val="51555C"/>
              </w:rPr>
              <w:t>Unrealized (loss) gain on derivatve instruments, net of tax</w:t>
            </w:r>
          </w:p>
        </w:tc>
        <w:tc>
          <w:tcPr>
            <w:tcW w:w="380" w:type="dxa"/>
            <w:vAlign w:val="bottom"/>
          </w:tcPr>
          <w:p>
            <w:pPr>
              <w:spacing w:after="0"/>
              <w:rPr>
                <w:sz w:val="13"/>
                <w:szCs w:val="13"/>
                <w:color w:val="auto"/>
              </w:rPr>
            </w:pPr>
          </w:p>
        </w:tc>
        <w:tc>
          <w:tcPr>
            <w:tcW w:w="940" w:type="dxa"/>
            <w:vAlign w:val="bottom"/>
          </w:tcPr>
          <w:p>
            <w:pPr>
              <w:jc w:val="right"/>
              <w:spacing w:after="0" w:line="157" w:lineRule="exact"/>
              <w:rPr>
                <w:sz w:val="20"/>
                <w:szCs w:val="20"/>
                <w:color w:val="auto"/>
              </w:rPr>
            </w:pPr>
            <w:r>
              <w:rPr>
                <w:rFonts w:ascii="Calibri" w:cs="Calibri" w:eastAsia="Calibri" w:hAnsi="Calibri"/>
                <w:sz w:val="13"/>
                <w:szCs w:val="13"/>
                <w:color w:val="51555C"/>
              </w:rPr>
              <w:t>(1,386)</w:t>
            </w:r>
          </w:p>
        </w:tc>
        <w:tc>
          <w:tcPr>
            <w:tcW w:w="200" w:type="dxa"/>
            <w:vAlign w:val="bottom"/>
          </w:tcPr>
          <w:p>
            <w:pPr>
              <w:spacing w:after="0"/>
              <w:rPr>
                <w:sz w:val="13"/>
                <w:szCs w:val="13"/>
                <w:color w:val="auto"/>
              </w:rPr>
            </w:pPr>
          </w:p>
        </w:tc>
        <w:tc>
          <w:tcPr>
            <w:tcW w:w="1100" w:type="dxa"/>
            <w:vAlign w:val="bottom"/>
          </w:tcPr>
          <w:p>
            <w:pPr>
              <w:jc w:val="right"/>
              <w:spacing w:after="0" w:line="157" w:lineRule="exact"/>
              <w:rPr>
                <w:sz w:val="20"/>
                <w:szCs w:val="20"/>
                <w:color w:val="auto"/>
              </w:rPr>
            </w:pPr>
            <w:r>
              <w:rPr>
                <w:rFonts w:ascii="Calibri" w:cs="Calibri" w:eastAsia="Calibri" w:hAnsi="Calibri"/>
                <w:sz w:val="13"/>
                <w:szCs w:val="13"/>
                <w:color w:val="51555C"/>
              </w:rPr>
              <w:t>5,383</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20" w:type="dxa"/>
            <w:vAlign w:val="bottom"/>
          </w:tcPr>
          <w:p>
            <w:pPr>
              <w:jc w:val="right"/>
              <w:spacing w:after="0" w:line="157" w:lineRule="exact"/>
              <w:rPr>
                <w:sz w:val="20"/>
                <w:szCs w:val="20"/>
                <w:color w:val="auto"/>
              </w:rPr>
            </w:pPr>
            <w:r>
              <w:rPr>
                <w:rFonts w:ascii="Calibri" w:cs="Calibri" w:eastAsia="Calibri" w:hAnsi="Calibri"/>
                <w:sz w:val="13"/>
                <w:szCs w:val="13"/>
                <w:color w:val="51555C"/>
              </w:rPr>
              <w:t>2,709</w:t>
            </w:r>
          </w:p>
        </w:tc>
        <w:tc>
          <w:tcPr>
            <w:tcW w:w="260" w:type="dxa"/>
            <w:vAlign w:val="bottom"/>
          </w:tcPr>
          <w:p>
            <w:pPr>
              <w:spacing w:after="0"/>
              <w:rPr>
                <w:sz w:val="13"/>
                <w:szCs w:val="13"/>
                <w:color w:val="auto"/>
              </w:rPr>
            </w:pPr>
          </w:p>
        </w:tc>
        <w:tc>
          <w:tcPr>
            <w:tcW w:w="1040" w:type="dxa"/>
            <w:vAlign w:val="bottom"/>
          </w:tcPr>
          <w:p>
            <w:pPr>
              <w:jc w:val="right"/>
              <w:spacing w:after="0" w:line="157" w:lineRule="exact"/>
              <w:rPr>
                <w:sz w:val="20"/>
                <w:szCs w:val="20"/>
                <w:color w:val="auto"/>
              </w:rPr>
            </w:pPr>
            <w:r>
              <w:rPr>
                <w:rFonts w:ascii="Calibri" w:cs="Calibri" w:eastAsia="Calibri" w:hAnsi="Calibri"/>
                <w:sz w:val="13"/>
                <w:szCs w:val="13"/>
                <w:color w:val="51555C"/>
              </w:rPr>
              <w:t>(5,309)</w:t>
            </w:r>
          </w:p>
        </w:tc>
        <w:tc>
          <w:tcPr>
            <w:tcW w:w="20" w:type="dxa"/>
            <w:vAlign w:val="bottom"/>
          </w:tcPr>
          <w:p>
            <w:pPr>
              <w:spacing w:after="0"/>
              <w:rPr>
                <w:sz w:val="13"/>
                <w:szCs w:val="13"/>
                <w:color w:val="auto"/>
              </w:rPr>
            </w:pPr>
          </w:p>
        </w:tc>
      </w:tr>
      <w:tr>
        <w:trPr>
          <w:trHeight w:val="34"/>
        </w:trPr>
        <w:tc>
          <w:tcPr>
            <w:tcW w:w="140" w:type="dxa"/>
            <w:vAlign w:val="bottom"/>
            <w:tcBorders>
              <w:bottom w:val="single" w:sz="8" w:color="EBFBFF"/>
            </w:tcBorders>
          </w:tcPr>
          <w:p>
            <w:pPr>
              <w:spacing w:after="0"/>
              <w:rPr>
                <w:sz w:val="2"/>
                <w:szCs w:val="2"/>
                <w:color w:val="auto"/>
              </w:rPr>
            </w:pPr>
          </w:p>
        </w:tc>
        <w:tc>
          <w:tcPr>
            <w:tcW w:w="5820" w:type="dxa"/>
            <w:vAlign w:val="bottom"/>
            <w:tcBorders>
              <w:bottom w:val="single" w:sz="8" w:color="EBFBFF"/>
            </w:tcBorders>
          </w:tcPr>
          <w:p>
            <w:pPr>
              <w:spacing w:after="0"/>
              <w:rPr>
                <w:sz w:val="2"/>
                <w:szCs w:val="2"/>
                <w:color w:val="auto"/>
              </w:rPr>
            </w:pPr>
          </w:p>
        </w:tc>
        <w:tc>
          <w:tcPr>
            <w:tcW w:w="380" w:type="dxa"/>
            <w:vAlign w:val="bottom"/>
            <w:tcBorders>
              <w:bottom w:val="single" w:sz="8" w:color="51555C"/>
            </w:tcBorders>
          </w:tcPr>
          <w:p>
            <w:pPr>
              <w:spacing w:after="0"/>
              <w:rPr>
                <w:sz w:val="2"/>
                <w:szCs w:val="2"/>
                <w:color w:val="auto"/>
              </w:rPr>
            </w:pPr>
          </w:p>
        </w:tc>
        <w:tc>
          <w:tcPr>
            <w:tcW w:w="940" w:type="dxa"/>
            <w:vAlign w:val="bottom"/>
            <w:tcBorders>
              <w:bottom w:val="single" w:sz="8" w:color="51555C"/>
            </w:tcBorders>
          </w:tcPr>
          <w:p>
            <w:pPr>
              <w:spacing w:after="0"/>
              <w:rPr>
                <w:sz w:val="2"/>
                <w:szCs w:val="2"/>
                <w:color w:val="auto"/>
              </w:rPr>
            </w:pPr>
          </w:p>
        </w:tc>
        <w:tc>
          <w:tcPr>
            <w:tcW w:w="200" w:type="dxa"/>
            <w:vAlign w:val="bottom"/>
            <w:tcBorders>
              <w:bottom w:val="single" w:sz="8" w:color="51555C"/>
            </w:tcBorders>
          </w:tcPr>
          <w:p>
            <w:pPr>
              <w:spacing w:after="0"/>
              <w:rPr>
                <w:sz w:val="2"/>
                <w:szCs w:val="2"/>
                <w:color w:val="auto"/>
              </w:rPr>
            </w:pPr>
          </w:p>
        </w:tc>
        <w:tc>
          <w:tcPr>
            <w:tcW w:w="1100" w:type="dxa"/>
            <w:vAlign w:val="bottom"/>
            <w:tcBorders>
              <w:bottom w:val="single" w:sz="8" w:color="51555C"/>
            </w:tcBorders>
          </w:tcPr>
          <w:p>
            <w:pPr>
              <w:spacing w:after="0"/>
              <w:rPr>
                <w:sz w:val="2"/>
                <w:szCs w:val="2"/>
                <w:color w:val="auto"/>
              </w:rPr>
            </w:pPr>
          </w:p>
        </w:tc>
        <w:tc>
          <w:tcPr>
            <w:tcW w:w="100" w:type="dxa"/>
            <w:vAlign w:val="bottom"/>
            <w:tcBorders>
              <w:bottom w:val="single" w:sz="8" w:color="EBFBFF"/>
            </w:tcBorders>
          </w:tcPr>
          <w:p>
            <w:pPr>
              <w:spacing w:after="0"/>
              <w:rPr>
                <w:sz w:val="2"/>
                <w:szCs w:val="2"/>
                <w:color w:val="auto"/>
              </w:rPr>
            </w:pPr>
          </w:p>
        </w:tc>
        <w:tc>
          <w:tcPr>
            <w:tcW w:w="380" w:type="dxa"/>
            <w:vAlign w:val="bottom"/>
            <w:tcBorders>
              <w:bottom w:val="single" w:sz="8" w:color="51555C"/>
            </w:tcBorders>
          </w:tcPr>
          <w:p>
            <w:pPr>
              <w:spacing w:after="0"/>
              <w:rPr>
                <w:sz w:val="2"/>
                <w:szCs w:val="2"/>
                <w:color w:val="auto"/>
              </w:rPr>
            </w:pPr>
          </w:p>
        </w:tc>
        <w:tc>
          <w:tcPr>
            <w:tcW w:w="920" w:type="dxa"/>
            <w:vAlign w:val="bottom"/>
            <w:tcBorders>
              <w:bottom w:val="single" w:sz="8" w:color="51555C"/>
            </w:tcBorders>
          </w:tcPr>
          <w:p>
            <w:pPr>
              <w:spacing w:after="0"/>
              <w:rPr>
                <w:sz w:val="2"/>
                <w:szCs w:val="2"/>
                <w:color w:val="auto"/>
              </w:rPr>
            </w:pPr>
          </w:p>
        </w:tc>
        <w:tc>
          <w:tcPr>
            <w:tcW w:w="260" w:type="dxa"/>
            <w:vAlign w:val="bottom"/>
            <w:tcBorders>
              <w:bottom w:val="single" w:sz="8" w:color="51555C"/>
            </w:tcBorders>
          </w:tcPr>
          <w:p>
            <w:pPr>
              <w:spacing w:after="0"/>
              <w:rPr>
                <w:sz w:val="2"/>
                <w:szCs w:val="2"/>
                <w:color w:val="auto"/>
              </w:rPr>
            </w:pPr>
          </w:p>
        </w:tc>
        <w:tc>
          <w:tcPr>
            <w:tcW w:w="1040" w:type="dxa"/>
            <w:vAlign w:val="bottom"/>
            <w:tcBorders>
              <w:bottom w:val="single" w:sz="8" w:color="51555C"/>
            </w:tcBorders>
          </w:tcPr>
          <w:p>
            <w:pPr>
              <w:spacing w:after="0"/>
              <w:rPr>
                <w:sz w:val="2"/>
                <w:szCs w:val="2"/>
                <w:color w:val="auto"/>
              </w:rPr>
            </w:pPr>
          </w:p>
        </w:tc>
        <w:tc>
          <w:tcPr>
            <w:tcW w:w="20" w:type="dxa"/>
            <w:vAlign w:val="bottom"/>
          </w:tcPr>
          <w:p>
            <w:pPr>
              <w:spacing w:after="0"/>
              <w:rPr>
                <w:sz w:val="2"/>
                <w:szCs w:val="2"/>
                <w:color w:val="auto"/>
              </w:rPr>
            </w:pPr>
          </w:p>
        </w:tc>
      </w:tr>
      <w:tr>
        <w:trPr>
          <w:trHeight w:val="182"/>
        </w:trPr>
        <w:tc>
          <w:tcPr>
            <w:tcW w:w="140" w:type="dxa"/>
            <w:vAlign w:val="bottom"/>
            <w:tcBorders>
              <w:bottom w:val="single" w:sz="8" w:color="EBFBFF"/>
            </w:tcBorders>
            <w:shd w:val="clear" w:color="auto" w:fill="EBFBFF"/>
          </w:tcPr>
          <w:p>
            <w:pPr>
              <w:spacing w:after="0"/>
              <w:rPr>
                <w:sz w:val="15"/>
                <w:szCs w:val="15"/>
                <w:color w:val="auto"/>
              </w:rPr>
            </w:pPr>
          </w:p>
        </w:tc>
        <w:tc>
          <w:tcPr>
            <w:tcW w:w="5820" w:type="dxa"/>
            <w:vAlign w:val="bottom"/>
            <w:tcBorders>
              <w:bottom w:val="single" w:sz="8" w:color="EBFBFF"/>
            </w:tcBorders>
            <w:shd w:val="clear" w:color="auto" w:fill="EBFBFF"/>
          </w:tcPr>
          <w:p>
            <w:pPr>
              <w:ind w:left="220"/>
              <w:spacing w:after="0" w:line="137" w:lineRule="exact"/>
              <w:rPr>
                <w:sz w:val="20"/>
                <w:szCs w:val="20"/>
                <w:color w:val="auto"/>
              </w:rPr>
            </w:pPr>
            <w:r>
              <w:rPr>
                <w:rFonts w:ascii="Calibri" w:cs="Calibri" w:eastAsia="Calibri" w:hAnsi="Calibri"/>
                <w:sz w:val="13"/>
                <w:szCs w:val="13"/>
                <w:b w:val="1"/>
                <w:bCs w:val="1"/>
                <w:color w:val="51555C"/>
              </w:rPr>
              <w:t>Total other comprehensive (loss) income</w:t>
            </w:r>
          </w:p>
        </w:tc>
        <w:tc>
          <w:tcPr>
            <w:tcW w:w="380" w:type="dxa"/>
            <w:vAlign w:val="bottom"/>
            <w:tcBorders>
              <w:bottom w:val="single" w:sz="8" w:color="EBFBFF"/>
            </w:tcBorders>
            <w:shd w:val="clear" w:color="auto" w:fill="EBFBFF"/>
          </w:tcPr>
          <w:p>
            <w:pPr>
              <w:spacing w:after="0"/>
              <w:rPr>
                <w:sz w:val="15"/>
                <w:szCs w:val="15"/>
                <w:color w:val="auto"/>
              </w:rPr>
            </w:pPr>
          </w:p>
        </w:tc>
        <w:tc>
          <w:tcPr>
            <w:tcW w:w="940" w:type="dxa"/>
            <w:vAlign w:val="bottom"/>
            <w:tcBorders>
              <w:bottom w:val="single" w:sz="8" w:color="EBFBFF"/>
            </w:tcBorders>
            <w:shd w:val="clear" w:color="auto" w:fill="EBFBFF"/>
          </w:tcPr>
          <w:p>
            <w:pPr>
              <w:jc w:val="right"/>
              <w:spacing w:after="0" w:line="148" w:lineRule="exact"/>
              <w:rPr>
                <w:sz w:val="20"/>
                <w:szCs w:val="20"/>
                <w:color w:val="auto"/>
              </w:rPr>
            </w:pPr>
            <w:r>
              <w:rPr>
                <w:rFonts w:ascii="Calibri" w:cs="Calibri" w:eastAsia="Calibri" w:hAnsi="Calibri"/>
                <w:sz w:val="13"/>
                <w:szCs w:val="13"/>
                <w:color w:val="51555C"/>
              </w:rPr>
              <w:t>(1,047)</w:t>
            </w:r>
          </w:p>
        </w:tc>
        <w:tc>
          <w:tcPr>
            <w:tcW w:w="200" w:type="dxa"/>
            <w:vAlign w:val="bottom"/>
            <w:tcBorders>
              <w:bottom w:val="single" w:sz="8" w:color="EBFBFF"/>
            </w:tcBorders>
            <w:shd w:val="clear" w:color="auto" w:fill="EBFBFF"/>
          </w:tcPr>
          <w:p>
            <w:pPr>
              <w:spacing w:after="0"/>
              <w:rPr>
                <w:sz w:val="15"/>
                <w:szCs w:val="15"/>
                <w:color w:val="auto"/>
              </w:rPr>
            </w:pPr>
          </w:p>
        </w:tc>
        <w:tc>
          <w:tcPr>
            <w:tcW w:w="1100" w:type="dxa"/>
            <w:vAlign w:val="bottom"/>
            <w:tcBorders>
              <w:bottom w:val="single" w:sz="8" w:color="EBFBFF"/>
            </w:tcBorders>
            <w:shd w:val="clear" w:color="auto" w:fill="EBFBFF"/>
          </w:tcPr>
          <w:p>
            <w:pPr>
              <w:jc w:val="right"/>
              <w:spacing w:after="0" w:line="148" w:lineRule="exact"/>
              <w:rPr>
                <w:sz w:val="20"/>
                <w:szCs w:val="20"/>
                <w:color w:val="auto"/>
              </w:rPr>
            </w:pPr>
            <w:r>
              <w:rPr>
                <w:rFonts w:ascii="Calibri" w:cs="Calibri" w:eastAsia="Calibri" w:hAnsi="Calibri"/>
                <w:sz w:val="13"/>
                <w:szCs w:val="13"/>
                <w:color w:val="51555C"/>
              </w:rPr>
              <w:t>8,438</w:t>
            </w:r>
          </w:p>
        </w:tc>
        <w:tc>
          <w:tcPr>
            <w:tcW w:w="100" w:type="dxa"/>
            <w:vAlign w:val="bottom"/>
            <w:tcBorders>
              <w:bottom w:val="single" w:sz="8" w:color="EBFBFF"/>
            </w:tcBorders>
            <w:shd w:val="clear" w:color="auto" w:fill="EBFBFF"/>
          </w:tcPr>
          <w:p>
            <w:pPr>
              <w:spacing w:after="0"/>
              <w:rPr>
                <w:sz w:val="15"/>
                <w:szCs w:val="15"/>
                <w:color w:val="auto"/>
              </w:rPr>
            </w:pPr>
          </w:p>
        </w:tc>
        <w:tc>
          <w:tcPr>
            <w:tcW w:w="380" w:type="dxa"/>
            <w:vAlign w:val="bottom"/>
            <w:tcBorders>
              <w:bottom w:val="single" w:sz="8" w:color="EBFBFF"/>
            </w:tcBorders>
            <w:shd w:val="clear" w:color="auto" w:fill="EBFBFF"/>
          </w:tcPr>
          <w:p>
            <w:pPr>
              <w:spacing w:after="0"/>
              <w:rPr>
                <w:sz w:val="15"/>
                <w:szCs w:val="15"/>
                <w:color w:val="auto"/>
              </w:rPr>
            </w:pPr>
          </w:p>
        </w:tc>
        <w:tc>
          <w:tcPr>
            <w:tcW w:w="920" w:type="dxa"/>
            <w:vAlign w:val="bottom"/>
            <w:tcBorders>
              <w:bottom w:val="single" w:sz="8" w:color="EBFBFF"/>
            </w:tcBorders>
            <w:shd w:val="clear" w:color="auto" w:fill="EBFBFF"/>
          </w:tcPr>
          <w:p>
            <w:pPr>
              <w:jc w:val="right"/>
              <w:spacing w:after="0" w:line="148" w:lineRule="exact"/>
              <w:rPr>
                <w:sz w:val="20"/>
                <w:szCs w:val="20"/>
                <w:color w:val="auto"/>
              </w:rPr>
            </w:pPr>
            <w:r>
              <w:rPr>
                <w:rFonts w:ascii="Calibri" w:cs="Calibri" w:eastAsia="Calibri" w:hAnsi="Calibri"/>
                <w:sz w:val="13"/>
                <w:szCs w:val="13"/>
                <w:color w:val="51555C"/>
              </w:rPr>
              <w:t>1,863</w:t>
            </w:r>
          </w:p>
        </w:tc>
        <w:tc>
          <w:tcPr>
            <w:tcW w:w="260" w:type="dxa"/>
            <w:vAlign w:val="bottom"/>
            <w:tcBorders>
              <w:bottom w:val="single" w:sz="8" w:color="EBFBFF"/>
            </w:tcBorders>
            <w:shd w:val="clear" w:color="auto" w:fill="EBFBFF"/>
          </w:tcPr>
          <w:p>
            <w:pPr>
              <w:spacing w:after="0"/>
              <w:rPr>
                <w:sz w:val="15"/>
                <w:szCs w:val="15"/>
                <w:color w:val="auto"/>
              </w:rPr>
            </w:pPr>
          </w:p>
        </w:tc>
        <w:tc>
          <w:tcPr>
            <w:tcW w:w="1040" w:type="dxa"/>
            <w:vAlign w:val="bottom"/>
            <w:tcBorders>
              <w:bottom w:val="single" w:sz="8" w:color="EBFBFF"/>
            </w:tcBorders>
            <w:shd w:val="clear" w:color="auto" w:fill="EBFBFF"/>
          </w:tcPr>
          <w:p>
            <w:pPr>
              <w:jc w:val="right"/>
              <w:spacing w:after="0" w:line="148" w:lineRule="exact"/>
              <w:rPr>
                <w:sz w:val="20"/>
                <w:szCs w:val="20"/>
                <w:color w:val="auto"/>
              </w:rPr>
            </w:pPr>
            <w:r>
              <w:rPr>
                <w:rFonts w:ascii="Calibri" w:cs="Calibri" w:eastAsia="Calibri" w:hAnsi="Calibri"/>
                <w:sz w:val="13"/>
                <w:szCs w:val="13"/>
                <w:color w:val="51555C"/>
              </w:rPr>
              <w:t>(96)</w:t>
            </w:r>
          </w:p>
        </w:tc>
        <w:tc>
          <w:tcPr>
            <w:tcW w:w="20" w:type="dxa"/>
            <w:vAlign w:val="bottom"/>
          </w:tcPr>
          <w:p>
            <w:pPr>
              <w:spacing w:after="0"/>
              <w:rPr>
                <w:sz w:val="15"/>
                <w:szCs w:val="15"/>
                <w:color w:val="auto"/>
              </w:rPr>
            </w:pPr>
          </w:p>
        </w:tc>
      </w:tr>
      <w:tr>
        <w:trPr>
          <w:trHeight w:val="148"/>
        </w:trPr>
        <w:tc>
          <w:tcPr>
            <w:tcW w:w="5960" w:type="dxa"/>
            <w:vAlign w:val="bottom"/>
            <w:gridSpan w:val="2"/>
          </w:tcPr>
          <w:p>
            <w:pPr>
              <w:ind w:left="20"/>
              <w:spacing w:after="0" w:line="137" w:lineRule="exact"/>
              <w:rPr>
                <w:sz w:val="20"/>
                <w:szCs w:val="20"/>
                <w:color w:val="auto"/>
              </w:rPr>
            </w:pPr>
            <w:r>
              <w:rPr>
                <w:rFonts w:ascii="Calibri" w:cs="Calibri" w:eastAsia="Calibri" w:hAnsi="Calibri"/>
                <w:sz w:val="13"/>
                <w:szCs w:val="13"/>
                <w:b w:val="1"/>
                <w:bCs w:val="1"/>
                <w:color w:val="51555C"/>
              </w:rPr>
              <w:t>Comprehensive income (loss)</w:t>
            </w:r>
          </w:p>
        </w:tc>
        <w:tc>
          <w:tcPr>
            <w:tcW w:w="380" w:type="dxa"/>
            <w:vAlign w:val="bottom"/>
            <w:tcBorders>
              <w:top w:val="single" w:sz="8" w:color="51555C"/>
            </w:tcBorders>
          </w:tcPr>
          <w:p>
            <w:pPr>
              <w:jc w:val="right"/>
              <w:ind w:right="236"/>
              <w:spacing w:after="0" w:line="148" w:lineRule="exact"/>
              <w:rPr>
                <w:sz w:val="20"/>
                <w:szCs w:val="20"/>
                <w:color w:val="auto"/>
              </w:rPr>
            </w:pPr>
            <w:r>
              <w:rPr>
                <w:rFonts w:ascii="Calibri" w:cs="Calibri" w:eastAsia="Calibri" w:hAnsi="Calibri"/>
                <w:sz w:val="13"/>
                <w:szCs w:val="13"/>
                <w:color w:val="51555C"/>
                <w:w w:val="90"/>
              </w:rPr>
              <w:t>$</w:t>
            </w:r>
          </w:p>
        </w:tc>
        <w:tc>
          <w:tcPr>
            <w:tcW w:w="940" w:type="dxa"/>
            <w:vAlign w:val="bottom"/>
            <w:tcBorders>
              <w:top w:val="single" w:sz="8" w:color="51555C"/>
            </w:tcBorders>
          </w:tcPr>
          <w:p>
            <w:pPr>
              <w:jc w:val="right"/>
              <w:spacing w:after="0" w:line="148" w:lineRule="exact"/>
              <w:rPr>
                <w:sz w:val="20"/>
                <w:szCs w:val="20"/>
                <w:color w:val="auto"/>
              </w:rPr>
            </w:pPr>
            <w:r>
              <w:rPr>
                <w:rFonts w:ascii="Calibri" w:cs="Calibri" w:eastAsia="Calibri" w:hAnsi="Calibri"/>
                <w:sz w:val="13"/>
                <w:szCs w:val="13"/>
                <w:color w:val="51555C"/>
              </w:rPr>
              <w:t>20,757</w:t>
            </w:r>
          </w:p>
        </w:tc>
        <w:tc>
          <w:tcPr>
            <w:tcW w:w="200" w:type="dxa"/>
            <w:vAlign w:val="bottom"/>
            <w:tcBorders>
              <w:top w:val="single" w:sz="8" w:color="51555C"/>
            </w:tcBorders>
          </w:tcPr>
          <w:p>
            <w:pPr>
              <w:jc w:val="right"/>
              <w:ind w:right="56"/>
              <w:spacing w:after="0" w:line="148" w:lineRule="exact"/>
              <w:rPr>
                <w:sz w:val="20"/>
                <w:szCs w:val="20"/>
                <w:color w:val="auto"/>
              </w:rPr>
            </w:pPr>
            <w:r>
              <w:rPr>
                <w:rFonts w:ascii="Calibri" w:cs="Calibri" w:eastAsia="Calibri" w:hAnsi="Calibri"/>
                <w:sz w:val="13"/>
                <w:szCs w:val="13"/>
                <w:color w:val="51555C"/>
                <w:w w:val="90"/>
              </w:rPr>
              <w:t>$</w:t>
            </w:r>
          </w:p>
        </w:tc>
        <w:tc>
          <w:tcPr>
            <w:tcW w:w="1100" w:type="dxa"/>
            <w:vAlign w:val="bottom"/>
            <w:tcBorders>
              <w:top w:val="single" w:sz="8" w:color="51555C"/>
            </w:tcBorders>
          </w:tcPr>
          <w:p>
            <w:pPr>
              <w:jc w:val="right"/>
              <w:spacing w:after="0" w:line="148" w:lineRule="exact"/>
              <w:rPr>
                <w:sz w:val="20"/>
                <w:szCs w:val="20"/>
                <w:color w:val="auto"/>
              </w:rPr>
            </w:pPr>
            <w:r>
              <w:rPr>
                <w:rFonts w:ascii="Calibri" w:cs="Calibri" w:eastAsia="Calibri" w:hAnsi="Calibri"/>
                <w:sz w:val="13"/>
                <w:szCs w:val="13"/>
                <w:color w:val="51555C"/>
              </w:rPr>
              <w:t>10,543</w:t>
            </w:r>
          </w:p>
        </w:tc>
        <w:tc>
          <w:tcPr>
            <w:tcW w:w="100" w:type="dxa"/>
            <w:vAlign w:val="bottom"/>
          </w:tcPr>
          <w:p>
            <w:pPr>
              <w:spacing w:after="0"/>
              <w:rPr>
                <w:sz w:val="12"/>
                <w:szCs w:val="12"/>
                <w:color w:val="auto"/>
              </w:rPr>
            </w:pPr>
          </w:p>
        </w:tc>
        <w:tc>
          <w:tcPr>
            <w:tcW w:w="380" w:type="dxa"/>
            <w:vAlign w:val="bottom"/>
            <w:tcBorders>
              <w:top w:val="single" w:sz="8" w:color="51555C"/>
            </w:tcBorders>
          </w:tcPr>
          <w:p>
            <w:pPr>
              <w:jc w:val="right"/>
              <w:ind w:right="236"/>
              <w:spacing w:after="0" w:line="148" w:lineRule="exact"/>
              <w:rPr>
                <w:sz w:val="20"/>
                <w:szCs w:val="20"/>
                <w:color w:val="auto"/>
              </w:rPr>
            </w:pPr>
            <w:r>
              <w:rPr>
                <w:rFonts w:ascii="Calibri" w:cs="Calibri" w:eastAsia="Calibri" w:hAnsi="Calibri"/>
                <w:sz w:val="13"/>
                <w:szCs w:val="13"/>
                <w:color w:val="51555C"/>
                <w:w w:val="90"/>
              </w:rPr>
              <w:t>$</w:t>
            </w:r>
          </w:p>
        </w:tc>
        <w:tc>
          <w:tcPr>
            <w:tcW w:w="920" w:type="dxa"/>
            <w:vAlign w:val="bottom"/>
            <w:tcBorders>
              <w:top w:val="single" w:sz="8" w:color="51555C"/>
            </w:tcBorders>
          </w:tcPr>
          <w:p>
            <w:pPr>
              <w:jc w:val="right"/>
              <w:spacing w:after="0" w:line="148" w:lineRule="exact"/>
              <w:rPr>
                <w:sz w:val="20"/>
                <w:szCs w:val="20"/>
                <w:color w:val="auto"/>
              </w:rPr>
            </w:pPr>
            <w:r>
              <w:rPr>
                <w:rFonts w:ascii="Calibri" w:cs="Calibri" w:eastAsia="Calibri" w:hAnsi="Calibri"/>
                <w:sz w:val="13"/>
                <w:szCs w:val="13"/>
                <w:color w:val="51555C"/>
              </w:rPr>
              <w:t>28,913</w:t>
            </w:r>
          </w:p>
        </w:tc>
        <w:tc>
          <w:tcPr>
            <w:tcW w:w="260" w:type="dxa"/>
            <w:vAlign w:val="bottom"/>
            <w:tcBorders>
              <w:top w:val="single" w:sz="8" w:color="51555C"/>
            </w:tcBorders>
          </w:tcPr>
          <w:p>
            <w:pPr>
              <w:jc w:val="right"/>
              <w:ind w:right="116"/>
              <w:spacing w:after="0" w:line="148" w:lineRule="exact"/>
              <w:rPr>
                <w:sz w:val="20"/>
                <w:szCs w:val="20"/>
                <w:color w:val="auto"/>
              </w:rPr>
            </w:pPr>
            <w:r>
              <w:rPr>
                <w:rFonts w:ascii="Calibri" w:cs="Calibri" w:eastAsia="Calibri" w:hAnsi="Calibri"/>
                <w:sz w:val="13"/>
                <w:szCs w:val="13"/>
                <w:color w:val="51555C"/>
                <w:w w:val="90"/>
              </w:rPr>
              <w:t>$</w:t>
            </w:r>
          </w:p>
        </w:tc>
        <w:tc>
          <w:tcPr>
            <w:tcW w:w="1040" w:type="dxa"/>
            <w:vAlign w:val="bottom"/>
            <w:tcBorders>
              <w:top w:val="single" w:sz="8" w:color="51555C"/>
            </w:tcBorders>
          </w:tcPr>
          <w:p>
            <w:pPr>
              <w:jc w:val="right"/>
              <w:spacing w:after="0" w:line="148" w:lineRule="exact"/>
              <w:rPr>
                <w:sz w:val="20"/>
                <w:szCs w:val="20"/>
                <w:color w:val="auto"/>
              </w:rPr>
            </w:pPr>
            <w:r>
              <w:rPr>
                <w:rFonts w:ascii="Calibri" w:cs="Calibri" w:eastAsia="Calibri" w:hAnsi="Calibri"/>
                <w:sz w:val="13"/>
                <w:szCs w:val="13"/>
                <w:color w:val="51555C"/>
              </w:rPr>
              <w:t>(12,692)</w:t>
            </w:r>
          </w:p>
        </w:tc>
        <w:tc>
          <w:tcPr>
            <w:tcW w:w="20" w:type="dxa"/>
            <w:vAlign w:val="bottom"/>
          </w:tcPr>
          <w:p>
            <w:pPr>
              <w:spacing w:after="0"/>
              <w:rPr>
                <w:sz w:val="12"/>
                <w:szCs w:val="12"/>
                <w:color w:val="auto"/>
              </w:rPr>
            </w:pPr>
          </w:p>
        </w:tc>
      </w:tr>
      <w:tr>
        <w:trPr>
          <w:trHeight w:val="34"/>
        </w:trPr>
        <w:tc>
          <w:tcPr>
            <w:tcW w:w="140" w:type="dxa"/>
            <w:vAlign w:val="bottom"/>
            <w:tcBorders>
              <w:bottom w:val="single" w:sz="8" w:color="0CD973"/>
            </w:tcBorders>
          </w:tcPr>
          <w:p>
            <w:pPr>
              <w:spacing w:after="0"/>
              <w:rPr>
                <w:sz w:val="2"/>
                <w:szCs w:val="2"/>
                <w:color w:val="auto"/>
              </w:rPr>
            </w:pPr>
          </w:p>
        </w:tc>
        <w:tc>
          <w:tcPr>
            <w:tcW w:w="5820" w:type="dxa"/>
            <w:vAlign w:val="bottom"/>
            <w:tcBorders>
              <w:bottom w:val="single" w:sz="8" w:color="0CD973"/>
            </w:tcBorders>
          </w:tcPr>
          <w:p>
            <w:pPr>
              <w:spacing w:after="0"/>
              <w:rPr>
                <w:sz w:val="2"/>
                <w:szCs w:val="2"/>
                <w:color w:val="auto"/>
              </w:rPr>
            </w:pPr>
          </w:p>
        </w:tc>
        <w:tc>
          <w:tcPr>
            <w:tcW w:w="1320" w:type="dxa"/>
            <w:vAlign w:val="bottom"/>
            <w:tcBorders>
              <w:bottom w:val="single" w:sz="8" w:color="0CD973"/>
            </w:tcBorders>
            <w:gridSpan w:val="2"/>
          </w:tcPr>
          <w:p>
            <w:pPr>
              <w:spacing w:after="0"/>
              <w:rPr>
                <w:sz w:val="2"/>
                <w:szCs w:val="2"/>
                <w:color w:val="auto"/>
              </w:rPr>
            </w:pPr>
          </w:p>
        </w:tc>
        <w:tc>
          <w:tcPr>
            <w:tcW w:w="1300" w:type="dxa"/>
            <w:vAlign w:val="bottom"/>
            <w:tcBorders>
              <w:bottom w:val="single" w:sz="8" w:color="0CD973"/>
            </w:tcBorders>
            <w:gridSpan w:val="2"/>
          </w:tcPr>
          <w:p>
            <w:pPr>
              <w:spacing w:after="0"/>
              <w:rPr>
                <w:sz w:val="2"/>
                <w:szCs w:val="2"/>
                <w:color w:val="auto"/>
              </w:rPr>
            </w:pPr>
          </w:p>
        </w:tc>
        <w:tc>
          <w:tcPr>
            <w:tcW w:w="100" w:type="dxa"/>
            <w:vAlign w:val="bottom"/>
            <w:tcBorders>
              <w:bottom w:val="single" w:sz="8" w:color="0CD973"/>
            </w:tcBorders>
          </w:tcPr>
          <w:p>
            <w:pPr>
              <w:spacing w:after="0"/>
              <w:rPr>
                <w:sz w:val="2"/>
                <w:szCs w:val="2"/>
                <w:color w:val="auto"/>
              </w:rPr>
            </w:pPr>
          </w:p>
        </w:tc>
        <w:tc>
          <w:tcPr>
            <w:tcW w:w="380" w:type="dxa"/>
            <w:vAlign w:val="bottom"/>
            <w:tcBorders>
              <w:bottom w:val="single" w:sz="8" w:color="0CD973"/>
            </w:tcBorders>
          </w:tcPr>
          <w:p>
            <w:pPr>
              <w:spacing w:after="0"/>
              <w:rPr>
                <w:sz w:val="2"/>
                <w:szCs w:val="2"/>
                <w:color w:val="auto"/>
              </w:rPr>
            </w:pPr>
          </w:p>
        </w:tc>
        <w:tc>
          <w:tcPr>
            <w:tcW w:w="920" w:type="dxa"/>
            <w:vAlign w:val="bottom"/>
            <w:tcBorders>
              <w:bottom w:val="single" w:sz="8" w:color="0CD973"/>
            </w:tcBorders>
          </w:tcPr>
          <w:p>
            <w:pPr>
              <w:spacing w:after="0"/>
              <w:rPr>
                <w:sz w:val="2"/>
                <w:szCs w:val="2"/>
                <w:color w:val="auto"/>
              </w:rPr>
            </w:pPr>
          </w:p>
        </w:tc>
        <w:tc>
          <w:tcPr>
            <w:tcW w:w="260" w:type="dxa"/>
            <w:vAlign w:val="bottom"/>
            <w:tcBorders>
              <w:bottom w:val="single" w:sz="8" w:color="0CD973"/>
            </w:tcBorders>
          </w:tcPr>
          <w:p>
            <w:pPr>
              <w:spacing w:after="0"/>
              <w:rPr>
                <w:sz w:val="2"/>
                <w:szCs w:val="2"/>
                <w:color w:val="auto"/>
              </w:rPr>
            </w:pPr>
          </w:p>
        </w:tc>
        <w:tc>
          <w:tcPr>
            <w:tcW w:w="1040" w:type="dxa"/>
            <w:vAlign w:val="bottom"/>
            <w:tcBorders>
              <w:bottom w:val="single" w:sz="8" w:color="0CD973"/>
            </w:tcBorders>
          </w:tcPr>
          <w:p>
            <w:pPr>
              <w:spacing w:after="0"/>
              <w:rPr>
                <w:sz w:val="2"/>
                <w:szCs w:val="2"/>
                <w:color w:val="auto"/>
              </w:rPr>
            </w:pPr>
          </w:p>
        </w:tc>
        <w:tc>
          <w:tcPr>
            <w:tcW w:w="20" w:type="dxa"/>
            <w:vAlign w:val="bottom"/>
          </w:tcPr>
          <w:p>
            <w:pPr>
              <w:spacing w:after="0"/>
              <w:rPr>
                <w:sz w:val="2"/>
                <w:szCs w:val="2"/>
                <w:color w:val="auto"/>
              </w:rPr>
            </w:pPr>
          </w:p>
        </w:tc>
      </w:tr>
      <w:tr>
        <w:trPr>
          <w:trHeight w:val="180"/>
        </w:trPr>
        <w:tc>
          <w:tcPr>
            <w:tcW w:w="140" w:type="dxa"/>
            <w:vAlign w:val="bottom"/>
          </w:tcPr>
          <w:p>
            <w:pPr>
              <w:spacing w:after="0"/>
              <w:rPr>
                <w:sz w:val="15"/>
                <w:szCs w:val="15"/>
                <w:color w:val="auto"/>
              </w:rPr>
            </w:pPr>
          </w:p>
        </w:tc>
        <w:tc>
          <w:tcPr>
            <w:tcW w:w="8440" w:type="dxa"/>
            <w:vAlign w:val="bottom"/>
            <w:gridSpan w:val="5"/>
          </w:tcPr>
          <w:p>
            <w:pPr>
              <w:jc w:val="right"/>
              <w:ind w:right="317"/>
              <w:spacing w:after="0"/>
              <w:rPr>
                <w:sz w:val="20"/>
                <w:szCs w:val="20"/>
                <w:color w:val="auto"/>
              </w:rPr>
            </w:pPr>
            <w:r>
              <w:rPr>
                <w:rFonts w:ascii="Calibri" w:cs="Calibri" w:eastAsia="Calibri" w:hAnsi="Calibri"/>
                <w:sz w:val="13"/>
                <w:szCs w:val="13"/>
                <w:color w:val="51555C"/>
              </w:rPr>
              <w:t>The accompanying notes are an integral part of these condensed consolidated fnancial statements.</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550"/>
        </w:trPr>
        <w:tc>
          <w:tcPr>
            <w:tcW w:w="140" w:type="dxa"/>
            <w:vAlign w:val="bottom"/>
          </w:tcPr>
          <w:p>
            <w:pPr>
              <w:ind w:left="20"/>
              <w:spacing w:after="0"/>
              <w:rPr>
                <w:sz w:val="20"/>
                <w:szCs w:val="20"/>
                <w:color w:val="auto"/>
              </w:rPr>
            </w:pPr>
            <w:r>
              <w:rPr>
                <w:rFonts w:ascii="Calibri" w:cs="Calibri" w:eastAsia="Calibri" w:hAnsi="Calibri"/>
                <w:sz w:val="11"/>
                <w:szCs w:val="11"/>
                <w:color w:val="51555C"/>
              </w:rPr>
              <w:t>4</w:t>
            </w:r>
          </w:p>
        </w:tc>
        <w:tc>
          <w:tcPr>
            <w:tcW w:w="5820" w:type="dxa"/>
            <w:vAlign w:val="bottom"/>
          </w:tcPr>
          <w:p>
            <w:pPr>
              <w:ind w:left="1500"/>
              <w:spacing w:after="0"/>
              <w:rPr>
                <w:sz w:val="20"/>
                <w:szCs w:val="20"/>
                <w:color w:val="auto"/>
              </w:rPr>
            </w:pPr>
            <w:r>
              <w:rPr>
                <w:rFonts w:ascii="Calibri" w:cs="Calibri" w:eastAsia="Calibri" w:hAnsi="Calibri"/>
                <w:sz w:val="11"/>
                <w:szCs w:val="11"/>
                <w:color w:val="51555C"/>
              </w:rPr>
              <w:t>Second Quarter 2024 Form 10-Q</w:t>
            </w: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1"/>
        </w:trPr>
        <w:tc>
          <w:tcPr>
            <w:tcW w:w="140" w:type="dxa"/>
            <w:vAlign w:val="bottom"/>
            <w:tcBorders>
              <w:bottom w:val="single" w:sz="8" w:color="9A9A9A"/>
            </w:tcBorders>
          </w:tcPr>
          <w:p>
            <w:pPr>
              <w:spacing w:after="0"/>
              <w:rPr>
                <w:sz w:val="24"/>
                <w:szCs w:val="24"/>
                <w:color w:val="auto"/>
              </w:rPr>
            </w:pPr>
          </w:p>
        </w:tc>
        <w:tc>
          <w:tcPr>
            <w:tcW w:w="58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3789680</wp:posOffset>
            </wp:positionH>
            <wp:positionV relativeFrom="paragraph">
              <wp:posOffset>-4742180</wp:posOffset>
            </wp:positionV>
            <wp:extent cx="3382010"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82010" cy="6985"/>
                    </a:xfrm>
                    <a:prstGeom prst="rect">
                      <a:avLst/>
                    </a:prstGeom>
                    <a:noFill/>
                  </pic:spPr>
                </pic:pic>
              </a:graphicData>
            </a:graphic>
          </wp:anchor>
        </w:drawing>
        <w:drawing>
          <wp:anchor simplePos="0" relativeHeight="251657728" behindDoc="1" locked="0" layoutInCell="0" allowOverlap="1">
            <wp:simplePos x="0" y="0"/>
            <wp:positionH relativeFrom="column">
              <wp:posOffset>252095</wp:posOffset>
            </wp:positionH>
            <wp:positionV relativeFrom="paragraph">
              <wp:posOffset>-295910</wp:posOffset>
            </wp:positionV>
            <wp:extent cx="532130" cy="134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32130" cy="134620"/>
                    </a:xfrm>
                    <a:prstGeom prst="rect">
                      <a:avLst/>
                    </a:prstGeom>
                    <a:noFill/>
                  </pic:spPr>
                </pic:pic>
              </a:graphicData>
            </a:graphic>
          </wp:anchor>
        </w:drawing>
      </w:r>
    </w:p>
    <w:p>
      <w:pPr>
        <w:sectPr>
          <w:pgSz w:w="11900" w:h="16838" w:orient="portrait"/>
          <w:cols w:equalWidth="0" w:num="1">
            <w:col w:w="11300"/>
          </w:cols>
          <w:pgMar w:left="300" w:top="1180" w:right="299" w:bottom="1440" w:gutter="0" w:footer="0" w:header="0"/>
        </w:sectPr>
      </w:pPr>
    </w:p>
    <w:bookmarkStart w:id="5" w:name="page6"/>
    <w:bookmarkEnd w:id="5"/>
    <w:p>
      <w:pPr>
        <w:jc w:val="center"/>
        <w:ind w:right="40"/>
        <w:spacing w:after="0"/>
        <w:rPr>
          <w:sz w:val="20"/>
          <w:szCs w:val="20"/>
          <w:color w:val="auto"/>
        </w:rPr>
      </w:pPr>
      <w:r>
        <w:rPr>
          <w:rFonts w:ascii="Calibri" w:cs="Calibri" w:eastAsia="Calibri" w:hAnsi="Calibri"/>
          <w:sz w:val="14"/>
          <w:szCs w:val="14"/>
          <w:b w:val="1"/>
          <w:bCs w:val="1"/>
          <w:color w:val="51555C"/>
        </w:rPr>
        <w:t>Blackbaud, Inc.</w:t>
      </w:r>
    </w:p>
    <w:p>
      <w:pPr>
        <w:jc w:val="center"/>
        <w:ind w:right="40"/>
        <w:spacing w:after="0" w:line="238" w:lineRule="auto"/>
        <w:rPr>
          <w:sz w:val="20"/>
          <w:szCs w:val="20"/>
          <w:color w:val="auto"/>
        </w:rPr>
      </w:pPr>
      <w:r>
        <w:rPr>
          <w:rFonts w:ascii="Calibri" w:cs="Calibri" w:eastAsia="Calibri" w:hAnsi="Calibri"/>
          <w:sz w:val="14"/>
          <w:szCs w:val="14"/>
          <w:b w:val="1"/>
          <w:bCs w:val="1"/>
          <w:color w:val="51555C"/>
        </w:rPr>
        <w:t>Condensed Consolidated Statements of Cash Flows</w:t>
      </w:r>
    </w:p>
    <w:p>
      <w:pPr>
        <w:jc w:val="center"/>
        <w:ind w:right="40"/>
        <w:spacing w:after="0"/>
        <w:rPr>
          <w:sz w:val="20"/>
          <w:szCs w:val="20"/>
          <w:color w:val="auto"/>
        </w:rPr>
      </w:pPr>
      <w:r>
        <w:rPr>
          <w:rFonts w:ascii="Calibri" w:cs="Calibri" w:eastAsia="Calibri" w:hAnsi="Calibri"/>
          <w:sz w:val="14"/>
          <w:szCs w:val="14"/>
          <w:b w:val="1"/>
          <w:bCs w:val="1"/>
          <w:color w:val="51555C"/>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24765</wp:posOffset>
            </wp:positionV>
            <wp:extent cx="7155180" cy="4578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5180" cy="457835"/>
                    </a:xfrm>
                    <a:prstGeom prst="rect">
                      <a:avLst/>
                    </a:prstGeom>
                    <a:noFill/>
                  </pic:spPr>
                </pic:pic>
              </a:graphicData>
            </a:graphic>
          </wp:anchor>
        </w:drawing>
      </w:r>
    </w:p>
    <w:p>
      <w:pPr>
        <w:spacing w:after="0" w:line="29" w:lineRule="exact"/>
        <w:rPr>
          <w:sz w:val="20"/>
          <w:szCs w:val="20"/>
          <w:color w:val="auto"/>
        </w:rPr>
      </w:pPr>
    </w:p>
    <w:p>
      <w:pPr>
        <w:jc w:val="right"/>
        <w:ind w:right="60"/>
        <w:spacing w:after="0"/>
        <w:rPr>
          <w:sz w:val="20"/>
          <w:szCs w:val="20"/>
          <w:color w:val="auto"/>
        </w:rPr>
      </w:pPr>
      <w:r>
        <w:rPr>
          <w:rFonts w:ascii="Calibri" w:cs="Calibri" w:eastAsia="Calibri" w:hAnsi="Calibri"/>
          <w:sz w:val="11"/>
          <w:szCs w:val="11"/>
          <w:b w:val="1"/>
          <w:bCs w:val="1"/>
          <w:color w:val="FFFFFF"/>
        </w:rPr>
        <w:t>Six months ended</w:t>
      </w:r>
    </w:p>
    <w:p>
      <w:pPr>
        <w:spacing w:after="0" w:line="4" w:lineRule="exact"/>
        <w:rPr>
          <w:sz w:val="20"/>
          <w:szCs w:val="20"/>
          <w:color w:val="auto"/>
        </w:rPr>
      </w:pPr>
    </w:p>
    <w:p>
      <w:pPr>
        <w:jc w:val="right"/>
        <w:ind w:right="60"/>
        <w:spacing w:after="0"/>
        <w:rPr>
          <w:sz w:val="20"/>
          <w:szCs w:val="20"/>
          <w:color w:val="auto"/>
        </w:rPr>
      </w:pPr>
      <w:r>
        <w:rPr>
          <w:rFonts w:ascii="Calibri" w:cs="Calibri" w:eastAsia="Calibri" w:hAnsi="Calibri"/>
          <w:sz w:val="11"/>
          <w:szCs w:val="11"/>
          <w:b w:val="1"/>
          <w:bCs w:val="1"/>
          <w:color w:val="FFFFFF"/>
        </w:rPr>
        <w:t>June 30,</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860" w:type="dxa"/>
            <w:vAlign w:val="bottom"/>
          </w:tcPr>
          <w:p>
            <w:pPr>
              <w:ind w:left="20"/>
              <w:spacing w:after="0"/>
              <w:rPr>
                <w:sz w:val="20"/>
                <w:szCs w:val="20"/>
                <w:color w:val="auto"/>
              </w:rPr>
            </w:pPr>
            <w:r>
              <w:rPr>
                <w:rFonts w:ascii="Calibri" w:cs="Calibri" w:eastAsia="Calibri" w:hAnsi="Calibri"/>
                <w:sz w:val="11"/>
                <w:szCs w:val="11"/>
                <w:b w:val="1"/>
                <w:bCs w:val="1"/>
                <w:color w:val="FFFFFF"/>
              </w:rPr>
              <w:t>(dollars in thousands)</w:t>
            </w:r>
          </w:p>
        </w:tc>
        <w:tc>
          <w:tcPr>
            <w:tcW w:w="120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2024</w:t>
            </w:r>
          </w:p>
        </w:tc>
        <w:tc>
          <w:tcPr>
            <w:tcW w:w="120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2023</w:t>
            </w:r>
          </w:p>
        </w:tc>
        <w:tc>
          <w:tcPr>
            <w:tcW w:w="20" w:type="dxa"/>
            <w:vAlign w:val="bottom"/>
          </w:tcPr>
          <w:p>
            <w:pPr>
              <w:spacing w:after="0"/>
              <w:rPr>
                <w:sz w:val="13"/>
                <w:szCs w:val="13"/>
                <w:color w:val="auto"/>
              </w:rPr>
            </w:pPr>
          </w:p>
        </w:tc>
      </w:tr>
      <w:tr>
        <w:trPr>
          <w:trHeight w:val="36"/>
        </w:trPr>
        <w:tc>
          <w:tcPr>
            <w:tcW w:w="8860" w:type="dxa"/>
            <w:vAlign w:val="bottom"/>
            <w:tcBorders>
              <w:bottom w:val="single" w:sz="8" w:color="004054"/>
            </w:tcBorders>
          </w:tcPr>
          <w:p>
            <w:pPr>
              <w:spacing w:after="0"/>
              <w:rPr>
                <w:sz w:val="3"/>
                <w:szCs w:val="3"/>
                <w:color w:val="auto"/>
              </w:rPr>
            </w:pPr>
          </w:p>
        </w:tc>
        <w:tc>
          <w:tcPr>
            <w:tcW w:w="1200" w:type="dxa"/>
            <w:vAlign w:val="bottom"/>
            <w:tcBorders>
              <w:bottom w:val="single" w:sz="8" w:color="004054"/>
            </w:tcBorders>
            <w:shd w:val="clear" w:color="auto" w:fill="004054"/>
          </w:tcPr>
          <w:p>
            <w:pPr>
              <w:spacing w:after="0"/>
              <w:rPr>
                <w:sz w:val="3"/>
                <w:szCs w:val="3"/>
                <w:color w:val="auto"/>
              </w:rPr>
            </w:pPr>
          </w:p>
        </w:tc>
        <w:tc>
          <w:tcPr>
            <w:tcW w:w="1200" w:type="dxa"/>
            <w:vAlign w:val="bottom"/>
            <w:tcBorders>
              <w:bottom w:val="single" w:sz="8" w:color="004054"/>
            </w:tcBorders>
            <w:shd w:val="clear" w:color="auto" w:fill="004054"/>
          </w:tcPr>
          <w:p>
            <w:pPr>
              <w:spacing w:after="0"/>
              <w:rPr>
                <w:sz w:val="3"/>
                <w:szCs w:val="3"/>
                <w:color w:val="auto"/>
              </w:rPr>
            </w:pPr>
          </w:p>
        </w:tc>
        <w:tc>
          <w:tcPr>
            <w:tcW w:w="20" w:type="dxa"/>
            <w:vAlign w:val="bottom"/>
            <w:tcBorders>
              <w:bottom w:val="single" w:sz="8" w:color="004054"/>
            </w:tcBorders>
          </w:tcPr>
          <w:p>
            <w:pPr>
              <w:spacing w:after="0"/>
              <w:rPr>
                <w:sz w:val="3"/>
                <w:szCs w:val="3"/>
                <w:color w:val="auto"/>
              </w:rPr>
            </w:pPr>
          </w:p>
        </w:tc>
      </w:tr>
    </w:tbl>
    <w:p>
      <w:pPr>
        <w:spacing w:after="0" w:line="1" w:lineRule="exact"/>
        <w:rPr>
          <w:sz w:val="20"/>
          <w:szCs w:val="20"/>
          <w:color w:val="auto"/>
        </w:rPr>
      </w:pPr>
    </w:p>
    <w:p>
      <w:pPr>
        <w:sectPr>
          <w:pgSz w:w="11900" w:h="16838" w:orient="portrait"/>
          <w:cols w:equalWidth="0" w:num="1">
            <w:col w:w="11300"/>
          </w:cols>
          <w:pgMar w:left="300" w:top="1180" w:right="299" w:bottom="1440" w:gutter="0" w:footer="0" w:header="0"/>
        </w:sectPr>
      </w:pPr>
    </w:p>
    <w:p>
      <w:pPr>
        <w:ind w:left="20"/>
        <w:spacing w:after="0" w:line="237" w:lineRule="auto"/>
        <w:rPr>
          <w:sz w:val="20"/>
          <w:szCs w:val="20"/>
          <w:color w:val="auto"/>
        </w:rPr>
      </w:pPr>
      <w:r>
        <w:rPr>
          <w:rFonts w:ascii="Calibri" w:cs="Calibri" w:eastAsia="Calibri" w:hAnsi="Calibri"/>
          <w:sz w:val="13"/>
          <w:szCs w:val="13"/>
          <w:b w:val="1"/>
          <w:bCs w:val="1"/>
          <w:color w:val="51555C"/>
        </w:rPr>
        <w:t>Cash fows from operatng actvites</w:t>
      </w:r>
    </w:p>
    <w:p>
      <w:pPr>
        <w:spacing w:after="0" w:line="33" w:lineRule="exact"/>
        <w:rPr>
          <w:sz w:val="20"/>
          <w:szCs w:val="20"/>
          <w:color w:val="auto"/>
        </w:rPr>
      </w:pPr>
    </w:p>
    <w:p>
      <w:pPr>
        <w:ind w:left="100"/>
        <w:spacing w:after="0"/>
        <w:rPr>
          <w:sz w:val="20"/>
          <w:szCs w:val="20"/>
          <w:color w:val="auto"/>
        </w:rPr>
      </w:pPr>
      <w:r>
        <w:rPr>
          <w:rFonts w:ascii="Calibri" w:cs="Calibri" w:eastAsia="Calibri" w:hAnsi="Calibri"/>
          <w:sz w:val="13"/>
          <w:szCs w:val="13"/>
          <w:color w:val="51555C"/>
        </w:rPr>
        <w:t>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7148195" cy="1212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8195" cy="121285"/>
                    </a:xfrm>
                    <a:prstGeom prst="rect">
                      <a:avLst/>
                    </a:prstGeom>
                    <a:noFill/>
                  </pic:spPr>
                </pic:pic>
              </a:graphicData>
            </a:graphic>
          </wp:anchor>
        </w:drawing>
      </w:r>
    </w:p>
    <w:p>
      <w:pPr>
        <w:spacing w:after="0" w:line="12" w:lineRule="exact"/>
        <w:rPr>
          <w:sz w:val="20"/>
          <w:szCs w:val="20"/>
          <w:color w:val="auto"/>
        </w:rPr>
      </w:pPr>
    </w:p>
    <w:p>
      <w:pPr>
        <w:ind w:left="180"/>
        <w:spacing w:after="0"/>
        <w:rPr>
          <w:sz w:val="20"/>
          <w:szCs w:val="20"/>
          <w:color w:val="auto"/>
        </w:rPr>
      </w:pPr>
      <w:r>
        <w:rPr>
          <w:rFonts w:ascii="Calibri" w:cs="Calibri" w:eastAsia="Calibri" w:hAnsi="Calibri"/>
          <w:sz w:val="13"/>
          <w:szCs w:val="13"/>
          <w:color w:val="51555C"/>
        </w:rPr>
        <w:t>Adjustments to reconcile net income (loss) to net cash provided by operatng actvites:</w:t>
      </w:r>
    </w:p>
    <w:p>
      <w:pPr>
        <w:spacing w:after="0" w:line="32" w:lineRule="exact"/>
        <w:rPr>
          <w:sz w:val="20"/>
          <w:szCs w:val="20"/>
          <w:color w:val="auto"/>
        </w:rPr>
      </w:pPr>
    </w:p>
    <w:p>
      <w:pPr>
        <w:ind w:left="360"/>
        <w:spacing w:after="0"/>
        <w:rPr>
          <w:sz w:val="20"/>
          <w:szCs w:val="20"/>
          <w:color w:val="auto"/>
        </w:rPr>
      </w:pPr>
      <w:r>
        <w:rPr>
          <w:rFonts w:ascii="Calibri" w:cs="Calibri" w:eastAsia="Calibri" w:hAnsi="Calibri"/>
          <w:sz w:val="13"/>
          <w:szCs w:val="13"/>
          <w:color w:val="51555C"/>
        </w:rPr>
        <w:t>Depreciaton and amortzaton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7148195" cy="1212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8195" cy="121285"/>
                    </a:xfrm>
                    <a:prstGeom prst="rect">
                      <a:avLst/>
                    </a:prstGeom>
                    <a:noFill/>
                  </pic:spPr>
                </pic:pic>
              </a:graphicData>
            </a:graphic>
          </wp:anchor>
        </w:drawing>
      </w:r>
    </w:p>
    <w:p>
      <w:pPr>
        <w:spacing w:after="0" w:line="12" w:lineRule="exact"/>
        <w:rPr>
          <w:sz w:val="20"/>
          <w:szCs w:val="20"/>
          <w:color w:val="auto"/>
        </w:rPr>
      </w:pPr>
    </w:p>
    <w:p>
      <w:pPr>
        <w:ind w:left="360"/>
        <w:spacing w:after="0"/>
        <w:rPr>
          <w:sz w:val="20"/>
          <w:szCs w:val="20"/>
          <w:color w:val="auto"/>
        </w:rPr>
      </w:pPr>
      <w:r>
        <w:rPr>
          <w:rFonts w:ascii="Calibri" w:cs="Calibri" w:eastAsia="Calibri" w:hAnsi="Calibri"/>
          <w:sz w:val="13"/>
          <w:szCs w:val="13"/>
          <w:color w:val="51555C"/>
        </w:rPr>
        <w:t>Provision for credit losses and sales returns</w:t>
      </w:r>
    </w:p>
    <w:p>
      <w:pPr>
        <w:spacing w:after="0" w:line="32" w:lineRule="exact"/>
        <w:rPr>
          <w:sz w:val="20"/>
          <w:szCs w:val="20"/>
          <w:color w:val="auto"/>
        </w:rPr>
      </w:pPr>
    </w:p>
    <w:p>
      <w:pPr>
        <w:ind w:left="360"/>
        <w:spacing w:after="0"/>
        <w:rPr>
          <w:sz w:val="20"/>
          <w:szCs w:val="20"/>
          <w:color w:val="auto"/>
        </w:rPr>
      </w:pPr>
      <w:r>
        <w:rPr>
          <w:rFonts w:ascii="Calibri" w:cs="Calibri" w:eastAsia="Calibri" w:hAnsi="Calibri"/>
          <w:sz w:val="13"/>
          <w:szCs w:val="13"/>
          <w:color w:val="51555C"/>
        </w:rPr>
        <w:t>Stock-based compensaton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7148195" cy="1212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8195" cy="121285"/>
                    </a:xfrm>
                    <a:prstGeom prst="rect">
                      <a:avLst/>
                    </a:prstGeom>
                    <a:noFill/>
                  </pic:spPr>
                </pic:pic>
              </a:graphicData>
            </a:graphic>
          </wp:anchor>
        </w:drawing>
      </w:r>
    </w:p>
    <w:p>
      <w:pPr>
        <w:spacing w:after="0" w:line="12" w:lineRule="exact"/>
        <w:rPr>
          <w:sz w:val="20"/>
          <w:szCs w:val="20"/>
          <w:color w:val="auto"/>
        </w:rPr>
      </w:pPr>
    </w:p>
    <w:p>
      <w:pPr>
        <w:ind w:left="360"/>
        <w:spacing w:after="0"/>
        <w:rPr>
          <w:sz w:val="20"/>
          <w:szCs w:val="20"/>
          <w:color w:val="auto"/>
        </w:rPr>
      </w:pPr>
      <w:r>
        <w:rPr>
          <w:rFonts w:ascii="Calibri" w:cs="Calibri" w:eastAsia="Calibri" w:hAnsi="Calibri"/>
          <w:sz w:val="13"/>
          <w:szCs w:val="13"/>
          <w:color w:val="51555C"/>
        </w:rPr>
        <w:t>Deferred taxes</w:t>
      </w:r>
    </w:p>
    <w:p>
      <w:pPr>
        <w:spacing w:after="0" w:line="32" w:lineRule="exact"/>
        <w:rPr>
          <w:sz w:val="20"/>
          <w:szCs w:val="20"/>
          <w:color w:val="auto"/>
        </w:rPr>
      </w:pPr>
    </w:p>
    <w:p>
      <w:pPr>
        <w:ind w:left="360"/>
        <w:spacing w:after="0"/>
        <w:rPr>
          <w:sz w:val="20"/>
          <w:szCs w:val="20"/>
          <w:color w:val="auto"/>
        </w:rPr>
      </w:pPr>
      <w:r>
        <w:rPr>
          <w:rFonts w:ascii="Calibri" w:cs="Calibri" w:eastAsia="Calibri" w:hAnsi="Calibri"/>
          <w:sz w:val="13"/>
          <w:szCs w:val="13"/>
          <w:color w:val="51555C"/>
        </w:rPr>
        <w:t>Amortzaton of deferred fnancing costs and discount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7148195" cy="1212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8195" cy="121285"/>
                    </a:xfrm>
                    <a:prstGeom prst="rect">
                      <a:avLst/>
                    </a:prstGeom>
                    <a:noFill/>
                  </pic:spPr>
                </pic:pic>
              </a:graphicData>
            </a:graphic>
          </wp:anchor>
        </w:drawing>
      </w:r>
    </w:p>
    <w:p>
      <w:pPr>
        <w:spacing w:after="0" w:line="12" w:lineRule="exact"/>
        <w:rPr>
          <w:sz w:val="20"/>
          <w:szCs w:val="20"/>
          <w:color w:val="auto"/>
        </w:rPr>
      </w:pPr>
    </w:p>
    <w:p>
      <w:pPr>
        <w:ind w:left="360"/>
        <w:spacing w:after="0"/>
        <w:rPr>
          <w:sz w:val="20"/>
          <w:szCs w:val="20"/>
          <w:color w:val="auto"/>
        </w:rPr>
      </w:pPr>
      <w:r>
        <w:rPr>
          <w:rFonts w:ascii="Calibri" w:cs="Calibri" w:eastAsia="Calibri" w:hAnsi="Calibri"/>
          <w:sz w:val="13"/>
          <w:szCs w:val="13"/>
          <w:color w:val="51555C"/>
        </w:rPr>
        <w:t>Loss on dispositon of business</w:t>
      </w:r>
    </w:p>
    <w:p>
      <w:pPr>
        <w:spacing w:after="0" w:line="32" w:lineRule="exact"/>
        <w:rPr>
          <w:sz w:val="20"/>
          <w:szCs w:val="20"/>
          <w:color w:val="auto"/>
        </w:rPr>
      </w:pPr>
    </w:p>
    <w:p>
      <w:pPr>
        <w:ind w:left="360"/>
        <w:spacing w:after="0"/>
        <w:rPr>
          <w:sz w:val="20"/>
          <w:szCs w:val="20"/>
          <w:color w:val="auto"/>
        </w:rPr>
      </w:pPr>
      <w:r>
        <w:rPr>
          <w:rFonts w:ascii="Calibri" w:cs="Calibri" w:eastAsia="Calibri" w:hAnsi="Calibri"/>
          <w:sz w:val="13"/>
          <w:szCs w:val="13"/>
          <w:color w:val="51555C"/>
        </w:rPr>
        <w:t>Other non-cash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7148195" cy="1212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8195" cy="121285"/>
                    </a:xfrm>
                    <a:prstGeom prst="rect">
                      <a:avLst/>
                    </a:prstGeom>
                    <a:noFill/>
                  </pic:spPr>
                </pic:pic>
              </a:graphicData>
            </a:graphic>
          </wp:anchor>
        </w:drawing>
      </w:r>
    </w:p>
    <w:p>
      <w:pPr>
        <w:spacing w:after="0" w:line="21" w:lineRule="exact"/>
        <w:rPr>
          <w:sz w:val="20"/>
          <w:szCs w:val="20"/>
          <w:color w:val="auto"/>
        </w:rPr>
      </w:pPr>
    </w:p>
    <w:p>
      <w:pPr>
        <w:ind w:left="360"/>
        <w:spacing w:after="0"/>
        <w:rPr>
          <w:sz w:val="20"/>
          <w:szCs w:val="20"/>
          <w:color w:val="auto"/>
        </w:rPr>
      </w:pPr>
      <w:r>
        <w:rPr>
          <w:rFonts w:ascii="Calibri" w:cs="Calibri" w:eastAsia="Calibri" w:hAnsi="Calibri"/>
          <w:sz w:val="12"/>
          <w:szCs w:val="12"/>
          <w:color w:val="51555C"/>
        </w:rPr>
        <w:t>Changes in operatng assets and liabilites, net of acquisiton and disposal of businesses:</w:t>
      </w:r>
    </w:p>
    <w:p>
      <w:pPr>
        <w:spacing w:after="0" w:line="35" w:lineRule="exact"/>
        <w:rPr>
          <w:sz w:val="20"/>
          <w:szCs w:val="20"/>
          <w:color w:val="auto"/>
        </w:rPr>
      </w:pPr>
    </w:p>
    <w:p>
      <w:pPr>
        <w:ind w:left="440"/>
        <w:spacing w:after="0"/>
        <w:rPr>
          <w:sz w:val="20"/>
          <w:szCs w:val="20"/>
          <w:color w:val="auto"/>
        </w:rPr>
      </w:pPr>
      <w:r>
        <w:rPr>
          <w:rFonts w:ascii="Calibri" w:cs="Calibri" w:eastAsia="Calibri" w:hAnsi="Calibri"/>
          <w:sz w:val="13"/>
          <w:szCs w:val="13"/>
          <w:color w:val="51555C"/>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7148195" cy="1212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8195" cy="121285"/>
                    </a:xfrm>
                    <a:prstGeom prst="rect">
                      <a:avLst/>
                    </a:prstGeom>
                    <a:noFill/>
                  </pic:spPr>
                </pic:pic>
              </a:graphicData>
            </a:graphic>
          </wp:anchor>
        </w:drawing>
      </w:r>
    </w:p>
    <w:p>
      <w:pPr>
        <w:spacing w:after="0" w:line="12" w:lineRule="exact"/>
        <w:rPr>
          <w:sz w:val="20"/>
          <w:szCs w:val="20"/>
          <w:color w:val="auto"/>
        </w:rPr>
      </w:pPr>
    </w:p>
    <w:p>
      <w:pPr>
        <w:ind w:left="440"/>
        <w:spacing w:after="0"/>
        <w:rPr>
          <w:sz w:val="20"/>
          <w:szCs w:val="20"/>
          <w:color w:val="auto"/>
        </w:rPr>
      </w:pPr>
      <w:r>
        <w:rPr>
          <w:rFonts w:ascii="Calibri" w:cs="Calibri" w:eastAsia="Calibri" w:hAnsi="Calibri"/>
          <w:sz w:val="13"/>
          <w:szCs w:val="13"/>
          <w:color w:val="51555C"/>
        </w:rPr>
        <w:t>Prepaid expenses and other assets</w:t>
      </w:r>
    </w:p>
    <w:p>
      <w:pPr>
        <w:spacing w:after="0" w:line="32" w:lineRule="exact"/>
        <w:rPr>
          <w:sz w:val="20"/>
          <w:szCs w:val="20"/>
          <w:color w:val="auto"/>
        </w:rPr>
      </w:pPr>
    </w:p>
    <w:p>
      <w:pPr>
        <w:ind w:left="440"/>
        <w:spacing w:after="0"/>
        <w:rPr>
          <w:sz w:val="20"/>
          <w:szCs w:val="20"/>
          <w:color w:val="auto"/>
        </w:rPr>
      </w:pPr>
      <w:r>
        <w:rPr>
          <w:rFonts w:ascii="Calibri" w:cs="Calibri" w:eastAsia="Calibri" w:hAnsi="Calibri"/>
          <w:sz w:val="13"/>
          <w:szCs w:val="13"/>
          <w:color w:val="51555C"/>
        </w:rPr>
        <w:t>Trade 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7148195" cy="1212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8195" cy="121285"/>
                    </a:xfrm>
                    <a:prstGeom prst="rect">
                      <a:avLst/>
                    </a:prstGeom>
                    <a:noFill/>
                  </pic:spPr>
                </pic:pic>
              </a:graphicData>
            </a:graphic>
          </wp:anchor>
        </w:drawing>
      </w:r>
    </w:p>
    <w:p>
      <w:pPr>
        <w:spacing w:after="0" w:line="12" w:lineRule="exact"/>
        <w:rPr>
          <w:sz w:val="20"/>
          <w:szCs w:val="20"/>
          <w:color w:val="auto"/>
        </w:rPr>
      </w:pPr>
    </w:p>
    <w:p>
      <w:pPr>
        <w:ind w:left="440"/>
        <w:spacing w:after="0"/>
        <w:rPr>
          <w:sz w:val="20"/>
          <w:szCs w:val="20"/>
          <w:color w:val="auto"/>
        </w:rPr>
      </w:pPr>
      <w:r>
        <w:rPr>
          <w:rFonts w:ascii="Calibri" w:cs="Calibri" w:eastAsia="Calibri" w:hAnsi="Calibri"/>
          <w:sz w:val="13"/>
          <w:szCs w:val="13"/>
          <w:color w:val="51555C"/>
        </w:rPr>
        <w:t>Accrued expenses and other liabilites</w:t>
      </w:r>
    </w:p>
    <w:p>
      <w:pPr>
        <w:spacing w:after="0" w:line="32" w:lineRule="exact"/>
        <w:rPr>
          <w:sz w:val="20"/>
          <w:szCs w:val="20"/>
          <w:color w:val="auto"/>
        </w:rPr>
      </w:pPr>
    </w:p>
    <w:p>
      <w:pPr>
        <w:ind w:left="440"/>
        <w:spacing w:after="0"/>
        <w:rPr>
          <w:sz w:val="20"/>
          <w:szCs w:val="20"/>
          <w:color w:val="auto"/>
        </w:rPr>
      </w:pPr>
      <w:r>
        <w:rPr>
          <w:rFonts w:ascii="Calibri" w:cs="Calibri" w:eastAsia="Calibri" w:hAnsi="Calibri"/>
          <w:sz w:val="13"/>
          <w:szCs w:val="13"/>
          <w:color w:val="51555C"/>
        </w:rPr>
        <w:t>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7148195" cy="1282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8195" cy="128270"/>
                    </a:xfrm>
                    <a:prstGeom prst="rect">
                      <a:avLst/>
                    </a:prstGeom>
                    <a:noFill/>
                  </pic:spPr>
                </pic:pic>
              </a:graphicData>
            </a:graphic>
          </wp:anchor>
        </w:drawing>
      </w:r>
    </w:p>
    <w:p>
      <w:pPr>
        <w:spacing w:after="0" w:line="12" w:lineRule="exact"/>
        <w:rPr>
          <w:sz w:val="20"/>
          <w:szCs w:val="20"/>
          <w:color w:val="auto"/>
        </w:rPr>
      </w:pPr>
    </w:p>
    <w:p>
      <w:pPr>
        <w:ind w:left="620"/>
        <w:spacing w:after="0"/>
        <w:rPr>
          <w:sz w:val="20"/>
          <w:szCs w:val="20"/>
          <w:color w:val="auto"/>
        </w:rPr>
      </w:pPr>
      <w:r>
        <w:rPr>
          <w:rFonts w:ascii="Calibri" w:cs="Calibri" w:eastAsia="Calibri" w:hAnsi="Calibri"/>
          <w:sz w:val="13"/>
          <w:szCs w:val="13"/>
          <w:b w:val="1"/>
          <w:bCs w:val="1"/>
          <w:color w:val="51555C"/>
        </w:rPr>
        <w:t>Net cash provided by operatng actvites</w:t>
      </w:r>
    </w:p>
    <w:p>
      <w:pPr>
        <w:spacing w:after="0" w:line="43" w:lineRule="exact"/>
        <w:rPr>
          <w:sz w:val="20"/>
          <w:szCs w:val="20"/>
          <w:color w:val="auto"/>
        </w:rPr>
      </w:pPr>
    </w:p>
    <w:p>
      <w:pPr>
        <w:ind w:left="20"/>
        <w:spacing w:after="0"/>
        <w:rPr>
          <w:sz w:val="20"/>
          <w:szCs w:val="20"/>
          <w:color w:val="auto"/>
        </w:rPr>
      </w:pPr>
      <w:r>
        <w:rPr>
          <w:rFonts w:ascii="Calibri" w:cs="Calibri" w:eastAsia="Calibri" w:hAnsi="Calibri"/>
          <w:sz w:val="13"/>
          <w:szCs w:val="13"/>
          <w:b w:val="1"/>
          <w:bCs w:val="1"/>
          <w:color w:val="51555C"/>
        </w:rPr>
        <w:t>Cash fows from investng actvites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7148195" cy="1212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8195" cy="121285"/>
                    </a:xfrm>
                    <a:prstGeom prst="rect">
                      <a:avLst/>
                    </a:prstGeom>
                    <a:noFill/>
                  </pic:spPr>
                </pic:pic>
              </a:graphicData>
            </a:graphic>
          </wp:anchor>
        </w:drawing>
      </w:r>
    </w:p>
    <w:p>
      <w:pPr>
        <w:spacing w:after="0" w:line="12" w:lineRule="exact"/>
        <w:rPr>
          <w:sz w:val="20"/>
          <w:szCs w:val="20"/>
          <w:color w:val="auto"/>
        </w:rPr>
      </w:pPr>
    </w:p>
    <w:p>
      <w:pPr>
        <w:ind w:left="100"/>
        <w:spacing w:after="0"/>
        <w:rPr>
          <w:sz w:val="20"/>
          <w:szCs w:val="20"/>
          <w:color w:val="auto"/>
        </w:rPr>
      </w:pPr>
      <w:r>
        <w:rPr>
          <w:rFonts w:ascii="Calibri" w:cs="Calibri" w:eastAsia="Calibri" w:hAnsi="Calibri"/>
          <w:sz w:val="13"/>
          <w:szCs w:val="13"/>
          <w:color w:val="51555C"/>
        </w:rPr>
        <w:t>Purchase of property and equipment</w:t>
      </w:r>
    </w:p>
    <w:p>
      <w:pPr>
        <w:spacing w:after="0" w:line="32" w:lineRule="exact"/>
        <w:rPr>
          <w:sz w:val="20"/>
          <w:szCs w:val="20"/>
          <w:color w:val="auto"/>
        </w:rPr>
      </w:pPr>
    </w:p>
    <w:p>
      <w:pPr>
        <w:ind w:left="100"/>
        <w:spacing w:after="0"/>
        <w:rPr>
          <w:sz w:val="20"/>
          <w:szCs w:val="20"/>
          <w:color w:val="auto"/>
        </w:rPr>
      </w:pPr>
      <w:r>
        <w:rPr>
          <w:rFonts w:ascii="Calibri" w:cs="Calibri" w:eastAsia="Calibri" w:hAnsi="Calibri"/>
          <w:sz w:val="13"/>
          <w:szCs w:val="13"/>
          <w:color w:val="51555C"/>
        </w:rPr>
        <w:t>Capitalized sofware and content development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7148195" cy="1212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8195" cy="121285"/>
                    </a:xfrm>
                    <a:prstGeom prst="rect">
                      <a:avLst/>
                    </a:prstGeom>
                    <a:noFill/>
                  </pic:spPr>
                </pic:pic>
              </a:graphicData>
            </a:graphic>
          </wp:anchor>
        </w:drawing>
      </w:r>
    </w:p>
    <w:p>
      <w:pPr>
        <w:spacing w:after="0" w:line="12" w:lineRule="exact"/>
        <w:rPr>
          <w:sz w:val="20"/>
          <w:szCs w:val="20"/>
          <w:color w:val="auto"/>
        </w:rPr>
      </w:pPr>
    </w:p>
    <w:p>
      <w:pPr>
        <w:ind w:left="100"/>
        <w:spacing w:after="0"/>
        <w:rPr>
          <w:sz w:val="20"/>
          <w:szCs w:val="20"/>
          <w:color w:val="auto"/>
        </w:rPr>
      </w:pPr>
      <w:r>
        <w:rPr>
          <w:rFonts w:ascii="Calibri" w:cs="Calibri" w:eastAsia="Calibri" w:hAnsi="Calibri"/>
          <w:sz w:val="13"/>
          <w:szCs w:val="13"/>
          <w:color w:val="51555C"/>
        </w:rPr>
        <w:t>Net cash used in dispositon of business</w:t>
      </w:r>
    </w:p>
    <w:p>
      <w:pPr>
        <w:spacing w:after="0" w:line="32" w:lineRule="exact"/>
        <w:rPr>
          <w:sz w:val="20"/>
          <w:szCs w:val="20"/>
          <w:color w:val="auto"/>
        </w:rPr>
      </w:pPr>
    </w:p>
    <w:p>
      <w:pPr>
        <w:ind w:left="100"/>
        <w:spacing w:after="0"/>
        <w:rPr>
          <w:sz w:val="20"/>
          <w:szCs w:val="20"/>
          <w:color w:val="auto"/>
        </w:rPr>
      </w:pPr>
      <w:r>
        <w:rPr>
          <w:rFonts w:ascii="Calibri" w:cs="Calibri" w:eastAsia="Calibri" w:hAnsi="Calibri"/>
          <w:sz w:val="13"/>
          <w:szCs w:val="13"/>
          <w:color w:val="51555C"/>
        </w:rPr>
        <w:t>Other investng actvites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7148195" cy="1282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8195" cy="128270"/>
                    </a:xfrm>
                    <a:prstGeom prst="rect">
                      <a:avLst/>
                    </a:prstGeom>
                    <a:noFill/>
                  </pic:spPr>
                </pic:pic>
              </a:graphicData>
            </a:graphic>
          </wp:anchor>
        </w:drawing>
      </w:r>
    </w:p>
    <w:p>
      <w:pPr>
        <w:spacing w:after="0" w:line="12" w:lineRule="exact"/>
        <w:rPr>
          <w:sz w:val="20"/>
          <w:szCs w:val="20"/>
          <w:color w:val="auto"/>
        </w:rPr>
      </w:pPr>
    </w:p>
    <w:p>
      <w:pPr>
        <w:ind w:left="620"/>
        <w:spacing w:after="0"/>
        <w:rPr>
          <w:sz w:val="20"/>
          <w:szCs w:val="20"/>
          <w:color w:val="auto"/>
        </w:rPr>
      </w:pPr>
      <w:r>
        <w:rPr>
          <w:rFonts w:ascii="Calibri" w:cs="Calibri" w:eastAsia="Calibri" w:hAnsi="Calibri"/>
          <w:sz w:val="13"/>
          <w:szCs w:val="13"/>
          <w:b w:val="1"/>
          <w:bCs w:val="1"/>
          <w:color w:val="51555C"/>
        </w:rPr>
        <w:t>Net cash used in investng actvites</w:t>
      </w:r>
    </w:p>
    <w:p>
      <w:pPr>
        <w:spacing w:after="0" w:line="43" w:lineRule="exact"/>
        <w:rPr>
          <w:sz w:val="20"/>
          <w:szCs w:val="20"/>
          <w:color w:val="auto"/>
        </w:rPr>
      </w:pPr>
    </w:p>
    <w:p>
      <w:pPr>
        <w:ind w:left="20"/>
        <w:spacing w:after="0"/>
        <w:rPr>
          <w:sz w:val="20"/>
          <w:szCs w:val="20"/>
          <w:color w:val="auto"/>
        </w:rPr>
      </w:pPr>
      <w:r>
        <w:rPr>
          <w:rFonts w:ascii="Calibri" w:cs="Calibri" w:eastAsia="Calibri" w:hAnsi="Calibri"/>
          <w:sz w:val="13"/>
          <w:szCs w:val="13"/>
          <w:b w:val="1"/>
          <w:bCs w:val="1"/>
          <w:color w:val="51555C"/>
        </w:rPr>
        <w:t>Cash fows from fnancing actvites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7148195" cy="1212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8195" cy="121285"/>
                    </a:xfrm>
                    <a:prstGeom prst="rect">
                      <a:avLst/>
                    </a:prstGeom>
                    <a:noFill/>
                  </pic:spPr>
                </pic:pic>
              </a:graphicData>
            </a:graphic>
          </wp:anchor>
        </w:drawing>
      </w:r>
    </w:p>
    <w:p>
      <w:pPr>
        <w:spacing w:after="0" w:line="12" w:lineRule="exact"/>
        <w:rPr>
          <w:sz w:val="20"/>
          <w:szCs w:val="20"/>
          <w:color w:val="auto"/>
        </w:rPr>
      </w:pPr>
    </w:p>
    <w:p>
      <w:pPr>
        <w:ind w:left="100"/>
        <w:spacing w:after="0"/>
        <w:rPr>
          <w:sz w:val="20"/>
          <w:szCs w:val="20"/>
          <w:color w:val="auto"/>
        </w:rPr>
      </w:pPr>
      <w:r>
        <w:rPr>
          <w:rFonts w:ascii="Calibri" w:cs="Calibri" w:eastAsia="Calibri" w:hAnsi="Calibri"/>
          <w:sz w:val="13"/>
          <w:szCs w:val="13"/>
          <w:color w:val="51555C"/>
        </w:rPr>
        <w:t>Proceeds from issuance of debt</w:t>
      </w:r>
    </w:p>
    <w:p>
      <w:pPr>
        <w:spacing w:after="0" w:line="32" w:lineRule="exact"/>
        <w:rPr>
          <w:sz w:val="20"/>
          <w:szCs w:val="20"/>
          <w:color w:val="auto"/>
        </w:rPr>
      </w:pPr>
    </w:p>
    <w:p>
      <w:pPr>
        <w:ind w:left="100"/>
        <w:spacing w:after="0"/>
        <w:rPr>
          <w:sz w:val="20"/>
          <w:szCs w:val="20"/>
          <w:color w:val="auto"/>
        </w:rPr>
      </w:pPr>
      <w:r>
        <w:rPr>
          <w:rFonts w:ascii="Calibri" w:cs="Calibri" w:eastAsia="Calibri" w:hAnsi="Calibri"/>
          <w:sz w:val="13"/>
          <w:szCs w:val="13"/>
          <w:color w:val="51555C"/>
        </w:rPr>
        <w:t>Payments on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7148195" cy="1212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8195" cy="121285"/>
                    </a:xfrm>
                    <a:prstGeom prst="rect">
                      <a:avLst/>
                    </a:prstGeom>
                    <a:noFill/>
                  </pic:spPr>
                </pic:pic>
              </a:graphicData>
            </a:graphic>
          </wp:anchor>
        </w:drawing>
      </w:r>
    </w:p>
    <w:p>
      <w:pPr>
        <w:spacing w:after="0" w:line="12" w:lineRule="exact"/>
        <w:rPr>
          <w:sz w:val="20"/>
          <w:szCs w:val="20"/>
          <w:color w:val="auto"/>
        </w:rPr>
      </w:pPr>
    </w:p>
    <w:p>
      <w:pPr>
        <w:ind w:left="100"/>
        <w:spacing w:after="0"/>
        <w:rPr>
          <w:sz w:val="20"/>
          <w:szCs w:val="20"/>
          <w:color w:val="auto"/>
        </w:rPr>
      </w:pPr>
      <w:r>
        <w:rPr>
          <w:rFonts w:ascii="Calibri" w:cs="Calibri" w:eastAsia="Calibri" w:hAnsi="Calibri"/>
          <w:sz w:val="13"/>
          <w:szCs w:val="13"/>
          <w:color w:val="51555C"/>
        </w:rPr>
        <w:t>Debt issuance costs</w:t>
      </w:r>
    </w:p>
    <w:p>
      <w:pPr>
        <w:spacing w:after="0" w:line="32" w:lineRule="exact"/>
        <w:rPr>
          <w:sz w:val="20"/>
          <w:szCs w:val="20"/>
          <w:color w:val="auto"/>
        </w:rPr>
      </w:pPr>
    </w:p>
    <w:p>
      <w:pPr>
        <w:ind w:left="100"/>
        <w:spacing w:after="0"/>
        <w:rPr>
          <w:sz w:val="20"/>
          <w:szCs w:val="20"/>
          <w:color w:val="auto"/>
        </w:rPr>
      </w:pPr>
      <w:r>
        <w:rPr>
          <w:rFonts w:ascii="Calibri" w:cs="Calibri" w:eastAsia="Calibri" w:hAnsi="Calibri"/>
          <w:sz w:val="13"/>
          <w:szCs w:val="13"/>
          <w:color w:val="51555C"/>
        </w:rPr>
        <w:t>Employee taxes paid for withheld shares upon equity award setlement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7148195" cy="1212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8195" cy="121285"/>
                    </a:xfrm>
                    <a:prstGeom prst="rect">
                      <a:avLst/>
                    </a:prstGeom>
                    <a:noFill/>
                  </pic:spPr>
                </pic:pic>
              </a:graphicData>
            </a:graphic>
          </wp:anchor>
        </w:drawing>
      </w:r>
    </w:p>
    <w:p>
      <w:pPr>
        <w:spacing w:after="0" w:line="12" w:lineRule="exact"/>
        <w:rPr>
          <w:sz w:val="20"/>
          <w:szCs w:val="20"/>
          <w:color w:val="auto"/>
        </w:rPr>
      </w:pPr>
    </w:p>
    <w:p>
      <w:pPr>
        <w:ind w:left="100"/>
        <w:spacing w:after="0"/>
        <w:rPr>
          <w:sz w:val="20"/>
          <w:szCs w:val="20"/>
          <w:color w:val="auto"/>
        </w:rPr>
      </w:pPr>
      <w:r>
        <w:rPr>
          <w:rFonts w:ascii="Calibri" w:cs="Calibri" w:eastAsia="Calibri" w:hAnsi="Calibri"/>
          <w:sz w:val="13"/>
          <w:szCs w:val="13"/>
          <w:color w:val="51555C"/>
        </w:rPr>
        <w:t>Change in due to customers</w:t>
      </w:r>
    </w:p>
    <w:p>
      <w:pPr>
        <w:spacing w:after="0" w:line="32" w:lineRule="exact"/>
        <w:rPr>
          <w:sz w:val="20"/>
          <w:szCs w:val="20"/>
          <w:color w:val="auto"/>
        </w:rPr>
      </w:pPr>
    </w:p>
    <w:p>
      <w:pPr>
        <w:ind w:left="100"/>
        <w:spacing w:after="0"/>
        <w:rPr>
          <w:sz w:val="20"/>
          <w:szCs w:val="20"/>
          <w:color w:val="auto"/>
        </w:rPr>
      </w:pPr>
      <w:r>
        <w:rPr>
          <w:rFonts w:ascii="Calibri" w:cs="Calibri" w:eastAsia="Calibri" w:hAnsi="Calibri"/>
          <w:sz w:val="13"/>
          <w:szCs w:val="13"/>
          <w:color w:val="51555C"/>
        </w:rPr>
        <w:t>Change in customer funds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7148195" cy="1212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8195" cy="121285"/>
                    </a:xfrm>
                    <a:prstGeom prst="rect">
                      <a:avLst/>
                    </a:prstGeom>
                    <a:noFill/>
                  </pic:spPr>
                </pic:pic>
              </a:graphicData>
            </a:graphic>
          </wp:anchor>
        </w:drawing>
      </w:r>
    </w:p>
    <w:p>
      <w:pPr>
        <w:spacing w:after="0" w:line="12" w:lineRule="exact"/>
        <w:rPr>
          <w:sz w:val="20"/>
          <w:szCs w:val="20"/>
          <w:color w:val="auto"/>
        </w:rPr>
      </w:pPr>
    </w:p>
    <w:p>
      <w:pPr>
        <w:ind w:left="100"/>
        <w:spacing w:after="0"/>
        <w:rPr>
          <w:sz w:val="20"/>
          <w:szCs w:val="20"/>
          <w:color w:val="auto"/>
        </w:rPr>
      </w:pPr>
      <w:r>
        <w:rPr>
          <w:rFonts w:ascii="Calibri" w:cs="Calibri" w:eastAsia="Calibri" w:hAnsi="Calibri"/>
          <w:sz w:val="13"/>
          <w:szCs w:val="13"/>
          <w:color w:val="51555C"/>
        </w:rPr>
        <w:t>Purchase of treasury stock</w:t>
      </w:r>
    </w:p>
    <w:p>
      <w:pPr>
        <w:spacing w:after="0" w:line="32" w:lineRule="exact"/>
        <w:rPr>
          <w:sz w:val="20"/>
          <w:szCs w:val="20"/>
          <w:color w:val="auto"/>
        </w:rPr>
      </w:pPr>
    </w:p>
    <w:p>
      <w:pPr>
        <w:ind w:left="620"/>
        <w:spacing w:after="0"/>
        <w:rPr>
          <w:sz w:val="20"/>
          <w:szCs w:val="20"/>
          <w:color w:val="auto"/>
        </w:rPr>
      </w:pPr>
      <w:r>
        <w:rPr>
          <w:rFonts w:ascii="Calibri" w:cs="Calibri" w:eastAsia="Calibri" w:hAnsi="Calibri"/>
          <w:sz w:val="13"/>
          <w:szCs w:val="13"/>
          <w:b w:val="1"/>
          <w:bCs w:val="1"/>
          <w:color w:val="51555C"/>
        </w:rPr>
        <w:t>Net cash provided by fnancing actvites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27940</wp:posOffset>
            </wp:positionV>
            <wp:extent cx="7148195" cy="1212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8195" cy="121285"/>
                    </a:xfrm>
                    <a:prstGeom prst="rect">
                      <a:avLst/>
                    </a:prstGeom>
                    <a:noFill/>
                  </pic:spPr>
                </pic:pic>
              </a:graphicData>
            </a:graphic>
          </wp:anchor>
        </w:drawing>
      </w:r>
    </w:p>
    <w:p>
      <w:pPr>
        <w:spacing w:after="0" w:line="23" w:lineRule="exact"/>
        <w:rPr>
          <w:sz w:val="20"/>
          <w:szCs w:val="20"/>
          <w:color w:val="auto"/>
        </w:rPr>
      </w:pPr>
    </w:p>
    <w:p>
      <w:pPr>
        <w:ind w:left="100"/>
        <w:spacing w:after="0"/>
        <w:rPr>
          <w:sz w:val="20"/>
          <w:szCs w:val="20"/>
          <w:color w:val="auto"/>
        </w:rPr>
      </w:pPr>
      <w:r>
        <w:rPr>
          <w:rFonts w:ascii="Calibri" w:cs="Calibri" w:eastAsia="Calibri" w:hAnsi="Calibri"/>
          <w:sz w:val="13"/>
          <w:szCs w:val="13"/>
          <w:color w:val="51555C"/>
        </w:rPr>
        <w:t>Efect of exchange rate on cash, cash equivalents and restricted cash</w:t>
      </w:r>
    </w:p>
    <w:p>
      <w:pPr>
        <w:spacing w:after="0" w:line="32" w:lineRule="exact"/>
        <w:rPr>
          <w:sz w:val="20"/>
          <w:szCs w:val="20"/>
          <w:color w:val="auto"/>
        </w:rPr>
      </w:pPr>
    </w:p>
    <w:p>
      <w:pPr>
        <w:ind w:left="20"/>
        <w:spacing w:after="0"/>
        <w:rPr>
          <w:sz w:val="20"/>
          <w:szCs w:val="20"/>
          <w:color w:val="auto"/>
        </w:rPr>
      </w:pPr>
      <w:r>
        <w:rPr>
          <w:rFonts w:ascii="Calibri" w:cs="Calibri" w:eastAsia="Calibri" w:hAnsi="Calibri"/>
          <w:sz w:val="13"/>
          <w:szCs w:val="13"/>
          <w:b w:val="1"/>
          <w:bCs w:val="1"/>
          <w:color w:val="51555C"/>
        </w:rPr>
        <w:t>Net increase in cash,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27940</wp:posOffset>
            </wp:positionV>
            <wp:extent cx="7148195" cy="1212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8195" cy="121285"/>
                    </a:xfrm>
                    <a:prstGeom prst="rect">
                      <a:avLst/>
                    </a:prstGeom>
                    <a:noFill/>
                  </pic:spPr>
                </pic:pic>
              </a:graphicData>
            </a:graphic>
          </wp:anchor>
        </w:drawing>
      </w:r>
    </w:p>
    <w:p>
      <w:pPr>
        <w:spacing w:after="0" w:line="23" w:lineRule="exact"/>
        <w:rPr>
          <w:sz w:val="20"/>
          <w:szCs w:val="20"/>
          <w:color w:val="auto"/>
        </w:rPr>
      </w:pPr>
    </w:p>
    <w:p>
      <w:pPr>
        <w:ind w:left="20"/>
        <w:spacing w:after="0"/>
        <w:rPr>
          <w:sz w:val="20"/>
          <w:szCs w:val="20"/>
          <w:color w:val="auto"/>
        </w:rPr>
      </w:pPr>
      <w:r>
        <w:rPr>
          <w:rFonts w:ascii="Calibri" w:cs="Calibri" w:eastAsia="Calibri" w:hAnsi="Calibri"/>
          <w:sz w:val="13"/>
          <w:szCs w:val="13"/>
          <w:b w:val="1"/>
          <w:bCs w:val="1"/>
          <w:color w:val="51555C"/>
        </w:rPr>
        <w:t>Cash, cash equivalents and restricted cash, beginning of period</w:t>
      </w:r>
    </w:p>
    <w:p>
      <w:pPr>
        <w:spacing w:after="0" w:line="32" w:lineRule="exact"/>
        <w:rPr>
          <w:sz w:val="20"/>
          <w:szCs w:val="20"/>
          <w:color w:val="auto"/>
        </w:rPr>
      </w:pPr>
    </w:p>
    <w:p>
      <w:pPr>
        <w:ind w:left="20"/>
        <w:spacing w:after="0"/>
        <w:rPr>
          <w:sz w:val="20"/>
          <w:szCs w:val="20"/>
          <w:color w:val="auto"/>
        </w:rPr>
      </w:pPr>
      <w:r>
        <w:rPr>
          <w:rFonts w:ascii="Calibri" w:cs="Calibri" w:eastAsia="Calibri" w:hAnsi="Calibri"/>
          <w:sz w:val="13"/>
          <w:szCs w:val="13"/>
          <w:b w:val="1"/>
          <w:bCs w:val="1"/>
          <w:color w:val="51555C"/>
        </w:rPr>
        <w:t>Cash, cash equivalents and restricted cash,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27940</wp:posOffset>
            </wp:positionV>
            <wp:extent cx="7148195"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tabs>
          <w:tab w:leader="none" w:pos="760" w:val="left"/>
          <w:tab w:leader="none" w:pos="1920" w:val="left"/>
        </w:tabs>
        <w:rPr>
          <w:sz w:val="20"/>
          <w:szCs w:val="20"/>
          <w:color w:val="auto"/>
        </w:rPr>
      </w:pPr>
      <w:r>
        <w:rPr>
          <w:rFonts w:ascii="Calibri" w:cs="Calibri" w:eastAsia="Calibri" w:hAnsi="Calibri"/>
          <w:sz w:val="13"/>
          <w:szCs w:val="13"/>
          <w:color w:val="51555C"/>
        </w:rPr>
        <w:t>$</w:t>
      </w:r>
      <w:r>
        <w:rPr>
          <w:sz w:val="20"/>
          <w:szCs w:val="20"/>
          <w:color w:val="auto"/>
        </w:rPr>
        <w:tab/>
      </w:r>
      <w:r>
        <w:rPr>
          <w:rFonts w:ascii="Calibri" w:cs="Calibri" w:eastAsia="Calibri" w:hAnsi="Calibri"/>
          <w:sz w:val="13"/>
          <w:szCs w:val="13"/>
          <w:color w:val="51555C"/>
        </w:rPr>
        <w:t>27,050 $</w:t>
      </w:r>
      <w:r>
        <w:rPr>
          <w:sz w:val="20"/>
          <w:szCs w:val="20"/>
          <w:color w:val="auto"/>
        </w:rPr>
        <w:tab/>
      </w:r>
      <w:r>
        <w:rPr>
          <w:rFonts w:ascii="Calibri" w:cs="Calibri" w:eastAsia="Calibri" w:hAnsi="Calibri"/>
          <w:sz w:val="12"/>
          <w:szCs w:val="12"/>
          <w:color w:val="51555C"/>
        </w:rPr>
        <w:t>(12,596)</w:t>
      </w:r>
    </w:p>
    <w:p>
      <w:pPr>
        <w:spacing w:after="0" w:line="223" w:lineRule="exact"/>
        <w:rPr>
          <w:sz w:val="20"/>
          <w:szCs w:val="20"/>
          <w:color w:val="auto"/>
        </w:rPr>
      </w:pPr>
    </w:p>
    <w:p>
      <w:pPr>
        <w:ind w:left="780"/>
        <w:spacing w:after="0"/>
        <w:tabs>
          <w:tab w:leader="none" w:pos="1960" w:val="left"/>
        </w:tabs>
        <w:rPr>
          <w:sz w:val="20"/>
          <w:szCs w:val="20"/>
          <w:color w:val="auto"/>
        </w:rPr>
      </w:pPr>
      <w:r>
        <w:rPr>
          <w:rFonts w:ascii="Calibri" w:cs="Calibri" w:eastAsia="Calibri" w:hAnsi="Calibri"/>
          <w:sz w:val="13"/>
          <w:szCs w:val="13"/>
          <w:color w:val="51555C"/>
        </w:rPr>
        <w:t>60,553</w:t>
      </w:r>
      <w:r>
        <w:rPr>
          <w:sz w:val="20"/>
          <w:szCs w:val="20"/>
          <w:color w:val="auto"/>
        </w:rPr>
        <w:tab/>
      </w:r>
      <w:r>
        <w:rPr>
          <w:rFonts w:ascii="Calibri" w:cs="Calibri" w:eastAsia="Calibri" w:hAnsi="Calibri"/>
          <w:sz w:val="13"/>
          <w:szCs w:val="13"/>
          <w:color w:val="51555C"/>
        </w:rPr>
        <w:t>53,622</w:t>
      </w:r>
    </w:p>
    <w:p>
      <w:pPr>
        <w:spacing w:after="0" w:line="32" w:lineRule="exact"/>
        <w:rPr>
          <w:sz w:val="20"/>
          <w:szCs w:val="20"/>
          <w:color w:val="auto"/>
        </w:rPr>
      </w:pPr>
    </w:p>
    <w:p>
      <w:pPr>
        <w:ind w:left="2060" w:hanging="1111"/>
        <w:spacing w:after="0"/>
        <w:tabs>
          <w:tab w:leader="none" w:pos="2060" w:val="left"/>
        </w:tabs>
        <w:numPr>
          <w:ilvl w:val="0"/>
          <w:numId w:val="3"/>
        </w:numPr>
        <w:rPr>
          <w:rFonts w:ascii="Calibri" w:cs="Calibri" w:eastAsia="Calibri" w:hAnsi="Calibri"/>
          <w:sz w:val="13"/>
          <w:szCs w:val="13"/>
          <w:color w:val="51555C"/>
        </w:rPr>
      </w:pPr>
      <w:r>
        <w:rPr>
          <w:rFonts w:ascii="Calibri" w:cs="Calibri" w:eastAsia="Calibri" w:hAnsi="Calibri"/>
          <w:sz w:val="13"/>
          <w:szCs w:val="13"/>
          <w:color w:val="51555C"/>
        </w:rPr>
        <w:t>3,798</w:t>
      </w:r>
    </w:p>
    <w:p>
      <w:pPr>
        <w:spacing w:after="0" w:line="32" w:lineRule="exact"/>
        <w:rPr>
          <w:rFonts w:ascii="Calibri" w:cs="Calibri" w:eastAsia="Calibri" w:hAnsi="Calibri"/>
          <w:sz w:val="13"/>
          <w:szCs w:val="13"/>
          <w:color w:val="51555C"/>
        </w:rPr>
      </w:pPr>
    </w:p>
    <w:p>
      <w:pPr>
        <w:ind w:left="780"/>
        <w:spacing w:after="0"/>
        <w:rPr>
          <w:rFonts w:ascii="Calibri" w:cs="Calibri" w:eastAsia="Calibri" w:hAnsi="Calibri"/>
          <w:sz w:val="13"/>
          <w:szCs w:val="13"/>
          <w:color w:val="51555C"/>
        </w:rPr>
      </w:pPr>
      <w:r>
        <w:rPr>
          <w:rFonts w:ascii="Calibri" w:cs="Calibri" w:eastAsia="Calibri" w:hAnsi="Calibri"/>
          <w:sz w:val="13"/>
          <w:szCs w:val="13"/>
          <w:color w:val="51555C"/>
        </w:rPr>
        <w:t>57,856</w:t>
      </w:r>
      <w:r>
        <w:rPr>
          <w:rFonts w:ascii="Calibri" w:cs="Calibri" w:eastAsia="Calibri" w:hAnsi="Calibri"/>
          <w:sz w:val="12"/>
          <w:szCs w:val="12"/>
          <w:color w:val="51555C"/>
        </w:rPr>
        <w:t>63,289</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560" w:type="dxa"/>
            <w:vAlign w:val="bottom"/>
          </w:tcPr>
          <w:p>
            <w:pPr>
              <w:jc w:val="right"/>
              <w:ind w:right="316"/>
              <w:spacing w:after="0"/>
              <w:rPr>
                <w:sz w:val="20"/>
                <w:szCs w:val="20"/>
                <w:color w:val="auto"/>
              </w:rPr>
            </w:pPr>
            <w:r>
              <w:rPr>
                <w:rFonts w:ascii="Calibri" w:cs="Calibri" w:eastAsia="Calibri" w:hAnsi="Calibri"/>
                <w:sz w:val="13"/>
                <w:szCs w:val="13"/>
                <w:color w:val="51555C"/>
              </w:rPr>
              <w:t>(18,810)</w:t>
            </w:r>
          </w:p>
        </w:tc>
        <w:tc>
          <w:tcPr>
            <w:tcW w:w="840" w:type="dxa"/>
            <w:vAlign w:val="bottom"/>
          </w:tcPr>
          <w:p>
            <w:pPr>
              <w:jc w:val="right"/>
              <w:spacing w:after="0"/>
              <w:rPr>
                <w:sz w:val="20"/>
                <w:szCs w:val="20"/>
                <w:color w:val="auto"/>
              </w:rPr>
            </w:pPr>
            <w:r>
              <w:rPr>
                <w:rFonts w:ascii="Calibri" w:cs="Calibri" w:eastAsia="Calibri" w:hAnsi="Calibri"/>
                <w:sz w:val="13"/>
                <w:szCs w:val="13"/>
                <w:color w:val="51555C"/>
              </w:rPr>
              <w:t>(33,101)</w:t>
            </w:r>
          </w:p>
        </w:tc>
      </w:tr>
      <w:tr>
        <w:trPr>
          <w:trHeight w:val="191"/>
        </w:trPr>
        <w:tc>
          <w:tcPr>
            <w:tcW w:w="1560" w:type="dxa"/>
            <w:vAlign w:val="bottom"/>
          </w:tcPr>
          <w:p>
            <w:pPr>
              <w:jc w:val="right"/>
              <w:ind w:right="356"/>
              <w:spacing w:after="0"/>
              <w:rPr>
                <w:sz w:val="20"/>
                <w:szCs w:val="20"/>
                <w:color w:val="auto"/>
              </w:rPr>
            </w:pPr>
            <w:r>
              <w:rPr>
                <w:rFonts w:ascii="Calibri" w:cs="Calibri" w:eastAsia="Calibri" w:hAnsi="Calibri"/>
                <w:sz w:val="13"/>
                <w:szCs w:val="13"/>
                <w:color w:val="51555C"/>
              </w:rPr>
              <w:t>984</w:t>
            </w:r>
          </w:p>
        </w:tc>
        <w:tc>
          <w:tcPr>
            <w:tcW w:w="840" w:type="dxa"/>
            <w:vAlign w:val="bottom"/>
          </w:tcPr>
          <w:p>
            <w:pPr>
              <w:jc w:val="right"/>
              <w:spacing w:after="0"/>
              <w:rPr>
                <w:sz w:val="20"/>
                <w:szCs w:val="20"/>
                <w:color w:val="auto"/>
              </w:rPr>
            </w:pPr>
            <w:r>
              <w:rPr>
                <w:rFonts w:ascii="Calibri" w:cs="Calibri" w:eastAsia="Calibri" w:hAnsi="Calibri"/>
                <w:sz w:val="13"/>
                <w:szCs w:val="13"/>
                <w:color w:val="51555C"/>
              </w:rPr>
              <w:t>963</w:t>
            </w:r>
          </w:p>
        </w:tc>
      </w:tr>
      <w:tr>
        <w:trPr>
          <w:trHeight w:val="191"/>
        </w:trPr>
        <w:tc>
          <w:tcPr>
            <w:tcW w:w="1560" w:type="dxa"/>
            <w:vAlign w:val="bottom"/>
          </w:tcPr>
          <w:p>
            <w:pPr>
              <w:jc w:val="right"/>
              <w:ind w:right="356"/>
              <w:spacing w:after="0"/>
              <w:rPr>
                <w:sz w:val="20"/>
                <w:szCs w:val="20"/>
                <w:color w:val="auto"/>
              </w:rPr>
            </w:pPr>
            <w:r>
              <w:rPr>
                <w:rFonts w:ascii="Calibri" w:cs="Calibri" w:eastAsia="Calibri" w:hAnsi="Calibri"/>
                <w:sz w:val="13"/>
                <w:szCs w:val="13"/>
                <w:color w:val="51555C"/>
              </w:rPr>
              <w:t>1,561</w:t>
            </w:r>
          </w:p>
        </w:tc>
        <w:tc>
          <w:tcPr>
            <w:tcW w:w="840" w:type="dxa"/>
            <w:vAlign w:val="bottom"/>
          </w:tcPr>
          <w:p>
            <w:pPr>
              <w:jc w:val="right"/>
              <w:spacing w:after="0"/>
              <w:rPr>
                <w:sz w:val="20"/>
                <w:szCs w:val="20"/>
                <w:color w:val="auto"/>
              </w:rPr>
            </w:pPr>
            <w:r>
              <w:rPr>
                <w:rFonts w:ascii="Calibri" w:cs="Calibri" w:eastAsia="Calibri" w:hAnsi="Calibri"/>
                <w:sz w:val="13"/>
                <w:szCs w:val="13"/>
                <w:color w:val="51555C"/>
              </w:rPr>
              <w:t>—</w:t>
            </w:r>
          </w:p>
        </w:tc>
      </w:tr>
      <w:tr>
        <w:trPr>
          <w:trHeight w:val="191"/>
        </w:trPr>
        <w:tc>
          <w:tcPr>
            <w:tcW w:w="1560" w:type="dxa"/>
            <w:vAlign w:val="bottom"/>
          </w:tcPr>
          <w:p>
            <w:pPr>
              <w:jc w:val="right"/>
              <w:ind w:right="356"/>
              <w:spacing w:after="0"/>
              <w:rPr>
                <w:sz w:val="20"/>
                <w:szCs w:val="20"/>
                <w:color w:val="auto"/>
              </w:rPr>
            </w:pPr>
            <w:r>
              <w:rPr>
                <w:rFonts w:ascii="Calibri" w:cs="Calibri" w:eastAsia="Calibri" w:hAnsi="Calibri"/>
                <w:sz w:val="13"/>
                <w:szCs w:val="13"/>
                <w:color w:val="51555C"/>
              </w:rPr>
              <w:t>2,462</w:t>
            </w:r>
          </w:p>
        </w:tc>
        <w:tc>
          <w:tcPr>
            <w:tcW w:w="840" w:type="dxa"/>
            <w:vAlign w:val="bottom"/>
          </w:tcPr>
          <w:p>
            <w:pPr>
              <w:jc w:val="right"/>
              <w:spacing w:after="0"/>
              <w:rPr>
                <w:sz w:val="20"/>
                <w:szCs w:val="20"/>
                <w:color w:val="auto"/>
              </w:rPr>
            </w:pPr>
            <w:r>
              <w:rPr>
                <w:rFonts w:ascii="Calibri" w:cs="Calibri" w:eastAsia="Calibri" w:hAnsi="Calibri"/>
                <w:sz w:val="13"/>
                <w:szCs w:val="13"/>
                <w:color w:val="51555C"/>
              </w:rPr>
              <w:t>(1,569)</w:t>
            </w:r>
          </w:p>
        </w:tc>
      </w:tr>
      <w:tr>
        <w:trPr>
          <w:trHeight w:val="382"/>
        </w:trPr>
        <w:tc>
          <w:tcPr>
            <w:tcW w:w="1560" w:type="dxa"/>
            <w:vAlign w:val="bottom"/>
          </w:tcPr>
          <w:p>
            <w:pPr>
              <w:jc w:val="right"/>
              <w:ind w:right="316"/>
              <w:spacing w:after="0"/>
              <w:rPr>
                <w:sz w:val="20"/>
                <w:szCs w:val="20"/>
                <w:color w:val="auto"/>
              </w:rPr>
            </w:pPr>
            <w:r>
              <w:rPr>
                <w:rFonts w:ascii="Calibri" w:cs="Calibri" w:eastAsia="Calibri" w:hAnsi="Calibri"/>
                <w:sz w:val="13"/>
                <w:szCs w:val="13"/>
                <w:color w:val="51555C"/>
              </w:rPr>
              <w:t>(53,062)</w:t>
            </w:r>
          </w:p>
        </w:tc>
        <w:tc>
          <w:tcPr>
            <w:tcW w:w="840" w:type="dxa"/>
            <w:vAlign w:val="bottom"/>
          </w:tcPr>
          <w:p>
            <w:pPr>
              <w:jc w:val="right"/>
              <w:spacing w:after="0"/>
              <w:rPr>
                <w:sz w:val="20"/>
                <w:szCs w:val="20"/>
                <w:color w:val="auto"/>
              </w:rPr>
            </w:pPr>
            <w:r>
              <w:rPr>
                <w:rFonts w:ascii="Calibri" w:cs="Calibri" w:eastAsia="Calibri" w:hAnsi="Calibri"/>
                <w:sz w:val="13"/>
                <w:szCs w:val="13"/>
                <w:color w:val="51555C"/>
              </w:rPr>
              <w:t>(69,624)</w:t>
            </w:r>
          </w:p>
        </w:tc>
      </w:tr>
      <w:tr>
        <w:trPr>
          <w:trHeight w:val="191"/>
        </w:trPr>
        <w:tc>
          <w:tcPr>
            <w:tcW w:w="1560" w:type="dxa"/>
            <w:vAlign w:val="bottom"/>
          </w:tcPr>
          <w:p>
            <w:pPr>
              <w:jc w:val="right"/>
              <w:ind w:right="316"/>
              <w:spacing w:after="0"/>
              <w:rPr>
                <w:sz w:val="20"/>
                <w:szCs w:val="20"/>
                <w:color w:val="auto"/>
              </w:rPr>
            </w:pPr>
            <w:r>
              <w:rPr>
                <w:rFonts w:ascii="Calibri" w:cs="Calibri" w:eastAsia="Calibri" w:hAnsi="Calibri"/>
                <w:sz w:val="13"/>
                <w:szCs w:val="13"/>
                <w:color w:val="51555C"/>
              </w:rPr>
              <w:t>(2,473)</w:t>
            </w:r>
          </w:p>
        </w:tc>
        <w:tc>
          <w:tcPr>
            <w:tcW w:w="840" w:type="dxa"/>
            <w:vAlign w:val="bottom"/>
          </w:tcPr>
          <w:p>
            <w:pPr>
              <w:jc w:val="right"/>
              <w:spacing w:after="0"/>
              <w:rPr>
                <w:sz w:val="20"/>
                <w:szCs w:val="20"/>
                <w:color w:val="auto"/>
              </w:rPr>
            </w:pPr>
            <w:r>
              <w:rPr>
                <w:rFonts w:ascii="Calibri" w:cs="Calibri" w:eastAsia="Calibri" w:hAnsi="Calibri"/>
                <w:sz w:val="13"/>
                <w:szCs w:val="13"/>
                <w:color w:val="51555C"/>
              </w:rPr>
              <w:t>9,470</w:t>
            </w:r>
          </w:p>
        </w:tc>
      </w:tr>
      <w:tr>
        <w:trPr>
          <w:trHeight w:val="191"/>
        </w:trPr>
        <w:tc>
          <w:tcPr>
            <w:tcW w:w="1560" w:type="dxa"/>
            <w:vAlign w:val="bottom"/>
          </w:tcPr>
          <w:p>
            <w:pPr>
              <w:jc w:val="right"/>
              <w:ind w:right="356"/>
              <w:spacing w:after="0"/>
              <w:rPr>
                <w:sz w:val="20"/>
                <w:szCs w:val="20"/>
                <w:color w:val="auto"/>
              </w:rPr>
            </w:pPr>
            <w:r>
              <w:rPr>
                <w:rFonts w:ascii="Calibri" w:cs="Calibri" w:eastAsia="Calibri" w:hAnsi="Calibri"/>
                <w:sz w:val="13"/>
                <w:szCs w:val="13"/>
                <w:color w:val="51555C"/>
              </w:rPr>
              <w:t>19,146</w:t>
            </w:r>
          </w:p>
        </w:tc>
        <w:tc>
          <w:tcPr>
            <w:tcW w:w="840" w:type="dxa"/>
            <w:vAlign w:val="bottom"/>
          </w:tcPr>
          <w:p>
            <w:pPr>
              <w:jc w:val="right"/>
              <w:spacing w:after="0"/>
              <w:rPr>
                <w:sz w:val="20"/>
                <w:szCs w:val="20"/>
                <w:color w:val="auto"/>
              </w:rPr>
            </w:pPr>
            <w:r>
              <w:rPr>
                <w:rFonts w:ascii="Calibri" w:cs="Calibri" w:eastAsia="Calibri" w:hAnsi="Calibri"/>
                <w:sz w:val="13"/>
                <w:szCs w:val="13"/>
                <w:color w:val="51555C"/>
              </w:rPr>
              <w:t>(3,431)</w:t>
            </w:r>
          </w:p>
        </w:tc>
      </w:tr>
      <w:tr>
        <w:trPr>
          <w:trHeight w:val="191"/>
        </w:trPr>
        <w:tc>
          <w:tcPr>
            <w:tcW w:w="1560" w:type="dxa"/>
            <w:vAlign w:val="bottom"/>
          </w:tcPr>
          <w:p>
            <w:pPr>
              <w:jc w:val="right"/>
              <w:ind w:right="316"/>
              <w:spacing w:after="0"/>
              <w:rPr>
                <w:sz w:val="20"/>
                <w:szCs w:val="20"/>
                <w:color w:val="auto"/>
              </w:rPr>
            </w:pPr>
            <w:r>
              <w:rPr>
                <w:rFonts w:ascii="Calibri" w:cs="Calibri" w:eastAsia="Calibri" w:hAnsi="Calibri"/>
                <w:sz w:val="13"/>
                <w:szCs w:val="13"/>
                <w:color w:val="51555C"/>
              </w:rPr>
              <w:t>(13,579)</w:t>
            </w:r>
          </w:p>
        </w:tc>
        <w:tc>
          <w:tcPr>
            <w:tcW w:w="840" w:type="dxa"/>
            <w:vAlign w:val="bottom"/>
          </w:tcPr>
          <w:p>
            <w:pPr>
              <w:jc w:val="right"/>
              <w:spacing w:after="0"/>
              <w:rPr>
                <w:sz w:val="20"/>
                <w:szCs w:val="20"/>
                <w:color w:val="auto"/>
              </w:rPr>
            </w:pPr>
            <w:r>
              <w:rPr>
                <w:rFonts w:ascii="Calibri" w:cs="Calibri" w:eastAsia="Calibri" w:hAnsi="Calibri"/>
                <w:sz w:val="13"/>
                <w:szCs w:val="13"/>
                <w:color w:val="51555C"/>
              </w:rPr>
              <w:t>11,948</w:t>
            </w:r>
          </w:p>
        </w:tc>
      </w:tr>
      <w:tr>
        <w:trPr>
          <w:trHeight w:val="191"/>
        </w:trPr>
        <w:tc>
          <w:tcPr>
            <w:tcW w:w="1560" w:type="dxa"/>
            <w:vAlign w:val="bottom"/>
          </w:tcPr>
          <w:p>
            <w:pPr>
              <w:jc w:val="right"/>
              <w:ind w:right="356"/>
              <w:spacing w:after="0"/>
              <w:rPr>
                <w:sz w:val="20"/>
                <w:szCs w:val="20"/>
                <w:color w:val="auto"/>
              </w:rPr>
            </w:pPr>
            <w:r>
              <w:rPr>
                <w:rFonts w:ascii="Calibri" w:cs="Calibri" w:eastAsia="Calibri" w:hAnsi="Calibri"/>
                <w:sz w:val="13"/>
                <w:szCs w:val="13"/>
                <w:color w:val="51555C"/>
              </w:rPr>
              <w:t>36,228</w:t>
            </w:r>
          </w:p>
        </w:tc>
        <w:tc>
          <w:tcPr>
            <w:tcW w:w="840" w:type="dxa"/>
            <w:vAlign w:val="bottom"/>
          </w:tcPr>
          <w:p>
            <w:pPr>
              <w:jc w:val="right"/>
              <w:spacing w:after="0"/>
              <w:rPr>
                <w:sz w:val="20"/>
                <w:szCs w:val="20"/>
                <w:color w:val="auto"/>
              </w:rPr>
            </w:pPr>
            <w:r>
              <w:rPr>
                <w:rFonts w:ascii="Calibri" w:cs="Calibri" w:eastAsia="Calibri" w:hAnsi="Calibri"/>
                <w:sz w:val="13"/>
                <w:szCs w:val="13"/>
                <w:color w:val="51555C"/>
              </w:rPr>
              <w:t>52,233</w:t>
            </w:r>
          </w:p>
        </w:tc>
      </w:tr>
      <w:tr>
        <w:trPr>
          <w:trHeight w:val="34"/>
        </w:trPr>
        <w:tc>
          <w:tcPr>
            <w:tcW w:w="1560" w:type="dxa"/>
            <w:vAlign w:val="bottom"/>
            <w:tcBorders>
              <w:bottom w:val="single" w:sz="8" w:color="51555C"/>
            </w:tcBorders>
          </w:tcPr>
          <w:p>
            <w:pPr>
              <w:spacing w:after="0"/>
              <w:rPr>
                <w:sz w:val="2"/>
                <w:szCs w:val="2"/>
                <w:color w:val="auto"/>
              </w:rPr>
            </w:pPr>
          </w:p>
        </w:tc>
        <w:tc>
          <w:tcPr>
            <w:tcW w:w="840" w:type="dxa"/>
            <w:vAlign w:val="bottom"/>
            <w:tcBorders>
              <w:bottom w:val="single" w:sz="8" w:color="51555C"/>
            </w:tcBorders>
          </w:tcPr>
          <w:p>
            <w:pPr>
              <w:spacing w:after="0"/>
              <w:rPr>
                <w:sz w:val="2"/>
                <w:szCs w:val="2"/>
                <w:color w:val="auto"/>
              </w:rPr>
            </w:pPr>
          </w:p>
        </w:tc>
      </w:tr>
      <w:tr>
        <w:trPr>
          <w:trHeight w:val="148"/>
        </w:trPr>
        <w:tc>
          <w:tcPr>
            <w:tcW w:w="1560" w:type="dxa"/>
            <w:vAlign w:val="bottom"/>
          </w:tcPr>
          <w:p>
            <w:pPr>
              <w:jc w:val="right"/>
              <w:ind w:right="356"/>
              <w:spacing w:after="0" w:line="148" w:lineRule="exact"/>
              <w:rPr>
                <w:sz w:val="20"/>
                <w:szCs w:val="20"/>
                <w:color w:val="auto"/>
              </w:rPr>
            </w:pPr>
            <w:r>
              <w:rPr>
                <w:rFonts w:ascii="Calibri" w:cs="Calibri" w:eastAsia="Calibri" w:hAnsi="Calibri"/>
                <w:sz w:val="13"/>
                <w:szCs w:val="13"/>
                <w:color w:val="51555C"/>
              </w:rPr>
              <w:t>118,435</w:t>
            </w:r>
          </w:p>
        </w:tc>
        <w:tc>
          <w:tcPr>
            <w:tcW w:w="840" w:type="dxa"/>
            <w:vAlign w:val="bottom"/>
          </w:tcPr>
          <w:p>
            <w:pPr>
              <w:jc w:val="right"/>
              <w:spacing w:after="0" w:line="148" w:lineRule="exact"/>
              <w:rPr>
                <w:sz w:val="20"/>
                <w:szCs w:val="20"/>
                <w:color w:val="auto"/>
              </w:rPr>
            </w:pPr>
            <w:r>
              <w:rPr>
                <w:rFonts w:ascii="Calibri" w:cs="Calibri" w:eastAsia="Calibri" w:hAnsi="Calibri"/>
                <w:sz w:val="13"/>
                <w:szCs w:val="13"/>
                <w:color w:val="51555C"/>
              </w:rPr>
              <w:t>75,002</w:t>
            </w:r>
          </w:p>
        </w:tc>
      </w:tr>
      <w:tr>
        <w:trPr>
          <w:trHeight w:val="382"/>
        </w:trPr>
        <w:tc>
          <w:tcPr>
            <w:tcW w:w="1560" w:type="dxa"/>
            <w:vAlign w:val="bottom"/>
          </w:tcPr>
          <w:p>
            <w:pPr>
              <w:jc w:val="right"/>
              <w:ind w:right="316"/>
              <w:spacing w:after="0"/>
              <w:rPr>
                <w:sz w:val="20"/>
                <w:szCs w:val="20"/>
                <w:color w:val="auto"/>
              </w:rPr>
            </w:pPr>
            <w:r>
              <w:rPr>
                <w:rFonts w:ascii="Calibri" w:cs="Calibri" w:eastAsia="Calibri" w:hAnsi="Calibri"/>
                <w:sz w:val="13"/>
                <w:szCs w:val="13"/>
                <w:color w:val="51555C"/>
              </w:rPr>
              <w:t>(6,118)</w:t>
            </w:r>
          </w:p>
        </w:tc>
        <w:tc>
          <w:tcPr>
            <w:tcW w:w="840" w:type="dxa"/>
            <w:vAlign w:val="bottom"/>
          </w:tcPr>
          <w:p>
            <w:pPr>
              <w:jc w:val="right"/>
              <w:spacing w:after="0"/>
              <w:rPr>
                <w:sz w:val="20"/>
                <w:szCs w:val="20"/>
                <w:color w:val="auto"/>
              </w:rPr>
            </w:pPr>
            <w:r>
              <w:rPr>
                <w:rFonts w:ascii="Calibri" w:cs="Calibri" w:eastAsia="Calibri" w:hAnsi="Calibri"/>
                <w:sz w:val="13"/>
                <w:szCs w:val="13"/>
                <w:color w:val="51555C"/>
              </w:rPr>
              <w:t>(2,779)</w:t>
            </w:r>
          </w:p>
        </w:tc>
      </w:tr>
      <w:tr>
        <w:trPr>
          <w:trHeight w:val="191"/>
        </w:trPr>
        <w:tc>
          <w:tcPr>
            <w:tcW w:w="1560" w:type="dxa"/>
            <w:vAlign w:val="bottom"/>
          </w:tcPr>
          <w:p>
            <w:pPr>
              <w:jc w:val="right"/>
              <w:ind w:right="316"/>
              <w:spacing w:after="0"/>
              <w:rPr>
                <w:sz w:val="20"/>
                <w:szCs w:val="20"/>
                <w:color w:val="auto"/>
              </w:rPr>
            </w:pPr>
            <w:r>
              <w:rPr>
                <w:rFonts w:ascii="Calibri" w:cs="Calibri" w:eastAsia="Calibri" w:hAnsi="Calibri"/>
                <w:sz w:val="13"/>
                <w:szCs w:val="13"/>
                <w:color w:val="51555C"/>
              </w:rPr>
              <w:t>(28,392)</w:t>
            </w:r>
          </w:p>
        </w:tc>
        <w:tc>
          <w:tcPr>
            <w:tcW w:w="840" w:type="dxa"/>
            <w:vAlign w:val="bottom"/>
          </w:tcPr>
          <w:p>
            <w:pPr>
              <w:jc w:val="right"/>
              <w:spacing w:after="0"/>
              <w:rPr>
                <w:sz w:val="20"/>
                <w:szCs w:val="20"/>
                <w:color w:val="auto"/>
              </w:rPr>
            </w:pPr>
            <w:r>
              <w:rPr>
                <w:rFonts w:ascii="Calibri" w:cs="Calibri" w:eastAsia="Calibri" w:hAnsi="Calibri"/>
                <w:sz w:val="13"/>
                <w:szCs w:val="13"/>
                <w:color w:val="51555C"/>
              </w:rPr>
              <w:t>(28,756)</w:t>
            </w:r>
          </w:p>
        </w:tc>
      </w:tr>
      <w:tr>
        <w:trPr>
          <w:trHeight w:val="191"/>
        </w:trPr>
        <w:tc>
          <w:tcPr>
            <w:tcW w:w="1560" w:type="dxa"/>
            <w:vAlign w:val="bottom"/>
          </w:tcPr>
          <w:p>
            <w:pPr>
              <w:jc w:val="right"/>
              <w:ind w:right="316"/>
              <w:spacing w:after="0"/>
              <w:rPr>
                <w:sz w:val="20"/>
                <w:szCs w:val="20"/>
                <w:color w:val="auto"/>
              </w:rPr>
            </w:pPr>
            <w:r>
              <w:rPr>
                <w:rFonts w:ascii="Calibri" w:cs="Calibri" w:eastAsia="Calibri" w:hAnsi="Calibri"/>
                <w:sz w:val="13"/>
                <w:szCs w:val="13"/>
                <w:color w:val="51555C"/>
              </w:rPr>
              <w:t>(1,179)</w:t>
            </w:r>
          </w:p>
        </w:tc>
        <w:tc>
          <w:tcPr>
            <w:tcW w:w="840" w:type="dxa"/>
            <w:vAlign w:val="bottom"/>
          </w:tcPr>
          <w:p>
            <w:pPr>
              <w:jc w:val="right"/>
              <w:spacing w:after="0"/>
              <w:rPr>
                <w:sz w:val="20"/>
                <w:szCs w:val="20"/>
                <w:color w:val="auto"/>
              </w:rPr>
            </w:pPr>
            <w:r>
              <w:rPr>
                <w:rFonts w:ascii="Calibri" w:cs="Calibri" w:eastAsia="Calibri" w:hAnsi="Calibri"/>
                <w:sz w:val="13"/>
                <w:szCs w:val="13"/>
                <w:color w:val="51555C"/>
              </w:rPr>
              <w:t>—</w:t>
            </w:r>
          </w:p>
        </w:tc>
      </w:tr>
      <w:tr>
        <w:trPr>
          <w:trHeight w:val="191"/>
        </w:trPr>
        <w:tc>
          <w:tcPr>
            <w:tcW w:w="1560" w:type="dxa"/>
            <w:vAlign w:val="bottom"/>
          </w:tcPr>
          <w:p>
            <w:pPr>
              <w:jc w:val="right"/>
              <w:ind w:right="316"/>
              <w:spacing w:after="0"/>
              <w:rPr>
                <w:sz w:val="20"/>
                <w:szCs w:val="20"/>
                <w:color w:val="auto"/>
              </w:rPr>
            </w:pPr>
            <w:r>
              <w:rPr>
                <w:rFonts w:ascii="Calibri" w:cs="Calibri" w:eastAsia="Calibri" w:hAnsi="Calibri"/>
                <w:sz w:val="13"/>
                <w:szCs w:val="13"/>
                <w:color w:val="51555C"/>
              </w:rPr>
              <w:t>(5,029)</w:t>
            </w:r>
          </w:p>
        </w:tc>
        <w:tc>
          <w:tcPr>
            <w:tcW w:w="840" w:type="dxa"/>
            <w:vAlign w:val="bottom"/>
          </w:tcPr>
          <w:p>
            <w:pPr>
              <w:jc w:val="right"/>
              <w:spacing w:after="0"/>
              <w:rPr>
                <w:sz w:val="20"/>
                <w:szCs w:val="20"/>
                <w:color w:val="auto"/>
              </w:rPr>
            </w:pPr>
            <w:r>
              <w:rPr>
                <w:rFonts w:ascii="Calibri" w:cs="Calibri" w:eastAsia="Calibri" w:hAnsi="Calibri"/>
                <w:sz w:val="13"/>
                <w:szCs w:val="13"/>
                <w:color w:val="51555C"/>
              </w:rPr>
              <w:t>—</w:t>
            </w:r>
          </w:p>
        </w:tc>
      </w:tr>
      <w:tr>
        <w:trPr>
          <w:trHeight w:val="34"/>
        </w:trPr>
        <w:tc>
          <w:tcPr>
            <w:tcW w:w="15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48"/>
        </w:trPr>
        <w:tc>
          <w:tcPr>
            <w:tcW w:w="1560" w:type="dxa"/>
            <w:vAlign w:val="bottom"/>
          </w:tcPr>
          <w:p>
            <w:pPr>
              <w:jc w:val="right"/>
              <w:ind w:right="316"/>
              <w:spacing w:after="0" w:line="148" w:lineRule="exact"/>
              <w:rPr>
                <w:sz w:val="20"/>
                <w:szCs w:val="20"/>
                <w:color w:val="auto"/>
              </w:rPr>
            </w:pPr>
            <w:r>
              <w:rPr>
                <w:rFonts w:ascii="Calibri" w:cs="Calibri" w:eastAsia="Calibri" w:hAnsi="Calibri"/>
                <w:sz w:val="13"/>
                <w:szCs w:val="13"/>
                <w:color w:val="51555C"/>
              </w:rPr>
              <w:t>(40,718)</w:t>
            </w:r>
          </w:p>
        </w:tc>
        <w:tc>
          <w:tcPr>
            <w:tcW w:w="840" w:type="dxa"/>
            <w:vAlign w:val="bottom"/>
          </w:tcPr>
          <w:p>
            <w:pPr>
              <w:jc w:val="right"/>
              <w:spacing w:after="0" w:line="148" w:lineRule="exact"/>
              <w:rPr>
                <w:sz w:val="20"/>
                <w:szCs w:val="20"/>
                <w:color w:val="auto"/>
              </w:rPr>
            </w:pPr>
            <w:r>
              <w:rPr>
                <w:rFonts w:ascii="Calibri" w:cs="Calibri" w:eastAsia="Calibri" w:hAnsi="Calibri"/>
                <w:sz w:val="13"/>
                <w:szCs w:val="13"/>
                <w:color w:val="51555C"/>
              </w:rPr>
              <w:t>(31,535)</w:t>
            </w:r>
          </w:p>
        </w:tc>
      </w:tr>
    </w:tbl>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520" w:type="dxa"/>
            <w:vAlign w:val="bottom"/>
          </w:tcPr>
          <w:p>
            <w:pPr>
              <w:jc w:val="right"/>
              <w:ind w:right="316"/>
              <w:spacing w:after="0"/>
              <w:rPr>
                <w:sz w:val="20"/>
                <w:szCs w:val="20"/>
                <w:color w:val="auto"/>
              </w:rPr>
            </w:pPr>
            <w:r>
              <w:rPr>
                <w:rFonts w:ascii="Calibri" w:cs="Calibri" w:eastAsia="Calibri" w:hAnsi="Calibri"/>
                <w:sz w:val="13"/>
                <w:szCs w:val="13"/>
                <w:color w:val="51555C"/>
              </w:rPr>
              <w:t>1,211,600</w:t>
            </w:r>
          </w:p>
        </w:tc>
        <w:tc>
          <w:tcPr>
            <w:tcW w:w="880" w:type="dxa"/>
            <w:vAlign w:val="bottom"/>
          </w:tcPr>
          <w:p>
            <w:pPr>
              <w:jc w:val="right"/>
              <w:spacing w:after="0"/>
              <w:rPr>
                <w:sz w:val="20"/>
                <w:szCs w:val="20"/>
                <w:color w:val="auto"/>
              </w:rPr>
            </w:pPr>
            <w:r>
              <w:rPr>
                <w:rFonts w:ascii="Calibri" w:cs="Calibri" w:eastAsia="Calibri" w:hAnsi="Calibri"/>
                <w:sz w:val="13"/>
                <w:szCs w:val="13"/>
                <w:color w:val="51555C"/>
              </w:rPr>
              <w:t>158,000</w:t>
            </w:r>
          </w:p>
        </w:tc>
      </w:tr>
      <w:tr>
        <w:trPr>
          <w:trHeight w:val="191"/>
        </w:trPr>
        <w:tc>
          <w:tcPr>
            <w:tcW w:w="1520" w:type="dxa"/>
            <w:vAlign w:val="bottom"/>
          </w:tcPr>
          <w:p>
            <w:pPr>
              <w:jc w:val="right"/>
              <w:ind w:right="276"/>
              <w:spacing w:after="0"/>
              <w:rPr>
                <w:sz w:val="20"/>
                <w:szCs w:val="20"/>
                <w:color w:val="auto"/>
              </w:rPr>
            </w:pPr>
            <w:r>
              <w:rPr>
                <w:rFonts w:ascii="Calibri" w:cs="Calibri" w:eastAsia="Calibri" w:hAnsi="Calibri"/>
                <w:sz w:val="13"/>
                <w:szCs w:val="13"/>
                <w:color w:val="51555C"/>
              </w:rPr>
              <w:t>(966,680)</w:t>
            </w:r>
          </w:p>
        </w:tc>
        <w:tc>
          <w:tcPr>
            <w:tcW w:w="880" w:type="dxa"/>
            <w:vAlign w:val="bottom"/>
          </w:tcPr>
          <w:p>
            <w:pPr>
              <w:jc w:val="right"/>
              <w:spacing w:after="0"/>
              <w:rPr>
                <w:sz w:val="20"/>
                <w:szCs w:val="20"/>
                <w:color w:val="auto"/>
              </w:rPr>
            </w:pPr>
            <w:r>
              <w:rPr>
                <w:rFonts w:ascii="Calibri" w:cs="Calibri" w:eastAsia="Calibri" w:hAnsi="Calibri"/>
                <w:sz w:val="13"/>
                <w:szCs w:val="13"/>
                <w:color w:val="51555C"/>
              </w:rPr>
              <w:t>(171,824)</w:t>
            </w:r>
          </w:p>
        </w:tc>
      </w:tr>
      <w:tr>
        <w:trPr>
          <w:trHeight w:val="191"/>
        </w:trPr>
        <w:tc>
          <w:tcPr>
            <w:tcW w:w="1520" w:type="dxa"/>
            <w:vAlign w:val="bottom"/>
          </w:tcPr>
          <w:p>
            <w:pPr>
              <w:jc w:val="right"/>
              <w:ind w:right="276"/>
              <w:spacing w:after="0"/>
              <w:rPr>
                <w:sz w:val="20"/>
                <w:szCs w:val="20"/>
                <w:color w:val="auto"/>
              </w:rPr>
            </w:pPr>
            <w:r>
              <w:rPr>
                <w:rFonts w:ascii="Calibri" w:cs="Calibri" w:eastAsia="Calibri" w:hAnsi="Calibri"/>
                <w:sz w:val="13"/>
                <w:szCs w:val="13"/>
                <w:color w:val="51555C"/>
              </w:rPr>
              <w:t>(6,458)</w:t>
            </w:r>
          </w:p>
        </w:tc>
        <w:tc>
          <w:tcPr>
            <w:tcW w:w="880" w:type="dxa"/>
            <w:vAlign w:val="bottom"/>
          </w:tcPr>
          <w:p>
            <w:pPr>
              <w:jc w:val="right"/>
              <w:spacing w:after="0"/>
              <w:rPr>
                <w:sz w:val="20"/>
                <w:szCs w:val="20"/>
                <w:color w:val="auto"/>
              </w:rPr>
            </w:pPr>
            <w:r>
              <w:rPr>
                <w:rFonts w:ascii="Calibri" w:cs="Calibri" w:eastAsia="Calibri" w:hAnsi="Calibri"/>
                <w:sz w:val="13"/>
                <w:szCs w:val="13"/>
                <w:color w:val="51555C"/>
              </w:rPr>
              <w:t>—</w:t>
            </w:r>
          </w:p>
        </w:tc>
      </w:tr>
      <w:tr>
        <w:trPr>
          <w:trHeight w:val="191"/>
        </w:trPr>
        <w:tc>
          <w:tcPr>
            <w:tcW w:w="1520" w:type="dxa"/>
            <w:vAlign w:val="bottom"/>
          </w:tcPr>
          <w:p>
            <w:pPr>
              <w:jc w:val="right"/>
              <w:ind w:right="276"/>
              <w:spacing w:after="0"/>
              <w:rPr>
                <w:sz w:val="20"/>
                <w:szCs w:val="20"/>
                <w:color w:val="auto"/>
              </w:rPr>
            </w:pPr>
            <w:r>
              <w:rPr>
                <w:rFonts w:ascii="Calibri" w:cs="Calibri" w:eastAsia="Calibri" w:hAnsi="Calibri"/>
                <w:sz w:val="13"/>
                <w:szCs w:val="13"/>
                <w:color w:val="51555C"/>
              </w:rPr>
              <w:t>(54,483)</w:t>
            </w:r>
          </w:p>
        </w:tc>
        <w:tc>
          <w:tcPr>
            <w:tcW w:w="880" w:type="dxa"/>
            <w:vAlign w:val="bottom"/>
          </w:tcPr>
          <w:p>
            <w:pPr>
              <w:jc w:val="right"/>
              <w:spacing w:after="0"/>
              <w:rPr>
                <w:sz w:val="20"/>
                <w:szCs w:val="20"/>
                <w:color w:val="auto"/>
              </w:rPr>
            </w:pPr>
            <w:r>
              <w:rPr>
                <w:rFonts w:ascii="Calibri" w:cs="Calibri" w:eastAsia="Calibri" w:hAnsi="Calibri"/>
                <w:sz w:val="13"/>
                <w:szCs w:val="13"/>
                <w:color w:val="51555C"/>
              </w:rPr>
              <w:t>(33,687)</w:t>
            </w:r>
          </w:p>
        </w:tc>
      </w:tr>
      <w:tr>
        <w:trPr>
          <w:trHeight w:val="191"/>
        </w:trPr>
        <w:tc>
          <w:tcPr>
            <w:tcW w:w="1520" w:type="dxa"/>
            <w:vAlign w:val="bottom"/>
          </w:tcPr>
          <w:p>
            <w:pPr>
              <w:jc w:val="right"/>
              <w:ind w:right="316"/>
              <w:spacing w:after="0"/>
              <w:rPr>
                <w:sz w:val="20"/>
                <w:szCs w:val="20"/>
                <w:color w:val="auto"/>
              </w:rPr>
            </w:pPr>
            <w:r>
              <w:rPr>
                <w:rFonts w:ascii="Calibri" w:cs="Calibri" w:eastAsia="Calibri" w:hAnsi="Calibri"/>
                <w:sz w:val="13"/>
                <w:szCs w:val="13"/>
                <w:color w:val="51555C"/>
              </w:rPr>
              <w:t>106,851</w:t>
            </w:r>
          </w:p>
        </w:tc>
        <w:tc>
          <w:tcPr>
            <w:tcW w:w="880" w:type="dxa"/>
            <w:vAlign w:val="bottom"/>
          </w:tcPr>
          <w:p>
            <w:pPr>
              <w:jc w:val="right"/>
              <w:spacing w:after="0"/>
              <w:rPr>
                <w:sz w:val="20"/>
                <w:szCs w:val="20"/>
                <w:color w:val="auto"/>
              </w:rPr>
            </w:pPr>
            <w:r>
              <w:rPr>
                <w:rFonts w:ascii="Calibri" w:cs="Calibri" w:eastAsia="Calibri" w:hAnsi="Calibri"/>
                <w:sz w:val="13"/>
                <w:szCs w:val="13"/>
                <w:color w:val="51555C"/>
              </w:rPr>
              <w:t>61,313</w:t>
            </w:r>
          </w:p>
        </w:tc>
      </w:tr>
      <w:tr>
        <w:trPr>
          <w:trHeight w:val="191"/>
        </w:trPr>
        <w:tc>
          <w:tcPr>
            <w:tcW w:w="1520" w:type="dxa"/>
            <w:vAlign w:val="bottom"/>
          </w:tcPr>
          <w:p>
            <w:pPr>
              <w:jc w:val="right"/>
              <w:ind w:right="276"/>
              <w:spacing w:after="0"/>
              <w:rPr>
                <w:sz w:val="20"/>
                <w:szCs w:val="20"/>
                <w:color w:val="auto"/>
              </w:rPr>
            </w:pPr>
            <w:r>
              <w:rPr>
                <w:rFonts w:ascii="Calibri" w:cs="Calibri" w:eastAsia="Calibri" w:hAnsi="Calibri"/>
                <w:sz w:val="13"/>
                <w:szCs w:val="13"/>
                <w:color w:val="51555C"/>
              </w:rPr>
              <w:t>(2,577)</w:t>
            </w:r>
          </w:p>
        </w:tc>
        <w:tc>
          <w:tcPr>
            <w:tcW w:w="880" w:type="dxa"/>
            <w:vAlign w:val="bottom"/>
          </w:tcPr>
          <w:p>
            <w:pPr>
              <w:jc w:val="right"/>
              <w:spacing w:after="0"/>
              <w:rPr>
                <w:sz w:val="20"/>
                <w:szCs w:val="20"/>
                <w:color w:val="auto"/>
              </w:rPr>
            </w:pPr>
            <w:r>
              <w:rPr>
                <w:rFonts w:ascii="Calibri" w:cs="Calibri" w:eastAsia="Calibri" w:hAnsi="Calibri"/>
                <w:sz w:val="13"/>
                <w:szCs w:val="13"/>
                <w:color w:val="51555C"/>
              </w:rPr>
              <w:t>(3,359)</w:t>
            </w:r>
          </w:p>
        </w:tc>
      </w:tr>
      <w:tr>
        <w:trPr>
          <w:trHeight w:val="191"/>
        </w:trPr>
        <w:tc>
          <w:tcPr>
            <w:tcW w:w="1520" w:type="dxa"/>
            <w:vAlign w:val="bottom"/>
          </w:tcPr>
          <w:p>
            <w:pPr>
              <w:jc w:val="right"/>
              <w:ind w:right="276"/>
              <w:spacing w:after="0"/>
              <w:rPr>
                <w:sz w:val="20"/>
                <w:szCs w:val="20"/>
                <w:color w:val="auto"/>
              </w:rPr>
            </w:pPr>
            <w:r>
              <w:rPr>
                <w:rFonts w:ascii="Calibri" w:cs="Calibri" w:eastAsia="Calibri" w:hAnsi="Calibri"/>
                <w:sz w:val="13"/>
                <w:szCs w:val="13"/>
                <w:color w:val="51555C"/>
              </w:rPr>
              <w:t>(262,596)</w:t>
            </w:r>
          </w:p>
        </w:tc>
        <w:tc>
          <w:tcPr>
            <w:tcW w:w="880" w:type="dxa"/>
            <w:vAlign w:val="bottom"/>
          </w:tcPr>
          <w:p>
            <w:pPr>
              <w:jc w:val="right"/>
              <w:spacing w:after="0"/>
              <w:rPr>
                <w:sz w:val="20"/>
                <w:szCs w:val="20"/>
                <w:color w:val="auto"/>
              </w:rPr>
            </w:pPr>
            <w:r>
              <w:rPr>
                <w:rFonts w:ascii="Calibri" w:cs="Calibri" w:eastAsia="Calibri" w:hAnsi="Calibri"/>
                <w:sz w:val="13"/>
                <w:szCs w:val="13"/>
                <w:color w:val="51555C"/>
              </w:rPr>
              <w:t>—</w:t>
            </w:r>
          </w:p>
        </w:tc>
      </w:tr>
      <w:tr>
        <w:trPr>
          <w:trHeight w:val="34"/>
        </w:trPr>
        <w:tc>
          <w:tcPr>
            <w:tcW w:w="1520" w:type="dxa"/>
            <w:vAlign w:val="bottom"/>
            <w:tcBorders>
              <w:bottom w:val="single" w:sz="8" w:color="51555C"/>
            </w:tcBorders>
          </w:tcPr>
          <w:p>
            <w:pPr>
              <w:spacing w:after="0"/>
              <w:rPr>
                <w:sz w:val="2"/>
                <w:szCs w:val="2"/>
                <w:color w:val="auto"/>
              </w:rPr>
            </w:pPr>
          </w:p>
        </w:tc>
        <w:tc>
          <w:tcPr>
            <w:tcW w:w="880" w:type="dxa"/>
            <w:vAlign w:val="bottom"/>
            <w:tcBorders>
              <w:bottom w:val="single" w:sz="8" w:color="51555C"/>
            </w:tcBorders>
          </w:tcPr>
          <w:p>
            <w:pPr>
              <w:spacing w:after="0"/>
              <w:rPr>
                <w:sz w:val="2"/>
                <w:szCs w:val="2"/>
                <w:color w:val="auto"/>
              </w:rPr>
            </w:pPr>
          </w:p>
        </w:tc>
      </w:tr>
      <w:tr>
        <w:trPr>
          <w:trHeight w:val="148"/>
        </w:trPr>
        <w:tc>
          <w:tcPr>
            <w:tcW w:w="1520" w:type="dxa"/>
            <w:vAlign w:val="bottom"/>
          </w:tcPr>
          <w:p>
            <w:pPr>
              <w:jc w:val="right"/>
              <w:ind w:right="316"/>
              <w:spacing w:after="0" w:line="148" w:lineRule="exact"/>
              <w:rPr>
                <w:sz w:val="20"/>
                <w:szCs w:val="20"/>
                <w:color w:val="auto"/>
              </w:rPr>
            </w:pPr>
            <w:r>
              <w:rPr>
                <w:rFonts w:ascii="Calibri" w:cs="Calibri" w:eastAsia="Calibri" w:hAnsi="Calibri"/>
                <w:sz w:val="13"/>
                <w:szCs w:val="13"/>
                <w:color w:val="51555C"/>
              </w:rPr>
              <w:t>25,657</w:t>
            </w:r>
          </w:p>
        </w:tc>
        <w:tc>
          <w:tcPr>
            <w:tcW w:w="880" w:type="dxa"/>
            <w:vAlign w:val="bottom"/>
          </w:tcPr>
          <w:p>
            <w:pPr>
              <w:jc w:val="right"/>
              <w:spacing w:after="0" w:line="148" w:lineRule="exact"/>
              <w:rPr>
                <w:sz w:val="20"/>
                <w:szCs w:val="20"/>
                <w:color w:val="auto"/>
              </w:rPr>
            </w:pPr>
            <w:r>
              <w:rPr>
                <w:rFonts w:ascii="Calibri" w:cs="Calibri" w:eastAsia="Calibri" w:hAnsi="Calibri"/>
                <w:sz w:val="13"/>
                <w:szCs w:val="13"/>
                <w:color w:val="51555C"/>
              </w:rPr>
              <w:t>10,443</w:t>
            </w:r>
          </w:p>
        </w:tc>
      </w:tr>
    </w:tbl>
    <w:p>
      <w:pPr>
        <w:spacing w:after="0" w:line="32" w:lineRule="exact"/>
        <w:rPr>
          <w:sz w:val="20"/>
          <w:szCs w:val="20"/>
          <w:color w:val="auto"/>
        </w:rPr>
      </w:pPr>
    </w:p>
    <w:p>
      <w:pPr>
        <w:ind w:left="2060" w:hanging="1160"/>
        <w:spacing w:after="0"/>
        <w:tabs>
          <w:tab w:leader="none" w:pos="2060" w:val="left"/>
        </w:tabs>
        <w:numPr>
          <w:ilvl w:val="0"/>
          <w:numId w:val="4"/>
        </w:numPr>
        <w:rPr>
          <w:rFonts w:ascii="Calibri" w:cs="Calibri" w:eastAsia="Calibri" w:hAnsi="Calibri"/>
          <w:sz w:val="13"/>
          <w:szCs w:val="13"/>
          <w:color w:val="51555C"/>
        </w:rPr>
      </w:pPr>
      <w:r>
        <w:rPr>
          <w:rFonts w:ascii="Calibri" w:cs="Calibri" w:eastAsia="Calibri" w:hAnsi="Calibri"/>
          <w:sz w:val="13"/>
          <w:szCs w:val="13"/>
          <w:color w:val="51555C"/>
        </w:rPr>
        <w:t>2,489</w:t>
      </w:r>
    </w:p>
    <w:p>
      <w:pPr>
        <w:spacing w:after="0" w:line="42" w:lineRule="exact"/>
        <w:rPr>
          <w:rFonts w:ascii="Calibri" w:cs="Calibri" w:eastAsia="Calibri" w:hAnsi="Calibri"/>
          <w:sz w:val="13"/>
          <w:szCs w:val="13"/>
          <w:color w:val="51555C"/>
        </w:rPr>
      </w:pPr>
    </w:p>
    <w:p>
      <w:pPr>
        <w:ind w:left="720"/>
        <w:spacing w:after="0"/>
        <w:rPr>
          <w:rFonts w:ascii="Calibri" w:cs="Calibri" w:eastAsia="Calibri" w:hAnsi="Calibri"/>
          <w:sz w:val="13"/>
          <w:szCs w:val="13"/>
          <w:color w:val="51555C"/>
        </w:rPr>
      </w:pPr>
      <w:r>
        <w:rPr>
          <w:rFonts w:ascii="Calibri" w:cs="Calibri" w:eastAsia="Calibri" w:hAnsi="Calibri"/>
          <w:sz w:val="13"/>
          <w:szCs w:val="13"/>
          <w:color w:val="51555C"/>
        </w:rPr>
        <w:t>102,851</w:t>
      </w:r>
      <w:r>
        <w:rPr>
          <w:rFonts w:ascii="Calibri" w:cs="Calibri" w:eastAsia="Calibri" w:hAnsi="Calibri"/>
          <w:sz w:val="12"/>
          <w:szCs w:val="12"/>
          <w:color w:val="51555C"/>
        </w:rPr>
        <w:t>56,399</w:t>
      </w:r>
    </w:p>
    <w:p>
      <w:pPr>
        <w:spacing w:after="0" w:line="32" w:lineRule="exact"/>
        <w:rPr>
          <w:rFonts w:ascii="Calibri" w:cs="Calibri" w:eastAsia="Calibri" w:hAnsi="Calibri"/>
          <w:sz w:val="13"/>
          <w:szCs w:val="13"/>
          <w:color w:val="51555C"/>
        </w:rPr>
      </w:pPr>
    </w:p>
    <w:p>
      <w:pPr>
        <w:ind w:left="720"/>
        <w:spacing w:after="0"/>
        <w:rPr>
          <w:rFonts w:ascii="Calibri" w:cs="Calibri" w:eastAsia="Calibri" w:hAnsi="Calibri"/>
          <w:sz w:val="13"/>
          <w:szCs w:val="13"/>
          <w:color w:val="51555C"/>
        </w:rPr>
      </w:pPr>
      <w:r>
        <w:rPr>
          <w:rFonts w:ascii="Calibri" w:cs="Calibri" w:eastAsia="Calibri" w:hAnsi="Calibri"/>
          <w:sz w:val="13"/>
          <w:szCs w:val="13"/>
          <w:color w:val="51555C"/>
        </w:rPr>
        <w:t>728,257</w:t>
      </w:r>
      <w:r>
        <w:rPr>
          <w:rFonts w:ascii="Calibri" w:cs="Calibri" w:eastAsia="Calibri" w:hAnsi="Calibri"/>
          <w:sz w:val="12"/>
          <w:szCs w:val="12"/>
          <w:color w:val="51555C"/>
        </w:rPr>
        <w:t>733,931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1529080"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529080" cy="69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-227330</wp:posOffset>
            </wp:positionV>
            <wp:extent cx="1529080"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529080" cy="6985"/>
                    </a:xfrm>
                    <a:prstGeom prst="rect">
                      <a:avLst/>
                    </a:prstGeom>
                    <a:noFill/>
                  </pic:spPr>
                </pic:pic>
              </a:graphicData>
            </a:graphic>
          </wp:anchor>
        </w:drawing>
      </w:r>
    </w:p>
    <w:p>
      <w:pPr>
        <w:spacing w:after="0" w:line="23" w:lineRule="exact"/>
        <w:rPr>
          <w:sz w:val="20"/>
          <w:szCs w:val="20"/>
          <w:color w:val="auto"/>
        </w:rPr>
      </w:pPr>
    </w:p>
    <w:p>
      <w:pPr>
        <w:spacing w:after="0"/>
        <w:tabs>
          <w:tab w:leader="none" w:pos="700" w:val="left"/>
          <w:tab w:leader="none" w:pos="1900" w:val="left"/>
        </w:tabs>
        <w:rPr>
          <w:sz w:val="20"/>
          <w:szCs w:val="20"/>
          <w:color w:val="auto"/>
        </w:rPr>
      </w:pPr>
      <w:r>
        <w:rPr>
          <w:rFonts w:ascii="Calibri" w:cs="Calibri" w:eastAsia="Calibri" w:hAnsi="Calibri"/>
          <w:sz w:val="13"/>
          <w:szCs w:val="13"/>
          <w:color w:val="51555C"/>
        </w:rPr>
        <w:t>$</w:t>
      </w:r>
      <w:r>
        <w:rPr>
          <w:sz w:val="20"/>
          <w:szCs w:val="20"/>
          <w:color w:val="auto"/>
        </w:rPr>
        <w:tab/>
      </w:r>
      <w:r>
        <w:rPr>
          <w:rFonts w:ascii="Calibri" w:cs="Calibri" w:eastAsia="Calibri" w:hAnsi="Calibri"/>
          <w:sz w:val="13"/>
          <w:szCs w:val="13"/>
          <w:color w:val="51555C"/>
        </w:rPr>
        <w:t>831,108 $</w:t>
      </w:r>
      <w:r>
        <w:rPr>
          <w:sz w:val="20"/>
          <w:szCs w:val="20"/>
          <w:color w:val="auto"/>
        </w:rPr>
        <w:tab/>
      </w:r>
      <w:r>
        <w:rPr>
          <w:rFonts w:ascii="Calibri" w:cs="Calibri" w:eastAsia="Calibri" w:hAnsi="Calibri"/>
          <w:sz w:val="12"/>
          <w:szCs w:val="12"/>
          <w:color w:val="51555C"/>
        </w:rPr>
        <w:t>790,330</w:t>
      </w:r>
    </w:p>
    <w:p>
      <w:pPr>
        <w:spacing w:after="0" w:line="190" w:lineRule="exact"/>
        <w:rPr>
          <w:sz w:val="20"/>
          <w:szCs w:val="20"/>
          <w:color w:val="auto"/>
        </w:rPr>
      </w:pPr>
    </w:p>
    <w:p>
      <w:pPr>
        <w:sectPr>
          <w:pgSz w:w="11900" w:h="16838" w:orient="portrait"/>
          <w:cols w:equalWidth="0" w:num="2">
            <w:col w:w="8140" w:space="720"/>
            <w:col w:w="2440"/>
          </w:cols>
          <w:pgMar w:left="300" w:top="1180" w:right="299" w:bottom="1440" w:gutter="0" w:footer="0" w:header="0"/>
          <w:type w:val="continuous"/>
        </w:sectPr>
      </w:pPr>
    </w:p>
    <w:p>
      <w:pPr>
        <w:ind w:right="20"/>
        <w:spacing w:after="0" w:line="225" w:lineRule="auto"/>
        <w:rPr>
          <w:sz w:val="20"/>
          <w:szCs w:val="20"/>
          <w:color w:val="auto"/>
        </w:rPr>
      </w:pPr>
      <w:r>
        <w:rPr>
          <w:rFonts w:ascii="Calibri" w:cs="Calibri" w:eastAsia="Calibri" w:hAnsi="Calibri"/>
          <w:sz w:val="13"/>
          <w:szCs w:val="13"/>
          <w:color w:val="51555C"/>
        </w:rPr>
        <w:t>The following table provides a reconciliaton of cash and cash equivalents and restricted cash reported within the condensed consolidated balance sheets that sum to the total of the same such amounts shown above in the condensed consolidated statements of cash fows: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7980" w:type="dxa"/>
            <w:vAlign w:val="bottom"/>
            <w:shd w:val="clear" w:color="auto" w:fill="004054"/>
          </w:tcPr>
          <w:p>
            <w:pPr>
              <w:spacing w:after="0"/>
              <w:rPr>
                <w:sz w:val="12"/>
                <w:szCs w:val="12"/>
                <w:color w:val="auto"/>
              </w:rPr>
            </w:pPr>
          </w:p>
        </w:tc>
        <w:tc>
          <w:tcPr>
            <w:tcW w:w="640" w:type="dxa"/>
            <w:vAlign w:val="bottom"/>
            <w:shd w:val="clear" w:color="auto" w:fill="004054"/>
          </w:tcPr>
          <w:p>
            <w:pPr>
              <w:spacing w:after="0"/>
              <w:rPr>
                <w:sz w:val="12"/>
                <w:szCs w:val="12"/>
                <w:color w:val="auto"/>
              </w:rPr>
            </w:pPr>
          </w:p>
        </w:tc>
        <w:tc>
          <w:tcPr>
            <w:tcW w:w="100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June 30,</w:t>
            </w:r>
          </w:p>
        </w:tc>
        <w:tc>
          <w:tcPr>
            <w:tcW w:w="540" w:type="dxa"/>
            <w:vAlign w:val="bottom"/>
            <w:shd w:val="clear" w:color="auto" w:fill="004054"/>
          </w:tcPr>
          <w:p>
            <w:pPr>
              <w:spacing w:after="0"/>
              <w:rPr>
                <w:sz w:val="12"/>
                <w:szCs w:val="12"/>
                <w:color w:val="auto"/>
              </w:rPr>
            </w:pPr>
          </w:p>
        </w:tc>
        <w:tc>
          <w:tcPr>
            <w:tcW w:w="112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December 31,</w:t>
            </w:r>
          </w:p>
        </w:tc>
        <w:tc>
          <w:tcPr>
            <w:tcW w:w="20" w:type="dxa"/>
            <w:vAlign w:val="bottom"/>
            <w:shd w:val="clear" w:color="auto" w:fill="004054"/>
          </w:tcPr>
          <w:p>
            <w:pPr>
              <w:spacing w:after="0"/>
              <w:rPr>
                <w:sz w:val="12"/>
                <w:szCs w:val="12"/>
                <w:color w:val="auto"/>
              </w:rPr>
            </w:pPr>
          </w:p>
        </w:tc>
      </w:tr>
      <w:tr>
        <w:trPr>
          <w:trHeight w:val="172"/>
        </w:trPr>
        <w:tc>
          <w:tcPr>
            <w:tcW w:w="7980" w:type="dxa"/>
            <w:vAlign w:val="bottom"/>
            <w:tcBorders>
              <w:bottom w:val="single" w:sz="8" w:color="004054"/>
            </w:tcBorders>
            <w:shd w:val="clear" w:color="auto" w:fill="004054"/>
          </w:tcPr>
          <w:p>
            <w:pPr>
              <w:ind w:left="20"/>
              <w:spacing w:after="0"/>
              <w:rPr>
                <w:sz w:val="20"/>
                <w:szCs w:val="20"/>
                <w:color w:val="auto"/>
              </w:rPr>
            </w:pPr>
            <w:r>
              <w:rPr>
                <w:rFonts w:ascii="Calibri" w:cs="Calibri" w:eastAsia="Calibri" w:hAnsi="Calibri"/>
                <w:sz w:val="11"/>
                <w:szCs w:val="11"/>
                <w:b w:val="1"/>
                <w:bCs w:val="1"/>
                <w:color w:val="FFFFFF"/>
              </w:rPr>
              <w:t>(dollars in thousands)</w:t>
            </w:r>
          </w:p>
        </w:tc>
        <w:tc>
          <w:tcPr>
            <w:tcW w:w="640" w:type="dxa"/>
            <w:vAlign w:val="bottom"/>
            <w:tcBorders>
              <w:bottom w:val="single" w:sz="8" w:color="004054"/>
            </w:tcBorders>
            <w:shd w:val="clear" w:color="auto" w:fill="004054"/>
          </w:tcPr>
          <w:p>
            <w:pPr>
              <w:spacing w:after="0"/>
              <w:rPr>
                <w:sz w:val="14"/>
                <w:szCs w:val="14"/>
                <w:color w:val="auto"/>
              </w:rPr>
            </w:pPr>
          </w:p>
        </w:tc>
        <w:tc>
          <w:tcPr>
            <w:tcW w:w="1000" w:type="dxa"/>
            <w:vAlign w:val="bottom"/>
            <w:tcBorders>
              <w:bottom w:val="single" w:sz="8" w:color="004054"/>
            </w:tcBorders>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2024</w:t>
            </w:r>
          </w:p>
        </w:tc>
        <w:tc>
          <w:tcPr>
            <w:tcW w:w="540" w:type="dxa"/>
            <w:vAlign w:val="bottom"/>
            <w:tcBorders>
              <w:bottom w:val="single" w:sz="8" w:color="004054"/>
            </w:tcBorders>
            <w:shd w:val="clear" w:color="auto" w:fill="004054"/>
          </w:tcPr>
          <w:p>
            <w:pPr>
              <w:spacing w:after="0"/>
              <w:rPr>
                <w:sz w:val="14"/>
                <w:szCs w:val="14"/>
                <w:color w:val="auto"/>
              </w:rPr>
            </w:pPr>
          </w:p>
        </w:tc>
        <w:tc>
          <w:tcPr>
            <w:tcW w:w="1120" w:type="dxa"/>
            <w:vAlign w:val="bottom"/>
            <w:tcBorders>
              <w:bottom w:val="single" w:sz="8" w:color="004054"/>
            </w:tcBorders>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2023</w:t>
            </w:r>
          </w:p>
        </w:tc>
        <w:tc>
          <w:tcPr>
            <w:tcW w:w="20" w:type="dxa"/>
            <w:vAlign w:val="bottom"/>
            <w:tcBorders>
              <w:bottom w:val="single" w:sz="8" w:color="004054"/>
            </w:tcBorders>
            <w:shd w:val="clear" w:color="auto" w:fill="004054"/>
          </w:tcPr>
          <w:p>
            <w:pPr>
              <w:spacing w:after="0"/>
              <w:rPr>
                <w:sz w:val="14"/>
                <w:szCs w:val="14"/>
                <w:color w:val="auto"/>
              </w:rPr>
            </w:pPr>
          </w:p>
        </w:tc>
      </w:tr>
      <w:tr>
        <w:trPr>
          <w:trHeight w:val="171"/>
        </w:trPr>
        <w:tc>
          <w:tcPr>
            <w:tcW w:w="7980" w:type="dxa"/>
            <w:vAlign w:val="bottom"/>
            <w:tcBorders>
              <w:bottom w:val="single" w:sz="8" w:color="EBFBFF"/>
            </w:tcBorders>
            <w:shd w:val="clear" w:color="auto" w:fill="EBFBFF"/>
          </w:tcPr>
          <w:p>
            <w:pPr>
              <w:ind w:left="20"/>
              <w:spacing w:after="0" w:line="157" w:lineRule="exact"/>
              <w:rPr>
                <w:sz w:val="20"/>
                <w:szCs w:val="20"/>
                <w:color w:val="auto"/>
              </w:rPr>
            </w:pPr>
            <w:r>
              <w:rPr>
                <w:rFonts w:ascii="Calibri" w:cs="Calibri" w:eastAsia="Calibri" w:hAnsi="Calibri"/>
                <w:sz w:val="13"/>
                <w:szCs w:val="13"/>
                <w:color w:val="51555C"/>
              </w:rPr>
              <w:t>Cash and cash equivalents</w:t>
            </w:r>
          </w:p>
        </w:tc>
        <w:tc>
          <w:tcPr>
            <w:tcW w:w="640" w:type="dxa"/>
            <w:vAlign w:val="bottom"/>
            <w:tcBorders>
              <w:bottom w:val="single" w:sz="8" w:color="EBFBFF"/>
            </w:tcBorders>
            <w:shd w:val="clear" w:color="auto" w:fill="EBFBFF"/>
          </w:tcPr>
          <w:p>
            <w:pPr>
              <w:jc w:val="right"/>
              <w:ind w:right="496"/>
              <w:spacing w:after="0" w:line="157" w:lineRule="exact"/>
              <w:rPr>
                <w:sz w:val="20"/>
                <w:szCs w:val="20"/>
                <w:color w:val="auto"/>
              </w:rPr>
            </w:pPr>
            <w:r>
              <w:rPr>
                <w:rFonts w:ascii="Calibri" w:cs="Calibri" w:eastAsia="Calibri" w:hAnsi="Calibri"/>
                <w:sz w:val="13"/>
                <w:szCs w:val="13"/>
                <w:color w:val="51555C"/>
                <w:w w:val="90"/>
              </w:rPr>
              <w:t>$</w:t>
            </w:r>
          </w:p>
        </w:tc>
        <w:tc>
          <w:tcPr>
            <w:tcW w:w="100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30,438</w:t>
            </w:r>
          </w:p>
        </w:tc>
        <w:tc>
          <w:tcPr>
            <w:tcW w:w="540" w:type="dxa"/>
            <w:vAlign w:val="bottom"/>
            <w:tcBorders>
              <w:bottom w:val="single" w:sz="8" w:color="EBFBFF"/>
            </w:tcBorders>
            <w:shd w:val="clear" w:color="auto" w:fill="EBFBFF"/>
          </w:tcPr>
          <w:p>
            <w:pPr>
              <w:jc w:val="right"/>
              <w:ind w:right="396"/>
              <w:spacing w:after="0" w:line="157" w:lineRule="exact"/>
              <w:rPr>
                <w:sz w:val="20"/>
                <w:szCs w:val="20"/>
                <w:color w:val="auto"/>
              </w:rPr>
            </w:pPr>
            <w:r>
              <w:rPr>
                <w:rFonts w:ascii="Calibri" w:cs="Calibri" w:eastAsia="Calibri" w:hAnsi="Calibri"/>
                <w:sz w:val="13"/>
                <w:szCs w:val="13"/>
                <w:color w:val="51555C"/>
                <w:w w:val="90"/>
              </w:rPr>
              <w:t>$</w:t>
            </w:r>
          </w:p>
        </w:tc>
        <w:tc>
          <w:tcPr>
            <w:tcW w:w="112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31,251</w:t>
            </w:r>
          </w:p>
        </w:tc>
        <w:tc>
          <w:tcPr>
            <w:tcW w:w="20" w:type="dxa"/>
            <w:vAlign w:val="bottom"/>
          </w:tcPr>
          <w:p>
            <w:pPr>
              <w:spacing w:after="0"/>
              <w:rPr>
                <w:sz w:val="14"/>
                <w:szCs w:val="14"/>
                <w:color w:val="auto"/>
              </w:rPr>
            </w:pPr>
          </w:p>
        </w:tc>
      </w:tr>
      <w:tr>
        <w:trPr>
          <w:trHeight w:val="157"/>
        </w:trPr>
        <w:tc>
          <w:tcPr>
            <w:tcW w:w="7980" w:type="dxa"/>
            <w:vAlign w:val="bottom"/>
          </w:tcPr>
          <w:p>
            <w:pPr>
              <w:ind w:left="20"/>
              <w:spacing w:after="0" w:line="157" w:lineRule="exact"/>
              <w:rPr>
                <w:sz w:val="20"/>
                <w:szCs w:val="20"/>
                <w:color w:val="auto"/>
              </w:rPr>
            </w:pPr>
            <w:r>
              <w:rPr>
                <w:rFonts w:ascii="Calibri" w:cs="Calibri" w:eastAsia="Calibri" w:hAnsi="Calibri"/>
                <w:sz w:val="13"/>
                <w:szCs w:val="13"/>
                <w:color w:val="51555C"/>
              </w:rPr>
              <w:t>Restricted cash</w:t>
            </w:r>
          </w:p>
        </w:tc>
        <w:tc>
          <w:tcPr>
            <w:tcW w:w="640" w:type="dxa"/>
            <w:vAlign w:val="bottom"/>
          </w:tcPr>
          <w:p>
            <w:pPr>
              <w:spacing w:after="0"/>
              <w:rPr>
                <w:sz w:val="13"/>
                <w:szCs w:val="13"/>
                <w:color w:val="auto"/>
              </w:rPr>
            </w:pPr>
          </w:p>
        </w:tc>
        <w:tc>
          <w:tcPr>
            <w:tcW w:w="1000" w:type="dxa"/>
            <w:vAlign w:val="bottom"/>
          </w:tcPr>
          <w:p>
            <w:pPr>
              <w:jc w:val="right"/>
              <w:spacing w:after="0" w:line="157" w:lineRule="exact"/>
              <w:rPr>
                <w:sz w:val="20"/>
                <w:szCs w:val="20"/>
                <w:color w:val="auto"/>
              </w:rPr>
            </w:pPr>
            <w:r>
              <w:rPr>
                <w:rFonts w:ascii="Calibri" w:cs="Calibri" w:eastAsia="Calibri" w:hAnsi="Calibri"/>
                <w:sz w:val="13"/>
                <w:szCs w:val="13"/>
                <w:color w:val="51555C"/>
              </w:rPr>
              <w:t>800,670</w:t>
            </w:r>
          </w:p>
        </w:tc>
        <w:tc>
          <w:tcPr>
            <w:tcW w:w="540" w:type="dxa"/>
            <w:vAlign w:val="bottom"/>
          </w:tcPr>
          <w:p>
            <w:pPr>
              <w:spacing w:after="0"/>
              <w:rPr>
                <w:sz w:val="13"/>
                <w:szCs w:val="13"/>
                <w:color w:val="auto"/>
              </w:rPr>
            </w:pPr>
          </w:p>
        </w:tc>
        <w:tc>
          <w:tcPr>
            <w:tcW w:w="1120" w:type="dxa"/>
            <w:vAlign w:val="bottom"/>
          </w:tcPr>
          <w:p>
            <w:pPr>
              <w:jc w:val="right"/>
              <w:spacing w:after="0" w:line="157" w:lineRule="exact"/>
              <w:rPr>
                <w:sz w:val="20"/>
                <w:szCs w:val="20"/>
                <w:color w:val="auto"/>
              </w:rPr>
            </w:pPr>
            <w:r>
              <w:rPr>
                <w:rFonts w:ascii="Calibri" w:cs="Calibri" w:eastAsia="Calibri" w:hAnsi="Calibri"/>
                <w:sz w:val="13"/>
                <w:szCs w:val="13"/>
                <w:color w:val="51555C"/>
              </w:rPr>
              <w:t>697,006</w:t>
            </w:r>
          </w:p>
        </w:tc>
        <w:tc>
          <w:tcPr>
            <w:tcW w:w="20" w:type="dxa"/>
            <w:vAlign w:val="bottom"/>
          </w:tcPr>
          <w:p>
            <w:pPr>
              <w:spacing w:after="0"/>
              <w:rPr>
                <w:sz w:val="13"/>
                <w:szCs w:val="13"/>
                <w:color w:val="auto"/>
              </w:rPr>
            </w:pPr>
          </w:p>
        </w:tc>
      </w:tr>
      <w:tr>
        <w:trPr>
          <w:trHeight w:val="34"/>
        </w:trPr>
        <w:tc>
          <w:tcPr>
            <w:tcW w:w="7980" w:type="dxa"/>
            <w:vAlign w:val="bottom"/>
            <w:tcBorders>
              <w:bottom w:val="single" w:sz="8" w:color="EBFBFF"/>
            </w:tcBorders>
          </w:tcPr>
          <w:p>
            <w:pPr>
              <w:spacing w:after="0"/>
              <w:rPr>
                <w:sz w:val="2"/>
                <w:szCs w:val="2"/>
                <w:color w:val="auto"/>
              </w:rPr>
            </w:pPr>
          </w:p>
        </w:tc>
        <w:tc>
          <w:tcPr>
            <w:tcW w:w="640" w:type="dxa"/>
            <w:vAlign w:val="bottom"/>
            <w:tcBorders>
              <w:bottom w:val="single" w:sz="8" w:color="51555C"/>
            </w:tcBorders>
          </w:tcPr>
          <w:p>
            <w:pPr>
              <w:spacing w:after="0"/>
              <w:rPr>
                <w:sz w:val="2"/>
                <w:szCs w:val="2"/>
                <w:color w:val="auto"/>
              </w:rPr>
            </w:pPr>
          </w:p>
        </w:tc>
        <w:tc>
          <w:tcPr>
            <w:tcW w:w="1000" w:type="dxa"/>
            <w:vAlign w:val="bottom"/>
            <w:tcBorders>
              <w:bottom w:val="single" w:sz="8" w:color="51555C"/>
            </w:tcBorders>
          </w:tcPr>
          <w:p>
            <w:pPr>
              <w:spacing w:after="0"/>
              <w:rPr>
                <w:sz w:val="2"/>
                <w:szCs w:val="2"/>
                <w:color w:val="auto"/>
              </w:rPr>
            </w:pPr>
          </w:p>
        </w:tc>
        <w:tc>
          <w:tcPr>
            <w:tcW w:w="540" w:type="dxa"/>
            <w:vAlign w:val="bottom"/>
            <w:tcBorders>
              <w:bottom w:val="single" w:sz="8" w:color="51555C"/>
            </w:tcBorders>
          </w:tcPr>
          <w:p>
            <w:pPr>
              <w:spacing w:after="0"/>
              <w:rPr>
                <w:sz w:val="2"/>
                <w:szCs w:val="2"/>
                <w:color w:val="auto"/>
              </w:rPr>
            </w:pPr>
          </w:p>
        </w:tc>
        <w:tc>
          <w:tcPr>
            <w:tcW w:w="1120" w:type="dxa"/>
            <w:vAlign w:val="bottom"/>
            <w:tcBorders>
              <w:bottom w:val="single" w:sz="8" w:color="51555C"/>
            </w:tcBorders>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7980" w:type="dxa"/>
            <w:vAlign w:val="bottom"/>
            <w:tcBorders>
              <w:bottom w:val="single" w:sz="8" w:color="EBFBFF"/>
            </w:tcBorders>
            <w:shd w:val="clear" w:color="auto" w:fill="EBFBFF"/>
          </w:tcPr>
          <w:p>
            <w:pPr>
              <w:ind w:left="100"/>
              <w:spacing w:after="0" w:line="137" w:lineRule="exact"/>
              <w:rPr>
                <w:sz w:val="20"/>
                <w:szCs w:val="20"/>
                <w:color w:val="auto"/>
              </w:rPr>
            </w:pPr>
            <w:r>
              <w:rPr>
                <w:rFonts w:ascii="Calibri" w:cs="Calibri" w:eastAsia="Calibri" w:hAnsi="Calibri"/>
                <w:sz w:val="13"/>
                <w:szCs w:val="13"/>
                <w:color w:val="51555C"/>
              </w:rPr>
              <w:t>Total cash, cash equivalents and restricted cash in the statement of cash fows</w:t>
            </w:r>
          </w:p>
        </w:tc>
        <w:tc>
          <w:tcPr>
            <w:tcW w:w="640" w:type="dxa"/>
            <w:vAlign w:val="bottom"/>
            <w:tcBorders>
              <w:bottom w:val="single" w:sz="8" w:color="EBFBFF"/>
            </w:tcBorders>
            <w:shd w:val="clear" w:color="auto" w:fill="EBFBFF"/>
          </w:tcPr>
          <w:p>
            <w:pPr>
              <w:jc w:val="right"/>
              <w:ind w:right="496"/>
              <w:spacing w:after="0" w:line="148" w:lineRule="exact"/>
              <w:rPr>
                <w:sz w:val="20"/>
                <w:szCs w:val="20"/>
                <w:color w:val="auto"/>
              </w:rPr>
            </w:pPr>
            <w:r>
              <w:rPr>
                <w:rFonts w:ascii="Calibri" w:cs="Calibri" w:eastAsia="Calibri" w:hAnsi="Calibri"/>
                <w:sz w:val="13"/>
                <w:szCs w:val="13"/>
                <w:color w:val="51555C"/>
                <w:w w:val="90"/>
              </w:rPr>
              <w:t>$</w:t>
            </w:r>
          </w:p>
        </w:tc>
        <w:tc>
          <w:tcPr>
            <w:tcW w:w="1000" w:type="dxa"/>
            <w:vAlign w:val="bottom"/>
            <w:tcBorders>
              <w:bottom w:val="single" w:sz="8" w:color="EBFBFF"/>
            </w:tcBorders>
            <w:shd w:val="clear" w:color="auto" w:fill="EBFBFF"/>
          </w:tcPr>
          <w:p>
            <w:pPr>
              <w:jc w:val="right"/>
              <w:spacing w:after="0" w:line="148" w:lineRule="exact"/>
              <w:rPr>
                <w:sz w:val="20"/>
                <w:szCs w:val="20"/>
                <w:color w:val="auto"/>
              </w:rPr>
            </w:pPr>
            <w:r>
              <w:rPr>
                <w:rFonts w:ascii="Calibri" w:cs="Calibri" w:eastAsia="Calibri" w:hAnsi="Calibri"/>
                <w:sz w:val="13"/>
                <w:szCs w:val="13"/>
                <w:color w:val="51555C"/>
              </w:rPr>
              <w:t>831,108</w:t>
            </w:r>
          </w:p>
        </w:tc>
        <w:tc>
          <w:tcPr>
            <w:tcW w:w="540" w:type="dxa"/>
            <w:vAlign w:val="bottom"/>
            <w:tcBorders>
              <w:bottom w:val="single" w:sz="8" w:color="EBFBFF"/>
            </w:tcBorders>
            <w:shd w:val="clear" w:color="auto" w:fill="EBFBFF"/>
          </w:tcPr>
          <w:p>
            <w:pPr>
              <w:jc w:val="right"/>
              <w:ind w:right="396"/>
              <w:spacing w:after="0" w:line="148" w:lineRule="exact"/>
              <w:rPr>
                <w:sz w:val="20"/>
                <w:szCs w:val="20"/>
                <w:color w:val="auto"/>
              </w:rPr>
            </w:pPr>
            <w:r>
              <w:rPr>
                <w:rFonts w:ascii="Calibri" w:cs="Calibri" w:eastAsia="Calibri" w:hAnsi="Calibri"/>
                <w:sz w:val="13"/>
                <w:szCs w:val="13"/>
                <w:color w:val="51555C"/>
                <w:w w:val="90"/>
              </w:rPr>
              <w:t>$</w:t>
            </w:r>
          </w:p>
        </w:tc>
        <w:tc>
          <w:tcPr>
            <w:tcW w:w="1120" w:type="dxa"/>
            <w:vAlign w:val="bottom"/>
            <w:tcBorders>
              <w:bottom w:val="single" w:sz="8" w:color="EBFBFF"/>
            </w:tcBorders>
            <w:shd w:val="clear" w:color="auto" w:fill="EBFBFF"/>
          </w:tcPr>
          <w:p>
            <w:pPr>
              <w:jc w:val="right"/>
              <w:spacing w:after="0" w:line="148" w:lineRule="exact"/>
              <w:rPr>
                <w:sz w:val="20"/>
                <w:szCs w:val="20"/>
                <w:color w:val="auto"/>
              </w:rPr>
            </w:pPr>
            <w:r>
              <w:rPr>
                <w:rFonts w:ascii="Calibri" w:cs="Calibri" w:eastAsia="Calibri" w:hAnsi="Calibri"/>
                <w:sz w:val="13"/>
                <w:szCs w:val="13"/>
                <w:color w:val="51555C"/>
              </w:rPr>
              <w:t>728,257</w:t>
            </w:r>
          </w:p>
        </w:tc>
        <w:tc>
          <w:tcPr>
            <w:tcW w:w="20" w:type="dxa"/>
            <w:vAlign w:val="bottom"/>
          </w:tcPr>
          <w:p>
            <w:pPr>
              <w:spacing w:after="0"/>
              <w:rPr>
                <w:sz w:val="14"/>
                <w:szCs w:val="14"/>
                <w:color w:val="auto"/>
              </w:rPr>
            </w:pPr>
          </w:p>
        </w:tc>
      </w:tr>
      <w:tr>
        <w:trPr>
          <w:trHeight w:val="20"/>
        </w:trPr>
        <w:tc>
          <w:tcPr>
            <w:tcW w:w="7980" w:type="dxa"/>
            <w:vAlign w:val="bottom"/>
            <w:shd w:val="clear" w:color="auto" w:fill="0CD973"/>
          </w:tcPr>
          <w:p>
            <w:pPr>
              <w:spacing w:after="0" w:line="20" w:lineRule="exact"/>
              <w:rPr>
                <w:sz w:val="1"/>
                <w:szCs w:val="1"/>
                <w:color w:val="auto"/>
              </w:rPr>
            </w:pPr>
          </w:p>
        </w:tc>
        <w:tc>
          <w:tcPr>
            <w:tcW w:w="640" w:type="dxa"/>
            <w:vAlign w:val="bottom"/>
            <w:shd w:val="clear" w:color="auto" w:fill="0CD973"/>
          </w:tcPr>
          <w:p>
            <w:pPr>
              <w:spacing w:after="0" w:line="20" w:lineRule="exact"/>
              <w:rPr>
                <w:sz w:val="1"/>
                <w:szCs w:val="1"/>
                <w:color w:val="auto"/>
              </w:rPr>
            </w:pPr>
          </w:p>
        </w:tc>
        <w:tc>
          <w:tcPr>
            <w:tcW w:w="1000" w:type="dxa"/>
            <w:vAlign w:val="bottom"/>
            <w:shd w:val="clear" w:color="auto" w:fill="0CD973"/>
          </w:tcPr>
          <w:p>
            <w:pPr>
              <w:spacing w:after="0" w:line="20" w:lineRule="exact"/>
              <w:rPr>
                <w:sz w:val="1"/>
                <w:szCs w:val="1"/>
                <w:color w:val="auto"/>
              </w:rPr>
            </w:pPr>
          </w:p>
        </w:tc>
        <w:tc>
          <w:tcPr>
            <w:tcW w:w="540" w:type="dxa"/>
            <w:vAlign w:val="bottom"/>
            <w:shd w:val="clear" w:color="auto" w:fill="0CD973"/>
          </w:tcPr>
          <w:p>
            <w:pPr>
              <w:spacing w:after="0" w:line="20" w:lineRule="exact"/>
              <w:rPr>
                <w:sz w:val="1"/>
                <w:szCs w:val="1"/>
                <w:color w:val="auto"/>
              </w:rPr>
            </w:pPr>
          </w:p>
        </w:tc>
        <w:tc>
          <w:tcPr>
            <w:tcW w:w="112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62" w:lineRule="exact"/>
        <w:rPr>
          <w:sz w:val="20"/>
          <w:szCs w:val="20"/>
          <w:color w:val="auto"/>
        </w:rPr>
      </w:pPr>
    </w:p>
    <w:p>
      <w:pPr>
        <w:jc w:val="center"/>
        <w:ind w:right="20"/>
        <w:spacing w:after="0"/>
        <w:rPr>
          <w:sz w:val="20"/>
          <w:szCs w:val="20"/>
          <w:color w:val="auto"/>
        </w:rPr>
      </w:pPr>
      <w:r>
        <w:rPr>
          <w:rFonts w:ascii="Calibri" w:cs="Calibri" w:eastAsia="Calibri" w:hAnsi="Calibri"/>
          <w:sz w:val="13"/>
          <w:szCs w:val="13"/>
          <w:color w:val="51555C"/>
        </w:rPr>
        <w:t>The accompanying notes are an integral part of these condensed consolidated fnancial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6383020</wp:posOffset>
            </wp:positionH>
            <wp:positionV relativeFrom="paragraph">
              <wp:posOffset>445770</wp:posOffset>
            </wp:positionV>
            <wp:extent cx="532130" cy="134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32130" cy="13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0420" w:type="dxa"/>
            <w:vAlign w:val="bottom"/>
          </w:tcPr>
          <w:p>
            <w:pPr>
              <w:ind w:left="8160"/>
              <w:spacing w:after="0"/>
              <w:rPr>
                <w:sz w:val="20"/>
                <w:szCs w:val="20"/>
                <w:color w:val="auto"/>
              </w:rPr>
            </w:pPr>
            <w:r>
              <w:rPr>
                <w:rFonts w:ascii="Calibri" w:cs="Calibri" w:eastAsia="Calibri" w:hAnsi="Calibri"/>
                <w:sz w:val="11"/>
                <w:szCs w:val="11"/>
                <w:color w:val="51555C"/>
              </w:rPr>
              <w:t>Second Quarter 2024 Form 10-Q</w:t>
            </w:r>
          </w:p>
        </w:tc>
        <w:tc>
          <w:tcPr>
            <w:tcW w:w="860" w:type="dxa"/>
            <w:vAlign w:val="bottom"/>
          </w:tcPr>
          <w:p>
            <w:pPr>
              <w:jc w:val="right"/>
              <w:spacing w:after="0"/>
              <w:rPr>
                <w:sz w:val="20"/>
                <w:szCs w:val="20"/>
                <w:color w:val="auto"/>
              </w:rPr>
            </w:pPr>
            <w:r>
              <w:rPr>
                <w:rFonts w:ascii="Calibri" w:cs="Calibri" w:eastAsia="Calibri" w:hAnsi="Calibri"/>
                <w:sz w:val="11"/>
                <w:szCs w:val="11"/>
                <w:color w:val="51555C"/>
              </w:rPr>
              <w:t>5</w:t>
            </w:r>
          </w:p>
        </w:tc>
      </w:tr>
      <w:tr>
        <w:trPr>
          <w:trHeight w:val="281"/>
        </w:trPr>
        <w:tc>
          <w:tcPr>
            <w:tcW w:w="104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300"/>
          </w:cols>
          <w:pgMar w:left="300" w:top="1180" w:right="299" w:bottom="1440" w:gutter="0" w:footer="0" w:header="0"/>
          <w:type w:val="continuous"/>
        </w:sectPr>
      </w:pPr>
    </w:p>
    <w:bookmarkStart w:id="6" w:name="page7"/>
    <w:bookmarkEnd w:id="6"/>
    <w:p>
      <w:pPr>
        <w:jc w:val="center"/>
        <w:ind w:right="-239"/>
        <w:spacing w:after="0"/>
        <w:rPr>
          <w:sz w:val="20"/>
          <w:szCs w:val="20"/>
          <w:color w:val="auto"/>
        </w:rPr>
      </w:pPr>
      <w:r>
        <w:rPr>
          <w:rFonts w:ascii="Calibri" w:cs="Calibri" w:eastAsia="Calibri" w:hAnsi="Calibri"/>
          <w:sz w:val="14"/>
          <w:szCs w:val="14"/>
          <w:b w:val="1"/>
          <w:bCs w:val="1"/>
          <w:color w:val="51555C"/>
        </w:rPr>
        <w:t>Blackbaud, Inc.</w:t>
      </w:r>
    </w:p>
    <w:p>
      <w:pPr>
        <w:jc w:val="center"/>
        <w:ind w:right="-239"/>
        <w:spacing w:after="0" w:line="238" w:lineRule="auto"/>
        <w:rPr>
          <w:sz w:val="20"/>
          <w:szCs w:val="20"/>
          <w:color w:val="auto"/>
        </w:rPr>
      </w:pPr>
      <w:r>
        <w:rPr>
          <w:rFonts w:ascii="Calibri" w:cs="Calibri" w:eastAsia="Calibri" w:hAnsi="Calibri"/>
          <w:sz w:val="14"/>
          <w:szCs w:val="14"/>
          <w:b w:val="1"/>
          <w:bCs w:val="1"/>
          <w:color w:val="51555C"/>
        </w:rPr>
        <w:t>Condensed Consolidated Statements of Stockholders' Equity</w:t>
      </w:r>
    </w:p>
    <w:p>
      <w:pPr>
        <w:jc w:val="center"/>
        <w:ind w:right="-239"/>
        <w:spacing w:after="0"/>
        <w:rPr>
          <w:sz w:val="20"/>
          <w:szCs w:val="20"/>
          <w:color w:val="auto"/>
        </w:rPr>
      </w:pPr>
      <w:r>
        <w:rPr>
          <w:rFonts w:ascii="Calibri" w:cs="Calibri" w:eastAsia="Calibri" w:hAnsi="Calibri"/>
          <w:sz w:val="14"/>
          <w:szCs w:val="14"/>
          <w:b w:val="1"/>
          <w:bCs w:val="1"/>
          <w:color w:val="51555C"/>
        </w:rPr>
        <w:t>(Unaudited)</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840" w:type="dxa"/>
            <w:vAlign w:val="bottom"/>
            <w:shd w:val="clear" w:color="auto" w:fill="004054"/>
          </w:tcPr>
          <w:p>
            <w:pPr>
              <w:spacing w:after="0"/>
              <w:rPr>
                <w:sz w:val="13"/>
                <w:szCs w:val="13"/>
                <w:color w:val="auto"/>
              </w:rPr>
            </w:pPr>
          </w:p>
        </w:tc>
        <w:tc>
          <w:tcPr>
            <w:tcW w:w="900" w:type="dxa"/>
            <w:vAlign w:val="bottom"/>
            <w:shd w:val="clear" w:color="auto" w:fill="004054"/>
          </w:tcPr>
          <w:p>
            <w:pPr>
              <w:spacing w:after="0"/>
              <w:rPr>
                <w:sz w:val="13"/>
                <w:szCs w:val="13"/>
                <w:color w:val="auto"/>
              </w:rPr>
            </w:pPr>
          </w:p>
        </w:tc>
        <w:tc>
          <w:tcPr>
            <w:tcW w:w="160" w:type="dxa"/>
            <w:vAlign w:val="bottom"/>
            <w:shd w:val="clear" w:color="auto" w:fill="004054"/>
          </w:tcPr>
          <w:p>
            <w:pPr>
              <w:spacing w:after="0"/>
              <w:rPr>
                <w:sz w:val="13"/>
                <w:szCs w:val="13"/>
                <w:color w:val="auto"/>
              </w:rPr>
            </w:pPr>
          </w:p>
        </w:tc>
        <w:tc>
          <w:tcPr>
            <w:tcW w:w="500" w:type="dxa"/>
            <w:vAlign w:val="bottom"/>
            <w:shd w:val="clear" w:color="auto" w:fill="004054"/>
          </w:tcPr>
          <w:p>
            <w:pPr>
              <w:spacing w:after="0"/>
              <w:rPr>
                <w:sz w:val="13"/>
                <w:szCs w:val="13"/>
                <w:color w:val="auto"/>
              </w:rPr>
            </w:pPr>
          </w:p>
        </w:tc>
        <w:tc>
          <w:tcPr>
            <w:tcW w:w="980" w:type="dxa"/>
            <w:vAlign w:val="bottom"/>
            <w:shd w:val="clear" w:color="auto" w:fill="004054"/>
          </w:tcPr>
          <w:p>
            <w:pPr>
              <w:spacing w:after="0"/>
              <w:rPr>
                <w:sz w:val="13"/>
                <w:szCs w:val="13"/>
                <w:color w:val="auto"/>
              </w:rPr>
            </w:pPr>
          </w:p>
        </w:tc>
        <w:tc>
          <w:tcPr>
            <w:tcW w:w="100" w:type="dxa"/>
            <w:vAlign w:val="bottom"/>
            <w:shd w:val="clear" w:color="auto" w:fill="004054"/>
          </w:tcPr>
          <w:p>
            <w:pPr>
              <w:spacing w:after="0"/>
              <w:rPr>
                <w:sz w:val="13"/>
                <w:szCs w:val="13"/>
                <w:color w:val="auto"/>
              </w:rPr>
            </w:pPr>
          </w:p>
        </w:tc>
        <w:tc>
          <w:tcPr>
            <w:tcW w:w="720" w:type="dxa"/>
            <w:vAlign w:val="bottom"/>
            <w:shd w:val="clear" w:color="auto" w:fill="004054"/>
          </w:tcPr>
          <w:p>
            <w:pPr>
              <w:spacing w:after="0"/>
              <w:rPr>
                <w:sz w:val="13"/>
                <w:szCs w:val="13"/>
                <w:color w:val="auto"/>
              </w:rPr>
            </w:pPr>
          </w:p>
        </w:tc>
        <w:tc>
          <w:tcPr>
            <w:tcW w:w="260" w:type="dxa"/>
            <w:vAlign w:val="bottom"/>
            <w:shd w:val="clear" w:color="auto" w:fill="004054"/>
          </w:tcPr>
          <w:p>
            <w:pPr>
              <w:spacing w:after="0"/>
              <w:rPr>
                <w:sz w:val="13"/>
                <w:szCs w:val="13"/>
                <w:color w:val="auto"/>
              </w:rPr>
            </w:pPr>
          </w:p>
        </w:tc>
        <w:tc>
          <w:tcPr>
            <w:tcW w:w="660" w:type="dxa"/>
            <w:vAlign w:val="bottom"/>
            <w:shd w:val="clear" w:color="auto" w:fill="004054"/>
          </w:tcPr>
          <w:p>
            <w:pPr>
              <w:spacing w:after="0"/>
              <w:rPr>
                <w:sz w:val="13"/>
                <w:szCs w:val="13"/>
                <w:color w:val="auto"/>
              </w:rPr>
            </w:pPr>
          </w:p>
        </w:tc>
        <w:tc>
          <w:tcPr>
            <w:tcW w:w="220" w:type="dxa"/>
            <w:vAlign w:val="bottom"/>
            <w:shd w:val="clear" w:color="auto" w:fill="004054"/>
          </w:tcPr>
          <w:p>
            <w:pPr>
              <w:spacing w:after="0"/>
              <w:rPr>
                <w:sz w:val="13"/>
                <w:szCs w:val="13"/>
                <w:color w:val="auto"/>
              </w:rPr>
            </w:pPr>
          </w:p>
        </w:tc>
        <w:tc>
          <w:tcPr>
            <w:tcW w:w="88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Accumulated</w:t>
            </w:r>
          </w:p>
        </w:tc>
        <w:tc>
          <w:tcPr>
            <w:tcW w:w="200" w:type="dxa"/>
            <w:vAlign w:val="bottom"/>
            <w:shd w:val="clear" w:color="auto" w:fill="004054"/>
          </w:tcPr>
          <w:p>
            <w:pPr>
              <w:spacing w:after="0"/>
              <w:rPr>
                <w:sz w:val="13"/>
                <w:szCs w:val="13"/>
                <w:color w:val="auto"/>
              </w:rPr>
            </w:pPr>
          </w:p>
        </w:tc>
        <w:tc>
          <w:tcPr>
            <w:tcW w:w="600" w:type="dxa"/>
            <w:vAlign w:val="bottom"/>
            <w:shd w:val="clear" w:color="auto" w:fill="004054"/>
          </w:tcPr>
          <w:p>
            <w:pPr>
              <w:spacing w:after="0"/>
              <w:rPr>
                <w:sz w:val="13"/>
                <w:szCs w:val="13"/>
                <w:color w:val="auto"/>
              </w:rPr>
            </w:pPr>
          </w:p>
        </w:tc>
        <w:tc>
          <w:tcPr>
            <w:tcW w:w="220" w:type="dxa"/>
            <w:vAlign w:val="bottom"/>
            <w:shd w:val="clear" w:color="auto" w:fill="004054"/>
          </w:tcPr>
          <w:p>
            <w:pPr>
              <w:spacing w:after="0"/>
              <w:rPr>
                <w:sz w:val="13"/>
                <w:szCs w:val="13"/>
                <w:color w:val="auto"/>
              </w:rPr>
            </w:pPr>
          </w:p>
        </w:tc>
        <w:tc>
          <w:tcPr>
            <w:tcW w:w="780" w:type="dxa"/>
            <w:vAlign w:val="bottom"/>
            <w:shd w:val="clear" w:color="auto" w:fill="004054"/>
          </w:tcPr>
          <w:p>
            <w:pPr>
              <w:spacing w:after="0"/>
              <w:rPr>
                <w:sz w:val="13"/>
                <w:szCs w:val="13"/>
                <w:color w:val="auto"/>
              </w:rPr>
            </w:pPr>
          </w:p>
        </w:tc>
        <w:tc>
          <w:tcPr>
            <w:tcW w:w="20" w:type="dxa"/>
            <w:vAlign w:val="bottom"/>
            <w:shd w:val="clear" w:color="auto" w:fill="004054"/>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840" w:type="dxa"/>
            <w:vAlign w:val="bottom"/>
            <w:shd w:val="clear" w:color="auto" w:fill="004054"/>
          </w:tcPr>
          <w:p>
            <w:pPr>
              <w:spacing w:after="0"/>
              <w:rPr>
                <w:sz w:val="11"/>
                <w:szCs w:val="11"/>
                <w:color w:val="auto"/>
              </w:rPr>
            </w:pPr>
          </w:p>
        </w:tc>
        <w:tc>
          <w:tcPr>
            <w:tcW w:w="1560" w:type="dxa"/>
            <w:vAlign w:val="bottom"/>
            <w:gridSpan w:val="3"/>
            <w:vMerge w:val="restart"/>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Common stock</w:t>
            </w:r>
          </w:p>
        </w:tc>
        <w:tc>
          <w:tcPr>
            <w:tcW w:w="980" w:type="dxa"/>
            <w:vAlign w:val="bottom"/>
            <w:shd w:val="clear" w:color="auto" w:fill="004054"/>
          </w:tcPr>
          <w:p>
            <w:pPr>
              <w:spacing w:after="0"/>
              <w:rPr>
                <w:sz w:val="11"/>
                <w:szCs w:val="11"/>
                <w:color w:val="auto"/>
              </w:rPr>
            </w:pPr>
          </w:p>
        </w:tc>
        <w:tc>
          <w:tcPr>
            <w:tcW w:w="100" w:type="dxa"/>
            <w:vAlign w:val="bottom"/>
            <w:shd w:val="clear" w:color="auto" w:fill="004054"/>
          </w:tcPr>
          <w:p>
            <w:pPr>
              <w:spacing w:after="0"/>
              <w:rPr>
                <w:sz w:val="11"/>
                <w:szCs w:val="11"/>
                <w:color w:val="auto"/>
              </w:rPr>
            </w:pPr>
          </w:p>
        </w:tc>
        <w:tc>
          <w:tcPr>
            <w:tcW w:w="720" w:type="dxa"/>
            <w:vAlign w:val="bottom"/>
            <w:vMerge w:val="restart"/>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Treasury stock</w:t>
            </w:r>
          </w:p>
        </w:tc>
        <w:tc>
          <w:tcPr>
            <w:tcW w:w="260" w:type="dxa"/>
            <w:vAlign w:val="bottom"/>
            <w:shd w:val="clear" w:color="auto" w:fill="004054"/>
          </w:tcPr>
          <w:p>
            <w:pPr>
              <w:spacing w:after="0"/>
              <w:rPr>
                <w:sz w:val="11"/>
                <w:szCs w:val="11"/>
                <w:color w:val="auto"/>
              </w:rPr>
            </w:pPr>
          </w:p>
        </w:tc>
        <w:tc>
          <w:tcPr>
            <w:tcW w:w="66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Additonal</w:t>
            </w:r>
          </w:p>
        </w:tc>
        <w:tc>
          <w:tcPr>
            <w:tcW w:w="220" w:type="dxa"/>
            <w:vAlign w:val="bottom"/>
            <w:shd w:val="clear" w:color="auto" w:fill="004054"/>
          </w:tcPr>
          <w:p>
            <w:pPr>
              <w:spacing w:after="0"/>
              <w:rPr>
                <w:sz w:val="11"/>
                <w:szCs w:val="11"/>
                <w:color w:val="auto"/>
              </w:rPr>
            </w:pPr>
          </w:p>
        </w:tc>
        <w:tc>
          <w:tcPr>
            <w:tcW w:w="88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other</w:t>
            </w:r>
          </w:p>
        </w:tc>
        <w:tc>
          <w:tcPr>
            <w:tcW w:w="200" w:type="dxa"/>
            <w:vAlign w:val="bottom"/>
            <w:shd w:val="clear" w:color="auto" w:fill="004054"/>
          </w:tcPr>
          <w:p>
            <w:pPr>
              <w:spacing w:after="0"/>
              <w:rPr>
                <w:sz w:val="11"/>
                <w:szCs w:val="11"/>
                <w:color w:val="auto"/>
              </w:rPr>
            </w:pPr>
          </w:p>
        </w:tc>
        <w:tc>
          <w:tcPr>
            <w:tcW w:w="600" w:type="dxa"/>
            <w:vAlign w:val="bottom"/>
            <w:vMerge w:val="restart"/>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Retained</w:t>
            </w:r>
          </w:p>
        </w:tc>
        <w:tc>
          <w:tcPr>
            <w:tcW w:w="220" w:type="dxa"/>
            <w:vAlign w:val="bottom"/>
            <w:shd w:val="clear" w:color="auto" w:fill="004054"/>
          </w:tcPr>
          <w:p>
            <w:pPr>
              <w:spacing w:after="0"/>
              <w:rPr>
                <w:sz w:val="11"/>
                <w:szCs w:val="11"/>
                <w:color w:val="auto"/>
              </w:rPr>
            </w:pPr>
          </w:p>
        </w:tc>
        <w:tc>
          <w:tcPr>
            <w:tcW w:w="78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Total</w:t>
            </w:r>
          </w:p>
        </w:tc>
        <w:tc>
          <w:tcPr>
            <w:tcW w:w="20" w:type="dxa"/>
            <w:vAlign w:val="bottom"/>
            <w:shd w:val="clear" w:color="auto" w:fill="004054"/>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3840" w:type="dxa"/>
            <w:vAlign w:val="bottom"/>
            <w:shd w:val="clear" w:color="auto" w:fill="004054"/>
          </w:tcPr>
          <w:p>
            <w:pPr>
              <w:spacing w:after="0"/>
              <w:rPr>
                <w:sz w:val="6"/>
                <w:szCs w:val="6"/>
                <w:color w:val="auto"/>
              </w:rPr>
            </w:pPr>
          </w:p>
        </w:tc>
        <w:tc>
          <w:tcPr>
            <w:tcW w:w="1560" w:type="dxa"/>
            <w:vAlign w:val="bottom"/>
            <w:gridSpan w:val="3"/>
            <w:vMerge w:val="continue"/>
            <w:shd w:val="clear" w:color="auto" w:fill="004054"/>
          </w:tcPr>
          <w:p>
            <w:pPr>
              <w:spacing w:after="0"/>
              <w:rPr>
                <w:sz w:val="6"/>
                <w:szCs w:val="6"/>
                <w:color w:val="auto"/>
              </w:rPr>
            </w:pPr>
          </w:p>
        </w:tc>
        <w:tc>
          <w:tcPr>
            <w:tcW w:w="980" w:type="dxa"/>
            <w:vAlign w:val="bottom"/>
            <w:shd w:val="clear" w:color="auto" w:fill="004054"/>
          </w:tcPr>
          <w:p>
            <w:pPr>
              <w:spacing w:after="0"/>
              <w:rPr>
                <w:sz w:val="6"/>
                <w:szCs w:val="6"/>
                <w:color w:val="auto"/>
              </w:rPr>
            </w:pPr>
          </w:p>
        </w:tc>
        <w:tc>
          <w:tcPr>
            <w:tcW w:w="100" w:type="dxa"/>
            <w:vAlign w:val="bottom"/>
            <w:shd w:val="clear" w:color="auto" w:fill="004054"/>
          </w:tcPr>
          <w:p>
            <w:pPr>
              <w:spacing w:after="0"/>
              <w:rPr>
                <w:sz w:val="6"/>
                <w:szCs w:val="6"/>
                <w:color w:val="auto"/>
              </w:rPr>
            </w:pPr>
          </w:p>
        </w:tc>
        <w:tc>
          <w:tcPr>
            <w:tcW w:w="720" w:type="dxa"/>
            <w:vAlign w:val="bottom"/>
            <w:vMerge w:val="continue"/>
            <w:shd w:val="clear" w:color="auto" w:fill="004054"/>
          </w:tcPr>
          <w:p>
            <w:pPr>
              <w:spacing w:after="0"/>
              <w:rPr>
                <w:sz w:val="6"/>
                <w:szCs w:val="6"/>
                <w:color w:val="auto"/>
              </w:rPr>
            </w:pPr>
          </w:p>
        </w:tc>
        <w:tc>
          <w:tcPr>
            <w:tcW w:w="260" w:type="dxa"/>
            <w:vAlign w:val="bottom"/>
            <w:shd w:val="clear" w:color="auto" w:fill="004054"/>
          </w:tcPr>
          <w:p>
            <w:pPr>
              <w:spacing w:after="0"/>
              <w:rPr>
                <w:sz w:val="6"/>
                <w:szCs w:val="6"/>
                <w:color w:val="auto"/>
              </w:rPr>
            </w:pPr>
          </w:p>
        </w:tc>
        <w:tc>
          <w:tcPr>
            <w:tcW w:w="660" w:type="dxa"/>
            <w:vAlign w:val="bottom"/>
            <w:vMerge w:val="restart"/>
            <w:shd w:val="clear" w:color="auto" w:fill="004054"/>
          </w:tcPr>
          <w:p>
            <w:pPr>
              <w:jc w:val="right"/>
              <w:spacing w:after="0" w:line="121" w:lineRule="exact"/>
              <w:rPr>
                <w:sz w:val="20"/>
                <w:szCs w:val="20"/>
                <w:color w:val="auto"/>
              </w:rPr>
            </w:pPr>
            <w:r>
              <w:rPr>
                <w:rFonts w:ascii="Calibri" w:cs="Calibri" w:eastAsia="Calibri" w:hAnsi="Calibri"/>
                <w:sz w:val="11"/>
                <w:szCs w:val="11"/>
                <w:b w:val="1"/>
                <w:bCs w:val="1"/>
                <w:color w:val="FFFFFF"/>
              </w:rPr>
              <w:t>paid-in</w:t>
            </w:r>
          </w:p>
        </w:tc>
        <w:tc>
          <w:tcPr>
            <w:tcW w:w="220" w:type="dxa"/>
            <w:vAlign w:val="bottom"/>
            <w:shd w:val="clear" w:color="auto" w:fill="004054"/>
          </w:tcPr>
          <w:p>
            <w:pPr>
              <w:spacing w:after="0"/>
              <w:rPr>
                <w:sz w:val="6"/>
                <w:szCs w:val="6"/>
                <w:color w:val="auto"/>
              </w:rPr>
            </w:pPr>
          </w:p>
        </w:tc>
        <w:tc>
          <w:tcPr>
            <w:tcW w:w="880" w:type="dxa"/>
            <w:vAlign w:val="bottom"/>
            <w:vMerge w:val="restart"/>
            <w:shd w:val="clear" w:color="auto" w:fill="004054"/>
          </w:tcPr>
          <w:p>
            <w:pPr>
              <w:jc w:val="right"/>
              <w:spacing w:after="0" w:line="121" w:lineRule="exact"/>
              <w:rPr>
                <w:sz w:val="20"/>
                <w:szCs w:val="20"/>
                <w:color w:val="auto"/>
              </w:rPr>
            </w:pPr>
            <w:r>
              <w:rPr>
                <w:rFonts w:ascii="Calibri" w:cs="Calibri" w:eastAsia="Calibri" w:hAnsi="Calibri"/>
                <w:sz w:val="11"/>
                <w:szCs w:val="11"/>
                <w:b w:val="1"/>
                <w:bCs w:val="1"/>
                <w:color w:val="FFFFFF"/>
              </w:rPr>
              <w:t>comprehensive</w:t>
            </w:r>
          </w:p>
        </w:tc>
        <w:tc>
          <w:tcPr>
            <w:tcW w:w="200" w:type="dxa"/>
            <w:vAlign w:val="bottom"/>
            <w:shd w:val="clear" w:color="auto" w:fill="004054"/>
          </w:tcPr>
          <w:p>
            <w:pPr>
              <w:spacing w:after="0"/>
              <w:rPr>
                <w:sz w:val="6"/>
                <w:szCs w:val="6"/>
                <w:color w:val="auto"/>
              </w:rPr>
            </w:pPr>
          </w:p>
        </w:tc>
        <w:tc>
          <w:tcPr>
            <w:tcW w:w="600" w:type="dxa"/>
            <w:vAlign w:val="bottom"/>
            <w:vMerge w:val="continue"/>
            <w:shd w:val="clear" w:color="auto" w:fill="004054"/>
          </w:tcPr>
          <w:p>
            <w:pPr>
              <w:spacing w:after="0"/>
              <w:rPr>
                <w:sz w:val="6"/>
                <w:szCs w:val="6"/>
                <w:color w:val="auto"/>
              </w:rPr>
            </w:pPr>
          </w:p>
        </w:tc>
        <w:tc>
          <w:tcPr>
            <w:tcW w:w="220" w:type="dxa"/>
            <w:vAlign w:val="bottom"/>
            <w:shd w:val="clear" w:color="auto" w:fill="004054"/>
          </w:tcPr>
          <w:p>
            <w:pPr>
              <w:spacing w:after="0"/>
              <w:rPr>
                <w:sz w:val="6"/>
                <w:szCs w:val="6"/>
                <w:color w:val="auto"/>
              </w:rPr>
            </w:pPr>
          </w:p>
        </w:tc>
        <w:tc>
          <w:tcPr>
            <w:tcW w:w="780" w:type="dxa"/>
            <w:vAlign w:val="bottom"/>
            <w:vMerge w:val="restart"/>
            <w:shd w:val="clear" w:color="auto" w:fill="004054"/>
          </w:tcPr>
          <w:p>
            <w:pPr>
              <w:jc w:val="right"/>
              <w:spacing w:after="0" w:line="121" w:lineRule="exact"/>
              <w:rPr>
                <w:sz w:val="20"/>
                <w:szCs w:val="20"/>
                <w:color w:val="auto"/>
              </w:rPr>
            </w:pPr>
            <w:r>
              <w:rPr>
                <w:rFonts w:ascii="Calibri" w:cs="Calibri" w:eastAsia="Calibri" w:hAnsi="Calibri"/>
                <w:sz w:val="11"/>
                <w:szCs w:val="11"/>
                <w:b w:val="1"/>
                <w:bCs w:val="1"/>
                <w:color w:val="FFFFFF"/>
              </w:rPr>
              <w:t>stockholders'</w:t>
            </w:r>
          </w:p>
        </w:tc>
        <w:tc>
          <w:tcPr>
            <w:tcW w:w="20" w:type="dxa"/>
            <w:vAlign w:val="bottom"/>
            <w:shd w:val="clear" w:color="auto" w:fill="004054"/>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3840" w:type="dxa"/>
            <w:vAlign w:val="bottom"/>
            <w:shd w:val="clear" w:color="auto" w:fill="004054"/>
          </w:tcPr>
          <w:p>
            <w:pPr>
              <w:spacing w:after="0"/>
              <w:rPr>
                <w:sz w:val="4"/>
                <w:szCs w:val="4"/>
                <w:color w:val="auto"/>
              </w:rPr>
            </w:pPr>
          </w:p>
        </w:tc>
        <w:tc>
          <w:tcPr>
            <w:tcW w:w="900" w:type="dxa"/>
            <w:vAlign w:val="bottom"/>
            <w:shd w:val="clear" w:color="auto" w:fill="004054"/>
          </w:tcPr>
          <w:p>
            <w:pPr>
              <w:spacing w:after="0"/>
              <w:rPr>
                <w:sz w:val="4"/>
                <w:szCs w:val="4"/>
                <w:color w:val="auto"/>
              </w:rPr>
            </w:pPr>
          </w:p>
        </w:tc>
        <w:tc>
          <w:tcPr>
            <w:tcW w:w="160" w:type="dxa"/>
            <w:vAlign w:val="bottom"/>
            <w:shd w:val="clear" w:color="auto" w:fill="004054"/>
          </w:tcPr>
          <w:p>
            <w:pPr>
              <w:spacing w:after="0"/>
              <w:rPr>
                <w:sz w:val="4"/>
                <w:szCs w:val="4"/>
                <w:color w:val="auto"/>
              </w:rPr>
            </w:pPr>
          </w:p>
        </w:tc>
        <w:tc>
          <w:tcPr>
            <w:tcW w:w="500" w:type="dxa"/>
            <w:vAlign w:val="bottom"/>
            <w:shd w:val="clear" w:color="auto" w:fill="004054"/>
          </w:tcPr>
          <w:p>
            <w:pPr>
              <w:spacing w:after="0"/>
              <w:rPr>
                <w:sz w:val="4"/>
                <w:szCs w:val="4"/>
                <w:color w:val="auto"/>
              </w:rPr>
            </w:pPr>
          </w:p>
        </w:tc>
        <w:tc>
          <w:tcPr>
            <w:tcW w:w="980" w:type="dxa"/>
            <w:vAlign w:val="bottom"/>
            <w:shd w:val="clear" w:color="auto" w:fill="004054"/>
          </w:tcPr>
          <w:p>
            <w:pPr>
              <w:spacing w:after="0"/>
              <w:rPr>
                <w:sz w:val="4"/>
                <w:szCs w:val="4"/>
                <w:color w:val="auto"/>
              </w:rPr>
            </w:pPr>
          </w:p>
        </w:tc>
        <w:tc>
          <w:tcPr>
            <w:tcW w:w="100" w:type="dxa"/>
            <w:vAlign w:val="bottom"/>
            <w:shd w:val="clear" w:color="auto" w:fill="004054"/>
          </w:tcPr>
          <w:p>
            <w:pPr>
              <w:spacing w:after="0"/>
              <w:rPr>
                <w:sz w:val="4"/>
                <w:szCs w:val="4"/>
                <w:color w:val="auto"/>
              </w:rPr>
            </w:pPr>
          </w:p>
        </w:tc>
        <w:tc>
          <w:tcPr>
            <w:tcW w:w="720" w:type="dxa"/>
            <w:vAlign w:val="bottom"/>
            <w:shd w:val="clear" w:color="auto" w:fill="004054"/>
          </w:tcPr>
          <w:p>
            <w:pPr>
              <w:spacing w:after="0"/>
              <w:rPr>
                <w:sz w:val="4"/>
                <w:szCs w:val="4"/>
                <w:color w:val="auto"/>
              </w:rPr>
            </w:pPr>
          </w:p>
        </w:tc>
        <w:tc>
          <w:tcPr>
            <w:tcW w:w="260" w:type="dxa"/>
            <w:vAlign w:val="bottom"/>
            <w:shd w:val="clear" w:color="auto" w:fill="004054"/>
          </w:tcPr>
          <w:p>
            <w:pPr>
              <w:spacing w:after="0"/>
              <w:rPr>
                <w:sz w:val="4"/>
                <w:szCs w:val="4"/>
                <w:color w:val="auto"/>
              </w:rPr>
            </w:pPr>
          </w:p>
        </w:tc>
        <w:tc>
          <w:tcPr>
            <w:tcW w:w="660" w:type="dxa"/>
            <w:vAlign w:val="bottom"/>
            <w:vMerge w:val="continue"/>
            <w:shd w:val="clear" w:color="auto" w:fill="004054"/>
          </w:tcPr>
          <w:p>
            <w:pPr>
              <w:spacing w:after="0"/>
              <w:rPr>
                <w:sz w:val="4"/>
                <w:szCs w:val="4"/>
                <w:color w:val="auto"/>
              </w:rPr>
            </w:pPr>
          </w:p>
        </w:tc>
        <w:tc>
          <w:tcPr>
            <w:tcW w:w="220" w:type="dxa"/>
            <w:vAlign w:val="bottom"/>
            <w:shd w:val="clear" w:color="auto" w:fill="004054"/>
          </w:tcPr>
          <w:p>
            <w:pPr>
              <w:spacing w:after="0"/>
              <w:rPr>
                <w:sz w:val="4"/>
                <w:szCs w:val="4"/>
                <w:color w:val="auto"/>
              </w:rPr>
            </w:pPr>
          </w:p>
        </w:tc>
        <w:tc>
          <w:tcPr>
            <w:tcW w:w="880" w:type="dxa"/>
            <w:vAlign w:val="bottom"/>
            <w:vMerge w:val="continue"/>
            <w:shd w:val="clear" w:color="auto" w:fill="004054"/>
          </w:tcPr>
          <w:p>
            <w:pPr>
              <w:spacing w:after="0"/>
              <w:rPr>
                <w:sz w:val="4"/>
                <w:szCs w:val="4"/>
                <w:color w:val="auto"/>
              </w:rPr>
            </w:pPr>
          </w:p>
        </w:tc>
        <w:tc>
          <w:tcPr>
            <w:tcW w:w="200" w:type="dxa"/>
            <w:vAlign w:val="bottom"/>
            <w:shd w:val="clear" w:color="auto" w:fill="004054"/>
          </w:tcPr>
          <w:p>
            <w:pPr>
              <w:spacing w:after="0"/>
              <w:rPr>
                <w:sz w:val="4"/>
                <w:szCs w:val="4"/>
                <w:color w:val="auto"/>
              </w:rPr>
            </w:pPr>
          </w:p>
        </w:tc>
        <w:tc>
          <w:tcPr>
            <w:tcW w:w="600" w:type="dxa"/>
            <w:vAlign w:val="bottom"/>
            <w:vMerge w:val="continue"/>
            <w:shd w:val="clear" w:color="auto" w:fill="004054"/>
          </w:tcPr>
          <w:p>
            <w:pPr>
              <w:spacing w:after="0"/>
              <w:rPr>
                <w:sz w:val="4"/>
                <w:szCs w:val="4"/>
                <w:color w:val="auto"/>
              </w:rPr>
            </w:pPr>
          </w:p>
        </w:tc>
        <w:tc>
          <w:tcPr>
            <w:tcW w:w="220" w:type="dxa"/>
            <w:vAlign w:val="bottom"/>
            <w:shd w:val="clear" w:color="auto" w:fill="004054"/>
          </w:tcPr>
          <w:p>
            <w:pPr>
              <w:spacing w:after="0"/>
              <w:rPr>
                <w:sz w:val="4"/>
                <w:szCs w:val="4"/>
                <w:color w:val="auto"/>
              </w:rPr>
            </w:pPr>
          </w:p>
        </w:tc>
        <w:tc>
          <w:tcPr>
            <w:tcW w:w="780" w:type="dxa"/>
            <w:vAlign w:val="bottom"/>
            <w:vMerge w:val="continue"/>
            <w:shd w:val="clear" w:color="auto" w:fill="004054"/>
          </w:tcPr>
          <w:p>
            <w:pPr>
              <w:spacing w:after="0"/>
              <w:rPr>
                <w:sz w:val="4"/>
                <w:szCs w:val="4"/>
                <w:color w:val="auto"/>
              </w:rPr>
            </w:pPr>
          </w:p>
        </w:tc>
        <w:tc>
          <w:tcPr>
            <w:tcW w:w="20" w:type="dxa"/>
            <w:vAlign w:val="bottom"/>
            <w:shd w:val="clear" w:color="auto" w:fill="004054"/>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3840" w:type="dxa"/>
            <w:vAlign w:val="bottom"/>
            <w:tcBorders>
              <w:bottom w:val="single" w:sz="8" w:color="004054"/>
            </w:tcBorders>
            <w:shd w:val="clear" w:color="auto" w:fill="004054"/>
          </w:tcPr>
          <w:p>
            <w:pPr>
              <w:ind w:left="20"/>
              <w:spacing w:after="0"/>
              <w:rPr>
                <w:sz w:val="20"/>
                <w:szCs w:val="20"/>
                <w:color w:val="auto"/>
              </w:rPr>
            </w:pPr>
            <w:r>
              <w:rPr>
                <w:rFonts w:ascii="Calibri" w:cs="Calibri" w:eastAsia="Calibri" w:hAnsi="Calibri"/>
                <w:sz w:val="11"/>
                <w:szCs w:val="11"/>
                <w:b w:val="1"/>
                <w:bCs w:val="1"/>
                <w:color w:val="FFFFFF"/>
              </w:rPr>
              <w:t>(dollars in thousands)</w:t>
            </w:r>
          </w:p>
        </w:tc>
        <w:tc>
          <w:tcPr>
            <w:tcW w:w="900" w:type="dxa"/>
            <w:vAlign w:val="bottom"/>
            <w:tcBorders>
              <w:bottom w:val="single" w:sz="8" w:color="004054"/>
            </w:tcBorders>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Shares</w:t>
            </w:r>
          </w:p>
        </w:tc>
        <w:tc>
          <w:tcPr>
            <w:tcW w:w="160" w:type="dxa"/>
            <w:vAlign w:val="bottom"/>
            <w:tcBorders>
              <w:bottom w:val="single" w:sz="8" w:color="004054"/>
            </w:tcBorders>
            <w:shd w:val="clear" w:color="auto" w:fill="004054"/>
          </w:tcPr>
          <w:p>
            <w:pPr>
              <w:spacing w:after="0"/>
              <w:rPr>
                <w:sz w:val="15"/>
                <w:szCs w:val="15"/>
                <w:color w:val="auto"/>
              </w:rPr>
            </w:pPr>
          </w:p>
        </w:tc>
        <w:tc>
          <w:tcPr>
            <w:tcW w:w="500" w:type="dxa"/>
            <w:vAlign w:val="bottom"/>
            <w:tcBorders>
              <w:bottom w:val="single" w:sz="8" w:color="004054"/>
            </w:tcBorders>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Amount</w:t>
            </w:r>
          </w:p>
        </w:tc>
        <w:tc>
          <w:tcPr>
            <w:tcW w:w="980" w:type="dxa"/>
            <w:vAlign w:val="bottom"/>
            <w:tcBorders>
              <w:bottom w:val="single" w:sz="8" w:color="004054"/>
            </w:tcBorders>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Shares</w:t>
            </w:r>
          </w:p>
        </w:tc>
        <w:tc>
          <w:tcPr>
            <w:tcW w:w="100" w:type="dxa"/>
            <w:vAlign w:val="bottom"/>
            <w:tcBorders>
              <w:bottom w:val="single" w:sz="8" w:color="004054"/>
            </w:tcBorders>
            <w:shd w:val="clear" w:color="auto" w:fill="004054"/>
          </w:tcPr>
          <w:p>
            <w:pPr>
              <w:spacing w:after="0"/>
              <w:rPr>
                <w:sz w:val="15"/>
                <w:szCs w:val="15"/>
                <w:color w:val="auto"/>
              </w:rPr>
            </w:pPr>
          </w:p>
        </w:tc>
        <w:tc>
          <w:tcPr>
            <w:tcW w:w="720" w:type="dxa"/>
            <w:vAlign w:val="bottom"/>
            <w:tcBorders>
              <w:bottom w:val="single" w:sz="8" w:color="004054"/>
            </w:tcBorders>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Amount</w:t>
            </w:r>
          </w:p>
        </w:tc>
        <w:tc>
          <w:tcPr>
            <w:tcW w:w="260" w:type="dxa"/>
            <w:vAlign w:val="bottom"/>
            <w:tcBorders>
              <w:bottom w:val="single" w:sz="8" w:color="004054"/>
            </w:tcBorders>
            <w:shd w:val="clear" w:color="auto" w:fill="004054"/>
          </w:tcPr>
          <w:p>
            <w:pPr>
              <w:spacing w:after="0"/>
              <w:rPr>
                <w:sz w:val="15"/>
                <w:szCs w:val="15"/>
                <w:color w:val="auto"/>
              </w:rPr>
            </w:pPr>
          </w:p>
        </w:tc>
        <w:tc>
          <w:tcPr>
            <w:tcW w:w="660" w:type="dxa"/>
            <w:vAlign w:val="bottom"/>
            <w:tcBorders>
              <w:bottom w:val="single" w:sz="8" w:color="004054"/>
            </w:tcBorders>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capital</w:t>
            </w:r>
          </w:p>
        </w:tc>
        <w:tc>
          <w:tcPr>
            <w:tcW w:w="220" w:type="dxa"/>
            <w:vAlign w:val="bottom"/>
            <w:tcBorders>
              <w:bottom w:val="single" w:sz="8" w:color="004054"/>
            </w:tcBorders>
            <w:shd w:val="clear" w:color="auto" w:fill="004054"/>
          </w:tcPr>
          <w:p>
            <w:pPr>
              <w:spacing w:after="0"/>
              <w:rPr>
                <w:sz w:val="15"/>
                <w:szCs w:val="15"/>
                <w:color w:val="auto"/>
              </w:rPr>
            </w:pPr>
          </w:p>
        </w:tc>
        <w:tc>
          <w:tcPr>
            <w:tcW w:w="880" w:type="dxa"/>
            <w:vAlign w:val="bottom"/>
            <w:tcBorders>
              <w:bottom w:val="single" w:sz="8" w:color="004054"/>
            </w:tcBorders>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income (loss)</w:t>
            </w:r>
          </w:p>
        </w:tc>
        <w:tc>
          <w:tcPr>
            <w:tcW w:w="200" w:type="dxa"/>
            <w:vAlign w:val="bottom"/>
            <w:tcBorders>
              <w:bottom w:val="single" w:sz="8" w:color="004054"/>
            </w:tcBorders>
            <w:shd w:val="clear" w:color="auto" w:fill="004054"/>
          </w:tcPr>
          <w:p>
            <w:pPr>
              <w:spacing w:after="0"/>
              <w:rPr>
                <w:sz w:val="15"/>
                <w:szCs w:val="15"/>
                <w:color w:val="auto"/>
              </w:rPr>
            </w:pPr>
          </w:p>
        </w:tc>
        <w:tc>
          <w:tcPr>
            <w:tcW w:w="600" w:type="dxa"/>
            <w:vAlign w:val="bottom"/>
            <w:tcBorders>
              <w:bottom w:val="single" w:sz="8" w:color="004054"/>
            </w:tcBorders>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earnings</w:t>
            </w:r>
          </w:p>
        </w:tc>
        <w:tc>
          <w:tcPr>
            <w:tcW w:w="220" w:type="dxa"/>
            <w:vAlign w:val="bottom"/>
            <w:tcBorders>
              <w:bottom w:val="single" w:sz="8" w:color="004054"/>
            </w:tcBorders>
            <w:shd w:val="clear" w:color="auto" w:fill="004054"/>
          </w:tcPr>
          <w:p>
            <w:pPr>
              <w:spacing w:after="0"/>
              <w:rPr>
                <w:sz w:val="15"/>
                <w:szCs w:val="15"/>
                <w:color w:val="auto"/>
              </w:rPr>
            </w:pPr>
          </w:p>
        </w:tc>
        <w:tc>
          <w:tcPr>
            <w:tcW w:w="780" w:type="dxa"/>
            <w:vAlign w:val="bottom"/>
            <w:tcBorders>
              <w:bottom w:val="single" w:sz="8" w:color="004054"/>
            </w:tcBorders>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equity</w:t>
            </w:r>
          </w:p>
        </w:tc>
        <w:tc>
          <w:tcPr>
            <w:tcW w:w="20" w:type="dxa"/>
            <w:vAlign w:val="bottom"/>
            <w:tcBorders>
              <w:bottom w:val="single" w:sz="8" w:color="004054"/>
            </w:tcBorders>
            <w:shd w:val="clear" w:color="auto" w:fill="004054"/>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840" w:type="dxa"/>
            <w:vAlign w:val="bottom"/>
            <w:tcBorders>
              <w:bottom w:val="single" w:sz="8" w:color="EBFBFF"/>
            </w:tcBorders>
            <w:shd w:val="clear" w:color="auto" w:fill="EBFBFF"/>
          </w:tcPr>
          <w:p>
            <w:pPr>
              <w:ind w:left="20"/>
              <w:spacing w:after="0" w:line="157" w:lineRule="exact"/>
              <w:rPr>
                <w:sz w:val="20"/>
                <w:szCs w:val="20"/>
                <w:color w:val="auto"/>
              </w:rPr>
            </w:pPr>
            <w:r>
              <w:rPr>
                <w:rFonts w:ascii="Calibri" w:cs="Calibri" w:eastAsia="Calibri" w:hAnsi="Calibri"/>
                <w:sz w:val="13"/>
                <w:szCs w:val="13"/>
                <w:b w:val="1"/>
                <w:bCs w:val="1"/>
                <w:color w:val="51555C"/>
              </w:rPr>
              <w:t>Balance at December 31, 2023</w:t>
            </w:r>
          </w:p>
        </w:tc>
        <w:tc>
          <w:tcPr>
            <w:tcW w:w="90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69,188,304</w:t>
            </w:r>
          </w:p>
        </w:tc>
        <w:tc>
          <w:tcPr>
            <w:tcW w:w="160" w:type="dxa"/>
            <w:vAlign w:val="bottom"/>
            <w:tcBorders>
              <w:bottom w:val="single" w:sz="8" w:color="EBFBFF"/>
            </w:tcBorders>
            <w:shd w:val="clear" w:color="auto" w:fill="EBFBFF"/>
          </w:tcPr>
          <w:p>
            <w:pPr>
              <w:jc w:val="right"/>
              <w:ind w:right="16"/>
              <w:spacing w:after="0" w:line="157" w:lineRule="exact"/>
              <w:rPr>
                <w:sz w:val="20"/>
                <w:szCs w:val="20"/>
                <w:color w:val="auto"/>
              </w:rPr>
            </w:pPr>
            <w:r>
              <w:rPr>
                <w:rFonts w:ascii="Calibri" w:cs="Calibri" w:eastAsia="Calibri" w:hAnsi="Calibri"/>
                <w:sz w:val="13"/>
                <w:szCs w:val="13"/>
                <w:color w:val="51555C"/>
                <w:w w:val="90"/>
              </w:rPr>
              <w:t>$</w:t>
            </w:r>
          </w:p>
        </w:tc>
        <w:tc>
          <w:tcPr>
            <w:tcW w:w="50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69</w:t>
            </w:r>
          </w:p>
        </w:tc>
        <w:tc>
          <w:tcPr>
            <w:tcW w:w="98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(15,562,864)</w:t>
            </w:r>
          </w:p>
        </w:tc>
        <w:tc>
          <w:tcPr>
            <w:tcW w:w="10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w w:val="90"/>
              </w:rPr>
              <w:t>$</w:t>
            </w:r>
          </w:p>
        </w:tc>
        <w:tc>
          <w:tcPr>
            <w:tcW w:w="72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(591,557)</w:t>
            </w:r>
          </w:p>
        </w:tc>
        <w:tc>
          <w:tcPr>
            <w:tcW w:w="260" w:type="dxa"/>
            <w:vAlign w:val="bottom"/>
            <w:tcBorders>
              <w:bottom w:val="single" w:sz="8" w:color="EBFBFF"/>
            </w:tcBorders>
            <w:shd w:val="clear" w:color="auto" w:fill="EBFBFF"/>
          </w:tcPr>
          <w:p>
            <w:pPr>
              <w:jc w:val="right"/>
              <w:ind w:right="16"/>
              <w:spacing w:after="0" w:line="157" w:lineRule="exact"/>
              <w:rPr>
                <w:sz w:val="20"/>
                <w:szCs w:val="20"/>
                <w:color w:val="auto"/>
              </w:rPr>
            </w:pPr>
            <w:r>
              <w:rPr>
                <w:rFonts w:ascii="Calibri" w:cs="Calibri" w:eastAsia="Calibri" w:hAnsi="Calibri"/>
                <w:sz w:val="13"/>
                <w:szCs w:val="13"/>
                <w:color w:val="51555C"/>
              </w:rPr>
              <w:t>$</w:t>
            </w:r>
          </w:p>
        </w:tc>
        <w:tc>
          <w:tcPr>
            <w:tcW w:w="66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1,203,012</w:t>
            </w:r>
          </w:p>
        </w:tc>
        <w:tc>
          <w:tcPr>
            <w:tcW w:w="220" w:type="dxa"/>
            <w:vAlign w:val="bottom"/>
            <w:tcBorders>
              <w:bottom w:val="single" w:sz="8" w:color="EBFBFF"/>
            </w:tcBorders>
            <w:shd w:val="clear" w:color="auto" w:fill="EBFBFF"/>
          </w:tcPr>
          <w:p>
            <w:pPr>
              <w:jc w:val="right"/>
              <w:ind w:right="107"/>
              <w:spacing w:after="0"/>
              <w:rPr>
                <w:sz w:val="20"/>
                <w:szCs w:val="20"/>
                <w:color w:val="auto"/>
              </w:rPr>
            </w:pPr>
            <w:r>
              <w:rPr>
                <w:rFonts w:ascii="Calibri" w:cs="Calibri" w:eastAsia="Calibri" w:hAnsi="Calibri"/>
                <w:sz w:val="11"/>
                <w:szCs w:val="11"/>
                <w:color w:val="51555C"/>
                <w:w w:val="70"/>
              </w:rPr>
              <w:t>$</w:t>
            </w:r>
          </w:p>
        </w:tc>
        <w:tc>
          <w:tcPr>
            <w:tcW w:w="88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(1,688)</w:t>
            </w:r>
          </w:p>
        </w:tc>
        <w:tc>
          <w:tcPr>
            <w:tcW w:w="200" w:type="dxa"/>
            <w:vAlign w:val="bottom"/>
            <w:tcBorders>
              <w:bottom w:val="single" w:sz="8" w:color="EBFBFF"/>
            </w:tcBorders>
            <w:shd w:val="clear" w:color="auto" w:fill="EBFBFF"/>
          </w:tcPr>
          <w:p>
            <w:pPr>
              <w:jc w:val="right"/>
              <w:ind w:right="56"/>
              <w:spacing w:after="0" w:line="157" w:lineRule="exact"/>
              <w:rPr>
                <w:sz w:val="20"/>
                <w:szCs w:val="20"/>
                <w:color w:val="auto"/>
              </w:rPr>
            </w:pPr>
            <w:r>
              <w:rPr>
                <w:rFonts w:ascii="Calibri" w:cs="Calibri" w:eastAsia="Calibri" w:hAnsi="Calibri"/>
                <w:sz w:val="13"/>
                <w:szCs w:val="13"/>
                <w:color w:val="51555C"/>
                <w:w w:val="90"/>
              </w:rPr>
              <w:t>$</w:t>
            </w:r>
          </w:p>
        </w:tc>
        <w:tc>
          <w:tcPr>
            <w:tcW w:w="60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198,869</w:t>
            </w:r>
          </w:p>
        </w:tc>
        <w:tc>
          <w:tcPr>
            <w:tcW w:w="220" w:type="dxa"/>
            <w:vAlign w:val="bottom"/>
            <w:tcBorders>
              <w:bottom w:val="single" w:sz="8" w:color="EBFBFF"/>
            </w:tcBorders>
            <w:shd w:val="clear" w:color="auto" w:fill="EBFBFF"/>
          </w:tcPr>
          <w:p>
            <w:pPr>
              <w:jc w:val="right"/>
              <w:ind w:right="76"/>
              <w:spacing w:after="0" w:line="157" w:lineRule="exact"/>
              <w:rPr>
                <w:sz w:val="20"/>
                <w:szCs w:val="20"/>
                <w:color w:val="auto"/>
              </w:rPr>
            </w:pPr>
            <w:r>
              <w:rPr>
                <w:rFonts w:ascii="Calibri" w:cs="Calibri" w:eastAsia="Calibri" w:hAnsi="Calibri"/>
                <w:sz w:val="13"/>
                <w:szCs w:val="13"/>
                <w:color w:val="51555C"/>
                <w:w w:val="90"/>
              </w:rPr>
              <w:t>$</w:t>
            </w:r>
          </w:p>
        </w:tc>
        <w:tc>
          <w:tcPr>
            <w:tcW w:w="78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808,705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840" w:type="dxa"/>
            <w:vAlign w:val="bottom"/>
          </w:tcPr>
          <w:p>
            <w:pPr>
              <w:ind w:left="100"/>
              <w:spacing w:after="0" w:line="157" w:lineRule="exact"/>
              <w:rPr>
                <w:sz w:val="20"/>
                <w:szCs w:val="20"/>
                <w:color w:val="auto"/>
              </w:rPr>
            </w:pPr>
            <w:r>
              <w:rPr>
                <w:rFonts w:ascii="Calibri" w:cs="Calibri" w:eastAsia="Calibri" w:hAnsi="Calibri"/>
                <w:sz w:val="13"/>
                <w:szCs w:val="13"/>
                <w:color w:val="51555C"/>
              </w:rPr>
              <w:t>Net income</w:t>
            </w:r>
          </w:p>
        </w:tc>
        <w:tc>
          <w:tcPr>
            <w:tcW w:w="900" w:type="dxa"/>
            <w:vAlign w:val="bottom"/>
          </w:tcPr>
          <w:p>
            <w:pPr>
              <w:jc w:val="right"/>
              <w:spacing w:after="0" w:line="157" w:lineRule="exact"/>
              <w:rPr>
                <w:sz w:val="20"/>
                <w:szCs w:val="20"/>
                <w:color w:val="auto"/>
              </w:rPr>
            </w:pPr>
            <w:r>
              <w:rPr>
                <w:rFonts w:ascii="Calibri" w:cs="Calibri" w:eastAsia="Calibri" w:hAnsi="Calibri"/>
                <w:sz w:val="13"/>
                <w:szCs w:val="13"/>
                <w:color w:val="51555C"/>
              </w:rPr>
              <w:t>—</w:t>
            </w:r>
          </w:p>
        </w:tc>
        <w:tc>
          <w:tcPr>
            <w:tcW w:w="160" w:type="dxa"/>
            <w:vAlign w:val="bottom"/>
          </w:tcPr>
          <w:p>
            <w:pPr>
              <w:spacing w:after="0"/>
              <w:rPr>
                <w:sz w:val="13"/>
                <w:szCs w:val="13"/>
                <w:color w:val="auto"/>
              </w:rPr>
            </w:pPr>
          </w:p>
        </w:tc>
        <w:tc>
          <w:tcPr>
            <w:tcW w:w="500" w:type="dxa"/>
            <w:vAlign w:val="bottom"/>
          </w:tcPr>
          <w:p>
            <w:pPr>
              <w:jc w:val="right"/>
              <w:spacing w:after="0" w:line="157" w:lineRule="exact"/>
              <w:rPr>
                <w:sz w:val="20"/>
                <w:szCs w:val="20"/>
                <w:color w:val="auto"/>
              </w:rPr>
            </w:pPr>
            <w:r>
              <w:rPr>
                <w:rFonts w:ascii="Calibri" w:cs="Calibri" w:eastAsia="Calibri" w:hAnsi="Calibri"/>
                <w:sz w:val="13"/>
                <w:szCs w:val="13"/>
                <w:color w:val="51555C"/>
              </w:rPr>
              <w:t>—</w:t>
            </w:r>
          </w:p>
        </w:tc>
        <w:tc>
          <w:tcPr>
            <w:tcW w:w="980" w:type="dxa"/>
            <w:vAlign w:val="bottom"/>
          </w:tcPr>
          <w:p>
            <w:pPr>
              <w:jc w:val="right"/>
              <w:spacing w:after="0" w:line="157" w:lineRule="exact"/>
              <w:rPr>
                <w:sz w:val="20"/>
                <w:szCs w:val="20"/>
                <w:color w:val="auto"/>
              </w:rPr>
            </w:pPr>
            <w:r>
              <w:rPr>
                <w:rFonts w:ascii="Calibri" w:cs="Calibri" w:eastAsia="Calibri" w:hAnsi="Calibri"/>
                <w:sz w:val="13"/>
                <w:szCs w:val="13"/>
                <w:color w:val="51555C"/>
              </w:rPr>
              <w:t>—</w:t>
            </w:r>
          </w:p>
        </w:tc>
        <w:tc>
          <w:tcPr>
            <w:tcW w:w="100" w:type="dxa"/>
            <w:vAlign w:val="bottom"/>
          </w:tcPr>
          <w:p>
            <w:pPr>
              <w:spacing w:after="0"/>
              <w:rPr>
                <w:sz w:val="13"/>
                <w:szCs w:val="13"/>
                <w:color w:val="auto"/>
              </w:rPr>
            </w:pPr>
          </w:p>
        </w:tc>
        <w:tc>
          <w:tcPr>
            <w:tcW w:w="720" w:type="dxa"/>
            <w:vAlign w:val="bottom"/>
          </w:tcPr>
          <w:p>
            <w:pPr>
              <w:jc w:val="right"/>
              <w:spacing w:after="0" w:line="157" w:lineRule="exact"/>
              <w:rPr>
                <w:sz w:val="20"/>
                <w:szCs w:val="20"/>
                <w:color w:val="auto"/>
              </w:rPr>
            </w:pPr>
            <w:r>
              <w:rPr>
                <w:rFonts w:ascii="Calibri" w:cs="Calibri" w:eastAsia="Calibri" w:hAnsi="Calibri"/>
                <w:sz w:val="13"/>
                <w:szCs w:val="13"/>
                <w:color w:val="51555C"/>
              </w:rPr>
              <w:t>—</w:t>
            </w:r>
          </w:p>
        </w:tc>
        <w:tc>
          <w:tcPr>
            <w:tcW w:w="260" w:type="dxa"/>
            <w:vAlign w:val="bottom"/>
          </w:tcPr>
          <w:p>
            <w:pPr>
              <w:spacing w:after="0"/>
              <w:rPr>
                <w:sz w:val="13"/>
                <w:szCs w:val="13"/>
                <w:color w:val="auto"/>
              </w:rPr>
            </w:pPr>
          </w:p>
        </w:tc>
        <w:tc>
          <w:tcPr>
            <w:tcW w:w="660" w:type="dxa"/>
            <w:vAlign w:val="bottom"/>
          </w:tcPr>
          <w:p>
            <w:pPr>
              <w:jc w:val="right"/>
              <w:spacing w:after="0" w:line="157" w:lineRule="exact"/>
              <w:rPr>
                <w:sz w:val="20"/>
                <w:szCs w:val="20"/>
                <w:color w:val="auto"/>
              </w:rPr>
            </w:pPr>
            <w:r>
              <w:rPr>
                <w:rFonts w:ascii="Calibri" w:cs="Calibri" w:eastAsia="Calibri" w:hAnsi="Calibri"/>
                <w:sz w:val="13"/>
                <w:szCs w:val="13"/>
                <w:color w:val="51555C"/>
              </w:rPr>
              <w:t>—</w:t>
            </w:r>
          </w:p>
        </w:tc>
        <w:tc>
          <w:tcPr>
            <w:tcW w:w="220" w:type="dxa"/>
            <w:vAlign w:val="bottom"/>
          </w:tcPr>
          <w:p>
            <w:pPr>
              <w:spacing w:after="0"/>
              <w:rPr>
                <w:sz w:val="13"/>
                <w:szCs w:val="13"/>
                <w:color w:val="auto"/>
              </w:rPr>
            </w:pPr>
          </w:p>
        </w:tc>
        <w:tc>
          <w:tcPr>
            <w:tcW w:w="880" w:type="dxa"/>
            <w:vAlign w:val="bottom"/>
          </w:tcPr>
          <w:p>
            <w:pPr>
              <w:jc w:val="right"/>
              <w:spacing w:after="0" w:line="157" w:lineRule="exact"/>
              <w:rPr>
                <w:sz w:val="20"/>
                <w:szCs w:val="20"/>
                <w:color w:val="auto"/>
              </w:rPr>
            </w:pPr>
            <w:r>
              <w:rPr>
                <w:rFonts w:ascii="Calibri" w:cs="Calibri" w:eastAsia="Calibri" w:hAnsi="Calibri"/>
                <w:sz w:val="13"/>
                <w:szCs w:val="13"/>
                <w:color w:val="51555C"/>
              </w:rPr>
              <w:t>—</w:t>
            </w:r>
          </w:p>
        </w:tc>
        <w:tc>
          <w:tcPr>
            <w:tcW w:w="200" w:type="dxa"/>
            <w:vAlign w:val="bottom"/>
          </w:tcPr>
          <w:p>
            <w:pPr>
              <w:spacing w:after="0"/>
              <w:rPr>
                <w:sz w:val="13"/>
                <w:szCs w:val="13"/>
                <w:color w:val="auto"/>
              </w:rPr>
            </w:pPr>
          </w:p>
        </w:tc>
        <w:tc>
          <w:tcPr>
            <w:tcW w:w="600" w:type="dxa"/>
            <w:vAlign w:val="bottom"/>
          </w:tcPr>
          <w:p>
            <w:pPr>
              <w:jc w:val="right"/>
              <w:spacing w:after="0" w:line="157" w:lineRule="exact"/>
              <w:rPr>
                <w:sz w:val="20"/>
                <w:szCs w:val="20"/>
                <w:color w:val="auto"/>
              </w:rPr>
            </w:pPr>
            <w:r>
              <w:rPr>
                <w:rFonts w:ascii="Calibri" w:cs="Calibri" w:eastAsia="Calibri" w:hAnsi="Calibri"/>
                <w:sz w:val="13"/>
                <w:szCs w:val="13"/>
                <w:color w:val="51555C"/>
              </w:rPr>
              <w:t>5,246</w:t>
            </w:r>
          </w:p>
        </w:tc>
        <w:tc>
          <w:tcPr>
            <w:tcW w:w="220" w:type="dxa"/>
            <w:vAlign w:val="bottom"/>
          </w:tcPr>
          <w:p>
            <w:pPr>
              <w:spacing w:after="0"/>
              <w:rPr>
                <w:sz w:val="13"/>
                <w:szCs w:val="13"/>
                <w:color w:val="auto"/>
              </w:rPr>
            </w:pPr>
          </w:p>
        </w:tc>
        <w:tc>
          <w:tcPr>
            <w:tcW w:w="780" w:type="dxa"/>
            <w:vAlign w:val="bottom"/>
          </w:tcPr>
          <w:p>
            <w:pPr>
              <w:jc w:val="right"/>
              <w:spacing w:after="0" w:line="157" w:lineRule="exact"/>
              <w:rPr>
                <w:sz w:val="20"/>
                <w:szCs w:val="20"/>
                <w:color w:val="auto"/>
              </w:rPr>
            </w:pPr>
            <w:r>
              <w:rPr>
                <w:rFonts w:ascii="Calibri" w:cs="Calibri" w:eastAsia="Calibri" w:hAnsi="Calibri"/>
                <w:sz w:val="13"/>
                <w:szCs w:val="13"/>
                <w:color w:val="51555C"/>
              </w:rPr>
              <w:t>5,246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38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3840" w:type="dxa"/>
            <w:vAlign w:val="bottom"/>
            <w:tcBorders>
              <w:bottom w:val="single" w:sz="8" w:color="EBFBFF"/>
            </w:tcBorders>
            <w:shd w:val="clear" w:color="auto" w:fill="EBFBFF"/>
          </w:tcPr>
          <w:p>
            <w:pPr>
              <w:ind w:left="100"/>
              <w:spacing w:after="0" w:line="157" w:lineRule="exact"/>
              <w:rPr>
                <w:sz w:val="20"/>
                <w:szCs w:val="20"/>
                <w:color w:val="auto"/>
              </w:rPr>
            </w:pPr>
            <w:r>
              <w:rPr>
                <w:rFonts w:ascii="Calibri" w:cs="Calibri" w:eastAsia="Calibri" w:hAnsi="Calibri"/>
                <w:sz w:val="13"/>
                <w:szCs w:val="13"/>
                <w:color w:val="51555C"/>
              </w:rPr>
              <w:t>Purchase of treasury shares under stock repurchase program</w:t>
            </w:r>
          </w:p>
        </w:tc>
        <w:tc>
          <w:tcPr>
            <w:tcW w:w="90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w:t>
            </w:r>
          </w:p>
        </w:tc>
        <w:tc>
          <w:tcPr>
            <w:tcW w:w="160" w:type="dxa"/>
            <w:vAlign w:val="bottom"/>
            <w:tcBorders>
              <w:bottom w:val="single" w:sz="8" w:color="EBFBFF"/>
            </w:tcBorders>
            <w:shd w:val="clear" w:color="auto" w:fill="EBFBFF"/>
          </w:tcPr>
          <w:p>
            <w:pPr>
              <w:spacing w:after="0"/>
              <w:rPr>
                <w:sz w:val="14"/>
                <w:szCs w:val="14"/>
                <w:color w:val="auto"/>
              </w:rPr>
            </w:pPr>
          </w:p>
        </w:tc>
        <w:tc>
          <w:tcPr>
            <w:tcW w:w="50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w:t>
            </w:r>
          </w:p>
        </w:tc>
        <w:tc>
          <w:tcPr>
            <w:tcW w:w="98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(2,954,211)</w:t>
            </w:r>
          </w:p>
        </w:tc>
        <w:tc>
          <w:tcPr>
            <w:tcW w:w="100" w:type="dxa"/>
            <w:vAlign w:val="bottom"/>
            <w:tcBorders>
              <w:bottom w:val="single" w:sz="8" w:color="EBFBFF"/>
            </w:tcBorders>
            <w:shd w:val="clear" w:color="auto" w:fill="EBFBFF"/>
          </w:tcPr>
          <w:p>
            <w:pPr>
              <w:spacing w:after="0"/>
              <w:rPr>
                <w:sz w:val="14"/>
                <w:szCs w:val="14"/>
                <w:color w:val="auto"/>
              </w:rPr>
            </w:pPr>
          </w:p>
        </w:tc>
        <w:tc>
          <w:tcPr>
            <w:tcW w:w="72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(211,412)</w:t>
            </w:r>
          </w:p>
        </w:tc>
        <w:tc>
          <w:tcPr>
            <w:tcW w:w="260" w:type="dxa"/>
            <w:vAlign w:val="bottom"/>
            <w:tcBorders>
              <w:bottom w:val="single" w:sz="8" w:color="EBFBFF"/>
            </w:tcBorders>
            <w:shd w:val="clear" w:color="auto" w:fill="EBFBFF"/>
          </w:tcPr>
          <w:p>
            <w:pPr>
              <w:spacing w:after="0"/>
              <w:rPr>
                <w:sz w:val="14"/>
                <w:szCs w:val="14"/>
                <w:color w:val="auto"/>
              </w:rPr>
            </w:pPr>
          </w:p>
        </w:tc>
        <w:tc>
          <w:tcPr>
            <w:tcW w:w="66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(52,244)</w:t>
            </w:r>
          </w:p>
        </w:tc>
        <w:tc>
          <w:tcPr>
            <w:tcW w:w="220" w:type="dxa"/>
            <w:vAlign w:val="bottom"/>
            <w:tcBorders>
              <w:bottom w:val="single" w:sz="8" w:color="EBFBFF"/>
            </w:tcBorders>
            <w:shd w:val="clear" w:color="auto" w:fill="EBFBFF"/>
          </w:tcPr>
          <w:p>
            <w:pPr>
              <w:spacing w:after="0"/>
              <w:rPr>
                <w:sz w:val="14"/>
                <w:szCs w:val="14"/>
                <w:color w:val="auto"/>
              </w:rPr>
            </w:pPr>
          </w:p>
        </w:tc>
        <w:tc>
          <w:tcPr>
            <w:tcW w:w="88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w:t>
            </w:r>
          </w:p>
        </w:tc>
        <w:tc>
          <w:tcPr>
            <w:tcW w:w="200" w:type="dxa"/>
            <w:vAlign w:val="bottom"/>
            <w:tcBorders>
              <w:bottom w:val="single" w:sz="8" w:color="EBFBFF"/>
            </w:tcBorders>
            <w:shd w:val="clear" w:color="auto" w:fill="EBFBFF"/>
          </w:tcPr>
          <w:p>
            <w:pPr>
              <w:spacing w:after="0"/>
              <w:rPr>
                <w:sz w:val="14"/>
                <w:szCs w:val="14"/>
                <w:color w:val="auto"/>
              </w:rPr>
            </w:pPr>
          </w:p>
        </w:tc>
        <w:tc>
          <w:tcPr>
            <w:tcW w:w="60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w:t>
            </w:r>
          </w:p>
        </w:tc>
        <w:tc>
          <w:tcPr>
            <w:tcW w:w="220" w:type="dxa"/>
            <w:vAlign w:val="bottom"/>
            <w:tcBorders>
              <w:bottom w:val="single" w:sz="8" w:color="EBFBFF"/>
            </w:tcBorders>
            <w:shd w:val="clear" w:color="auto" w:fill="EBFBFF"/>
          </w:tcPr>
          <w:p>
            <w:pPr>
              <w:spacing w:after="0"/>
              <w:rPr>
                <w:sz w:val="14"/>
                <w:szCs w:val="14"/>
                <w:color w:val="auto"/>
              </w:rPr>
            </w:pPr>
          </w:p>
        </w:tc>
        <w:tc>
          <w:tcPr>
            <w:tcW w:w="78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(263,656)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840" w:type="dxa"/>
            <w:vAlign w:val="bottom"/>
          </w:tcPr>
          <w:p>
            <w:pPr>
              <w:ind w:left="100"/>
              <w:spacing w:after="0" w:line="157" w:lineRule="exact"/>
              <w:rPr>
                <w:sz w:val="20"/>
                <w:szCs w:val="20"/>
                <w:color w:val="auto"/>
              </w:rPr>
            </w:pPr>
            <w:r>
              <w:rPr>
                <w:rFonts w:ascii="Calibri" w:cs="Calibri" w:eastAsia="Calibri" w:hAnsi="Calibri"/>
                <w:sz w:val="13"/>
                <w:szCs w:val="13"/>
                <w:color w:val="51555C"/>
              </w:rPr>
              <w:t>Vestng of restricted stock units</w:t>
            </w:r>
          </w:p>
        </w:tc>
        <w:tc>
          <w:tcPr>
            <w:tcW w:w="900" w:type="dxa"/>
            <w:vAlign w:val="bottom"/>
          </w:tcPr>
          <w:p>
            <w:pPr>
              <w:jc w:val="right"/>
              <w:spacing w:after="0" w:line="157" w:lineRule="exact"/>
              <w:rPr>
                <w:sz w:val="20"/>
                <w:szCs w:val="20"/>
                <w:color w:val="auto"/>
              </w:rPr>
            </w:pPr>
            <w:r>
              <w:rPr>
                <w:rFonts w:ascii="Calibri" w:cs="Calibri" w:eastAsia="Calibri" w:hAnsi="Calibri"/>
                <w:sz w:val="13"/>
                <w:szCs w:val="13"/>
                <w:color w:val="51555C"/>
              </w:rPr>
              <w:t>1,357,125</w:t>
            </w:r>
          </w:p>
        </w:tc>
        <w:tc>
          <w:tcPr>
            <w:tcW w:w="160" w:type="dxa"/>
            <w:vAlign w:val="bottom"/>
          </w:tcPr>
          <w:p>
            <w:pPr>
              <w:spacing w:after="0"/>
              <w:rPr>
                <w:sz w:val="13"/>
                <w:szCs w:val="13"/>
                <w:color w:val="auto"/>
              </w:rPr>
            </w:pPr>
          </w:p>
        </w:tc>
        <w:tc>
          <w:tcPr>
            <w:tcW w:w="500" w:type="dxa"/>
            <w:vAlign w:val="bottom"/>
          </w:tcPr>
          <w:p>
            <w:pPr>
              <w:jc w:val="right"/>
              <w:spacing w:after="0" w:line="157" w:lineRule="exact"/>
              <w:rPr>
                <w:sz w:val="20"/>
                <w:szCs w:val="20"/>
                <w:color w:val="auto"/>
              </w:rPr>
            </w:pPr>
            <w:r>
              <w:rPr>
                <w:rFonts w:ascii="Calibri" w:cs="Calibri" w:eastAsia="Calibri" w:hAnsi="Calibri"/>
                <w:sz w:val="13"/>
                <w:szCs w:val="13"/>
                <w:color w:val="51555C"/>
              </w:rPr>
              <w:t>—</w:t>
            </w:r>
          </w:p>
        </w:tc>
        <w:tc>
          <w:tcPr>
            <w:tcW w:w="980" w:type="dxa"/>
            <w:vAlign w:val="bottom"/>
          </w:tcPr>
          <w:p>
            <w:pPr>
              <w:jc w:val="right"/>
              <w:spacing w:after="0" w:line="157" w:lineRule="exact"/>
              <w:rPr>
                <w:sz w:val="20"/>
                <w:szCs w:val="20"/>
                <w:color w:val="auto"/>
              </w:rPr>
            </w:pPr>
            <w:r>
              <w:rPr>
                <w:rFonts w:ascii="Calibri" w:cs="Calibri" w:eastAsia="Calibri" w:hAnsi="Calibri"/>
                <w:sz w:val="13"/>
                <w:szCs w:val="13"/>
                <w:color w:val="51555C"/>
              </w:rPr>
              <w:t>—</w:t>
            </w:r>
          </w:p>
        </w:tc>
        <w:tc>
          <w:tcPr>
            <w:tcW w:w="100" w:type="dxa"/>
            <w:vAlign w:val="bottom"/>
          </w:tcPr>
          <w:p>
            <w:pPr>
              <w:spacing w:after="0"/>
              <w:rPr>
                <w:sz w:val="13"/>
                <w:szCs w:val="13"/>
                <w:color w:val="auto"/>
              </w:rPr>
            </w:pPr>
          </w:p>
        </w:tc>
        <w:tc>
          <w:tcPr>
            <w:tcW w:w="720" w:type="dxa"/>
            <w:vAlign w:val="bottom"/>
          </w:tcPr>
          <w:p>
            <w:pPr>
              <w:jc w:val="right"/>
              <w:spacing w:after="0" w:line="157" w:lineRule="exact"/>
              <w:rPr>
                <w:sz w:val="20"/>
                <w:szCs w:val="20"/>
                <w:color w:val="auto"/>
              </w:rPr>
            </w:pPr>
            <w:r>
              <w:rPr>
                <w:rFonts w:ascii="Calibri" w:cs="Calibri" w:eastAsia="Calibri" w:hAnsi="Calibri"/>
                <w:sz w:val="13"/>
                <w:szCs w:val="13"/>
                <w:color w:val="51555C"/>
              </w:rPr>
              <w:t>—</w:t>
            </w:r>
          </w:p>
        </w:tc>
        <w:tc>
          <w:tcPr>
            <w:tcW w:w="260" w:type="dxa"/>
            <w:vAlign w:val="bottom"/>
          </w:tcPr>
          <w:p>
            <w:pPr>
              <w:spacing w:after="0"/>
              <w:rPr>
                <w:sz w:val="13"/>
                <w:szCs w:val="13"/>
                <w:color w:val="auto"/>
              </w:rPr>
            </w:pPr>
          </w:p>
        </w:tc>
        <w:tc>
          <w:tcPr>
            <w:tcW w:w="660" w:type="dxa"/>
            <w:vAlign w:val="bottom"/>
          </w:tcPr>
          <w:p>
            <w:pPr>
              <w:jc w:val="right"/>
              <w:spacing w:after="0" w:line="157" w:lineRule="exact"/>
              <w:rPr>
                <w:sz w:val="20"/>
                <w:szCs w:val="20"/>
                <w:color w:val="auto"/>
              </w:rPr>
            </w:pPr>
            <w:r>
              <w:rPr>
                <w:rFonts w:ascii="Calibri" w:cs="Calibri" w:eastAsia="Calibri" w:hAnsi="Calibri"/>
                <w:sz w:val="13"/>
                <w:szCs w:val="13"/>
                <w:color w:val="51555C"/>
              </w:rPr>
              <w:t>—</w:t>
            </w:r>
          </w:p>
        </w:tc>
        <w:tc>
          <w:tcPr>
            <w:tcW w:w="220" w:type="dxa"/>
            <w:vAlign w:val="bottom"/>
          </w:tcPr>
          <w:p>
            <w:pPr>
              <w:spacing w:after="0"/>
              <w:rPr>
                <w:sz w:val="13"/>
                <w:szCs w:val="13"/>
                <w:color w:val="auto"/>
              </w:rPr>
            </w:pPr>
          </w:p>
        </w:tc>
        <w:tc>
          <w:tcPr>
            <w:tcW w:w="880" w:type="dxa"/>
            <w:vAlign w:val="bottom"/>
          </w:tcPr>
          <w:p>
            <w:pPr>
              <w:jc w:val="right"/>
              <w:spacing w:after="0" w:line="157" w:lineRule="exact"/>
              <w:rPr>
                <w:sz w:val="20"/>
                <w:szCs w:val="20"/>
                <w:color w:val="auto"/>
              </w:rPr>
            </w:pPr>
            <w:r>
              <w:rPr>
                <w:rFonts w:ascii="Calibri" w:cs="Calibri" w:eastAsia="Calibri" w:hAnsi="Calibri"/>
                <w:sz w:val="13"/>
                <w:szCs w:val="13"/>
                <w:color w:val="51555C"/>
              </w:rPr>
              <w:t>—</w:t>
            </w:r>
          </w:p>
        </w:tc>
        <w:tc>
          <w:tcPr>
            <w:tcW w:w="200" w:type="dxa"/>
            <w:vAlign w:val="bottom"/>
          </w:tcPr>
          <w:p>
            <w:pPr>
              <w:spacing w:after="0"/>
              <w:rPr>
                <w:sz w:val="13"/>
                <w:szCs w:val="13"/>
                <w:color w:val="auto"/>
              </w:rPr>
            </w:pPr>
          </w:p>
        </w:tc>
        <w:tc>
          <w:tcPr>
            <w:tcW w:w="600" w:type="dxa"/>
            <w:vAlign w:val="bottom"/>
          </w:tcPr>
          <w:p>
            <w:pPr>
              <w:jc w:val="right"/>
              <w:spacing w:after="0" w:line="157" w:lineRule="exact"/>
              <w:rPr>
                <w:sz w:val="20"/>
                <w:szCs w:val="20"/>
                <w:color w:val="auto"/>
              </w:rPr>
            </w:pPr>
            <w:r>
              <w:rPr>
                <w:rFonts w:ascii="Calibri" w:cs="Calibri" w:eastAsia="Calibri" w:hAnsi="Calibri"/>
                <w:sz w:val="13"/>
                <w:szCs w:val="13"/>
                <w:color w:val="51555C"/>
              </w:rPr>
              <w:t>—</w:t>
            </w:r>
          </w:p>
        </w:tc>
        <w:tc>
          <w:tcPr>
            <w:tcW w:w="220" w:type="dxa"/>
            <w:vAlign w:val="bottom"/>
          </w:tcPr>
          <w:p>
            <w:pPr>
              <w:spacing w:after="0"/>
              <w:rPr>
                <w:sz w:val="13"/>
                <w:szCs w:val="13"/>
                <w:color w:val="auto"/>
              </w:rPr>
            </w:pPr>
          </w:p>
        </w:tc>
        <w:tc>
          <w:tcPr>
            <w:tcW w:w="780" w:type="dxa"/>
            <w:vAlign w:val="bottom"/>
          </w:tcPr>
          <w:p>
            <w:pPr>
              <w:jc w:val="right"/>
              <w:spacing w:after="0" w:line="157" w:lineRule="exact"/>
              <w:rPr>
                <w:sz w:val="20"/>
                <w:szCs w:val="20"/>
                <w:color w:val="auto"/>
              </w:rPr>
            </w:pPr>
            <w:r>
              <w:rPr>
                <w:rFonts w:ascii="Calibri" w:cs="Calibri" w:eastAsia="Calibri" w:hAnsi="Calibri"/>
                <w:sz w:val="13"/>
                <w:szCs w:val="13"/>
                <w:color w:val="51555C"/>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38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3840" w:type="dxa"/>
            <w:vAlign w:val="bottom"/>
            <w:tcBorders>
              <w:bottom w:val="single" w:sz="8" w:color="EBFBFF"/>
            </w:tcBorders>
            <w:shd w:val="clear" w:color="auto" w:fill="EBFBFF"/>
          </w:tcPr>
          <w:p>
            <w:pPr>
              <w:ind w:left="100"/>
              <w:spacing w:after="0" w:line="157" w:lineRule="exact"/>
              <w:rPr>
                <w:sz w:val="20"/>
                <w:szCs w:val="20"/>
                <w:color w:val="auto"/>
              </w:rPr>
            </w:pPr>
            <w:r>
              <w:rPr>
                <w:rFonts w:ascii="Calibri" w:cs="Calibri" w:eastAsia="Calibri" w:hAnsi="Calibri"/>
                <w:sz w:val="13"/>
                <w:szCs w:val="13"/>
                <w:color w:val="51555C"/>
              </w:rPr>
              <w:t>Shares withheld to satsfy tax withholdings</w:t>
            </w:r>
          </w:p>
        </w:tc>
        <w:tc>
          <w:tcPr>
            <w:tcW w:w="90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w:t>
            </w:r>
          </w:p>
        </w:tc>
        <w:tc>
          <w:tcPr>
            <w:tcW w:w="160" w:type="dxa"/>
            <w:vAlign w:val="bottom"/>
            <w:tcBorders>
              <w:bottom w:val="single" w:sz="8" w:color="EBFBFF"/>
            </w:tcBorders>
            <w:shd w:val="clear" w:color="auto" w:fill="EBFBFF"/>
          </w:tcPr>
          <w:p>
            <w:pPr>
              <w:spacing w:after="0"/>
              <w:rPr>
                <w:sz w:val="14"/>
                <w:szCs w:val="14"/>
                <w:color w:val="auto"/>
              </w:rPr>
            </w:pPr>
          </w:p>
        </w:tc>
        <w:tc>
          <w:tcPr>
            <w:tcW w:w="50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w:t>
            </w:r>
          </w:p>
        </w:tc>
        <w:tc>
          <w:tcPr>
            <w:tcW w:w="98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(720,189)</w:t>
            </w:r>
          </w:p>
        </w:tc>
        <w:tc>
          <w:tcPr>
            <w:tcW w:w="100" w:type="dxa"/>
            <w:vAlign w:val="bottom"/>
            <w:tcBorders>
              <w:bottom w:val="single" w:sz="8" w:color="EBFBFF"/>
            </w:tcBorders>
            <w:shd w:val="clear" w:color="auto" w:fill="EBFBFF"/>
          </w:tcPr>
          <w:p>
            <w:pPr>
              <w:spacing w:after="0"/>
              <w:rPr>
                <w:sz w:val="14"/>
                <w:szCs w:val="14"/>
                <w:color w:val="auto"/>
              </w:rPr>
            </w:pPr>
          </w:p>
        </w:tc>
        <w:tc>
          <w:tcPr>
            <w:tcW w:w="72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(52,723)</w:t>
            </w:r>
          </w:p>
        </w:tc>
        <w:tc>
          <w:tcPr>
            <w:tcW w:w="260" w:type="dxa"/>
            <w:vAlign w:val="bottom"/>
            <w:tcBorders>
              <w:bottom w:val="single" w:sz="8" w:color="EBFBFF"/>
            </w:tcBorders>
            <w:shd w:val="clear" w:color="auto" w:fill="EBFBFF"/>
          </w:tcPr>
          <w:p>
            <w:pPr>
              <w:spacing w:after="0"/>
              <w:rPr>
                <w:sz w:val="14"/>
                <w:szCs w:val="14"/>
                <w:color w:val="auto"/>
              </w:rPr>
            </w:pPr>
          </w:p>
        </w:tc>
        <w:tc>
          <w:tcPr>
            <w:tcW w:w="66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w:t>
            </w:r>
          </w:p>
        </w:tc>
        <w:tc>
          <w:tcPr>
            <w:tcW w:w="220" w:type="dxa"/>
            <w:vAlign w:val="bottom"/>
            <w:tcBorders>
              <w:bottom w:val="single" w:sz="8" w:color="EBFBFF"/>
            </w:tcBorders>
            <w:shd w:val="clear" w:color="auto" w:fill="EBFBFF"/>
          </w:tcPr>
          <w:p>
            <w:pPr>
              <w:spacing w:after="0"/>
              <w:rPr>
                <w:sz w:val="14"/>
                <w:szCs w:val="14"/>
                <w:color w:val="auto"/>
              </w:rPr>
            </w:pPr>
          </w:p>
        </w:tc>
        <w:tc>
          <w:tcPr>
            <w:tcW w:w="88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w:t>
            </w:r>
          </w:p>
        </w:tc>
        <w:tc>
          <w:tcPr>
            <w:tcW w:w="200" w:type="dxa"/>
            <w:vAlign w:val="bottom"/>
            <w:tcBorders>
              <w:bottom w:val="single" w:sz="8" w:color="EBFBFF"/>
            </w:tcBorders>
            <w:shd w:val="clear" w:color="auto" w:fill="EBFBFF"/>
          </w:tcPr>
          <w:p>
            <w:pPr>
              <w:spacing w:after="0"/>
              <w:rPr>
                <w:sz w:val="14"/>
                <w:szCs w:val="14"/>
                <w:color w:val="auto"/>
              </w:rPr>
            </w:pPr>
          </w:p>
        </w:tc>
        <w:tc>
          <w:tcPr>
            <w:tcW w:w="60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w:t>
            </w:r>
          </w:p>
        </w:tc>
        <w:tc>
          <w:tcPr>
            <w:tcW w:w="220" w:type="dxa"/>
            <w:vAlign w:val="bottom"/>
            <w:tcBorders>
              <w:bottom w:val="single" w:sz="8" w:color="EBFBFF"/>
            </w:tcBorders>
            <w:shd w:val="clear" w:color="auto" w:fill="EBFBFF"/>
          </w:tcPr>
          <w:p>
            <w:pPr>
              <w:spacing w:after="0"/>
              <w:rPr>
                <w:sz w:val="14"/>
                <w:szCs w:val="14"/>
                <w:color w:val="auto"/>
              </w:rPr>
            </w:pPr>
          </w:p>
        </w:tc>
        <w:tc>
          <w:tcPr>
            <w:tcW w:w="78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(52,723)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840" w:type="dxa"/>
            <w:vAlign w:val="bottom"/>
          </w:tcPr>
          <w:p>
            <w:pPr>
              <w:ind w:left="100"/>
              <w:spacing w:after="0" w:line="157" w:lineRule="exact"/>
              <w:rPr>
                <w:sz w:val="20"/>
                <w:szCs w:val="20"/>
                <w:color w:val="auto"/>
              </w:rPr>
            </w:pPr>
            <w:r>
              <w:rPr>
                <w:rFonts w:ascii="Calibri" w:cs="Calibri" w:eastAsia="Calibri" w:hAnsi="Calibri"/>
                <w:sz w:val="13"/>
                <w:szCs w:val="13"/>
                <w:color w:val="51555C"/>
              </w:rPr>
              <w:t>Stock-based compensaton</w:t>
            </w:r>
          </w:p>
        </w:tc>
        <w:tc>
          <w:tcPr>
            <w:tcW w:w="900" w:type="dxa"/>
            <w:vAlign w:val="bottom"/>
          </w:tcPr>
          <w:p>
            <w:pPr>
              <w:jc w:val="right"/>
              <w:spacing w:after="0" w:line="157" w:lineRule="exact"/>
              <w:rPr>
                <w:sz w:val="20"/>
                <w:szCs w:val="20"/>
                <w:color w:val="auto"/>
              </w:rPr>
            </w:pPr>
            <w:r>
              <w:rPr>
                <w:rFonts w:ascii="Calibri" w:cs="Calibri" w:eastAsia="Calibri" w:hAnsi="Calibri"/>
                <w:sz w:val="13"/>
                <w:szCs w:val="13"/>
                <w:color w:val="51555C"/>
              </w:rPr>
              <w:t>—</w:t>
            </w:r>
          </w:p>
        </w:tc>
        <w:tc>
          <w:tcPr>
            <w:tcW w:w="160" w:type="dxa"/>
            <w:vAlign w:val="bottom"/>
          </w:tcPr>
          <w:p>
            <w:pPr>
              <w:spacing w:after="0"/>
              <w:rPr>
                <w:sz w:val="13"/>
                <w:szCs w:val="13"/>
                <w:color w:val="auto"/>
              </w:rPr>
            </w:pPr>
          </w:p>
        </w:tc>
        <w:tc>
          <w:tcPr>
            <w:tcW w:w="500" w:type="dxa"/>
            <w:vAlign w:val="bottom"/>
          </w:tcPr>
          <w:p>
            <w:pPr>
              <w:jc w:val="right"/>
              <w:spacing w:after="0" w:line="157" w:lineRule="exact"/>
              <w:rPr>
                <w:sz w:val="20"/>
                <w:szCs w:val="20"/>
                <w:color w:val="auto"/>
              </w:rPr>
            </w:pPr>
            <w:r>
              <w:rPr>
                <w:rFonts w:ascii="Calibri" w:cs="Calibri" w:eastAsia="Calibri" w:hAnsi="Calibri"/>
                <w:sz w:val="13"/>
                <w:szCs w:val="13"/>
                <w:color w:val="51555C"/>
              </w:rPr>
              <w:t>—</w:t>
            </w:r>
          </w:p>
        </w:tc>
        <w:tc>
          <w:tcPr>
            <w:tcW w:w="980" w:type="dxa"/>
            <w:vAlign w:val="bottom"/>
          </w:tcPr>
          <w:p>
            <w:pPr>
              <w:jc w:val="right"/>
              <w:spacing w:after="0" w:line="157" w:lineRule="exact"/>
              <w:rPr>
                <w:sz w:val="20"/>
                <w:szCs w:val="20"/>
                <w:color w:val="auto"/>
              </w:rPr>
            </w:pPr>
            <w:r>
              <w:rPr>
                <w:rFonts w:ascii="Calibri" w:cs="Calibri" w:eastAsia="Calibri" w:hAnsi="Calibri"/>
                <w:sz w:val="13"/>
                <w:szCs w:val="13"/>
                <w:color w:val="51555C"/>
              </w:rPr>
              <w:t>—</w:t>
            </w:r>
          </w:p>
        </w:tc>
        <w:tc>
          <w:tcPr>
            <w:tcW w:w="100" w:type="dxa"/>
            <w:vAlign w:val="bottom"/>
          </w:tcPr>
          <w:p>
            <w:pPr>
              <w:spacing w:after="0"/>
              <w:rPr>
                <w:sz w:val="13"/>
                <w:szCs w:val="13"/>
                <w:color w:val="auto"/>
              </w:rPr>
            </w:pPr>
          </w:p>
        </w:tc>
        <w:tc>
          <w:tcPr>
            <w:tcW w:w="720" w:type="dxa"/>
            <w:vAlign w:val="bottom"/>
          </w:tcPr>
          <w:p>
            <w:pPr>
              <w:jc w:val="right"/>
              <w:spacing w:after="0" w:line="157" w:lineRule="exact"/>
              <w:rPr>
                <w:sz w:val="20"/>
                <w:szCs w:val="20"/>
                <w:color w:val="auto"/>
              </w:rPr>
            </w:pPr>
            <w:r>
              <w:rPr>
                <w:rFonts w:ascii="Calibri" w:cs="Calibri" w:eastAsia="Calibri" w:hAnsi="Calibri"/>
                <w:sz w:val="13"/>
                <w:szCs w:val="13"/>
                <w:color w:val="51555C"/>
              </w:rPr>
              <w:t>—</w:t>
            </w:r>
          </w:p>
        </w:tc>
        <w:tc>
          <w:tcPr>
            <w:tcW w:w="260" w:type="dxa"/>
            <w:vAlign w:val="bottom"/>
          </w:tcPr>
          <w:p>
            <w:pPr>
              <w:spacing w:after="0"/>
              <w:rPr>
                <w:sz w:val="13"/>
                <w:szCs w:val="13"/>
                <w:color w:val="auto"/>
              </w:rPr>
            </w:pPr>
          </w:p>
        </w:tc>
        <w:tc>
          <w:tcPr>
            <w:tcW w:w="660" w:type="dxa"/>
            <w:vAlign w:val="bottom"/>
          </w:tcPr>
          <w:p>
            <w:pPr>
              <w:jc w:val="right"/>
              <w:spacing w:after="0" w:line="157" w:lineRule="exact"/>
              <w:rPr>
                <w:sz w:val="20"/>
                <w:szCs w:val="20"/>
                <w:color w:val="auto"/>
              </w:rPr>
            </w:pPr>
            <w:r>
              <w:rPr>
                <w:rFonts w:ascii="Calibri" w:cs="Calibri" w:eastAsia="Calibri" w:hAnsi="Calibri"/>
                <w:sz w:val="13"/>
                <w:szCs w:val="13"/>
                <w:color w:val="51555C"/>
              </w:rPr>
              <w:t>33,570</w:t>
            </w:r>
          </w:p>
        </w:tc>
        <w:tc>
          <w:tcPr>
            <w:tcW w:w="220" w:type="dxa"/>
            <w:vAlign w:val="bottom"/>
          </w:tcPr>
          <w:p>
            <w:pPr>
              <w:spacing w:after="0"/>
              <w:rPr>
                <w:sz w:val="13"/>
                <w:szCs w:val="13"/>
                <w:color w:val="auto"/>
              </w:rPr>
            </w:pPr>
          </w:p>
        </w:tc>
        <w:tc>
          <w:tcPr>
            <w:tcW w:w="880" w:type="dxa"/>
            <w:vAlign w:val="bottom"/>
          </w:tcPr>
          <w:p>
            <w:pPr>
              <w:jc w:val="right"/>
              <w:spacing w:after="0" w:line="157" w:lineRule="exact"/>
              <w:rPr>
                <w:sz w:val="20"/>
                <w:szCs w:val="20"/>
                <w:color w:val="auto"/>
              </w:rPr>
            </w:pPr>
            <w:r>
              <w:rPr>
                <w:rFonts w:ascii="Calibri" w:cs="Calibri" w:eastAsia="Calibri" w:hAnsi="Calibri"/>
                <w:sz w:val="13"/>
                <w:szCs w:val="13"/>
                <w:color w:val="51555C"/>
              </w:rPr>
              <w:t>—</w:t>
            </w:r>
          </w:p>
        </w:tc>
        <w:tc>
          <w:tcPr>
            <w:tcW w:w="200" w:type="dxa"/>
            <w:vAlign w:val="bottom"/>
          </w:tcPr>
          <w:p>
            <w:pPr>
              <w:spacing w:after="0"/>
              <w:rPr>
                <w:sz w:val="13"/>
                <w:szCs w:val="13"/>
                <w:color w:val="auto"/>
              </w:rPr>
            </w:pPr>
          </w:p>
        </w:tc>
        <w:tc>
          <w:tcPr>
            <w:tcW w:w="600" w:type="dxa"/>
            <w:vAlign w:val="bottom"/>
          </w:tcPr>
          <w:p>
            <w:pPr>
              <w:jc w:val="right"/>
              <w:spacing w:after="0" w:line="157" w:lineRule="exact"/>
              <w:rPr>
                <w:sz w:val="20"/>
                <w:szCs w:val="20"/>
                <w:color w:val="auto"/>
              </w:rPr>
            </w:pPr>
            <w:r>
              <w:rPr>
                <w:rFonts w:ascii="Calibri" w:cs="Calibri" w:eastAsia="Calibri" w:hAnsi="Calibri"/>
                <w:sz w:val="13"/>
                <w:szCs w:val="13"/>
                <w:color w:val="51555C"/>
              </w:rPr>
              <w:t>—</w:t>
            </w:r>
          </w:p>
        </w:tc>
        <w:tc>
          <w:tcPr>
            <w:tcW w:w="220" w:type="dxa"/>
            <w:vAlign w:val="bottom"/>
          </w:tcPr>
          <w:p>
            <w:pPr>
              <w:spacing w:after="0"/>
              <w:rPr>
                <w:sz w:val="13"/>
                <w:szCs w:val="13"/>
                <w:color w:val="auto"/>
              </w:rPr>
            </w:pPr>
          </w:p>
        </w:tc>
        <w:tc>
          <w:tcPr>
            <w:tcW w:w="780" w:type="dxa"/>
            <w:vAlign w:val="bottom"/>
          </w:tcPr>
          <w:p>
            <w:pPr>
              <w:jc w:val="right"/>
              <w:spacing w:after="0" w:line="157" w:lineRule="exact"/>
              <w:rPr>
                <w:sz w:val="20"/>
                <w:szCs w:val="20"/>
                <w:color w:val="auto"/>
              </w:rPr>
            </w:pPr>
            <w:r>
              <w:rPr>
                <w:rFonts w:ascii="Calibri" w:cs="Calibri" w:eastAsia="Calibri" w:hAnsi="Calibri"/>
                <w:sz w:val="13"/>
                <w:szCs w:val="13"/>
                <w:color w:val="51555C"/>
              </w:rPr>
              <w:t>33,570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38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3840" w:type="dxa"/>
            <w:vAlign w:val="bottom"/>
            <w:tcBorders>
              <w:bottom w:val="single" w:sz="8" w:color="EBFBFF"/>
            </w:tcBorders>
            <w:shd w:val="clear" w:color="auto" w:fill="EBFBFF"/>
          </w:tcPr>
          <w:p>
            <w:pPr>
              <w:ind w:left="100"/>
              <w:spacing w:after="0" w:line="157" w:lineRule="exact"/>
              <w:rPr>
                <w:sz w:val="20"/>
                <w:szCs w:val="20"/>
                <w:color w:val="auto"/>
              </w:rPr>
            </w:pPr>
            <w:r>
              <w:rPr>
                <w:rFonts w:ascii="Calibri" w:cs="Calibri" w:eastAsia="Calibri" w:hAnsi="Calibri"/>
                <w:sz w:val="13"/>
                <w:szCs w:val="13"/>
                <w:color w:val="51555C"/>
              </w:rPr>
              <w:t>Restricted stock grants</w:t>
            </w:r>
          </w:p>
        </w:tc>
        <w:tc>
          <w:tcPr>
            <w:tcW w:w="90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335,237</w:t>
            </w:r>
          </w:p>
        </w:tc>
        <w:tc>
          <w:tcPr>
            <w:tcW w:w="160" w:type="dxa"/>
            <w:vAlign w:val="bottom"/>
            <w:tcBorders>
              <w:bottom w:val="single" w:sz="8" w:color="EBFBFF"/>
            </w:tcBorders>
            <w:shd w:val="clear" w:color="auto" w:fill="EBFBFF"/>
          </w:tcPr>
          <w:p>
            <w:pPr>
              <w:spacing w:after="0"/>
              <w:rPr>
                <w:sz w:val="14"/>
                <w:szCs w:val="14"/>
                <w:color w:val="auto"/>
              </w:rPr>
            </w:pPr>
          </w:p>
        </w:tc>
        <w:tc>
          <w:tcPr>
            <w:tcW w:w="50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2</w:t>
            </w:r>
          </w:p>
        </w:tc>
        <w:tc>
          <w:tcPr>
            <w:tcW w:w="98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w:t>
            </w:r>
          </w:p>
        </w:tc>
        <w:tc>
          <w:tcPr>
            <w:tcW w:w="100" w:type="dxa"/>
            <w:vAlign w:val="bottom"/>
            <w:tcBorders>
              <w:bottom w:val="single" w:sz="8" w:color="EBFBFF"/>
            </w:tcBorders>
            <w:shd w:val="clear" w:color="auto" w:fill="EBFBFF"/>
          </w:tcPr>
          <w:p>
            <w:pPr>
              <w:spacing w:after="0"/>
              <w:rPr>
                <w:sz w:val="14"/>
                <w:szCs w:val="14"/>
                <w:color w:val="auto"/>
              </w:rPr>
            </w:pPr>
          </w:p>
        </w:tc>
        <w:tc>
          <w:tcPr>
            <w:tcW w:w="72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w:t>
            </w:r>
          </w:p>
        </w:tc>
        <w:tc>
          <w:tcPr>
            <w:tcW w:w="260" w:type="dxa"/>
            <w:vAlign w:val="bottom"/>
            <w:tcBorders>
              <w:bottom w:val="single" w:sz="8" w:color="EBFBFF"/>
            </w:tcBorders>
            <w:shd w:val="clear" w:color="auto" w:fill="EBFBFF"/>
          </w:tcPr>
          <w:p>
            <w:pPr>
              <w:spacing w:after="0"/>
              <w:rPr>
                <w:sz w:val="14"/>
                <w:szCs w:val="14"/>
                <w:color w:val="auto"/>
              </w:rPr>
            </w:pPr>
          </w:p>
        </w:tc>
        <w:tc>
          <w:tcPr>
            <w:tcW w:w="66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w:t>
            </w:r>
          </w:p>
        </w:tc>
        <w:tc>
          <w:tcPr>
            <w:tcW w:w="220" w:type="dxa"/>
            <w:vAlign w:val="bottom"/>
            <w:tcBorders>
              <w:bottom w:val="single" w:sz="8" w:color="EBFBFF"/>
            </w:tcBorders>
            <w:shd w:val="clear" w:color="auto" w:fill="EBFBFF"/>
          </w:tcPr>
          <w:p>
            <w:pPr>
              <w:spacing w:after="0"/>
              <w:rPr>
                <w:sz w:val="14"/>
                <w:szCs w:val="14"/>
                <w:color w:val="auto"/>
              </w:rPr>
            </w:pPr>
          </w:p>
        </w:tc>
        <w:tc>
          <w:tcPr>
            <w:tcW w:w="88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w:t>
            </w:r>
          </w:p>
        </w:tc>
        <w:tc>
          <w:tcPr>
            <w:tcW w:w="200" w:type="dxa"/>
            <w:vAlign w:val="bottom"/>
            <w:tcBorders>
              <w:bottom w:val="single" w:sz="8" w:color="EBFBFF"/>
            </w:tcBorders>
            <w:shd w:val="clear" w:color="auto" w:fill="EBFBFF"/>
          </w:tcPr>
          <w:p>
            <w:pPr>
              <w:spacing w:after="0"/>
              <w:rPr>
                <w:sz w:val="14"/>
                <w:szCs w:val="14"/>
                <w:color w:val="auto"/>
              </w:rPr>
            </w:pPr>
          </w:p>
        </w:tc>
        <w:tc>
          <w:tcPr>
            <w:tcW w:w="60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w:t>
            </w:r>
          </w:p>
        </w:tc>
        <w:tc>
          <w:tcPr>
            <w:tcW w:w="220" w:type="dxa"/>
            <w:vAlign w:val="bottom"/>
            <w:tcBorders>
              <w:bottom w:val="single" w:sz="8" w:color="EBFBFF"/>
            </w:tcBorders>
            <w:shd w:val="clear" w:color="auto" w:fill="EBFBFF"/>
          </w:tcPr>
          <w:p>
            <w:pPr>
              <w:spacing w:after="0"/>
              <w:rPr>
                <w:sz w:val="14"/>
                <w:szCs w:val="14"/>
                <w:color w:val="auto"/>
              </w:rPr>
            </w:pPr>
          </w:p>
        </w:tc>
        <w:tc>
          <w:tcPr>
            <w:tcW w:w="78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840" w:type="dxa"/>
            <w:vAlign w:val="bottom"/>
          </w:tcPr>
          <w:p>
            <w:pPr>
              <w:ind w:left="100"/>
              <w:spacing w:after="0" w:line="157" w:lineRule="exact"/>
              <w:rPr>
                <w:sz w:val="20"/>
                <w:szCs w:val="20"/>
                <w:color w:val="auto"/>
              </w:rPr>
            </w:pPr>
            <w:r>
              <w:rPr>
                <w:rFonts w:ascii="Calibri" w:cs="Calibri" w:eastAsia="Calibri" w:hAnsi="Calibri"/>
                <w:sz w:val="13"/>
                <w:szCs w:val="13"/>
                <w:color w:val="51555C"/>
              </w:rPr>
              <w:t>Restricted stock cancellatons</w:t>
            </w:r>
          </w:p>
        </w:tc>
        <w:tc>
          <w:tcPr>
            <w:tcW w:w="900" w:type="dxa"/>
            <w:vAlign w:val="bottom"/>
          </w:tcPr>
          <w:p>
            <w:pPr>
              <w:jc w:val="right"/>
              <w:spacing w:after="0" w:line="157" w:lineRule="exact"/>
              <w:rPr>
                <w:sz w:val="20"/>
                <w:szCs w:val="20"/>
                <w:color w:val="auto"/>
              </w:rPr>
            </w:pPr>
            <w:r>
              <w:rPr>
                <w:rFonts w:ascii="Calibri" w:cs="Calibri" w:eastAsia="Calibri" w:hAnsi="Calibri"/>
                <w:sz w:val="13"/>
                <w:szCs w:val="13"/>
                <w:color w:val="51555C"/>
              </w:rPr>
              <w:t>(19,159)</w:t>
            </w:r>
          </w:p>
        </w:tc>
        <w:tc>
          <w:tcPr>
            <w:tcW w:w="160" w:type="dxa"/>
            <w:vAlign w:val="bottom"/>
          </w:tcPr>
          <w:p>
            <w:pPr>
              <w:spacing w:after="0"/>
              <w:rPr>
                <w:sz w:val="13"/>
                <w:szCs w:val="13"/>
                <w:color w:val="auto"/>
              </w:rPr>
            </w:pPr>
          </w:p>
        </w:tc>
        <w:tc>
          <w:tcPr>
            <w:tcW w:w="500" w:type="dxa"/>
            <w:vAlign w:val="bottom"/>
          </w:tcPr>
          <w:p>
            <w:pPr>
              <w:jc w:val="right"/>
              <w:spacing w:after="0" w:line="157" w:lineRule="exact"/>
              <w:rPr>
                <w:sz w:val="20"/>
                <w:szCs w:val="20"/>
                <w:color w:val="auto"/>
              </w:rPr>
            </w:pPr>
            <w:r>
              <w:rPr>
                <w:rFonts w:ascii="Calibri" w:cs="Calibri" w:eastAsia="Calibri" w:hAnsi="Calibri"/>
                <w:sz w:val="13"/>
                <w:szCs w:val="13"/>
                <w:color w:val="51555C"/>
              </w:rPr>
              <w:t>—</w:t>
            </w:r>
          </w:p>
        </w:tc>
        <w:tc>
          <w:tcPr>
            <w:tcW w:w="980" w:type="dxa"/>
            <w:vAlign w:val="bottom"/>
          </w:tcPr>
          <w:p>
            <w:pPr>
              <w:jc w:val="right"/>
              <w:spacing w:after="0" w:line="157" w:lineRule="exact"/>
              <w:rPr>
                <w:sz w:val="20"/>
                <w:szCs w:val="20"/>
                <w:color w:val="auto"/>
              </w:rPr>
            </w:pPr>
            <w:r>
              <w:rPr>
                <w:rFonts w:ascii="Calibri" w:cs="Calibri" w:eastAsia="Calibri" w:hAnsi="Calibri"/>
                <w:sz w:val="13"/>
                <w:szCs w:val="13"/>
                <w:color w:val="51555C"/>
              </w:rPr>
              <w:t>—</w:t>
            </w:r>
          </w:p>
        </w:tc>
        <w:tc>
          <w:tcPr>
            <w:tcW w:w="100" w:type="dxa"/>
            <w:vAlign w:val="bottom"/>
          </w:tcPr>
          <w:p>
            <w:pPr>
              <w:spacing w:after="0"/>
              <w:rPr>
                <w:sz w:val="13"/>
                <w:szCs w:val="13"/>
                <w:color w:val="auto"/>
              </w:rPr>
            </w:pPr>
          </w:p>
        </w:tc>
        <w:tc>
          <w:tcPr>
            <w:tcW w:w="720" w:type="dxa"/>
            <w:vAlign w:val="bottom"/>
          </w:tcPr>
          <w:p>
            <w:pPr>
              <w:jc w:val="right"/>
              <w:spacing w:after="0" w:line="157" w:lineRule="exact"/>
              <w:rPr>
                <w:sz w:val="20"/>
                <w:szCs w:val="20"/>
                <w:color w:val="auto"/>
              </w:rPr>
            </w:pPr>
            <w:r>
              <w:rPr>
                <w:rFonts w:ascii="Calibri" w:cs="Calibri" w:eastAsia="Calibri" w:hAnsi="Calibri"/>
                <w:sz w:val="13"/>
                <w:szCs w:val="13"/>
                <w:color w:val="51555C"/>
              </w:rPr>
              <w:t>—</w:t>
            </w:r>
          </w:p>
        </w:tc>
        <w:tc>
          <w:tcPr>
            <w:tcW w:w="260" w:type="dxa"/>
            <w:vAlign w:val="bottom"/>
          </w:tcPr>
          <w:p>
            <w:pPr>
              <w:spacing w:after="0"/>
              <w:rPr>
                <w:sz w:val="13"/>
                <w:szCs w:val="13"/>
                <w:color w:val="auto"/>
              </w:rPr>
            </w:pPr>
          </w:p>
        </w:tc>
        <w:tc>
          <w:tcPr>
            <w:tcW w:w="660" w:type="dxa"/>
            <w:vAlign w:val="bottom"/>
          </w:tcPr>
          <w:p>
            <w:pPr>
              <w:jc w:val="right"/>
              <w:spacing w:after="0" w:line="157" w:lineRule="exact"/>
              <w:rPr>
                <w:sz w:val="20"/>
                <w:szCs w:val="20"/>
                <w:color w:val="auto"/>
              </w:rPr>
            </w:pPr>
            <w:r>
              <w:rPr>
                <w:rFonts w:ascii="Calibri" w:cs="Calibri" w:eastAsia="Calibri" w:hAnsi="Calibri"/>
                <w:sz w:val="13"/>
                <w:szCs w:val="13"/>
                <w:color w:val="51555C"/>
              </w:rPr>
              <w:t>—</w:t>
            </w:r>
          </w:p>
        </w:tc>
        <w:tc>
          <w:tcPr>
            <w:tcW w:w="220" w:type="dxa"/>
            <w:vAlign w:val="bottom"/>
          </w:tcPr>
          <w:p>
            <w:pPr>
              <w:spacing w:after="0"/>
              <w:rPr>
                <w:sz w:val="13"/>
                <w:szCs w:val="13"/>
                <w:color w:val="auto"/>
              </w:rPr>
            </w:pPr>
          </w:p>
        </w:tc>
        <w:tc>
          <w:tcPr>
            <w:tcW w:w="880" w:type="dxa"/>
            <w:vAlign w:val="bottom"/>
          </w:tcPr>
          <w:p>
            <w:pPr>
              <w:jc w:val="right"/>
              <w:spacing w:after="0" w:line="157" w:lineRule="exact"/>
              <w:rPr>
                <w:sz w:val="20"/>
                <w:szCs w:val="20"/>
                <w:color w:val="auto"/>
              </w:rPr>
            </w:pPr>
            <w:r>
              <w:rPr>
                <w:rFonts w:ascii="Calibri" w:cs="Calibri" w:eastAsia="Calibri" w:hAnsi="Calibri"/>
                <w:sz w:val="13"/>
                <w:szCs w:val="13"/>
                <w:color w:val="51555C"/>
              </w:rPr>
              <w:t>—</w:t>
            </w:r>
          </w:p>
        </w:tc>
        <w:tc>
          <w:tcPr>
            <w:tcW w:w="200" w:type="dxa"/>
            <w:vAlign w:val="bottom"/>
          </w:tcPr>
          <w:p>
            <w:pPr>
              <w:spacing w:after="0"/>
              <w:rPr>
                <w:sz w:val="13"/>
                <w:szCs w:val="13"/>
                <w:color w:val="auto"/>
              </w:rPr>
            </w:pPr>
          </w:p>
        </w:tc>
        <w:tc>
          <w:tcPr>
            <w:tcW w:w="600" w:type="dxa"/>
            <w:vAlign w:val="bottom"/>
          </w:tcPr>
          <w:p>
            <w:pPr>
              <w:jc w:val="right"/>
              <w:spacing w:after="0" w:line="157" w:lineRule="exact"/>
              <w:rPr>
                <w:sz w:val="20"/>
                <w:szCs w:val="20"/>
                <w:color w:val="auto"/>
              </w:rPr>
            </w:pPr>
            <w:r>
              <w:rPr>
                <w:rFonts w:ascii="Calibri" w:cs="Calibri" w:eastAsia="Calibri" w:hAnsi="Calibri"/>
                <w:sz w:val="13"/>
                <w:szCs w:val="13"/>
                <w:color w:val="51555C"/>
              </w:rPr>
              <w:t>—</w:t>
            </w:r>
          </w:p>
        </w:tc>
        <w:tc>
          <w:tcPr>
            <w:tcW w:w="220" w:type="dxa"/>
            <w:vAlign w:val="bottom"/>
          </w:tcPr>
          <w:p>
            <w:pPr>
              <w:spacing w:after="0"/>
              <w:rPr>
                <w:sz w:val="13"/>
                <w:szCs w:val="13"/>
                <w:color w:val="auto"/>
              </w:rPr>
            </w:pPr>
          </w:p>
        </w:tc>
        <w:tc>
          <w:tcPr>
            <w:tcW w:w="780" w:type="dxa"/>
            <w:vAlign w:val="bottom"/>
          </w:tcPr>
          <w:p>
            <w:pPr>
              <w:jc w:val="right"/>
              <w:spacing w:after="0" w:line="157" w:lineRule="exact"/>
              <w:rPr>
                <w:sz w:val="20"/>
                <w:szCs w:val="20"/>
                <w:color w:val="auto"/>
              </w:rPr>
            </w:pPr>
            <w:r>
              <w:rPr>
                <w:rFonts w:ascii="Calibri" w:cs="Calibri" w:eastAsia="Calibri" w:hAnsi="Calibri"/>
                <w:sz w:val="13"/>
                <w:szCs w:val="13"/>
                <w:color w:val="51555C"/>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38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3840" w:type="dxa"/>
            <w:vAlign w:val="bottom"/>
            <w:tcBorders>
              <w:bottom w:val="single" w:sz="8" w:color="EBFBFF"/>
            </w:tcBorders>
            <w:shd w:val="clear" w:color="auto" w:fill="EBFBFF"/>
          </w:tcPr>
          <w:p>
            <w:pPr>
              <w:ind w:left="100"/>
              <w:spacing w:after="0" w:line="157" w:lineRule="exact"/>
              <w:rPr>
                <w:sz w:val="20"/>
                <w:szCs w:val="20"/>
                <w:color w:val="auto"/>
              </w:rPr>
            </w:pPr>
            <w:r>
              <w:rPr>
                <w:rFonts w:ascii="Calibri" w:cs="Calibri" w:eastAsia="Calibri" w:hAnsi="Calibri"/>
                <w:sz w:val="13"/>
                <w:szCs w:val="13"/>
                <w:color w:val="51555C"/>
              </w:rPr>
              <w:t>Other comprehensive income</w:t>
            </w:r>
          </w:p>
        </w:tc>
        <w:tc>
          <w:tcPr>
            <w:tcW w:w="90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w:t>
            </w:r>
          </w:p>
        </w:tc>
        <w:tc>
          <w:tcPr>
            <w:tcW w:w="160" w:type="dxa"/>
            <w:vAlign w:val="bottom"/>
            <w:tcBorders>
              <w:bottom w:val="single" w:sz="8" w:color="EBFBFF"/>
            </w:tcBorders>
            <w:shd w:val="clear" w:color="auto" w:fill="EBFBFF"/>
          </w:tcPr>
          <w:p>
            <w:pPr>
              <w:spacing w:after="0"/>
              <w:rPr>
                <w:sz w:val="16"/>
                <w:szCs w:val="16"/>
                <w:color w:val="auto"/>
              </w:rPr>
            </w:pPr>
          </w:p>
        </w:tc>
        <w:tc>
          <w:tcPr>
            <w:tcW w:w="50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w:t>
            </w:r>
          </w:p>
        </w:tc>
        <w:tc>
          <w:tcPr>
            <w:tcW w:w="98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w:t>
            </w:r>
          </w:p>
        </w:tc>
        <w:tc>
          <w:tcPr>
            <w:tcW w:w="100" w:type="dxa"/>
            <w:vAlign w:val="bottom"/>
            <w:tcBorders>
              <w:bottom w:val="single" w:sz="8" w:color="EBFBFF"/>
            </w:tcBorders>
            <w:shd w:val="clear" w:color="auto" w:fill="EBFBFF"/>
          </w:tcPr>
          <w:p>
            <w:pPr>
              <w:spacing w:after="0"/>
              <w:rPr>
                <w:sz w:val="16"/>
                <w:szCs w:val="16"/>
                <w:color w:val="auto"/>
              </w:rPr>
            </w:pPr>
          </w:p>
        </w:tc>
        <w:tc>
          <w:tcPr>
            <w:tcW w:w="72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w:t>
            </w:r>
          </w:p>
        </w:tc>
        <w:tc>
          <w:tcPr>
            <w:tcW w:w="260" w:type="dxa"/>
            <w:vAlign w:val="bottom"/>
            <w:tcBorders>
              <w:bottom w:val="single" w:sz="8" w:color="EBFBFF"/>
            </w:tcBorders>
            <w:shd w:val="clear" w:color="auto" w:fill="EBFBFF"/>
          </w:tcPr>
          <w:p>
            <w:pPr>
              <w:spacing w:after="0"/>
              <w:rPr>
                <w:sz w:val="16"/>
                <w:szCs w:val="16"/>
                <w:color w:val="auto"/>
              </w:rPr>
            </w:pPr>
          </w:p>
        </w:tc>
        <w:tc>
          <w:tcPr>
            <w:tcW w:w="66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w:t>
            </w:r>
          </w:p>
        </w:tc>
        <w:tc>
          <w:tcPr>
            <w:tcW w:w="220" w:type="dxa"/>
            <w:vAlign w:val="bottom"/>
            <w:tcBorders>
              <w:bottom w:val="single" w:sz="8" w:color="EBFBFF"/>
            </w:tcBorders>
            <w:shd w:val="clear" w:color="auto" w:fill="EBFBFF"/>
          </w:tcPr>
          <w:p>
            <w:pPr>
              <w:spacing w:after="0"/>
              <w:rPr>
                <w:sz w:val="16"/>
                <w:szCs w:val="16"/>
                <w:color w:val="auto"/>
              </w:rPr>
            </w:pPr>
          </w:p>
        </w:tc>
        <w:tc>
          <w:tcPr>
            <w:tcW w:w="88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2,910</w:t>
            </w:r>
          </w:p>
        </w:tc>
        <w:tc>
          <w:tcPr>
            <w:tcW w:w="200" w:type="dxa"/>
            <w:vAlign w:val="bottom"/>
            <w:tcBorders>
              <w:bottom w:val="single" w:sz="8" w:color="EBFBFF"/>
            </w:tcBorders>
            <w:shd w:val="clear" w:color="auto" w:fill="EBFBFF"/>
          </w:tcPr>
          <w:p>
            <w:pPr>
              <w:spacing w:after="0"/>
              <w:rPr>
                <w:sz w:val="16"/>
                <w:szCs w:val="16"/>
                <w:color w:val="auto"/>
              </w:rPr>
            </w:pPr>
          </w:p>
        </w:tc>
        <w:tc>
          <w:tcPr>
            <w:tcW w:w="60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w:t>
            </w:r>
          </w:p>
        </w:tc>
        <w:tc>
          <w:tcPr>
            <w:tcW w:w="220" w:type="dxa"/>
            <w:vAlign w:val="bottom"/>
            <w:tcBorders>
              <w:bottom w:val="single" w:sz="8" w:color="EBFBFF"/>
            </w:tcBorders>
            <w:shd w:val="clear" w:color="auto" w:fill="EBFBFF"/>
          </w:tcPr>
          <w:p>
            <w:pPr>
              <w:spacing w:after="0"/>
              <w:rPr>
                <w:sz w:val="16"/>
                <w:szCs w:val="16"/>
                <w:color w:val="auto"/>
              </w:rPr>
            </w:pPr>
          </w:p>
        </w:tc>
        <w:tc>
          <w:tcPr>
            <w:tcW w:w="78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2,910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840" w:type="dxa"/>
            <w:vAlign w:val="bottom"/>
          </w:tcPr>
          <w:p>
            <w:pPr>
              <w:ind w:left="20"/>
              <w:spacing w:after="0" w:line="137" w:lineRule="exact"/>
              <w:rPr>
                <w:sz w:val="20"/>
                <w:szCs w:val="20"/>
                <w:color w:val="auto"/>
              </w:rPr>
            </w:pPr>
            <w:r>
              <w:rPr>
                <w:rFonts w:ascii="Calibri" w:cs="Calibri" w:eastAsia="Calibri" w:hAnsi="Calibri"/>
                <w:sz w:val="13"/>
                <w:szCs w:val="13"/>
                <w:b w:val="1"/>
                <w:bCs w:val="1"/>
                <w:color w:val="51555C"/>
              </w:rPr>
              <w:t>Balance at March 31, 2024</w:t>
            </w:r>
          </w:p>
        </w:tc>
        <w:tc>
          <w:tcPr>
            <w:tcW w:w="900" w:type="dxa"/>
            <w:vAlign w:val="bottom"/>
            <w:tcBorders>
              <w:top w:val="single" w:sz="8" w:color="51555C"/>
            </w:tcBorders>
          </w:tcPr>
          <w:p>
            <w:pPr>
              <w:jc w:val="right"/>
              <w:spacing w:after="0" w:line="148" w:lineRule="exact"/>
              <w:rPr>
                <w:sz w:val="20"/>
                <w:szCs w:val="20"/>
                <w:color w:val="auto"/>
              </w:rPr>
            </w:pPr>
            <w:r>
              <w:rPr>
                <w:rFonts w:ascii="Calibri" w:cs="Calibri" w:eastAsia="Calibri" w:hAnsi="Calibri"/>
                <w:sz w:val="13"/>
                <w:szCs w:val="13"/>
                <w:color w:val="51555C"/>
              </w:rPr>
              <w:t>70,861,507</w:t>
            </w:r>
          </w:p>
        </w:tc>
        <w:tc>
          <w:tcPr>
            <w:tcW w:w="160" w:type="dxa"/>
            <w:vAlign w:val="bottom"/>
            <w:tcBorders>
              <w:top w:val="single" w:sz="8" w:color="51555C"/>
            </w:tcBorders>
          </w:tcPr>
          <w:p>
            <w:pPr>
              <w:jc w:val="right"/>
              <w:ind w:right="16"/>
              <w:spacing w:after="0" w:line="148" w:lineRule="exact"/>
              <w:rPr>
                <w:sz w:val="20"/>
                <w:szCs w:val="20"/>
                <w:color w:val="auto"/>
              </w:rPr>
            </w:pPr>
            <w:r>
              <w:rPr>
                <w:rFonts w:ascii="Calibri" w:cs="Calibri" w:eastAsia="Calibri" w:hAnsi="Calibri"/>
                <w:sz w:val="13"/>
                <w:szCs w:val="13"/>
                <w:color w:val="51555C"/>
                <w:w w:val="90"/>
              </w:rPr>
              <w:t>$</w:t>
            </w:r>
          </w:p>
        </w:tc>
        <w:tc>
          <w:tcPr>
            <w:tcW w:w="500" w:type="dxa"/>
            <w:vAlign w:val="bottom"/>
            <w:tcBorders>
              <w:top w:val="single" w:sz="8" w:color="51555C"/>
            </w:tcBorders>
          </w:tcPr>
          <w:p>
            <w:pPr>
              <w:jc w:val="right"/>
              <w:spacing w:after="0" w:line="148" w:lineRule="exact"/>
              <w:rPr>
                <w:sz w:val="20"/>
                <w:szCs w:val="20"/>
                <w:color w:val="auto"/>
              </w:rPr>
            </w:pPr>
            <w:r>
              <w:rPr>
                <w:rFonts w:ascii="Calibri" w:cs="Calibri" w:eastAsia="Calibri" w:hAnsi="Calibri"/>
                <w:sz w:val="13"/>
                <w:szCs w:val="13"/>
                <w:color w:val="51555C"/>
              </w:rPr>
              <w:t>71</w:t>
            </w:r>
          </w:p>
        </w:tc>
        <w:tc>
          <w:tcPr>
            <w:tcW w:w="980" w:type="dxa"/>
            <w:vAlign w:val="bottom"/>
            <w:tcBorders>
              <w:top w:val="single" w:sz="8" w:color="51555C"/>
            </w:tcBorders>
          </w:tcPr>
          <w:p>
            <w:pPr>
              <w:jc w:val="right"/>
              <w:spacing w:after="0" w:line="148" w:lineRule="exact"/>
              <w:rPr>
                <w:sz w:val="20"/>
                <w:szCs w:val="20"/>
                <w:color w:val="auto"/>
              </w:rPr>
            </w:pPr>
            <w:r>
              <w:rPr>
                <w:rFonts w:ascii="Calibri" w:cs="Calibri" w:eastAsia="Calibri" w:hAnsi="Calibri"/>
                <w:sz w:val="13"/>
                <w:szCs w:val="13"/>
                <w:color w:val="51555C"/>
              </w:rPr>
              <w:t>(19,237,264)</w:t>
            </w:r>
          </w:p>
        </w:tc>
        <w:tc>
          <w:tcPr>
            <w:tcW w:w="100" w:type="dxa"/>
            <w:vAlign w:val="bottom"/>
            <w:tcBorders>
              <w:top w:val="single" w:sz="8" w:color="51555C"/>
            </w:tcBorders>
          </w:tcPr>
          <w:p>
            <w:pPr>
              <w:jc w:val="right"/>
              <w:spacing w:after="0" w:line="148" w:lineRule="exact"/>
              <w:rPr>
                <w:sz w:val="20"/>
                <w:szCs w:val="20"/>
                <w:color w:val="auto"/>
              </w:rPr>
            </w:pPr>
            <w:r>
              <w:rPr>
                <w:rFonts w:ascii="Calibri" w:cs="Calibri" w:eastAsia="Calibri" w:hAnsi="Calibri"/>
                <w:sz w:val="13"/>
                <w:szCs w:val="13"/>
                <w:color w:val="51555C"/>
                <w:w w:val="90"/>
              </w:rPr>
              <w:t>$</w:t>
            </w:r>
          </w:p>
        </w:tc>
        <w:tc>
          <w:tcPr>
            <w:tcW w:w="720" w:type="dxa"/>
            <w:vAlign w:val="bottom"/>
            <w:tcBorders>
              <w:top w:val="single" w:sz="8" w:color="51555C"/>
            </w:tcBorders>
          </w:tcPr>
          <w:p>
            <w:pPr>
              <w:jc w:val="right"/>
              <w:spacing w:after="0" w:line="148" w:lineRule="exact"/>
              <w:rPr>
                <w:sz w:val="20"/>
                <w:szCs w:val="20"/>
                <w:color w:val="auto"/>
              </w:rPr>
            </w:pPr>
            <w:r>
              <w:rPr>
                <w:rFonts w:ascii="Calibri" w:cs="Calibri" w:eastAsia="Calibri" w:hAnsi="Calibri"/>
                <w:sz w:val="13"/>
                <w:szCs w:val="13"/>
                <w:color w:val="51555C"/>
              </w:rPr>
              <w:t>(855,692)</w:t>
            </w:r>
          </w:p>
        </w:tc>
        <w:tc>
          <w:tcPr>
            <w:tcW w:w="260" w:type="dxa"/>
            <w:vAlign w:val="bottom"/>
            <w:tcBorders>
              <w:top w:val="single" w:sz="8" w:color="51555C"/>
            </w:tcBorders>
          </w:tcPr>
          <w:p>
            <w:pPr>
              <w:jc w:val="right"/>
              <w:ind w:right="16"/>
              <w:spacing w:after="0" w:line="148" w:lineRule="exact"/>
              <w:rPr>
                <w:sz w:val="20"/>
                <w:szCs w:val="20"/>
                <w:color w:val="auto"/>
              </w:rPr>
            </w:pPr>
            <w:r>
              <w:rPr>
                <w:rFonts w:ascii="Calibri" w:cs="Calibri" w:eastAsia="Calibri" w:hAnsi="Calibri"/>
                <w:sz w:val="13"/>
                <w:szCs w:val="13"/>
                <w:color w:val="51555C"/>
              </w:rPr>
              <w:t>$</w:t>
            </w:r>
          </w:p>
        </w:tc>
        <w:tc>
          <w:tcPr>
            <w:tcW w:w="660" w:type="dxa"/>
            <w:vAlign w:val="bottom"/>
            <w:tcBorders>
              <w:top w:val="single" w:sz="8" w:color="51555C"/>
            </w:tcBorders>
          </w:tcPr>
          <w:p>
            <w:pPr>
              <w:jc w:val="right"/>
              <w:spacing w:after="0" w:line="148" w:lineRule="exact"/>
              <w:rPr>
                <w:sz w:val="20"/>
                <w:szCs w:val="20"/>
                <w:color w:val="auto"/>
              </w:rPr>
            </w:pPr>
            <w:r>
              <w:rPr>
                <w:rFonts w:ascii="Calibri" w:cs="Calibri" w:eastAsia="Calibri" w:hAnsi="Calibri"/>
                <w:sz w:val="13"/>
                <w:szCs w:val="13"/>
                <w:color w:val="51555C"/>
              </w:rPr>
              <w:t>1,184,338</w:t>
            </w:r>
          </w:p>
        </w:tc>
        <w:tc>
          <w:tcPr>
            <w:tcW w:w="220" w:type="dxa"/>
            <w:vAlign w:val="bottom"/>
            <w:tcBorders>
              <w:top w:val="single" w:sz="8" w:color="51555C"/>
            </w:tcBorders>
          </w:tcPr>
          <w:p>
            <w:pPr>
              <w:jc w:val="right"/>
              <w:ind w:right="107"/>
              <w:spacing w:after="0"/>
              <w:rPr>
                <w:sz w:val="20"/>
                <w:szCs w:val="20"/>
                <w:color w:val="auto"/>
              </w:rPr>
            </w:pPr>
            <w:r>
              <w:rPr>
                <w:rFonts w:ascii="Calibri" w:cs="Calibri" w:eastAsia="Calibri" w:hAnsi="Calibri"/>
                <w:sz w:val="11"/>
                <w:szCs w:val="11"/>
                <w:color w:val="51555C"/>
                <w:w w:val="70"/>
              </w:rPr>
              <w:t>$</w:t>
            </w:r>
          </w:p>
        </w:tc>
        <w:tc>
          <w:tcPr>
            <w:tcW w:w="880" w:type="dxa"/>
            <w:vAlign w:val="bottom"/>
            <w:tcBorders>
              <w:top w:val="single" w:sz="8" w:color="51555C"/>
            </w:tcBorders>
          </w:tcPr>
          <w:p>
            <w:pPr>
              <w:jc w:val="right"/>
              <w:spacing w:after="0" w:line="148" w:lineRule="exact"/>
              <w:rPr>
                <w:sz w:val="20"/>
                <w:szCs w:val="20"/>
                <w:color w:val="auto"/>
              </w:rPr>
            </w:pPr>
            <w:r>
              <w:rPr>
                <w:rFonts w:ascii="Calibri" w:cs="Calibri" w:eastAsia="Calibri" w:hAnsi="Calibri"/>
                <w:sz w:val="13"/>
                <w:szCs w:val="13"/>
                <w:color w:val="51555C"/>
              </w:rPr>
              <w:t>1,222</w:t>
            </w:r>
          </w:p>
        </w:tc>
        <w:tc>
          <w:tcPr>
            <w:tcW w:w="200" w:type="dxa"/>
            <w:vAlign w:val="bottom"/>
            <w:tcBorders>
              <w:top w:val="single" w:sz="8" w:color="51555C"/>
            </w:tcBorders>
          </w:tcPr>
          <w:p>
            <w:pPr>
              <w:jc w:val="right"/>
              <w:ind w:right="56"/>
              <w:spacing w:after="0" w:line="148" w:lineRule="exact"/>
              <w:rPr>
                <w:sz w:val="20"/>
                <w:szCs w:val="20"/>
                <w:color w:val="auto"/>
              </w:rPr>
            </w:pPr>
            <w:r>
              <w:rPr>
                <w:rFonts w:ascii="Calibri" w:cs="Calibri" w:eastAsia="Calibri" w:hAnsi="Calibri"/>
                <w:sz w:val="13"/>
                <w:szCs w:val="13"/>
                <w:color w:val="51555C"/>
                <w:w w:val="90"/>
              </w:rPr>
              <w:t>$</w:t>
            </w:r>
          </w:p>
        </w:tc>
        <w:tc>
          <w:tcPr>
            <w:tcW w:w="600" w:type="dxa"/>
            <w:vAlign w:val="bottom"/>
            <w:tcBorders>
              <w:top w:val="single" w:sz="8" w:color="51555C"/>
            </w:tcBorders>
          </w:tcPr>
          <w:p>
            <w:pPr>
              <w:jc w:val="right"/>
              <w:spacing w:after="0" w:line="148" w:lineRule="exact"/>
              <w:rPr>
                <w:sz w:val="20"/>
                <w:szCs w:val="20"/>
                <w:color w:val="auto"/>
              </w:rPr>
            </w:pPr>
            <w:r>
              <w:rPr>
                <w:rFonts w:ascii="Calibri" w:cs="Calibri" w:eastAsia="Calibri" w:hAnsi="Calibri"/>
                <w:sz w:val="13"/>
                <w:szCs w:val="13"/>
                <w:color w:val="51555C"/>
              </w:rPr>
              <w:t>204,115</w:t>
            </w:r>
          </w:p>
        </w:tc>
        <w:tc>
          <w:tcPr>
            <w:tcW w:w="220" w:type="dxa"/>
            <w:vAlign w:val="bottom"/>
            <w:tcBorders>
              <w:top w:val="single" w:sz="8" w:color="51555C"/>
            </w:tcBorders>
          </w:tcPr>
          <w:p>
            <w:pPr>
              <w:jc w:val="right"/>
              <w:ind w:right="76"/>
              <w:spacing w:after="0" w:line="148" w:lineRule="exact"/>
              <w:rPr>
                <w:sz w:val="20"/>
                <w:szCs w:val="20"/>
                <w:color w:val="auto"/>
              </w:rPr>
            </w:pPr>
            <w:r>
              <w:rPr>
                <w:rFonts w:ascii="Calibri" w:cs="Calibri" w:eastAsia="Calibri" w:hAnsi="Calibri"/>
                <w:sz w:val="13"/>
                <w:szCs w:val="13"/>
                <w:color w:val="51555C"/>
                <w:w w:val="90"/>
              </w:rPr>
              <w:t>$</w:t>
            </w:r>
          </w:p>
        </w:tc>
        <w:tc>
          <w:tcPr>
            <w:tcW w:w="780" w:type="dxa"/>
            <w:vAlign w:val="bottom"/>
            <w:tcBorders>
              <w:top w:val="single" w:sz="8" w:color="51555C"/>
            </w:tcBorders>
          </w:tcPr>
          <w:p>
            <w:pPr>
              <w:jc w:val="right"/>
              <w:spacing w:after="0" w:line="148" w:lineRule="exact"/>
              <w:rPr>
                <w:sz w:val="20"/>
                <w:szCs w:val="20"/>
                <w:color w:val="auto"/>
              </w:rPr>
            </w:pPr>
            <w:r>
              <w:rPr>
                <w:rFonts w:ascii="Calibri" w:cs="Calibri" w:eastAsia="Calibri" w:hAnsi="Calibri"/>
                <w:sz w:val="13"/>
                <w:szCs w:val="13"/>
                <w:color w:val="51555C"/>
              </w:rPr>
              <w:t>534,054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8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3840" w:type="dxa"/>
            <w:vAlign w:val="bottom"/>
            <w:tcBorders>
              <w:bottom w:val="single" w:sz="8" w:color="EBFBFF"/>
            </w:tcBorders>
            <w:shd w:val="clear" w:color="auto" w:fill="EBFBFF"/>
          </w:tcPr>
          <w:p>
            <w:pPr>
              <w:ind w:left="100"/>
              <w:spacing w:after="0" w:line="157" w:lineRule="exact"/>
              <w:rPr>
                <w:sz w:val="20"/>
                <w:szCs w:val="20"/>
                <w:color w:val="auto"/>
              </w:rPr>
            </w:pPr>
            <w:r>
              <w:rPr>
                <w:rFonts w:ascii="Calibri" w:cs="Calibri" w:eastAsia="Calibri" w:hAnsi="Calibri"/>
                <w:sz w:val="13"/>
                <w:szCs w:val="13"/>
                <w:color w:val="51555C"/>
              </w:rPr>
              <w:t>Net income</w:t>
            </w:r>
          </w:p>
        </w:tc>
        <w:tc>
          <w:tcPr>
            <w:tcW w:w="90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w:t>
            </w:r>
          </w:p>
        </w:tc>
        <w:tc>
          <w:tcPr>
            <w:tcW w:w="160" w:type="dxa"/>
            <w:vAlign w:val="bottom"/>
            <w:tcBorders>
              <w:bottom w:val="single" w:sz="8" w:color="EBFBFF"/>
            </w:tcBorders>
            <w:shd w:val="clear" w:color="auto" w:fill="EBFBFF"/>
          </w:tcPr>
          <w:p>
            <w:pPr>
              <w:spacing w:after="0"/>
              <w:rPr>
                <w:sz w:val="14"/>
                <w:szCs w:val="14"/>
                <w:color w:val="auto"/>
              </w:rPr>
            </w:pPr>
          </w:p>
        </w:tc>
        <w:tc>
          <w:tcPr>
            <w:tcW w:w="50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w:t>
            </w:r>
          </w:p>
        </w:tc>
        <w:tc>
          <w:tcPr>
            <w:tcW w:w="98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w:t>
            </w:r>
          </w:p>
        </w:tc>
        <w:tc>
          <w:tcPr>
            <w:tcW w:w="100" w:type="dxa"/>
            <w:vAlign w:val="bottom"/>
            <w:tcBorders>
              <w:bottom w:val="single" w:sz="8" w:color="EBFBFF"/>
            </w:tcBorders>
            <w:shd w:val="clear" w:color="auto" w:fill="EBFBFF"/>
          </w:tcPr>
          <w:p>
            <w:pPr>
              <w:spacing w:after="0"/>
              <w:rPr>
                <w:sz w:val="14"/>
                <w:szCs w:val="14"/>
                <w:color w:val="auto"/>
              </w:rPr>
            </w:pPr>
          </w:p>
        </w:tc>
        <w:tc>
          <w:tcPr>
            <w:tcW w:w="72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w:t>
            </w:r>
          </w:p>
        </w:tc>
        <w:tc>
          <w:tcPr>
            <w:tcW w:w="260" w:type="dxa"/>
            <w:vAlign w:val="bottom"/>
            <w:tcBorders>
              <w:bottom w:val="single" w:sz="8" w:color="EBFBFF"/>
            </w:tcBorders>
            <w:shd w:val="clear" w:color="auto" w:fill="EBFBFF"/>
          </w:tcPr>
          <w:p>
            <w:pPr>
              <w:spacing w:after="0"/>
              <w:rPr>
                <w:sz w:val="14"/>
                <w:szCs w:val="14"/>
                <w:color w:val="auto"/>
              </w:rPr>
            </w:pPr>
          </w:p>
        </w:tc>
        <w:tc>
          <w:tcPr>
            <w:tcW w:w="66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w:t>
            </w:r>
          </w:p>
        </w:tc>
        <w:tc>
          <w:tcPr>
            <w:tcW w:w="220" w:type="dxa"/>
            <w:vAlign w:val="bottom"/>
            <w:tcBorders>
              <w:bottom w:val="single" w:sz="8" w:color="EBFBFF"/>
            </w:tcBorders>
            <w:shd w:val="clear" w:color="auto" w:fill="EBFBFF"/>
          </w:tcPr>
          <w:p>
            <w:pPr>
              <w:spacing w:after="0"/>
              <w:rPr>
                <w:sz w:val="14"/>
                <w:szCs w:val="14"/>
                <w:color w:val="auto"/>
              </w:rPr>
            </w:pPr>
          </w:p>
        </w:tc>
        <w:tc>
          <w:tcPr>
            <w:tcW w:w="88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w:t>
            </w:r>
          </w:p>
        </w:tc>
        <w:tc>
          <w:tcPr>
            <w:tcW w:w="200" w:type="dxa"/>
            <w:vAlign w:val="bottom"/>
            <w:tcBorders>
              <w:bottom w:val="single" w:sz="8" w:color="EBFBFF"/>
            </w:tcBorders>
            <w:shd w:val="clear" w:color="auto" w:fill="EBFBFF"/>
          </w:tcPr>
          <w:p>
            <w:pPr>
              <w:spacing w:after="0"/>
              <w:rPr>
                <w:sz w:val="14"/>
                <w:szCs w:val="14"/>
                <w:color w:val="auto"/>
              </w:rPr>
            </w:pPr>
          </w:p>
        </w:tc>
        <w:tc>
          <w:tcPr>
            <w:tcW w:w="60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21,804</w:t>
            </w:r>
          </w:p>
        </w:tc>
        <w:tc>
          <w:tcPr>
            <w:tcW w:w="220" w:type="dxa"/>
            <w:vAlign w:val="bottom"/>
            <w:tcBorders>
              <w:bottom w:val="single" w:sz="8" w:color="EBFBFF"/>
            </w:tcBorders>
            <w:shd w:val="clear" w:color="auto" w:fill="EBFBFF"/>
          </w:tcPr>
          <w:p>
            <w:pPr>
              <w:spacing w:after="0"/>
              <w:rPr>
                <w:sz w:val="14"/>
                <w:szCs w:val="14"/>
                <w:color w:val="auto"/>
              </w:rPr>
            </w:pPr>
          </w:p>
        </w:tc>
        <w:tc>
          <w:tcPr>
            <w:tcW w:w="78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21,804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840" w:type="dxa"/>
            <w:vAlign w:val="bottom"/>
          </w:tcPr>
          <w:p>
            <w:pPr>
              <w:ind w:left="100"/>
              <w:spacing w:after="0" w:line="157" w:lineRule="exact"/>
              <w:rPr>
                <w:sz w:val="20"/>
                <w:szCs w:val="20"/>
                <w:color w:val="auto"/>
              </w:rPr>
            </w:pPr>
            <w:r>
              <w:rPr>
                <w:rFonts w:ascii="Calibri" w:cs="Calibri" w:eastAsia="Calibri" w:hAnsi="Calibri"/>
                <w:sz w:val="13"/>
                <w:szCs w:val="13"/>
                <w:color w:val="51555C"/>
              </w:rPr>
              <w:t>Vestng of restricted stock units</w:t>
            </w:r>
          </w:p>
        </w:tc>
        <w:tc>
          <w:tcPr>
            <w:tcW w:w="900" w:type="dxa"/>
            <w:vAlign w:val="bottom"/>
          </w:tcPr>
          <w:p>
            <w:pPr>
              <w:jc w:val="right"/>
              <w:spacing w:after="0" w:line="157" w:lineRule="exact"/>
              <w:rPr>
                <w:sz w:val="20"/>
                <w:szCs w:val="20"/>
                <w:color w:val="auto"/>
              </w:rPr>
            </w:pPr>
            <w:r>
              <w:rPr>
                <w:rFonts w:ascii="Calibri" w:cs="Calibri" w:eastAsia="Calibri" w:hAnsi="Calibri"/>
                <w:sz w:val="13"/>
                <w:szCs w:val="13"/>
                <w:color w:val="51555C"/>
              </w:rPr>
              <w:t>10,719</w:t>
            </w:r>
          </w:p>
        </w:tc>
        <w:tc>
          <w:tcPr>
            <w:tcW w:w="160" w:type="dxa"/>
            <w:vAlign w:val="bottom"/>
          </w:tcPr>
          <w:p>
            <w:pPr>
              <w:spacing w:after="0"/>
              <w:rPr>
                <w:sz w:val="13"/>
                <w:szCs w:val="13"/>
                <w:color w:val="auto"/>
              </w:rPr>
            </w:pPr>
          </w:p>
        </w:tc>
        <w:tc>
          <w:tcPr>
            <w:tcW w:w="500" w:type="dxa"/>
            <w:vAlign w:val="bottom"/>
          </w:tcPr>
          <w:p>
            <w:pPr>
              <w:jc w:val="right"/>
              <w:spacing w:after="0" w:line="157" w:lineRule="exact"/>
              <w:rPr>
                <w:sz w:val="20"/>
                <w:szCs w:val="20"/>
                <w:color w:val="auto"/>
              </w:rPr>
            </w:pPr>
            <w:r>
              <w:rPr>
                <w:rFonts w:ascii="Calibri" w:cs="Calibri" w:eastAsia="Calibri" w:hAnsi="Calibri"/>
                <w:sz w:val="13"/>
                <w:szCs w:val="13"/>
                <w:color w:val="51555C"/>
              </w:rPr>
              <w:t>—</w:t>
            </w:r>
          </w:p>
        </w:tc>
        <w:tc>
          <w:tcPr>
            <w:tcW w:w="980" w:type="dxa"/>
            <w:vAlign w:val="bottom"/>
          </w:tcPr>
          <w:p>
            <w:pPr>
              <w:jc w:val="right"/>
              <w:spacing w:after="0" w:line="157" w:lineRule="exact"/>
              <w:rPr>
                <w:sz w:val="20"/>
                <w:szCs w:val="20"/>
                <w:color w:val="auto"/>
              </w:rPr>
            </w:pPr>
            <w:r>
              <w:rPr>
                <w:rFonts w:ascii="Calibri" w:cs="Calibri" w:eastAsia="Calibri" w:hAnsi="Calibri"/>
                <w:sz w:val="13"/>
                <w:szCs w:val="13"/>
                <w:color w:val="51555C"/>
              </w:rPr>
              <w:t>—</w:t>
            </w:r>
          </w:p>
        </w:tc>
        <w:tc>
          <w:tcPr>
            <w:tcW w:w="100" w:type="dxa"/>
            <w:vAlign w:val="bottom"/>
          </w:tcPr>
          <w:p>
            <w:pPr>
              <w:spacing w:after="0"/>
              <w:rPr>
                <w:sz w:val="13"/>
                <w:szCs w:val="13"/>
                <w:color w:val="auto"/>
              </w:rPr>
            </w:pPr>
          </w:p>
        </w:tc>
        <w:tc>
          <w:tcPr>
            <w:tcW w:w="720" w:type="dxa"/>
            <w:vAlign w:val="bottom"/>
          </w:tcPr>
          <w:p>
            <w:pPr>
              <w:jc w:val="right"/>
              <w:spacing w:after="0" w:line="157" w:lineRule="exact"/>
              <w:rPr>
                <w:sz w:val="20"/>
                <w:szCs w:val="20"/>
                <w:color w:val="auto"/>
              </w:rPr>
            </w:pPr>
            <w:r>
              <w:rPr>
                <w:rFonts w:ascii="Calibri" w:cs="Calibri" w:eastAsia="Calibri" w:hAnsi="Calibri"/>
                <w:sz w:val="13"/>
                <w:szCs w:val="13"/>
                <w:color w:val="51555C"/>
              </w:rPr>
              <w:t>—</w:t>
            </w:r>
          </w:p>
        </w:tc>
        <w:tc>
          <w:tcPr>
            <w:tcW w:w="260" w:type="dxa"/>
            <w:vAlign w:val="bottom"/>
          </w:tcPr>
          <w:p>
            <w:pPr>
              <w:spacing w:after="0"/>
              <w:rPr>
                <w:sz w:val="13"/>
                <w:szCs w:val="13"/>
                <w:color w:val="auto"/>
              </w:rPr>
            </w:pPr>
          </w:p>
        </w:tc>
        <w:tc>
          <w:tcPr>
            <w:tcW w:w="660" w:type="dxa"/>
            <w:vAlign w:val="bottom"/>
          </w:tcPr>
          <w:p>
            <w:pPr>
              <w:jc w:val="right"/>
              <w:spacing w:after="0" w:line="157" w:lineRule="exact"/>
              <w:rPr>
                <w:sz w:val="20"/>
                <w:szCs w:val="20"/>
                <w:color w:val="auto"/>
              </w:rPr>
            </w:pPr>
            <w:r>
              <w:rPr>
                <w:rFonts w:ascii="Calibri" w:cs="Calibri" w:eastAsia="Calibri" w:hAnsi="Calibri"/>
                <w:sz w:val="13"/>
                <w:szCs w:val="13"/>
                <w:color w:val="51555C"/>
              </w:rPr>
              <w:t>—</w:t>
            </w:r>
          </w:p>
        </w:tc>
        <w:tc>
          <w:tcPr>
            <w:tcW w:w="220" w:type="dxa"/>
            <w:vAlign w:val="bottom"/>
          </w:tcPr>
          <w:p>
            <w:pPr>
              <w:spacing w:after="0"/>
              <w:rPr>
                <w:sz w:val="13"/>
                <w:szCs w:val="13"/>
                <w:color w:val="auto"/>
              </w:rPr>
            </w:pPr>
          </w:p>
        </w:tc>
        <w:tc>
          <w:tcPr>
            <w:tcW w:w="880" w:type="dxa"/>
            <w:vAlign w:val="bottom"/>
          </w:tcPr>
          <w:p>
            <w:pPr>
              <w:jc w:val="right"/>
              <w:spacing w:after="0" w:line="157" w:lineRule="exact"/>
              <w:rPr>
                <w:sz w:val="20"/>
                <w:szCs w:val="20"/>
                <w:color w:val="auto"/>
              </w:rPr>
            </w:pPr>
            <w:r>
              <w:rPr>
                <w:rFonts w:ascii="Calibri" w:cs="Calibri" w:eastAsia="Calibri" w:hAnsi="Calibri"/>
                <w:sz w:val="13"/>
                <w:szCs w:val="13"/>
                <w:color w:val="51555C"/>
              </w:rPr>
              <w:t>—</w:t>
            </w:r>
          </w:p>
        </w:tc>
        <w:tc>
          <w:tcPr>
            <w:tcW w:w="200" w:type="dxa"/>
            <w:vAlign w:val="bottom"/>
          </w:tcPr>
          <w:p>
            <w:pPr>
              <w:spacing w:after="0"/>
              <w:rPr>
                <w:sz w:val="13"/>
                <w:szCs w:val="13"/>
                <w:color w:val="auto"/>
              </w:rPr>
            </w:pPr>
          </w:p>
        </w:tc>
        <w:tc>
          <w:tcPr>
            <w:tcW w:w="600" w:type="dxa"/>
            <w:vAlign w:val="bottom"/>
          </w:tcPr>
          <w:p>
            <w:pPr>
              <w:jc w:val="right"/>
              <w:spacing w:after="0" w:line="157" w:lineRule="exact"/>
              <w:rPr>
                <w:sz w:val="20"/>
                <w:szCs w:val="20"/>
                <w:color w:val="auto"/>
              </w:rPr>
            </w:pPr>
            <w:r>
              <w:rPr>
                <w:rFonts w:ascii="Calibri" w:cs="Calibri" w:eastAsia="Calibri" w:hAnsi="Calibri"/>
                <w:sz w:val="13"/>
                <w:szCs w:val="13"/>
                <w:color w:val="51555C"/>
              </w:rPr>
              <w:t>—</w:t>
            </w:r>
          </w:p>
        </w:tc>
        <w:tc>
          <w:tcPr>
            <w:tcW w:w="220" w:type="dxa"/>
            <w:vAlign w:val="bottom"/>
          </w:tcPr>
          <w:p>
            <w:pPr>
              <w:spacing w:after="0"/>
              <w:rPr>
                <w:sz w:val="13"/>
                <w:szCs w:val="13"/>
                <w:color w:val="auto"/>
              </w:rPr>
            </w:pPr>
          </w:p>
        </w:tc>
        <w:tc>
          <w:tcPr>
            <w:tcW w:w="780" w:type="dxa"/>
            <w:vAlign w:val="bottom"/>
          </w:tcPr>
          <w:p>
            <w:pPr>
              <w:jc w:val="right"/>
              <w:spacing w:after="0" w:line="157" w:lineRule="exact"/>
              <w:rPr>
                <w:sz w:val="20"/>
                <w:szCs w:val="20"/>
                <w:color w:val="auto"/>
              </w:rPr>
            </w:pPr>
            <w:r>
              <w:rPr>
                <w:rFonts w:ascii="Calibri" w:cs="Calibri" w:eastAsia="Calibri" w:hAnsi="Calibri"/>
                <w:sz w:val="13"/>
                <w:szCs w:val="13"/>
                <w:color w:val="51555C"/>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38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3840" w:type="dxa"/>
            <w:vAlign w:val="bottom"/>
            <w:tcBorders>
              <w:bottom w:val="single" w:sz="8" w:color="EBFBFF"/>
            </w:tcBorders>
            <w:shd w:val="clear" w:color="auto" w:fill="EBFBFF"/>
          </w:tcPr>
          <w:p>
            <w:pPr>
              <w:ind w:left="100"/>
              <w:spacing w:after="0" w:line="157" w:lineRule="exact"/>
              <w:rPr>
                <w:sz w:val="20"/>
                <w:szCs w:val="20"/>
                <w:color w:val="auto"/>
              </w:rPr>
            </w:pPr>
            <w:r>
              <w:rPr>
                <w:rFonts w:ascii="Calibri" w:cs="Calibri" w:eastAsia="Calibri" w:hAnsi="Calibri"/>
                <w:sz w:val="13"/>
                <w:szCs w:val="13"/>
                <w:color w:val="51555C"/>
              </w:rPr>
              <w:t>Shares withheld to satsfy tax withholdings</w:t>
            </w:r>
          </w:p>
        </w:tc>
        <w:tc>
          <w:tcPr>
            <w:tcW w:w="90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w:t>
            </w:r>
          </w:p>
        </w:tc>
        <w:tc>
          <w:tcPr>
            <w:tcW w:w="160" w:type="dxa"/>
            <w:vAlign w:val="bottom"/>
            <w:tcBorders>
              <w:bottom w:val="single" w:sz="8" w:color="EBFBFF"/>
            </w:tcBorders>
            <w:shd w:val="clear" w:color="auto" w:fill="EBFBFF"/>
          </w:tcPr>
          <w:p>
            <w:pPr>
              <w:spacing w:after="0"/>
              <w:rPr>
                <w:sz w:val="14"/>
                <w:szCs w:val="14"/>
                <w:color w:val="auto"/>
              </w:rPr>
            </w:pPr>
          </w:p>
        </w:tc>
        <w:tc>
          <w:tcPr>
            <w:tcW w:w="50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w:t>
            </w:r>
          </w:p>
        </w:tc>
        <w:tc>
          <w:tcPr>
            <w:tcW w:w="98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(22,273)</w:t>
            </w:r>
          </w:p>
        </w:tc>
        <w:tc>
          <w:tcPr>
            <w:tcW w:w="100" w:type="dxa"/>
            <w:vAlign w:val="bottom"/>
            <w:tcBorders>
              <w:bottom w:val="single" w:sz="8" w:color="EBFBFF"/>
            </w:tcBorders>
            <w:shd w:val="clear" w:color="auto" w:fill="EBFBFF"/>
          </w:tcPr>
          <w:p>
            <w:pPr>
              <w:spacing w:after="0"/>
              <w:rPr>
                <w:sz w:val="14"/>
                <w:szCs w:val="14"/>
                <w:color w:val="auto"/>
              </w:rPr>
            </w:pPr>
          </w:p>
        </w:tc>
        <w:tc>
          <w:tcPr>
            <w:tcW w:w="72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(1,760)</w:t>
            </w:r>
          </w:p>
        </w:tc>
        <w:tc>
          <w:tcPr>
            <w:tcW w:w="260" w:type="dxa"/>
            <w:vAlign w:val="bottom"/>
            <w:tcBorders>
              <w:bottom w:val="single" w:sz="8" w:color="EBFBFF"/>
            </w:tcBorders>
            <w:shd w:val="clear" w:color="auto" w:fill="EBFBFF"/>
          </w:tcPr>
          <w:p>
            <w:pPr>
              <w:spacing w:after="0"/>
              <w:rPr>
                <w:sz w:val="14"/>
                <w:szCs w:val="14"/>
                <w:color w:val="auto"/>
              </w:rPr>
            </w:pPr>
          </w:p>
        </w:tc>
        <w:tc>
          <w:tcPr>
            <w:tcW w:w="66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w:t>
            </w:r>
          </w:p>
        </w:tc>
        <w:tc>
          <w:tcPr>
            <w:tcW w:w="220" w:type="dxa"/>
            <w:vAlign w:val="bottom"/>
            <w:tcBorders>
              <w:bottom w:val="single" w:sz="8" w:color="EBFBFF"/>
            </w:tcBorders>
            <w:shd w:val="clear" w:color="auto" w:fill="EBFBFF"/>
          </w:tcPr>
          <w:p>
            <w:pPr>
              <w:spacing w:after="0"/>
              <w:rPr>
                <w:sz w:val="14"/>
                <w:szCs w:val="14"/>
                <w:color w:val="auto"/>
              </w:rPr>
            </w:pPr>
          </w:p>
        </w:tc>
        <w:tc>
          <w:tcPr>
            <w:tcW w:w="88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w:t>
            </w:r>
          </w:p>
        </w:tc>
        <w:tc>
          <w:tcPr>
            <w:tcW w:w="200" w:type="dxa"/>
            <w:vAlign w:val="bottom"/>
            <w:tcBorders>
              <w:bottom w:val="single" w:sz="8" w:color="EBFBFF"/>
            </w:tcBorders>
            <w:shd w:val="clear" w:color="auto" w:fill="EBFBFF"/>
          </w:tcPr>
          <w:p>
            <w:pPr>
              <w:spacing w:after="0"/>
              <w:rPr>
                <w:sz w:val="14"/>
                <w:szCs w:val="14"/>
                <w:color w:val="auto"/>
              </w:rPr>
            </w:pPr>
          </w:p>
        </w:tc>
        <w:tc>
          <w:tcPr>
            <w:tcW w:w="60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w:t>
            </w:r>
          </w:p>
        </w:tc>
        <w:tc>
          <w:tcPr>
            <w:tcW w:w="220" w:type="dxa"/>
            <w:vAlign w:val="bottom"/>
            <w:tcBorders>
              <w:bottom w:val="single" w:sz="8" w:color="EBFBFF"/>
            </w:tcBorders>
            <w:shd w:val="clear" w:color="auto" w:fill="EBFBFF"/>
          </w:tcPr>
          <w:p>
            <w:pPr>
              <w:spacing w:after="0"/>
              <w:rPr>
                <w:sz w:val="14"/>
                <w:szCs w:val="14"/>
                <w:color w:val="auto"/>
              </w:rPr>
            </w:pPr>
          </w:p>
        </w:tc>
        <w:tc>
          <w:tcPr>
            <w:tcW w:w="78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(1,760)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840" w:type="dxa"/>
            <w:vAlign w:val="bottom"/>
          </w:tcPr>
          <w:p>
            <w:pPr>
              <w:ind w:left="100"/>
              <w:spacing w:after="0" w:line="157" w:lineRule="exact"/>
              <w:rPr>
                <w:sz w:val="20"/>
                <w:szCs w:val="20"/>
                <w:color w:val="auto"/>
              </w:rPr>
            </w:pPr>
            <w:r>
              <w:rPr>
                <w:rFonts w:ascii="Calibri" w:cs="Calibri" w:eastAsia="Calibri" w:hAnsi="Calibri"/>
                <w:sz w:val="13"/>
                <w:szCs w:val="13"/>
                <w:color w:val="51555C"/>
              </w:rPr>
              <w:t>Stock-based compensaton</w:t>
            </w:r>
          </w:p>
        </w:tc>
        <w:tc>
          <w:tcPr>
            <w:tcW w:w="900" w:type="dxa"/>
            <w:vAlign w:val="bottom"/>
          </w:tcPr>
          <w:p>
            <w:pPr>
              <w:jc w:val="right"/>
              <w:spacing w:after="0" w:line="157" w:lineRule="exact"/>
              <w:rPr>
                <w:sz w:val="20"/>
                <w:szCs w:val="20"/>
                <w:color w:val="auto"/>
              </w:rPr>
            </w:pPr>
            <w:r>
              <w:rPr>
                <w:rFonts w:ascii="Calibri" w:cs="Calibri" w:eastAsia="Calibri" w:hAnsi="Calibri"/>
                <w:sz w:val="13"/>
                <w:szCs w:val="13"/>
                <w:color w:val="51555C"/>
              </w:rPr>
              <w:t>—</w:t>
            </w:r>
          </w:p>
        </w:tc>
        <w:tc>
          <w:tcPr>
            <w:tcW w:w="160" w:type="dxa"/>
            <w:vAlign w:val="bottom"/>
          </w:tcPr>
          <w:p>
            <w:pPr>
              <w:spacing w:after="0"/>
              <w:rPr>
                <w:sz w:val="13"/>
                <w:szCs w:val="13"/>
                <w:color w:val="auto"/>
              </w:rPr>
            </w:pPr>
          </w:p>
        </w:tc>
        <w:tc>
          <w:tcPr>
            <w:tcW w:w="500" w:type="dxa"/>
            <w:vAlign w:val="bottom"/>
          </w:tcPr>
          <w:p>
            <w:pPr>
              <w:jc w:val="right"/>
              <w:spacing w:after="0" w:line="157" w:lineRule="exact"/>
              <w:rPr>
                <w:sz w:val="20"/>
                <w:szCs w:val="20"/>
                <w:color w:val="auto"/>
              </w:rPr>
            </w:pPr>
            <w:r>
              <w:rPr>
                <w:rFonts w:ascii="Calibri" w:cs="Calibri" w:eastAsia="Calibri" w:hAnsi="Calibri"/>
                <w:sz w:val="13"/>
                <w:szCs w:val="13"/>
                <w:color w:val="51555C"/>
              </w:rPr>
              <w:t>—</w:t>
            </w:r>
          </w:p>
        </w:tc>
        <w:tc>
          <w:tcPr>
            <w:tcW w:w="980" w:type="dxa"/>
            <w:vAlign w:val="bottom"/>
          </w:tcPr>
          <w:p>
            <w:pPr>
              <w:jc w:val="right"/>
              <w:spacing w:after="0" w:line="157" w:lineRule="exact"/>
              <w:rPr>
                <w:sz w:val="20"/>
                <w:szCs w:val="20"/>
                <w:color w:val="auto"/>
              </w:rPr>
            </w:pPr>
            <w:r>
              <w:rPr>
                <w:rFonts w:ascii="Calibri" w:cs="Calibri" w:eastAsia="Calibri" w:hAnsi="Calibri"/>
                <w:sz w:val="13"/>
                <w:szCs w:val="13"/>
                <w:color w:val="51555C"/>
              </w:rPr>
              <w:t>—</w:t>
            </w:r>
          </w:p>
        </w:tc>
        <w:tc>
          <w:tcPr>
            <w:tcW w:w="100" w:type="dxa"/>
            <w:vAlign w:val="bottom"/>
          </w:tcPr>
          <w:p>
            <w:pPr>
              <w:spacing w:after="0"/>
              <w:rPr>
                <w:sz w:val="13"/>
                <w:szCs w:val="13"/>
                <w:color w:val="auto"/>
              </w:rPr>
            </w:pPr>
          </w:p>
        </w:tc>
        <w:tc>
          <w:tcPr>
            <w:tcW w:w="720" w:type="dxa"/>
            <w:vAlign w:val="bottom"/>
          </w:tcPr>
          <w:p>
            <w:pPr>
              <w:jc w:val="right"/>
              <w:spacing w:after="0" w:line="157" w:lineRule="exact"/>
              <w:rPr>
                <w:sz w:val="20"/>
                <w:szCs w:val="20"/>
                <w:color w:val="auto"/>
              </w:rPr>
            </w:pPr>
            <w:r>
              <w:rPr>
                <w:rFonts w:ascii="Calibri" w:cs="Calibri" w:eastAsia="Calibri" w:hAnsi="Calibri"/>
                <w:sz w:val="13"/>
                <w:szCs w:val="13"/>
                <w:color w:val="51555C"/>
              </w:rPr>
              <w:t>—</w:t>
            </w:r>
          </w:p>
        </w:tc>
        <w:tc>
          <w:tcPr>
            <w:tcW w:w="260" w:type="dxa"/>
            <w:vAlign w:val="bottom"/>
          </w:tcPr>
          <w:p>
            <w:pPr>
              <w:spacing w:after="0"/>
              <w:rPr>
                <w:sz w:val="13"/>
                <w:szCs w:val="13"/>
                <w:color w:val="auto"/>
              </w:rPr>
            </w:pPr>
          </w:p>
        </w:tc>
        <w:tc>
          <w:tcPr>
            <w:tcW w:w="660" w:type="dxa"/>
            <w:vAlign w:val="bottom"/>
          </w:tcPr>
          <w:p>
            <w:pPr>
              <w:jc w:val="right"/>
              <w:spacing w:after="0" w:line="157" w:lineRule="exact"/>
              <w:rPr>
                <w:sz w:val="20"/>
                <w:szCs w:val="20"/>
                <w:color w:val="auto"/>
              </w:rPr>
            </w:pPr>
            <w:r>
              <w:rPr>
                <w:rFonts w:ascii="Calibri" w:cs="Calibri" w:eastAsia="Calibri" w:hAnsi="Calibri"/>
                <w:sz w:val="13"/>
                <w:szCs w:val="13"/>
                <w:color w:val="51555C"/>
              </w:rPr>
              <w:t>24,286</w:t>
            </w:r>
          </w:p>
        </w:tc>
        <w:tc>
          <w:tcPr>
            <w:tcW w:w="220" w:type="dxa"/>
            <w:vAlign w:val="bottom"/>
          </w:tcPr>
          <w:p>
            <w:pPr>
              <w:spacing w:after="0"/>
              <w:rPr>
                <w:sz w:val="13"/>
                <w:szCs w:val="13"/>
                <w:color w:val="auto"/>
              </w:rPr>
            </w:pPr>
          </w:p>
        </w:tc>
        <w:tc>
          <w:tcPr>
            <w:tcW w:w="880" w:type="dxa"/>
            <w:vAlign w:val="bottom"/>
          </w:tcPr>
          <w:p>
            <w:pPr>
              <w:jc w:val="right"/>
              <w:spacing w:after="0" w:line="157" w:lineRule="exact"/>
              <w:rPr>
                <w:sz w:val="20"/>
                <w:szCs w:val="20"/>
                <w:color w:val="auto"/>
              </w:rPr>
            </w:pPr>
            <w:r>
              <w:rPr>
                <w:rFonts w:ascii="Calibri" w:cs="Calibri" w:eastAsia="Calibri" w:hAnsi="Calibri"/>
                <w:sz w:val="13"/>
                <w:szCs w:val="13"/>
                <w:color w:val="51555C"/>
              </w:rPr>
              <w:t>—</w:t>
            </w:r>
          </w:p>
        </w:tc>
        <w:tc>
          <w:tcPr>
            <w:tcW w:w="200" w:type="dxa"/>
            <w:vAlign w:val="bottom"/>
          </w:tcPr>
          <w:p>
            <w:pPr>
              <w:spacing w:after="0"/>
              <w:rPr>
                <w:sz w:val="13"/>
                <w:szCs w:val="13"/>
                <w:color w:val="auto"/>
              </w:rPr>
            </w:pPr>
          </w:p>
        </w:tc>
        <w:tc>
          <w:tcPr>
            <w:tcW w:w="600" w:type="dxa"/>
            <w:vAlign w:val="bottom"/>
          </w:tcPr>
          <w:p>
            <w:pPr>
              <w:jc w:val="right"/>
              <w:spacing w:after="0" w:line="157" w:lineRule="exact"/>
              <w:rPr>
                <w:sz w:val="20"/>
                <w:szCs w:val="20"/>
                <w:color w:val="auto"/>
              </w:rPr>
            </w:pPr>
            <w:r>
              <w:rPr>
                <w:rFonts w:ascii="Calibri" w:cs="Calibri" w:eastAsia="Calibri" w:hAnsi="Calibri"/>
                <w:sz w:val="13"/>
                <w:szCs w:val="13"/>
                <w:color w:val="51555C"/>
              </w:rPr>
              <w:t>—</w:t>
            </w:r>
          </w:p>
        </w:tc>
        <w:tc>
          <w:tcPr>
            <w:tcW w:w="220" w:type="dxa"/>
            <w:vAlign w:val="bottom"/>
          </w:tcPr>
          <w:p>
            <w:pPr>
              <w:spacing w:after="0"/>
              <w:rPr>
                <w:sz w:val="13"/>
                <w:szCs w:val="13"/>
                <w:color w:val="auto"/>
              </w:rPr>
            </w:pPr>
          </w:p>
        </w:tc>
        <w:tc>
          <w:tcPr>
            <w:tcW w:w="780" w:type="dxa"/>
            <w:vAlign w:val="bottom"/>
          </w:tcPr>
          <w:p>
            <w:pPr>
              <w:jc w:val="right"/>
              <w:spacing w:after="0" w:line="157" w:lineRule="exact"/>
              <w:rPr>
                <w:sz w:val="20"/>
                <w:szCs w:val="20"/>
                <w:color w:val="auto"/>
              </w:rPr>
            </w:pPr>
            <w:r>
              <w:rPr>
                <w:rFonts w:ascii="Calibri" w:cs="Calibri" w:eastAsia="Calibri" w:hAnsi="Calibri"/>
                <w:sz w:val="13"/>
                <w:szCs w:val="13"/>
                <w:color w:val="51555C"/>
              </w:rPr>
              <w:t>24,286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38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3840" w:type="dxa"/>
            <w:vAlign w:val="bottom"/>
            <w:tcBorders>
              <w:bottom w:val="single" w:sz="8" w:color="EBFBFF"/>
            </w:tcBorders>
            <w:shd w:val="clear" w:color="auto" w:fill="EBFBFF"/>
          </w:tcPr>
          <w:p>
            <w:pPr>
              <w:ind w:left="100"/>
              <w:spacing w:after="0" w:line="157" w:lineRule="exact"/>
              <w:rPr>
                <w:sz w:val="20"/>
                <w:szCs w:val="20"/>
                <w:color w:val="auto"/>
              </w:rPr>
            </w:pPr>
            <w:r>
              <w:rPr>
                <w:rFonts w:ascii="Calibri" w:cs="Calibri" w:eastAsia="Calibri" w:hAnsi="Calibri"/>
                <w:sz w:val="13"/>
                <w:szCs w:val="13"/>
                <w:color w:val="51555C"/>
              </w:rPr>
              <w:t>Restricted stock grants</w:t>
            </w:r>
          </w:p>
        </w:tc>
        <w:tc>
          <w:tcPr>
            <w:tcW w:w="90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21,164</w:t>
            </w:r>
          </w:p>
        </w:tc>
        <w:tc>
          <w:tcPr>
            <w:tcW w:w="160" w:type="dxa"/>
            <w:vAlign w:val="bottom"/>
            <w:tcBorders>
              <w:bottom w:val="single" w:sz="8" w:color="EBFBFF"/>
            </w:tcBorders>
            <w:shd w:val="clear" w:color="auto" w:fill="EBFBFF"/>
          </w:tcPr>
          <w:p>
            <w:pPr>
              <w:spacing w:after="0"/>
              <w:rPr>
                <w:sz w:val="14"/>
                <w:szCs w:val="14"/>
                <w:color w:val="auto"/>
              </w:rPr>
            </w:pPr>
          </w:p>
        </w:tc>
        <w:tc>
          <w:tcPr>
            <w:tcW w:w="50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w:t>
            </w:r>
          </w:p>
        </w:tc>
        <w:tc>
          <w:tcPr>
            <w:tcW w:w="98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w:t>
            </w:r>
          </w:p>
        </w:tc>
        <w:tc>
          <w:tcPr>
            <w:tcW w:w="100" w:type="dxa"/>
            <w:vAlign w:val="bottom"/>
            <w:tcBorders>
              <w:bottom w:val="single" w:sz="8" w:color="EBFBFF"/>
            </w:tcBorders>
            <w:shd w:val="clear" w:color="auto" w:fill="EBFBFF"/>
          </w:tcPr>
          <w:p>
            <w:pPr>
              <w:spacing w:after="0"/>
              <w:rPr>
                <w:sz w:val="14"/>
                <w:szCs w:val="14"/>
                <w:color w:val="auto"/>
              </w:rPr>
            </w:pPr>
          </w:p>
        </w:tc>
        <w:tc>
          <w:tcPr>
            <w:tcW w:w="72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w:t>
            </w:r>
          </w:p>
        </w:tc>
        <w:tc>
          <w:tcPr>
            <w:tcW w:w="260" w:type="dxa"/>
            <w:vAlign w:val="bottom"/>
            <w:tcBorders>
              <w:bottom w:val="single" w:sz="8" w:color="EBFBFF"/>
            </w:tcBorders>
            <w:shd w:val="clear" w:color="auto" w:fill="EBFBFF"/>
          </w:tcPr>
          <w:p>
            <w:pPr>
              <w:spacing w:after="0"/>
              <w:rPr>
                <w:sz w:val="14"/>
                <w:szCs w:val="14"/>
                <w:color w:val="auto"/>
              </w:rPr>
            </w:pPr>
          </w:p>
        </w:tc>
        <w:tc>
          <w:tcPr>
            <w:tcW w:w="66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w:t>
            </w:r>
          </w:p>
        </w:tc>
        <w:tc>
          <w:tcPr>
            <w:tcW w:w="220" w:type="dxa"/>
            <w:vAlign w:val="bottom"/>
            <w:tcBorders>
              <w:bottom w:val="single" w:sz="8" w:color="EBFBFF"/>
            </w:tcBorders>
            <w:shd w:val="clear" w:color="auto" w:fill="EBFBFF"/>
          </w:tcPr>
          <w:p>
            <w:pPr>
              <w:spacing w:after="0"/>
              <w:rPr>
                <w:sz w:val="14"/>
                <w:szCs w:val="14"/>
                <w:color w:val="auto"/>
              </w:rPr>
            </w:pPr>
          </w:p>
        </w:tc>
        <w:tc>
          <w:tcPr>
            <w:tcW w:w="88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w:t>
            </w:r>
          </w:p>
        </w:tc>
        <w:tc>
          <w:tcPr>
            <w:tcW w:w="200" w:type="dxa"/>
            <w:vAlign w:val="bottom"/>
            <w:tcBorders>
              <w:bottom w:val="single" w:sz="8" w:color="EBFBFF"/>
            </w:tcBorders>
            <w:shd w:val="clear" w:color="auto" w:fill="EBFBFF"/>
          </w:tcPr>
          <w:p>
            <w:pPr>
              <w:spacing w:after="0"/>
              <w:rPr>
                <w:sz w:val="14"/>
                <w:szCs w:val="14"/>
                <w:color w:val="auto"/>
              </w:rPr>
            </w:pPr>
          </w:p>
        </w:tc>
        <w:tc>
          <w:tcPr>
            <w:tcW w:w="60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w:t>
            </w:r>
          </w:p>
        </w:tc>
        <w:tc>
          <w:tcPr>
            <w:tcW w:w="220" w:type="dxa"/>
            <w:vAlign w:val="bottom"/>
            <w:tcBorders>
              <w:bottom w:val="single" w:sz="8" w:color="EBFBFF"/>
            </w:tcBorders>
            <w:shd w:val="clear" w:color="auto" w:fill="EBFBFF"/>
          </w:tcPr>
          <w:p>
            <w:pPr>
              <w:spacing w:after="0"/>
              <w:rPr>
                <w:sz w:val="14"/>
                <w:szCs w:val="14"/>
                <w:color w:val="auto"/>
              </w:rPr>
            </w:pPr>
          </w:p>
        </w:tc>
        <w:tc>
          <w:tcPr>
            <w:tcW w:w="78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840" w:type="dxa"/>
            <w:vAlign w:val="bottom"/>
          </w:tcPr>
          <w:p>
            <w:pPr>
              <w:ind w:left="100"/>
              <w:spacing w:after="0" w:line="157" w:lineRule="exact"/>
              <w:rPr>
                <w:sz w:val="20"/>
                <w:szCs w:val="20"/>
                <w:color w:val="auto"/>
              </w:rPr>
            </w:pPr>
            <w:r>
              <w:rPr>
                <w:rFonts w:ascii="Calibri" w:cs="Calibri" w:eastAsia="Calibri" w:hAnsi="Calibri"/>
                <w:sz w:val="13"/>
                <w:szCs w:val="13"/>
                <w:color w:val="51555C"/>
              </w:rPr>
              <w:t>Restricted stock cancellatons</w:t>
            </w:r>
          </w:p>
        </w:tc>
        <w:tc>
          <w:tcPr>
            <w:tcW w:w="900" w:type="dxa"/>
            <w:vAlign w:val="bottom"/>
          </w:tcPr>
          <w:p>
            <w:pPr>
              <w:jc w:val="right"/>
              <w:spacing w:after="0" w:line="157" w:lineRule="exact"/>
              <w:rPr>
                <w:sz w:val="20"/>
                <w:szCs w:val="20"/>
                <w:color w:val="auto"/>
              </w:rPr>
            </w:pPr>
            <w:r>
              <w:rPr>
                <w:rFonts w:ascii="Calibri" w:cs="Calibri" w:eastAsia="Calibri" w:hAnsi="Calibri"/>
                <w:sz w:val="13"/>
                <w:szCs w:val="13"/>
                <w:color w:val="51555C"/>
              </w:rPr>
              <w:t>(9,902)</w:t>
            </w:r>
          </w:p>
        </w:tc>
        <w:tc>
          <w:tcPr>
            <w:tcW w:w="160" w:type="dxa"/>
            <w:vAlign w:val="bottom"/>
          </w:tcPr>
          <w:p>
            <w:pPr>
              <w:spacing w:after="0"/>
              <w:rPr>
                <w:sz w:val="13"/>
                <w:szCs w:val="13"/>
                <w:color w:val="auto"/>
              </w:rPr>
            </w:pPr>
          </w:p>
        </w:tc>
        <w:tc>
          <w:tcPr>
            <w:tcW w:w="500" w:type="dxa"/>
            <w:vAlign w:val="bottom"/>
          </w:tcPr>
          <w:p>
            <w:pPr>
              <w:jc w:val="right"/>
              <w:spacing w:after="0" w:line="157" w:lineRule="exact"/>
              <w:rPr>
                <w:sz w:val="20"/>
                <w:szCs w:val="20"/>
                <w:color w:val="auto"/>
              </w:rPr>
            </w:pPr>
            <w:r>
              <w:rPr>
                <w:rFonts w:ascii="Calibri" w:cs="Calibri" w:eastAsia="Calibri" w:hAnsi="Calibri"/>
                <w:sz w:val="13"/>
                <w:szCs w:val="13"/>
                <w:color w:val="51555C"/>
              </w:rPr>
              <w:t>—</w:t>
            </w:r>
          </w:p>
        </w:tc>
        <w:tc>
          <w:tcPr>
            <w:tcW w:w="980" w:type="dxa"/>
            <w:vAlign w:val="bottom"/>
          </w:tcPr>
          <w:p>
            <w:pPr>
              <w:jc w:val="right"/>
              <w:spacing w:after="0" w:line="157" w:lineRule="exact"/>
              <w:rPr>
                <w:sz w:val="20"/>
                <w:szCs w:val="20"/>
                <w:color w:val="auto"/>
              </w:rPr>
            </w:pPr>
            <w:r>
              <w:rPr>
                <w:rFonts w:ascii="Calibri" w:cs="Calibri" w:eastAsia="Calibri" w:hAnsi="Calibri"/>
                <w:sz w:val="13"/>
                <w:szCs w:val="13"/>
                <w:color w:val="51555C"/>
              </w:rPr>
              <w:t>—</w:t>
            </w:r>
          </w:p>
        </w:tc>
        <w:tc>
          <w:tcPr>
            <w:tcW w:w="100" w:type="dxa"/>
            <w:vAlign w:val="bottom"/>
          </w:tcPr>
          <w:p>
            <w:pPr>
              <w:spacing w:after="0"/>
              <w:rPr>
                <w:sz w:val="13"/>
                <w:szCs w:val="13"/>
                <w:color w:val="auto"/>
              </w:rPr>
            </w:pPr>
          </w:p>
        </w:tc>
        <w:tc>
          <w:tcPr>
            <w:tcW w:w="720" w:type="dxa"/>
            <w:vAlign w:val="bottom"/>
          </w:tcPr>
          <w:p>
            <w:pPr>
              <w:jc w:val="right"/>
              <w:spacing w:after="0" w:line="157" w:lineRule="exact"/>
              <w:rPr>
                <w:sz w:val="20"/>
                <w:szCs w:val="20"/>
                <w:color w:val="auto"/>
              </w:rPr>
            </w:pPr>
            <w:r>
              <w:rPr>
                <w:rFonts w:ascii="Calibri" w:cs="Calibri" w:eastAsia="Calibri" w:hAnsi="Calibri"/>
                <w:sz w:val="13"/>
                <w:szCs w:val="13"/>
                <w:color w:val="51555C"/>
              </w:rPr>
              <w:t>—</w:t>
            </w:r>
          </w:p>
        </w:tc>
        <w:tc>
          <w:tcPr>
            <w:tcW w:w="260" w:type="dxa"/>
            <w:vAlign w:val="bottom"/>
          </w:tcPr>
          <w:p>
            <w:pPr>
              <w:spacing w:after="0"/>
              <w:rPr>
                <w:sz w:val="13"/>
                <w:szCs w:val="13"/>
                <w:color w:val="auto"/>
              </w:rPr>
            </w:pPr>
          </w:p>
        </w:tc>
        <w:tc>
          <w:tcPr>
            <w:tcW w:w="660" w:type="dxa"/>
            <w:vAlign w:val="bottom"/>
          </w:tcPr>
          <w:p>
            <w:pPr>
              <w:jc w:val="right"/>
              <w:spacing w:after="0" w:line="157" w:lineRule="exact"/>
              <w:rPr>
                <w:sz w:val="20"/>
                <w:szCs w:val="20"/>
                <w:color w:val="auto"/>
              </w:rPr>
            </w:pPr>
            <w:r>
              <w:rPr>
                <w:rFonts w:ascii="Calibri" w:cs="Calibri" w:eastAsia="Calibri" w:hAnsi="Calibri"/>
                <w:sz w:val="13"/>
                <w:szCs w:val="13"/>
                <w:color w:val="51555C"/>
              </w:rPr>
              <w:t>—</w:t>
            </w:r>
          </w:p>
        </w:tc>
        <w:tc>
          <w:tcPr>
            <w:tcW w:w="220" w:type="dxa"/>
            <w:vAlign w:val="bottom"/>
          </w:tcPr>
          <w:p>
            <w:pPr>
              <w:spacing w:after="0"/>
              <w:rPr>
                <w:sz w:val="13"/>
                <w:szCs w:val="13"/>
                <w:color w:val="auto"/>
              </w:rPr>
            </w:pPr>
          </w:p>
        </w:tc>
        <w:tc>
          <w:tcPr>
            <w:tcW w:w="880" w:type="dxa"/>
            <w:vAlign w:val="bottom"/>
          </w:tcPr>
          <w:p>
            <w:pPr>
              <w:jc w:val="right"/>
              <w:spacing w:after="0" w:line="157" w:lineRule="exact"/>
              <w:rPr>
                <w:sz w:val="20"/>
                <w:szCs w:val="20"/>
                <w:color w:val="auto"/>
              </w:rPr>
            </w:pPr>
            <w:r>
              <w:rPr>
                <w:rFonts w:ascii="Calibri" w:cs="Calibri" w:eastAsia="Calibri" w:hAnsi="Calibri"/>
                <w:sz w:val="13"/>
                <w:szCs w:val="13"/>
                <w:color w:val="51555C"/>
              </w:rPr>
              <w:t>—</w:t>
            </w:r>
          </w:p>
        </w:tc>
        <w:tc>
          <w:tcPr>
            <w:tcW w:w="200" w:type="dxa"/>
            <w:vAlign w:val="bottom"/>
          </w:tcPr>
          <w:p>
            <w:pPr>
              <w:spacing w:after="0"/>
              <w:rPr>
                <w:sz w:val="13"/>
                <w:szCs w:val="13"/>
                <w:color w:val="auto"/>
              </w:rPr>
            </w:pPr>
          </w:p>
        </w:tc>
        <w:tc>
          <w:tcPr>
            <w:tcW w:w="600" w:type="dxa"/>
            <w:vAlign w:val="bottom"/>
          </w:tcPr>
          <w:p>
            <w:pPr>
              <w:jc w:val="right"/>
              <w:spacing w:after="0" w:line="157" w:lineRule="exact"/>
              <w:rPr>
                <w:sz w:val="20"/>
                <w:szCs w:val="20"/>
                <w:color w:val="auto"/>
              </w:rPr>
            </w:pPr>
            <w:r>
              <w:rPr>
                <w:rFonts w:ascii="Calibri" w:cs="Calibri" w:eastAsia="Calibri" w:hAnsi="Calibri"/>
                <w:sz w:val="13"/>
                <w:szCs w:val="13"/>
                <w:color w:val="51555C"/>
              </w:rPr>
              <w:t>—</w:t>
            </w:r>
          </w:p>
        </w:tc>
        <w:tc>
          <w:tcPr>
            <w:tcW w:w="220" w:type="dxa"/>
            <w:vAlign w:val="bottom"/>
          </w:tcPr>
          <w:p>
            <w:pPr>
              <w:spacing w:after="0"/>
              <w:rPr>
                <w:sz w:val="13"/>
                <w:szCs w:val="13"/>
                <w:color w:val="auto"/>
              </w:rPr>
            </w:pPr>
          </w:p>
        </w:tc>
        <w:tc>
          <w:tcPr>
            <w:tcW w:w="780" w:type="dxa"/>
            <w:vAlign w:val="bottom"/>
          </w:tcPr>
          <w:p>
            <w:pPr>
              <w:jc w:val="right"/>
              <w:spacing w:after="0" w:line="157" w:lineRule="exact"/>
              <w:rPr>
                <w:sz w:val="20"/>
                <w:szCs w:val="20"/>
                <w:color w:val="auto"/>
              </w:rPr>
            </w:pPr>
            <w:r>
              <w:rPr>
                <w:rFonts w:ascii="Calibri" w:cs="Calibri" w:eastAsia="Calibri" w:hAnsi="Calibri"/>
                <w:sz w:val="13"/>
                <w:szCs w:val="13"/>
                <w:color w:val="51555C"/>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38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3840" w:type="dxa"/>
            <w:vAlign w:val="bottom"/>
            <w:tcBorders>
              <w:bottom w:val="single" w:sz="8" w:color="EBFBFF"/>
            </w:tcBorders>
            <w:shd w:val="clear" w:color="auto" w:fill="EBFBFF"/>
          </w:tcPr>
          <w:p>
            <w:pPr>
              <w:ind w:left="100"/>
              <w:spacing w:after="0" w:line="157" w:lineRule="exact"/>
              <w:rPr>
                <w:sz w:val="20"/>
                <w:szCs w:val="20"/>
                <w:color w:val="auto"/>
              </w:rPr>
            </w:pPr>
            <w:r>
              <w:rPr>
                <w:rFonts w:ascii="Calibri" w:cs="Calibri" w:eastAsia="Calibri" w:hAnsi="Calibri"/>
                <w:sz w:val="13"/>
                <w:szCs w:val="13"/>
                <w:color w:val="51555C"/>
              </w:rPr>
              <w:t>Other comprehensive loss</w:t>
            </w:r>
          </w:p>
        </w:tc>
        <w:tc>
          <w:tcPr>
            <w:tcW w:w="90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w:t>
            </w:r>
          </w:p>
        </w:tc>
        <w:tc>
          <w:tcPr>
            <w:tcW w:w="160" w:type="dxa"/>
            <w:vAlign w:val="bottom"/>
            <w:tcBorders>
              <w:bottom w:val="single" w:sz="8" w:color="EBFBFF"/>
            </w:tcBorders>
            <w:shd w:val="clear" w:color="auto" w:fill="EBFBFF"/>
          </w:tcPr>
          <w:p>
            <w:pPr>
              <w:spacing w:after="0"/>
              <w:rPr>
                <w:sz w:val="16"/>
                <w:szCs w:val="16"/>
                <w:color w:val="auto"/>
              </w:rPr>
            </w:pPr>
          </w:p>
        </w:tc>
        <w:tc>
          <w:tcPr>
            <w:tcW w:w="50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w:t>
            </w:r>
          </w:p>
        </w:tc>
        <w:tc>
          <w:tcPr>
            <w:tcW w:w="98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w:t>
            </w:r>
          </w:p>
        </w:tc>
        <w:tc>
          <w:tcPr>
            <w:tcW w:w="100" w:type="dxa"/>
            <w:vAlign w:val="bottom"/>
            <w:tcBorders>
              <w:bottom w:val="single" w:sz="8" w:color="EBFBFF"/>
            </w:tcBorders>
            <w:shd w:val="clear" w:color="auto" w:fill="EBFBFF"/>
          </w:tcPr>
          <w:p>
            <w:pPr>
              <w:spacing w:after="0"/>
              <w:rPr>
                <w:sz w:val="16"/>
                <w:szCs w:val="16"/>
                <w:color w:val="auto"/>
              </w:rPr>
            </w:pPr>
          </w:p>
        </w:tc>
        <w:tc>
          <w:tcPr>
            <w:tcW w:w="72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w:t>
            </w:r>
          </w:p>
        </w:tc>
        <w:tc>
          <w:tcPr>
            <w:tcW w:w="260" w:type="dxa"/>
            <w:vAlign w:val="bottom"/>
            <w:tcBorders>
              <w:bottom w:val="single" w:sz="8" w:color="EBFBFF"/>
            </w:tcBorders>
            <w:shd w:val="clear" w:color="auto" w:fill="EBFBFF"/>
          </w:tcPr>
          <w:p>
            <w:pPr>
              <w:spacing w:after="0"/>
              <w:rPr>
                <w:sz w:val="16"/>
                <w:szCs w:val="16"/>
                <w:color w:val="auto"/>
              </w:rPr>
            </w:pPr>
          </w:p>
        </w:tc>
        <w:tc>
          <w:tcPr>
            <w:tcW w:w="66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w:t>
            </w:r>
          </w:p>
        </w:tc>
        <w:tc>
          <w:tcPr>
            <w:tcW w:w="220" w:type="dxa"/>
            <w:vAlign w:val="bottom"/>
            <w:tcBorders>
              <w:bottom w:val="single" w:sz="8" w:color="EBFBFF"/>
            </w:tcBorders>
            <w:shd w:val="clear" w:color="auto" w:fill="EBFBFF"/>
          </w:tcPr>
          <w:p>
            <w:pPr>
              <w:spacing w:after="0"/>
              <w:rPr>
                <w:sz w:val="16"/>
                <w:szCs w:val="16"/>
                <w:color w:val="auto"/>
              </w:rPr>
            </w:pPr>
          </w:p>
        </w:tc>
        <w:tc>
          <w:tcPr>
            <w:tcW w:w="88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(1,047)</w:t>
            </w:r>
          </w:p>
        </w:tc>
        <w:tc>
          <w:tcPr>
            <w:tcW w:w="200" w:type="dxa"/>
            <w:vAlign w:val="bottom"/>
            <w:tcBorders>
              <w:bottom w:val="single" w:sz="8" w:color="EBFBFF"/>
            </w:tcBorders>
            <w:shd w:val="clear" w:color="auto" w:fill="EBFBFF"/>
          </w:tcPr>
          <w:p>
            <w:pPr>
              <w:spacing w:after="0"/>
              <w:rPr>
                <w:sz w:val="16"/>
                <w:szCs w:val="16"/>
                <w:color w:val="auto"/>
              </w:rPr>
            </w:pPr>
          </w:p>
        </w:tc>
        <w:tc>
          <w:tcPr>
            <w:tcW w:w="60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w:t>
            </w:r>
          </w:p>
        </w:tc>
        <w:tc>
          <w:tcPr>
            <w:tcW w:w="220" w:type="dxa"/>
            <w:vAlign w:val="bottom"/>
            <w:tcBorders>
              <w:bottom w:val="single" w:sz="8" w:color="EBFBFF"/>
            </w:tcBorders>
            <w:shd w:val="clear" w:color="auto" w:fill="EBFBFF"/>
          </w:tcPr>
          <w:p>
            <w:pPr>
              <w:spacing w:after="0"/>
              <w:rPr>
                <w:sz w:val="16"/>
                <w:szCs w:val="16"/>
                <w:color w:val="auto"/>
              </w:rPr>
            </w:pPr>
          </w:p>
        </w:tc>
        <w:tc>
          <w:tcPr>
            <w:tcW w:w="78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(1,047)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840" w:type="dxa"/>
            <w:vAlign w:val="bottom"/>
          </w:tcPr>
          <w:p>
            <w:pPr>
              <w:ind w:left="20"/>
              <w:spacing w:after="0" w:line="137" w:lineRule="exact"/>
              <w:rPr>
                <w:sz w:val="20"/>
                <w:szCs w:val="20"/>
                <w:color w:val="auto"/>
              </w:rPr>
            </w:pPr>
            <w:r>
              <w:rPr>
                <w:rFonts w:ascii="Calibri" w:cs="Calibri" w:eastAsia="Calibri" w:hAnsi="Calibri"/>
                <w:sz w:val="13"/>
                <w:szCs w:val="13"/>
                <w:b w:val="1"/>
                <w:bCs w:val="1"/>
                <w:color w:val="51555C"/>
              </w:rPr>
              <w:t>Balance at June 30, 2024</w:t>
            </w:r>
          </w:p>
        </w:tc>
        <w:tc>
          <w:tcPr>
            <w:tcW w:w="900" w:type="dxa"/>
            <w:vAlign w:val="bottom"/>
            <w:tcBorders>
              <w:top w:val="single" w:sz="8" w:color="51555C"/>
            </w:tcBorders>
          </w:tcPr>
          <w:p>
            <w:pPr>
              <w:jc w:val="right"/>
              <w:spacing w:after="0" w:line="148" w:lineRule="exact"/>
              <w:rPr>
                <w:sz w:val="20"/>
                <w:szCs w:val="20"/>
                <w:color w:val="auto"/>
              </w:rPr>
            </w:pPr>
            <w:r>
              <w:rPr>
                <w:rFonts w:ascii="Calibri" w:cs="Calibri" w:eastAsia="Calibri" w:hAnsi="Calibri"/>
                <w:sz w:val="13"/>
                <w:szCs w:val="13"/>
                <w:color w:val="51555C"/>
              </w:rPr>
              <w:t>70,883,488</w:t>
            </w:r>
          </w:p>
        </w:tc>
        <w:tc>
          <w:tcPr>
            <w:tcW w:w="160" w:type="dxa"/>
            <w:vAlign w:val="bottom"/>
            <w:tcBorders>
              <w:top w:val="single" w:sz="8" w:color="51555C"/>
            </w:tcBorders>
          </w:tcPr>
          <w:p>
            <w:pPr>
              <w:jc w:val="right"/>
              <w:ind w:right="16"/>
              <w:spacing w:after="0" w:line="148" w:lineRule="exact"/>
              <w:rPr>
                <w:sz w:val="20"/>
                <w:szCs w:val="20"/>
                <w:color w:val="auto"/>
              </w:rPr>
            </w:pPr>
            <w:r>
              <w:rPr>
                <w:rFonts w:ascii="Calibri" w:cs="Calibri" w:eastAsia="Calibri" w:hAnsi="Calibri"/>
                <w:sz w:val="13"/>
                <w:szCs w:val="13"/>
                <w:color w:val="51555C"/>
                <w:w w:val="90"/>
              </w:rPr>
              <w:t>$</w:t>
            </w:r>
          </w:p>
        </w:tc>
        <w:tc>
          <w:tcPr>
            <w:tcW w:w="500" w:type="dxa"/>
            <w:vAlign w:val="bottom"/>
            <w:tcBorders>
              <w:top w:val="single" w:sz="8" w:color="51555C"/>
            </w:tcBorders>
          </w:tcPr>
          <w:p>
            <w:pPr>
              <w:jc w:val="right"/>
              <w:spacing w:after="0" w:line="148" w:lineRule="exact"/>
              <w:rPr>
                <w:sz w:val="20"/>
                <w:szCs w:val="20"/>
                <w:color w:val="auto"/>
              </w:rPr>
            </w:pPr>
            <w:r>
              <w:rPr>
                <w:rFonts w:ascii="Calibri" w:cs="Calibri" w:eastAsia="Calibri" w:hAnsi="Calibri"/>
                <w:sz w:val="13"/>
                <w:szCs w:val="13"/>
                <w:color w:val="51555C"/>
              </w:rPr>
              <w:t>71</w:t>
            </w:r>
          </w:p>
        </w:tc>
        <w:tc>
          <w:tcPr>
            <w:tcW w:w="980" w:type="dxa"/>
            <w:vAlign w:val="bottom"/>
            <w:tcBorders>
              <w:top w:val="single" w:sz="8" w:color="51555C"/>
            </w:tcBorders>
          </w:tcPr>
          <w:p>
            <w:pPr>
              <w:jc w:val="right"/>
              <w:spacing w:after="0" w:line="148" w:lineRule="exact"/>
              <w:rPr>
                <w:sz w:val="20"/>
                <w:szCs w:val="20"/>
                <w:color w:val="auto"/>
              </w:rPr>
            </w:pPr>
            <w:r>
              <w:rPr>
                <w:rFonts w:ascii="Calibri" w:cs="Calibri" w:eastAsia="Calibri" w:hAnsi="Calibri"/>
                <w:sz w:val="13"/>
                <w:szCs w:val="13"/>
                <w:color w:val="51555C"/>
              </w:rPr>
              <w:t>(19,259,537)</w:t>
            </w:r>
          </w:p>
        </w:tc>
        <w:tc>
          <w:tcPr>
            <w:tcW w:w="100" w:type="dxa"/>
            <w:vAlign w:val="bottom"/>
            <w:tcBorders>
              <w:top w:val="single" w:sz="8" w:color="51555C"/>
            </w:tcBorders>
          </w:tcPr>
          <w:p>
            <w:pPr>
              <w:jc w:val="right"/>
              <w:spacing w:after="0" w:line="148" w:lineRule="exact"/>
              <w:rPr>
                <w:sz w:val="20"/>
                <w:szCs w:val="20"/>
                <w:color w:val="auto"/>
              </w:rPr>
            </w:pPr>
            <w:r>
              <w:rPr>
                <w:rFonts w:ascii="Calibri" w:cs="Calibri" w:eastAsia="Calibri" w:hAnsi="Calibri"/>
                <w:sz w:val="13"/>
                <w:szCs w:val="13"/>
                <w:color w:val="51555C"/>
                <w:w w:val="90"/>
              </w:rPr>
              <w:t>$</w:t>
            </w:r>
          </w:p>
        </w:tc>
        <w:tc>
          <w:tcPr>
            <w:tcW w:w="720" w:type="dxa"/>
            <w:vAlign w:val="bottom"/>
            <w:tcBorders>
              <w:top w:val="single" w:sz="8" w:color="51555C"/>
            </w:tcBorders>
          </w:tcPr>
          <w:p>
            <w:pPr>
              <w:jc w:val="right"/>
              <w:spacing w:after="0" w:line="148" w:lineRule="exact"/>
              <w:rPr>
                <w:sz w:val="20"/>
                <w:szCs w:val="20"/>
                <w:color w:val="auto"/>
              </w:rPr>
            </w:pPr>
            <w:r>
              <w:rPr>
                <w:rFonts w:ascii="Calibri" w:cs="Calibri" w:eastAsia="Calibri" w:hAnsi="Calibri"/>
                <w:sz w:val="13"/>
                <w:szCs w:val="13"/>
                <w:color w:val="51555C"/>
              </w:rPr>
              <w:t>(857,452)</w:t>
            </w:r>
          </w:p>
        </w:tc>
        <w:tc>
          <w:tcPr>
            <w:tcW w:w="260" w:type="dxa"/>
            <w:vAlign w:val="bottom"/>
            <w:tcBorders>
              <w:top w:val="single" w:sz="8" w:color="51555C"/>
            </w:tcBorders>
          </w:tcPr>
          <w:p>
            <w:pPr>
              <w:jc w:val="right"/>
              <w:ind w:right="16"/>
              <w:spacing w:after="0" w:line="148" w:lineRule="exact"/>
              <w:rPr>
                <w:sz w:val="20"/>
                <w:szCs w:val="20"/>
                <w:color w:val="auto"/>
              </w:rPr>
            </w:pPr>
            <w:r>
              <w:rPr>
                <w:rFonts w:ascii="Calibri" w:cs="Calibri" w:eastAsia="Calibri" w:hAnsi="Calibri"/>
                <w:sz w:val="13"/>
                <w:szCs w:val="13"/>
                <w:color w:val="51555C"/>
              </w:rPr>
              <w:t>$</w:t>
            </w:r>
          </w:p>
        </w:tc>
        <w:tc>
          <w:tcPr>
            <w:tcW w:w="660" w:type="dxa"/>
            <w:vAlign w:val="bottom"/>
            <w:tcBorders>
              <w:top w:val="single" w:sz="8" w:color="51555C"/>
            </w:tcBorders>
          </w:tcPr>
          <w:p>
            <w:pPr>
              <w:jc w:val="right"/>
              <w:spacing w:after="0" w:line="148" w:lineRule="exact"/>
              <w:rPr>
                <w:sz w:val="20"/>
                <w:szCs w:val="20"/>
                <w:color w:val="auto"/>
              </w:rPr>
            </w:pPr>
            <w:r>
              <w:rPr>
                <w:rFonts w:ascii="Calibri" w:cs="Calibri" w:eastAsia="Calibri" w:hAnsi="Calibri"/>
                <w:sz w:val="13"/>
                <w:szCs w:val="13"/>
                <w:color w:val="51555C"/>
              </w:rPr>
              <w:t>1,208,624</w:t>
            </w:r>
          </w:p>
        </w:tc>
        <w:tc>
          <w:tcPr>
            <w:tcW w:w="220" w:type="dxa"/>
            <w:vAlign w:val="bottom"/>
            <w:tcBorders>
              <w:top w:val="single" w:sz="8" w:color="51555C"/>
            </w:tcBorders>
          </w:tcPr>
          <w:p>
            <w:pPr>
              <w:jc w:val="right"/>
              <w:ind w:right="107"/>
              <w:spacing w:after="0"/>
              <w:rPr>
                <w:sz w:val="20"/>
                <w:szCs w:val="20"/>
                <w:color w:val="auto"/>
              </w:rPr>
            </w:pPr>
            <w:r>
              <w:rPr>
                <w:rFonts w:ascii="Calibri" w:cs="Calibri" w:eastAsia="Calibri" w:hAnsi="Calibri"/>
                <w:sz w:val="11"/>
                <w:szCs w:val="11"/>
                <w:color w:val="51555C"/>
                <w:w w:val="70"/>
              </w:rPr>
              <w:t>$</w:t>
            </w:r>
          </w:p>
        </w:tc>
        <w:tc>
          <w:tcPr>
            <w:tcW w:w="880" w:type="dxa"/>
            <w:vAlign w:val="bottom"/>
            <w:tcBorders>
              <w:top w:val="single" w:sz="8" w:color="51555C"/>
            </w:tcBorders>
          </w:tcPr>
          <w:p>
            <w:pPr>
              <w:jc w:val="right"/>
              <w:spacing w:after="0" w:line="148" w:lineRule="exact"/>
              <w:rPr>
                <w:sz w:val="20"/>
                <w:szCs w:val="20"/>
                <w:color w:val="auto"/>
              </w:rPr>
            </w:pPr>
            <w:r>
              <w:rPr>
                <w:rFonts w:ascii="Calibri" w:cs="Calibri" w:eastAsia="Calibri" w:hAnsi="Calibri"/>
                <w:sz w:val="13"/>
                <w:szCs w:val="13"/>
                <w:color w:val="51555C"/>
              </w:rPr>
              <w:t>175</w:t>
            </w:r>
          </w:p>
        </w:tc>
        <w:tc>
          <w:tcPr>
            <w:tcW w:w="200" w:type="dxa"/>
            <w:vAlign w:val="bottom"/>
            <w:tcBorders>
              <w:top w:val="single" w:sz="8" w:color="51555C"/>
            </w:tcBorders>
          </w:tcPr>
          <w:p>
            <w:pPr>
              <w:jc w:val="right"/>
              <w:ind w:right="56"/>
              <w:spacing w:after="0" w:line="148" w:lineRule="exact"/>
              <w:rPr>
                <w:sz w:val="20"/>
                <w:szCs w:val="20"/>
                <w:color w:val="auto"/>
              </w:rPr>
            </w:pPr>
            <w:r>
              <w:rPr>
                <w:rFonts w:ascii="Calibri" w:cs="Calibri" w:eastAsia="Calibri" w:hAnsi="Calibri"/>
                <w:sz w:val="13"/>
                <w:szCs w:val="13"/>
                <w:color w:val="51555C"/>
                <w:w w:val="90"/>
              </w:rPr>
              <w:t>$</w:t>
            </w:r>
          </w:p>
        </w:tc>
        <w:tc>
          <w:tcPr>
            <w:tcW w:w="600" w:type="dxa"/>
            <w:vAlign w:val="bottom"/>
            <w:tcBorders>
              <w:top w:val="single" w:sz="8" w:color="51555C"/>
            </w:tcBorders>
          </w:tcPr>
          <w:p>
            <w:pPr>
              <w:jc w:val="right"/>
              <w:spacing w:after="0" w:line="148" w:lineRule="exact"/>
              <w:rPr>
                <w:sz w:val="20"/>
                <w:szCs w:val="20"/>
                <w:color w:val="auto"/>
              </w:rPr>
            </w:pPr>
            <w:r>
              <w:rPr>
                <w:rFonts w:ascii="Calibri" w:cs="Calibri" w:eastAsia="Calibri" w:hAnsi="Calibri"/>
                <w:sz w:val="13"/>
                <w:szCs w:val="13"/>
                <w:color w:val="51555C"/>
              </w:rPr>
              <w:t>225,919</w:t>
            </w:r>
          </w:p>
        </w:tc>
        <w:tc>
          <w:tcPr>
            <w:tcW w:w="220" w:type="dxa"/>
            <w:vAlign w:val="bottom"/>
            <w:tcBorders>
              <w:top w:val="single" w:sz="8" w:color="51555C"/>
            </w:tcBorders>
          </w:tcPr>
          <w:p>
            <w:pPr>
              <w:jc w:val="right"/>
              <w:ind w:right="76"/>
              <w:spacing w:after="0" w:line="148" w:lineRule="exact"/>
              <w:rPr>
                <w:sz w:val="20"/>
                <w:szCs w:val="20"/>
                <w:color w:val="auto"/>
              </w:rPr>
            </w:pPr>
            <w:r>
              <w:rPr>
                <w:rFonts w:ascii="Calibri" w:cs="Calibri" w:eastAsia="Calibri" w:hAnsi="Calibri"/>
                <w:sz w:val="13"/>
                <w:szCs w:val="13"/>
                <w:color w:val="51555C"/>
                <w:w w:val="90"/>
              </w:rPr>
              <w:t>$</w:t>
            </w:r>
          </w:p>
        </w:tc>
        <w:tc>
          <w:tcPr>
            <w:tcW w:w="780" w:type="dxa"/>
            <w:vAlign w:val="bottom"/>
            <w:tcBorders>
              <w:top w:val="single" w:sz="8" w:color="51555C"/>
            </w:tcBorders>
          </w:tcPr>
          <w:p>
            <w:pPr>
              <w:jc w:val="right"/>
              <w:spacing w:after="0" w:line="148" w:lineRule="exact"/>
              <w:rPr>
                <w:sz w:val="20"/>
                <w:szCs w:val="20"/>
                <w:color w:val="auto"/>
              </w:rPr>
            </w:pPr>
            <w:r>
              <w:rPr>
                <w:rFonts w:ascii="Calibri" w:cs="Calibri" w:eastAsia="Calibri" w:hAnsi="Calibri"/>
                <w:sz w:val="13"/>
                <w:szCs w:val="13"/>
                <w:color w:val="51555C"/>
              </w:rPr>
              <w:t>577,337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840" w:type="dxa"/>
            <w:vAlign w:val="bottom"/>
            <w:tcBorders>
              <w:bottom w:val="single" w:sz="8" w:color="0CD973"/>
            </w:tcBorders>
          </w:tcPr>
          <w:p>
            <w:pPr>
              <w:spacing w:after="0"/>
              <w:rPr>
                <w:sz w:val="2"/>
                <w:szCs w:val="2"/>
                <w:color w:val="auto"/>
              </w:rPr>
            </w:pPr>
          </w:p>
        </w:tc>
        <w:tc>
          <w:tcPr>
            <w:tcW w:w="900" w:type="dxa"/>
            <w:vAlign w:val="bottom"/>
            <w:tcBorders>
              <w:bottom w:val="single" w:sz="8" w:color="0CD973"/>
            </w:tcBorders>
          </w:tcPr>
          <w:p>
            <w:pPr>
              <w:spacing w:after="0"/>
              <w:rPr>
                <w:sz w:val="2"/>
                <w:szCs w:val="2"/>
                <w:color w:val="auto"/>
              </w:rPr>
            </w:pPr>
          </w:p>
        </w:tc>
        <w:tc>
          <w:tcPr>
            <w:tcW w:w="160" w:type="dxa"/>
            <w:vAlign w:val="bottom"/>
            <w:tcBorders>
              <w:bottom w:val="single" w:sz="8" w:color="0CD973"/>
            </w:tcBorders>
          </w:tcPr>
          <w:p>
            <w:pPr>
              <w:spacing w:after="0"/>
              <w:rPr>
                <w:sz w:val="2"/>
                <w:szCs w:val="2"/>
                <w:color w:val="auto"/>
              </w:rPr>
            </w:pPr>
          </w:p>
        </w:tc>
        <w:tc>
          <w:tcPr>
            <w:tcW w:w="500" w:type="dxa"/>
            <w:vAlign w:val="bottom"/>
            <w:tcBorders>
              <w:bottom w:val="single" w:sz="8" w:color="0CD973"/>
            </w:tcBorders>
          </w:tcPr>
          <w:p>
            <w:pPr>
              <w:spacing w:after="0"/>
              <w:rPr>
                <w:sz w:val="2"/>
                <w:szCs w:val="2"/>
                <w:color w:val="auto"/>
              </w:rPr>
            </w:pPr>
          </w:p>
        </w:tc>
        <w:tc>
          <w:tcPr>
            <w:tcW w:w="980" w:type="dxa"/>
            <w:vAlign w:val="bottom"/>
            <w:tcBorders>
              <w:bottom w:val="single" w:sz="8" w:color="0CD973"/>
            </w:tcBorders>
          </w:tcPr>
          <w:p>
            <w:pPr>
              <w:spacing w:after="0"/>
              <w:rPr>
                <w:sz w:val="2"/>
                <w:szCs w:val="2"/>
                <w:color w:val="auto"/>
              </w:rPr>
            </w:pPr>
          </w:p>
        </w:tc>
        <w:tc>
          <w:tcPr>
            <w:tcW w:w="100" w:type="dxa"/>
            <w:vAlign w:val="bottom"/>
            <w:tcBorders>
              <w:bottom w:val="single" w:sz="8" w:color="0CD973"/>
            </w:tcBorders>
          </w:tcPr>
          <w:p>
            <w:pPr>
              <w:spacing w:after="0"/>
              <w:rPr>
                <w:sz w:val="2"/>
                <w:szCs w:val="2"/>
                <w:color w:val="auto"/>
              </w:rPr>
            </w:pPr>
          </w:p>
        </w:tc>
        <w:tc>
          <w:tcPr>
            <w:tcW w:w="720" w:type="dxa"/>
            <w:vAlign w:val="bottom"/>
            <w:tcBorders>
              <w:bottom w:val="single" w:sz="8" w:color="0CD973"/>
            </w:tcBorders>
          </w:tcPr>
          <w:p>
            <w:pPr>
              <w:spacing w:after="0"/>
              <w:rPr>
                <w:sz w:val="2"/>
                <w:szCs w:val="2"/>
                <w:color w:val="auto"/>
              </w:rPr>
            </w:pPr>
          </w:p>
        </w:tc>
        <w:tc>
          <w:tcPr>
            <w:tcW w:w="260" w:type="dxa"/>
            <w:vAlign w:val="bottom"/>
            <w:tcBorders>
              <w:bottom w:val="single" w:sz="8" w:color="0CD973"/>
            </w:tcBorders>
          </w:tcPr>
          <w:p>
            <w:pPr>
              <w:spacing w:after="0"/>
              <w:rPr>
                <w:sz w:val="2"/>
                <w:szCs w:val="2"/>
                <w:color w:val="auto"/>
              </w:rPr>
            </w:pPr>
          </w:p>
        </w:tc>
        <w:tc>
          <w:tcPr>
            <w:tcW w:w="660" w:type="dxa"/>
            <w:vAlign w:val="bottom"/>
            <w:tcBorders>
              <w:bottom w:val="single" w:sz="8" w:color="0CD973"/>
            </w:tcBorders>
          </w:tcPr>
          <w:p>
            <w:pPr>
              <w:spacing w:after="0"/>
              <w:rPr>
                <w:sz w:val="2"/>
                <w:szCs w:val="2"/>
                <w:color w:val="auto"/>
              </w:rPr>
            </w:pPr>
          </w:p>
        </w:tc>
        <w:tc>
          <w:tcPr>
            <w:tcW w:w="220" w:type="dxa"/>
            <w:vAlign w:val="bottom"/>
            <w:tcBorders>
              <w:bottom w:val="single" w:sz="8" w:color="0CD973"/>
            </w:tcBorders>
          </w:tcPr>
          <w:p>
            <w:pPr>
              <w:spacing w:after="0"/>
              <w:rPr>
                <w:sz w:val="2"/>
                <w:szCs w:val="2"/>
                <w:color w:val="auto"/>
              </w:rPr>
            </w:pPr>
          </w:p>
        </w:tc>
        <w:tc>
          <w:tcPr>
            <w:tcW w:w="880" w:type="dxa"/>
            <w:vAlign w:val="bottom"/>
            <w:tcBorders>
              <w:bottom w:val="single" w:sz="8" w:color="0CD973"/>
            </w:tcBorders>
          </w:tcPr>
          <w:p>
            <w:pPr>
              <w:spacing w:after="0"/>
              <w:rPr>
                <w:sz w:val="2"/>
                <w:szCs w:val="2"/>
                <w:color w:val="auto"/>
              </w:rPr>
            </w:pPr>
          </w:p>
        </w:tc>
        <w:tc>
          <w:tcPr>
            <w:tcW w:w="200" w:type="dxa"/>
            <w:vAlign w:val="bottom"/>
            <w:tcBorders>
              <w:bottom w:val="single" w:sz="8" w:color="0CD973"/>
            </w:tcBorders>
          </w:tcPr>
          <w:p>
            <w:pPr>
              <w:spacing w:after="0"/>
              <w:rPr>
                <w:sz w:val="2"/>
                <w:szCs w:val="2"/>
                <w:color w:val="auto"/>
              </w:rPr>
            </w:pPr>
          </w:p>
        </w:tc>
        <w:tc>
          <w:tcPr>
            <w:tcW w:w="600" w:type="dxa"/>
            <w:vAlign w:val="bottom"/>
            <w:tcBorders>
              <w:bottom w:val="single" w:sz="8" w:color="0CD973"/>
            </w:tcBorders>
          </w:tcPr>
          <w:p>
            <w:pPr>
              <w:spacing w:after="0"/>
              <w:rPr>
                <w:sz w:val="2"/>
                <w:szCs w:val="2"/>
                <w:color w:val="auto"/>
              </w:rPr>
            </w:pPr>
          </w:p>
        </w:tc>
        <w:tc>
          <w:tcPr>
            <w:tcW w:w="220" w:type="dxa"/>
            <w:vAlign w:val="bottom"/>
            <w:tcBorders>
              <w:bottom w:val="single" w:sz="8" w:color="0CD973"/>
            </w:tcBorders>
          </w:tcPr>
          <w:p>
            <w:pPr>
              <w:spacing w:after="0"/>
              <w:rPr>
                <w:sz w:val="2"/>
                <w:szCs w:val="2"/>
                <w:color w:val="auto"/>
              </w:rPr>
            </w:pPr>
          </w:p>
        </w:tc>
        <w:tc>
          <w:tcPr>
            <w:tcW w:w="780" w:type="dxa"/>
            <w:vAlign w:val="bottom"/>
            <w:tcBorders>
              <w:bottom w:val="single" w:sz="8" w:color="0CD973"/>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2442210</wp:posOffset>
            </wp:positionH>
            <wp:positionV relativeFrom="paragraph">
              <wp:posOffset>-2330450</wp:posOffset>
            </wp:positionV>
            <wp:extent cx="2135505"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3550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0"/>
        <w:spacing w:after="0"/>
        <w:tabs>
          <w:tab w:leader="none" w:pos="356" w:val="left"/>
        </w:tabs>
        <w:rPr>
          <w:sz w:val="20"/>
          <w:szCs w:val="20"/>
          <w:color w:val="auto"/>
        </w:rPr>
      </w:pPr>
      <w:r>
        <w:rPr>
          <w:rFonts w:ascii="Calibri" w:cs="Calibri" w:eastAsia="Calibri" w:hAnsi="Calibri"/>
          <w:sz w:val="11"/>
          <w:szCs w:val="11"/>
          <w:color w:val="51555C"/>
        </w:rPr>
        <w:t>6</w:t>
      </w:r>
      <w:r>
        <w:rPr>
          <w:sz w:val="20"/>
          <w:szCs w:val="20"/>
          <w:color w:val="auto"/>
        </w:rPr>
        <w:tab/>
      </w:r>
      <w:r>
        <w:rPr>
          <w:sz w:val="1"/>
          <w:szCs w:val="1"/>
          <w:color w:val="auto"/>
        </w:rPr>
        <w:drawing>
          <wp:inline distT="0" distB="0" distL="0" distR="0">
            <wp:extent cx="511810" cy="13462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1810" cy="134620"/>
                    </a:xfrm>
                    <a:prstGeom prst="rect">
                      <a:avLst/>
                    </a:prstGeom>
                    <a:noFill/>
                    <a:ln>
                      <a:noFill/>
                    </a:ln>
                  </pic:spPr>
                </pic:pic>
              </a:graphicData>
            </a:graphic>
          </wp:inline>
        </w:drawing>
      </w:r>
      <w:r>
        <w:rPr>
          <w:rFonts w:ascii="Calibri" w:cs="Calibri" w:eastAsia="Calibri" w:hAnsi="Calibri"/>
          <w:sz w:val="11"/>
          <w:szCs w:val="11"/>
          <w:color w:val="51555C"/>
        </w:rPr>
        <w:t xml:space="preserve">  Second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135255</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40"/>
          </w:cols>
          <w:pgMar w:left="300" w:top="119" w:right="559" w:bottom="1440" w:gutter="0" w:footer="0" w:header="0"/>
        </w:sectPr>
      </w:pPr>
    </w:p>
    <w:bookmarkStart w:id="7" w:name="page8"/>
    <w:bookmarkEnd w:id="7"/>
    <w:p>
      <w:pPr>
        <w:jc w:val="center"/>
        <w:spacing w:after="0"/>
        <w:rPr>
          <w:sz w:val="20"/>
          <w:szCs w:val="20"/>
          <w:color w:val="auto"/>
        </w:rPr>
      </w:pPr>
      <w:r>
        <w:rPr>
          <w:rFonts w:ascii="Calibri" w:cs="Calibri" w:eastAsia="Calibri" w:hAnsi="Calibri"/>
          <w:sz w:val="14"/>
          <w:szCs w:val="14"/>
          <w:b w:val="1"/>
          <w:bCs w:val="1"/>
          <w:color w:val="51555C"/>
        </w:rPr>
        <w:t>Blackbaud, Inc.</w:t>
      </w:r>
    </w:p>
    <w:p>
      <w:pPr>
        <w:jc w:val="center"/>
        <w:spacing w:after="0" w:line="238" w:lineRule="auto"/>
        <w:rPr>
          <w:sz w:val="20"/>
          <w:szCs w:val="20"/>
          <w:color w:val="auto"/>
        </w:rPr>
      </w:pPr>
      <w:r>
        <w:rPr>
          <w:rFonts w:ascii="Calibri" w:cs="Calibri" w:eastAsia="Calibri" w:hAnsi="Calibri"/>
          <w:sz w:val="14"/>
          <w:szCs w:val="14"/>
          <w:b w:val="1"/>
          <w:bCs w:val="1"/>
          <w:color w:val="51555C"/>
        </w:rPr>
        <w:t>Condensed Consolidated Statements of Stockholders' Equity (contnued)</w:t>
      </w:r>
    </w:p>
    <w:p>
      <w:pPr>
        <w:jc w:val="center"/>
        <w:spacing w:after="0"/>
        <w:rPr>
          <w:sz w:val="20"/>
          <w:szCs w:val="20"/>
          <w:color w:val="auto"/>
        </w:rPr>
      </w:pPr>
      <w:r>
        <w:rPr>
          <w:rFonts w:ascii="Calibri" w:cs="Calibri" w:eastAsia="Calibri" w:hAnsi="Calibri"/>
          <w:sz w:val="14"/>
          <w:szCs w:val="14"/>
          <w:b w:val="1"/>
          <w:bCs w:val="1"/>
          <w:color w:val="51555C"/>
        </w:rPr>
        <w:t>(Unaudited)</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620" w:type="dxa"/>
            <w:vAlign w:val="bottom"/>
            <w:shd w:val="clear" w:color="auto" w:fill="004054"/>
          </w:tcPr>
          <w:p>
            <w:pPr>
              <w:spacing w:after="0"/>
              <w:rPr>
                <w:sz w:val="13"/>
                <w:szCs w:val="13"/>
                <w:color w:val="auto"/>
              </w:rPr>
            </w:pPr>
          </w:p>
        </w:tc>
        <w:tc>
          <w:tcPr>
            <w:tcW w:w="1260" w:type="dxa"/>
            <w:vAlign w:val="bottom"/>
            <w:shd w:val="clear" w:color="auto" w:fill="004054"/>
          </w:tcPr>
          <w:p>
            <w:pPr>
              <w:spacing w:after="0"/>
              <w:rPr>
                <w:sz w:val="13"/>
                <w:szCs w:val="13"/>
                <w:color w:val="auto"/>
              </w:rPr>
            </w:pPr>
          </w:p>
        </w:tc>
        <w:tc>
          <w:tcPr>
            <w:tcW w:w="860" w:type="dxa"/>
            <w:vAlign w:val="bottom"/>
            <w:shd w:val="clear" w:color="auto" w:fill="004054"/>
          </w:tcPr>
          <w:p>
            <w:pPr>
              <w:spacing w:after="0"/>
              <w:rPr>
                <w:sz w:val="13"/>
                <w:szCs w:val="13"/>
                <w:color w:val="auto"/>
              </w:rPr>
            </w:pPr>
          </w:p>
        </w:tc>
        <w:tc>
          <w:tcPr>
            <w:tcW w:w="160" w:type="dxa"/>
            <w:vAlign w:val="bottom"/>
            <w:shd w:val="clear" w:color="auto" w:fill="004054"/>
          </w:tcPr>
          <w:p>
            <w:pPr>
              <w:spacing w:after="0"/>
              <w:rPr>
                <w:sz w:val="13"/>
                <w:szCs w:val="13"/>
                <w:color w:val="auto"/>
              </w:rPr>
            </w:pPr>
          </w:p>
        </w:tc>
        <w:tc>
          <w:tcPr>
            <w:tcW w:w="500" w:type="dxa"/>
            <w:vAlign w:val="bottom"/>
            <w:shd w:val="clear" w:color="auto" w:fill="004054"/>
          </w:tcPr>
          <w:p>
            <w:pPr>
              <w:spacing w:after="0"/>
              <w:rPr>
                <w:sz w:val="13"/>
                <w:szCs w:val="13"/>
                <w:color w:val="auto"/>
              </w:rPr>
            </w:pPr>
          </w:p>
        </w:tc>
        <w:tc>
          <w:tcPr>
            <w:tcW w:w="980" w:type="dxa"/>
            <w:vAlign w:val="bottom"/>
            <w:shd w:val="clear" w:color="auto" w:fill="004054"/>
          </w:tcPr>
          <w:p>
            <w:pPr>
              <w:spacing w:after="0"/>
              <w:rPr>
                <w:sz w:val="13"/>
                <w:szCs w:val="13"/>
                <w:color w:val="auto"/>
              </w:rPr>
            </w:pPr>
          </w:p>
        </w:tc>
        <w:tc>
          <w:tcPr>
            <w:tcW w:w="100" w:type="dxa"/>
            <w:vAlign w:val="bottom"/>
            <w:shd w:val="clear" w:color="auto" w:fill="004054"/>
          </w:tcPr>
          <w:p>
            <w:pPr>
              <w:spacing w:after="0"/>
              <w:rPr>
                <w:sz w:val="13"/>
                <w:szCs w:val="13"/>
                <w:color w:val="auto"/>
              </w:rPr>
            </w:pPr>
          </w:p>
        </w:tc>
        <w:tc>
          <w:tcPr>
            <w:tcW w:w="720" w:type="dxa"/>
            <w:vAlign w:val="bottom"/>
            <w:shd w:val="clear" w:color="auto" w:fill="004054"/>
          </w:tcPr>
          <w:p>
            <w:pPr>
              <w:spacing w:after="0"/>
              <w:rPr>
                <w:sz w:val="13"/>
                <w:szCs w:val="13"/>
                <w:color w:val="auto"/>
              </w:rPr>
            </w:pPr>
          </w:p>
        </w:tc>
        <w:tc>
          <w:tcPr>
            <w:tcW w:w="260" w:type="dxa"/>
            <w:vAlign w:val="bottom"/>
            <w:shd w:val="clear" w:color="auto" w:fill="004054"/>
          </w:tcPr>
          <w:p>
            <w:pPr>
              <w:spacing w:after="0"/>
              <w:rPr>
                <w:sz w:val="13"/>
                <w:szCs w:val="13"/>
                <w:color w:val="auto"/>
              </w:rPr>
            </w:pPr>
          </w:p>
        </w:tc>
        <w:tc>
          <w:tcPr>
            <w:tcW w:w="660" w:type="dxa"/>
            <w:vAlign w:val="bottom"/>
            <w:shd w:val="clear" w:color="auto" w:fill="004054"/>
          </w:tcPr>
          <w:p>
            <w:pPr>
              <w:spacing w:after="0"/>
              <w:rPr>
                <w:sz w:val="13"/>
                <w:szCs w:val="13"/>
                <w:color w:val="auto"/>
              </w:rPr>
            </w:pPr>
          </w:p>
        </w:tc>
        <w:tc>
          <w:tcPr>
            <w:tcW w:w="220" w:type="dxa"/>
            <w:vAlign w:val="bottom"/>
            <w:shd w:val="clear" w:color="auto" w:fill="004054"/>
          </w:tcPr>
          <w:p>
            <w:pPr>
              <w:spacing w:after="0"/>
              <w:rPr>
                <w:sz w:val="13"/>
                <w:szCs w:val="13"/>
                <w:color w:val="auto"/>
              </w:rPr>
            </w:pPr>
          </w:p>
        </w:tc>
        <w:tc>
          <w:tcPr>
            <w:tcW w:w="88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Accumulated</w:t>
            </w:r>
          </w:p>
        </w:tc>
        <w:tc>
          <w:tcPr>
            <w:tcW w:w="200" w:type="dxa"/>
            <w:vAlign w:val="bottom"/>
            <w:shd w:val="clear" w:color="auto" w:fill="004054"/>
          </w:tcPr>
          <w:p>
            <w:pPr>
              <w:spacing w:after="0"/>
              <w:rPr>
                <w:sz w:val="13"/>
                <w:szCs w:val="13"/>
                <w:color w:val="auto"/>
              </w:rPr>
            </w:pPr>
          </w:p>
        </w:tc>
        <w:tc>
          <w:tcPr>
            <w:tcW w:w="600" w:type="dxa"/>
            <w:vAlign w:val="bottom"/>
            <w:shd w:val="clear" w:color="auto" w:fill="004054"/>
          </w:tcPr>
          <w:p>
            <w:pPr>
              <w:spacing w:after="0"/>
              <w:rPr>
                <w:sz w:val="13"/>
                <w:szCs w:val="13"/>
                <w:color w:val="auto"/>
              </w:rPr>
            </w:pPr>
          </w:p>
        </w:tc>
        <w:tc>
          <w:tcPr>
            <w:tcW w:w="220" w:type="dxa"/>
            <w:vAlign w:val="bottom"/>
            <w:shd w:val="clear" w:color="auto" w:fill="004054"/>
          </w:tcPr>
          <w:p>
            <w:pPr>
              <w:spacing w:after="0"/>
              <w:rPr>
                <w:sz w:val="13"/>
                <w:szCs w:val="13"/>
                <w:color w:val="auto"/>
              </w:rPr>
            </w:pPr>
          </w:p>
        </w:tc>
        <w:tc>
          <w:tcPr>
            <w:tcW w:w="780" w:type="dxa"/>
            <w:vAlign w:val="bottom"/>
            <w:shd w:val="clear" w:color="auto" w:fill="004054"/>
          </w:tcPr>
          <w:p>
            <w:pPr>
              <w:spacing w:after="0"/>
              <w:rPr>
                <w:sz w:val="13"/>
                <w:szCs w:val="13"/>
                <w:color w:val="auto"/>
              </w:rPr>
            </w:pPr>
          </w:p>
        </w:tc>
        <w:tc>
          <w:tcPr>
            <w:tcW w:w="260" w:type="dxa"/>
            <w:vAlign w:val="bottom"/>
            <w:tcBorders>
              <w:left w:val="single" w:sz="8" w:color="004054"/>
            </w:tcBorders>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620" w:type="dxa"/>
            <w:vAlign w:val="bottom"/>
            <w:shd w:val="clear" w:color="auto" w:fill="004054"/>
          </w:tcPr>
          <w:p>
            <w:pPr>
              <w:spacing w:after="0"/>
              <w:rPr>
                <w:sz w:val="11"/>
                <w:szCs w:val="11"/>
                <w:color w:val="auto"/>
              </w:rPr>
            </w:pPr>
          </w:p>
        </w:tc>
        <w:tc>
          <w:tcPr>
            <w:tcW w:w="1260" w:type="dxa"/>
            <w:vAlign w:val="bottom"/>
            <w:shd w:val="clear" w:color="auto" w:fill="004054"/>
          </w:tcPr>
          <w:p>
            <w:pPr>
              <w:spacing w:after="0"/>
              <w:rPr>
                <w:sz w:val="11"/>
                <w:szCs w:val="11"/>
                <w:color w:val="auto"/>
              </w:rPr>
            </w:pPr>
          </w:p>
        </w:tc>
        <w:tc>
          <w:tcPr>
            <w:tcW w:w="1520" w:type="dxa"/>
            <w:vAlign w:val="bottom"/>
            <w:gridSpan w:val="3"/>
            <w:vMerge w:val="restart"/>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Common stock</w:t>
            </w:r>
          </w:p>
        </w:tc>
        <w:tc>
          <w:tcPr>
            <w:tcW w:w="980" w:type="dxa"/>
            <w:vAlign w:val="bottom"/>
            <w:shd w:val="clear" w:color="auto" w:fill="004054"/>
          </w:tcPr>
          <w:p>
            <w:pPr>
              <w:spacing w:after="0"/>
              <w:rPr>
                <w:sz w:val="11"/>
                <w:szCs w:val="11"/>
                <w:color w:val="auto"/>
              </w:rPr>
            </w:pPr>
          </w:p>
        </w:tc>
        <w:tc>
          <w:tcPr>
            <w:tcW w:w="100" w:type="dxa"/>
            <w:vAlign w:val="bottom"/>
            <w:shd w:val="clear" w:color="auto" w:fill="004054"/>
          </w:tcPr>
          <w:p>
            <w:pPr>
              <w:spacing w:after="0"/>
              <w:rPr>
                <w:sz w:val="11"/>
                <w:szCs w:val="11"/>
                <w:color w:val="auto"/>
              </w:rPr>
            </w:pPr>
          </w:p>
        </w:tc>
        <w:tc>
          <w:tcPr>
            <w:tcW w:w="720" w:type="dxa"/>
            <w:vAlign w:val="bottom"/>
            <w:vMerge w:val="restart"/>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Treasury stock</w:t>
            </w:r>
          </w:p>
        </w:tc>
        <w:tc>
          <w:tcPr>
            <w:tcW w:w="260" w:type="dxa"/>
            <w:vAlign w:val="bottom"/>
            <w:shd w:val="clear" w:color="auto" w:fill="004054"/>
          </w:tcPr>
          <w:p>
            <w:pPr>
              <w:spacing w:after="0"/>
              <w:rPr>
                <w:sz w:val="11"/>
                <w:szCs w:val="11"/>
                <w:color w:val="auto"/>
              </w:rPr>
            </w:pPr>
          </w:p>
        </w:tc>
        <w:tc>
          <w:tcPr>
            <w:tcW w:w="66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Additonal</w:t>
            </w:r>
          </w:p>
        </w:tc>
        <w:tc>
          <w:tcPr>
            <w:tcW w:w="220" w:type="dxa"/>
            <w:vAlign w:val="bottom"/>
            <w:shd w:val="clear" w:color="auto" w:fill="004054"/>
          </w:tcPr>
          <w:p>
            <w:pPr>
              <w:spacing w:after="0"/>
              <w:rPr>
                <w:sz w:val="11"/>
                <w:szCs w:val="11"/>
                <w:color w:val="auto"/>
              </w:rPr>
            </w:pPr>
          </w:p>
        </w:tc>
        <w:tc>
          <w:tcPr>
            <w:tcW w:w="88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other</w:t>
            </w:r>
          </w:p>
        </w:tc>
        <w:tc>
          <w:tcPr>
            <w:tcW w:w="200" w:type="dxa"/>
            <w:vAlign w:val="bottom"/>
            <w:shd w:val="clear" w:color="auto" w:fill="004054"/>
          </w:tcPr>
          <w:p>
            <w:pPr>
              <w:spacing w:after="0"/>
              <w:rPr>
                <w:sz w:val="11"/>
                <w:szCs w:val="11"/>
                <w:color w:val="auto"/>
              </w:rPr>
            </w:pPr>
          </w:p>
        </w:tc>
        <w:tc>
          <w:tcPr>
            <w:tcW w:w="600" w:type="dxa"/>
            <w:vAlign w:val="bottom"/>
            <w:vMerge w:val="restart"/>
            <w:shd w:val="clear" w:color="auto" w:fill="004054"/>
          </w:tcPr>
          <w:p>
            <w:pPr>
              <w:jc w:val="center"/>
              <w:ind w:left="77"/>
              <w:spacing w:after="0"/>
              <w:rPr>
                <w:sz w:val="20"/>
                <w:szCs w:val="20"/>
                <w:color w:val="auto"/>
              </w:rPr>
            </w:pPr>
            <w:r>
              <w:rPr>
                <w:rFonts w:ascii="Calibri" w:cs="Calibri" w:eastAsia="Calibri" w:hAnsi="Calibri"/>
                <w:sz w:val="11"/>
                <w:szCs w:val="11"/>
                <w:b w:val="1"/>
                <w:bCs w:val="1"/>
                <w:color w:val="FFFFFF"/>
              </w:rPr>
              <w:t>Retained</w:t>
            </w:r>
          </w:p>
        </w:tc>
        <w:tc>
          <w:tcPr>
            <w:tcW w:w="220" w:type="dxa"/>
            <w:vAlign w:val="bottom"/>
            <w:shd w:val="clear" w:color="auto" w:fill="004054"/>
          </w:tcPr>
          <w:p>
            <w:pPr>
              <w:spacing w:after="0"/>
              <w:rPr>
                <w:sz w:val="11"/>
                <w:szCs w:val="11"/>
                <w:color w:val="auto"/>
              </w:rPr>
            </w:pPr>
          </w:p>
        </w:tc>
        <w:tc>
          <w:tcPr>
            <w:tcW w:w="78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Total</w:t>
            </w:r>
          </w:p>
        </w:tc>
        <w:tc>
          <w:tcPr>
            <w:tcW w:w="260" w:type="dxa"/>
            <w:vAlign w:val="bottom"/>
            <w:tcBorders>
              <w:left w:val="single" w:sz="8" w:color="004054"/>
            </w:tcBorders>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620" w:type="dxa"/>
            <w:vAlign w:val="bottom"/>
            <w:shd w:val="clear" w:color="auto" w:fill="004054"/>
          </w:tcPr>
          <w:p>
            <w:pPr>
              <w:spacing w:after="0"/>
              <w:rPr>
                <w:sz w:val="6"/>
                <w:szCs w:val="6"/>
                <w:color w:val="auto"/>
              </w:rPr>
            </w:pPr>
          </w:p>
        </w:tc>
        <w:tc>
          <w:tcPr>
            <w:tcW w:w="1260" w:type="dxa"/>
            <w:vAlign w:val="bottom"/>
            <w:shd w:val="clear" w:color="auto" w:fill="004054"/>
          </w:tcPr>
          <w:p>
            <w:pPr>
              <w:spacing w:after="0"/>
              <w:rPr>
                <w:sz w:val="6"/>
                <w:szCs w:val="6"/>
                <w:color w:val="auto"/>
              </w:rPr>
            </w:pPr>
          </w:p>
        </w:tc>
        <w:tc>
          <w:tcPr>
            <w:tcW w:w="1520" w:type="dxa"/>
            <w:vAlign w:val="bottom"/>
            <w:gridSpan w:val="3"/>
            <w:vMerge w:val="continue"/>
            <w:shd w:val="clear" w:color="auto" w:fill="004054"/>
          </w:tcPr>
          <w:p>
            <w:pPr>
              <w:spacing w:after="0"/>
              <w:rPr>
                <w:sz w:val="6"/>
                <w:szCs w:val="6"/>
                <w:color w:val="auto"/>
              </w:rPr>
            </w:pPr>
          </w:p>
        </w:tc>
        <w:tc>
          <w:tcPr>
            <w:tcW w:w="980" w:type="dxa"/>
            <w:vAlign w:val="bottom"/>
            <w:shd w:val="clear" w:color="auto" w:fill="004054"/>
          </w:tcPr>
          <w:p>
            <w:pPr>
              <w:spacing w:after="0"/>
              <w:rPr>
                <w:sz w:val="6"/>
                <w:szCs w:val="6"/>
                <w:color w:val="auto"/>
              </w:rPr>
            </w:pPr>
          </w:p>
        </w:tc>
        <w:tc>
          <w:tcPr>
            <w:tcW w:w="100" w:type="dxa"/>
            <w:vAlign w:val="bottom"/>
            <w:shd w:val="clear" w:color="auto" w:fill="004054"/>
          </w:tcPr>
          <w:p>
            <w:pPr>
              <w:spacing w:after="0"/>
              <w:rPr>
                <w:sz w:val="6"/>
                <w:szCs w:val="6"/>
                <w:color w:val="auto"/>
              </w:rPr>
            </w:pPr>
          </w:p>
        </w:tc>
        <w:tc>
          <w:tcPr>
            <w:tcW w:w="720" w:type="dxa"/>
            <w:vAlign w:val="bottom"/>
            <w:vMerge w:val="continue"/>
            <w:shd w:val="clear" w:color="auto" w:fill="004054"/>
          </w:tcPr>
          <w:p>
            <w:pPr>
              <w:spacing w:after="0"/>
              <w:rPr>
                <w:sz w:val="6"/>
                <w:szCs w:val="6"/>
                <w:color w:val="auto"/>
              </w:rPr>
            </w:pPr>
          </w:p>
        </w:tc>
        <w:tc>
          <w:tcPr>
            <w:tcW w:w="260" w:type="dxa"/>
            <w:vAlign w:val="bottom"/>
            <w:shd w:val="clear" w:color="auto" w:fill="004054"/>
          </w:tcPr>
          <w:p>
            <w:pPr>
              <w:spacing w:after="0"/>
              <w:rPr>
                <w:sz w:val="6"/>
                <w:szCs w:val="6"/>
                <w:color w:val="auto"/>
              </w:rPr>
            </w:pPr>
          </w:p>
        </w:tc>
        <w:tc>
          <w:tcPr>
            <w:tcW w:w="660" w:type="dxa"/>
            <w:vAlign w:val="bottom"/>
            <w:vMerge w:val="restart"/>
            <w:shd w:val="clear" w:color="auto" w:fill="004054"/>
          </w:tcPr>
          <w:p>
            <w:pPr>
              <w:jc w:val="right"/>
              <w:spacing w:after="0" w:line="121" w:lineRule="exact"/>
              <w:rPr>
                <w:sz w:val="20"/>
                <w:szCs w:val="20"/>
                <w:color w:val="auto"/>
              </w:rPr>
            </w:pPr>
            <w:r>
              <w:rPr>
                <w:rFonts w:ascii="Calibri" w:cs="Calibri" w:eastAsia="Calibri" w:hAnsi="Calibri"/>
                <w:sz w:val="11"/>
                <w:szCs w:val="11"/>
                <w:b w:val="1"/>
                <w:bCs w:val="1"/>
                <w:color w:val="FFFFFF"/>
              </w:rPr>
              <w:t>paid-in</w:t>
            </w:r>
          </w:p>
        </w:tc>
        <w:tc>
          <w:tcPr>
            <w:tcW w:w="220" w:type="dxa"/>
            <w:vAlign w:val="bottom"/>
            <w:shd w:val="clear" w:color="auto" w:fill="004054"/>
          </w:tcPr>
          <w:p>
            <w:pPr>
              <w:spacing w:after="0"/>
              <w:rPr>
                <w:sz w:val="6"/>
                <w:szCs w:val="6"/>
                <w:color w:val="auto"/>
              </w:rPr>
            </w:pPr>
          </w:p>
        </w:tc>
        <w:tc>
          <w:tcPr>
            <w:tcW w:w="880" w:type="dxa"/>
            <w:vAlign w:val="bottom"/>
            <w:vMerge w:val="restart"/>
            <w:shd w:val="clear" w:color="auto" w:fill="004054"/>
          </w:tcPr>
          <w:p>
            <w:pPr>
              <w:jc w:val="right"/>
              <w:spacing w:after="0" w:line="121" w:lineRule="exact"/>
              <w:rPr>
                <w:sz w:val="20"/>
                <w:szCs w:val="20"/>
                <w:color w:val="auto"/>
              </w:rPr>
            </w:pPr>
            <w:r>
              <w:rPr>
                <w:rFonts w:ascii="Calibri" w:cs="Calibri" w:eastAsia="Calibri" w:hAnsi="Calibri"/>
                <w:sz w:val="11"/>
                <w:szCs w:val="11"/>
                <w:b w:val="1"/>
                <w:bCs w:val="1"/>
                <w:color w:val="FFFFFF"/>
              </w:rPr>
              <w:t>comprehensive</w:t>
            </w:r>
          </w:p>
        </w:tc>
        <w:tc>
          <w:tcPr>
            <w:tcW w:w="200" w:type="dxa"/>
            <w:vAlign w:val="bottom"/>
            <w:shd w:val="clear" w:color="auto" w:fill="004054"/>
          </w:tcPr>
          <w:p>
            <w:pPr>
              <w:spacing w:after="0"/>
              <w:rPr>
                <w:sz w:val="6"/>
                <w:szCs w:val="6"/>
                <w:color w:val="auto"/>
              </w:rPr>
            </w:pPr>
          </w:p>
        </w:tc>
        <w:tc>
          <w:tcPr>
            <w:tcW w:w="600" w:type="dxa"/>
            <w:vAlign w:val="bottom"/>
            <w:vMerge w:val="continue"/>
            <w:shd w:val="clear" w:color="auto" w:fill="004054"/>
          </w:tcPr>
          <w:p>
            <w:pPr>
              <w:spacing w:after="0"/>
              <w:rPr>
                <w:sz w:val="6"/>
                <w:szCs w:val="6"/>
                <w:color w:val="auto"/>
              </w:rPr>
            </w:pPr>
          </w:p>
        </w:tc>
        <w:tc>
          <w:tcPr>
            <w:tcW w:w="220" w:type="dxa"/>
            <w:vAlign w:val="bottom"/>
            <w:shd w:val="clear" w:color="auto" w:fill="004054"/>
          </w:tcPr>
          <w:p>
            <w:pPr>
              <w:spacing w:after="0"/>
              <w:rPr>
                <w:sz w:val="6"/>
                <w:szCs w:val="6"/>
                <w:color w:val="auto"/>
              </w:rPr>
            </w:pPr>
          </w:p>
        </w:tc>
        <w:tc>
          <w:tcPr>
            <w:tcW w:w="780" w:type="dxa"/>
            <w:vAlign w:val="bottom"/>
            <w:vMerge w:val="restart"/>
            <w:shd w:val="clear" w:color="auto" w:fill="004054"/>
          </w:tcPr>
          <w:p>
            <w:pPr>
              <w:jc w:val="right"/>
              <w:spacing w:after="0" w:line="121" w:lineRule="exact"/>
              <w:rPr>
                <w:sz w:val="20"/>
                <w:szCs w:val="20"/>
                <w:color w:val="auto"/>
              </w:rPr>
            </w:pPr>
            <w:r>
              <w:rPr>
                <w:rFonts w:ascii="Calibri" w:cs="Calibri" w:eastAsia="Calibri" w:hAnsi="Calibri"/>
                <w:sz w:val="11"/>
                <w:szCs w:val="11"/>
                <w:b w:val="1"/>
                <w:bCs w:val="1"/>
                <w:color w:val="FFFFFF"/>
              </w:rPr>
              <w:t>stockholders'</w:t>
            </w:r>
          </w:p>
        </w:tc>
        <w:tc>
          <w:tcPr>
            <w:tcW w:w="260" w:type="dxa"/>
            <w:vAlign w:val="bottom"/>
            <w:tcBorders>
              <w:left w:val="single" w:sz="8" w:color="004054"/>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620" w:type="dxa"/>
            <w:vAlign w:val="bottom"/>
            <w:shd w:val="clear" w:color="auto" w:fill="004054"/>
          </w:tcPr>
          <w:p>
            <w:pPr>
              <w:spacing w:after="0"/>
              <w:rPr>
                <w:sz w:val="4"/>
                <w:szCs w:val="4"/>
                <w:color w:val="auto"/>
              </w:rPr>
            </w:pPr>
          </w:p>
        </w:tc>
        <w:tc>
          <w:tcPr>
            <w:tcW w:w="1260" w:type="dxa"/>
            <w:vAlign w:val="bottom"/>
            <w:shd w:val="clear" w:color="auto" w:fill="004054"/>
          </w:tcPr>
          <w:p>
            <w:pPr>
              <w:spacing w:after="0"/>
              <w:rPr>
                <w:sz w:val="4"/>
                <w:szCs w:val="4"/>
                <w:color w:val="auto"/>
              </w:rPr>
            </w:pPr>
          </w:p>
        </w:tc>
        <w:tc>
          <w:tcPr>
            <w:tcW w:w="860" w:type="dxa"/>
            <w:vAlign w:val="bottom"/>
            <w:shd w:val="clear" w:color="auto" w:fill="004054"/>
          </w:tcPr>
          <w:p>
            <w:pPr>
              <w:spacing w:after="0"/>
              <w:rPr>
                <w:sz w:val="4"/>
                <w:szCs w:val="4"/>
                <w:color w:val="auto"/>
              </w:rPr>
            </w:pPr>
          </w:p>
        </w:tc>
        <w:tc>
          <w:tcPr>
            <w:tcW w:w="160" w:type="dxa"/>
            <w:vAlign w:val="bottom"/>
            <w:shd w:val="clear" w:color="auto" w:fill="004054"/>
          </w:tcPr>
          <w:p>
            <w:pPr>
              <w:spacing w:after="0"/>
              <w:rPr>
                <w:sz w:val="4"/>
                <w:szCs w:val="4"/>
                <w:color w:val="auto"/>
              </w:rPr>
            </w:pPr>
          </w:p>
        </w:tc>
        <w:tc>
          <w:tcPr>
            <w:tcW w:w="500" w:type="dxa"/>
            <w:vAlign w:val="bottom"/>
            <w:shd w:val="clear" w:color="auto" w:fill="004054"/>
          </w:tcPr>
          <w:p>
            <w:pPr>
              <w:spacing w:after="0"/>
              <w:rPr>
                <w:sz w:val="4"/>
                <w:szCs w:val="4"/>
                <w:color w:val="auto"/>
              </w:rPr>
            </w:pPr>
          </w:p>
        </w:tc>
        <w:tc>
          <w:tcPr>
            <w:tcW w:w="980" w:type="dxa"/>
            <w:vAlign w:val="bottom"/>
            <w:shd w:val="clear" w:color="auto" w:fill="004054"/>
          </w:tcPr>
          <w:p>
            <w:pPr>
              <w:spacing w:after="0"/>
              <w:rPr>
                <w:sz w:val="4"/>
                <w:szCs w:val="4"/>
                <w:color w:val="auto"/>
              </w:rPr>
            </w:pPr>
          </w:p>
        </w:tc>
        <w:tc>
          <w:tcPr>
            <w:tcW w:w="100" w:type="dxa"/>
            <w:vAlign w:val="bottom"/>
            <w:shd w:val="clear" w:color="auto" w:fill="004054"/>
          </w:tcPr>
          <w:p>
            <w:pPr>
              <w:spacing w:after="0"/>
              <w:rPr>
                <w:sz w:val="4"/>
                <w:szCs w:val="4"/>
                <w:color w:val="auto"/>
              </w:rPr>
            </w:pPr>
          </w:p>
        </w:tc>
        <w:tc>
          <w:tcPr>
            <w:tcW w:w="720" w:type="dxa"/>
            <w:vAlign w:val="bottom"/>
            <w:shd w:val="clear" w:color="auto" w:fill="004054"/>
          </w:tcPr>
          <w:p>
            <w:pPr>
              <w:spacing w:after="0"/>
              <w:rPr>
                <w:sz w:val="4"/>
                <w:szCs w:val="4"/>
                <w:color w:val="auto"/>
              </w:rPr>
            </w:pPr>
          </w:p>
        </w:tc>
        <w:tc>
          <w:tcPr>
            <w:tcW w:w="260" w:type="dxa"/>
            <w:vAlign w:val="bottom"/>
            <w:shd w:val="clear" w:color="auto" w:fill="004054"/>
          </w:tcPr>
          <w:p>
            <w:pPr>
              <w:spacing w:after="0"/>
              <w:rPr>
                <w:sz w:val="4"/>
                <w:szCs w:val="4"/>
                <w:color w:val="auto"/>
              </w:rPr>
            </w:pPr>
          </w:p>
        </w:tc>
        <w:tc>
          <w:tcPr>
            <w:tcW w:w="660" w:type="dxa"/>
            <w:vAlign w:val="bottom"/>
            <w:vMerge w:val="continue"/>
            <w:shd w:val="clear" w:color="auto" w:fill="004054"/>
          </w:tcPr>
          <w:p>
            <w:pPr>
              <w:spacing w:after="0"/>
              <w:rPr>
                <w:sz w:val="4"/>
                <w:szCs w:val="4"/>
                <w:color w:val="auto"/>
              </w:rPr>
            </w:pPr>
          </w:p>
        </w:tc>
        <w:tc>
          <w:tcPr>
            <w:tcW w:w="220" w:type="dxa"/>
            <w:vAlign w:val="bottom"/>
            <w:shd w:val="clear" w:color="auto" w:fill="004054"/>
          </w:tcPr>
          <w:p>
            <w:pPr>
              <w:spacing w:after="0"/>
              <w:rPr>
                <w:sz w:val="4"/>
                <w:szCs w:val="4"/>
                <w:color w:val="auto"/>
              </w:rPr>
            </w:pPr>
          </w:p>
        </w:tc>
        <w:tc>
          <w:tcPr>
            <w:tcW w:w="880" w:type="dxa"/>
            <w:vAlign w:val="bottom"/>
            <w:vMerge w:val="continue"/>
            <w:shd w:val="clear" w:color="auto" w:fill="004054"/>
          </w:tcPr>
          <w:p>
            <w:pPr>
              <w:spacing w:after="0"/>
              <w:rPr>
                <w:sz w:val="4"/>
                <w:szCs w:val="4"/>
                <w:color w:val="auto"/>
              </w:rPr>
            </w:pPr>
          </w:p>
        </w:tc>
        <w:tc>
          <w:tcPr>
            <w:tcW w:w="200" w:type="dxa"/>
            <w:vAlign w:val="bottom"/>
            <w:shd w:val="clear" w:color="auto" w:fill="004054"/>
          </w:tcPr>
          <w:p>
            <w:pPr>
              <w:spacing w:after="0"/>
              <w:rPr>
                <w:sz w:val="4"/>
                <w:szCs w:val="4"/>
                <w:color w:val="auto"/>
              </w:rPr>
            </w:pPr>
          </w:p>
        </w:tc>
        <w:tc>
          <w:tcPr>
            <w:tcW w:w="600" w:type="dxa"/>
            <w:vAlign w:val="bottom"/>
            <w:vMerge w:val="continue"/>
            <w:shd w:val="clear" w:color="auto" w:fill="004054"/>
          </w:tcPr>
          <w:p>
            <w:pPr>
              <w:spacing w:after="0"/>
              <w:rPr>
                <w:sz w:val="4"/>
                <w:szCs w:val="4"/>
                <w:color w:val="auto"/>
              </w:rPr>
            </w:pPr>
          </w:p>
        </w:tc>
        <w:tc>
          <w:tcPr>
            <w:tcW w:w="220" w:type="dxa"/>
            <w:vAlign w:val="bottom"/>
            <w:shd w:val="clear" w:color="auto" w:fill="004054"/>
          </w:tcPr>
          <w:p>
            <w:pPr>
              <w:spacing w:after="0"/>
              <w:rPr>
                <w:sz w:val="4"/>
                <w:szCs w:val="4"/>
                <w:color w:val="auto"/>
              </w:rPr>
            </w:pPr>
          </w:p>
        </w:tc>
        <w:tc>
          <w:tcPr>
            <w:tcW w:w="780" w:type="dxa"/>
            <w:vAlign w:val="bottom"/>
            <w:vMerge w:val="continue"/>
            <w:shd w:val="clear" w:color="auto" w:fill="004054"/>
          </w:tcPr>
          <w:p>
            <w:pPr>
              <w:spacing w:after="0"/>
              <w:rPr>
                <w:sz w:val="4"/>
                <w:szCs w:val="4"/>
                <w:color w:val="auto"/>
              </w:rPr>
            </w:pPr>
          </w:p>
        </w:tc>
        <w:tc>
          <w:tcPr>
            <w:tcW w:w="260" w:type="dxa"/>
            <w:vAlign w:val="bottom"/>
            <w:tcBorders>
              <w:left w:val="single" w:sz="8" w:color="004054"/>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620" w:type="dxa"/>
            <w:vAlign w:val="bottom"/>
            <w:tcBorders>
              <w:bottom w:val="single" w:sz="8" w:color="004054"/>
            </w:tcBorders>
            <w:shd w:val="clear" w:color="auto" w:fill="004054"/>
          </w:tcPr>
          <w:p>
            <w:pPr>
              <w:ind w:left="20"/>
              <w:spacing w:after="0"/>
              <w:rPr>
                <w:sz w:val="20"/>
                <w:szCs w:val="20"/>
                <w:color w:val="auto"/>
              </w:rPr>
            </w:pPr>
            <w:r>
              <w:rPr>
                <w:rFonts w:ascii="Calibri" w:cs="Calibri" w:eastAsia="Calibri" w:hAnsi="Calibri"/>
                <w:sz w:val="11"/>
                <w:szCs w:val="11"/>
                <w:b w:val="1"/>
                <w:bCs w:val="1"/>
                <w:color w:val="FFFFFF"/>
              </w:rPr>
              <w:t>(dollars in thousands)</w:t>
            </w:r>
          </w:p>
        </w:tc>
        <w:tc>
          <w:tcPr>
            <w:tcW w:w="1260" w:type="dxa"/>
            <w:vAlign w:val="bottom"/>
            <w:tcBorders>
              <w:bottom w:val="single" w:sz="8" w:color="004054"/>
            </w:tcBorders>
            <w:shd w:val="clear" w:color="auto" w:fill="004054"/>
          </w:tcPr>
          <w:p>
            <w:pPr>
              <w:spacing w:after="0"/>
              <w:rPr>
                <w:sz w:val="15"/>
                <w:szCs w:val="15"/>
                <w:color w:val="auto"/>
              </w:rPr>
            </w:pPr>
          </w:p>
        </w:tc>
        <w:tc>
          <w:tcPr>
            <w:tcW w:w="860" w:type="dxa"/>
            <w:vAlign w:val="bottom"/>
            <w:tcBorders>
              <w:bottom w:val="single" w:sz="8" w:color="004054"/>
            </w:tcBorders>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Shares</w:t>
            </w:r>
          </w:p>
        </w:tc>
        <w:tc>
          <w:tcPr>
            <w:tcW w:w="160" w:type="dxa"/>
            <w:vAlign w:val="bottom"/>
            <w:tcBorders>
              <w:bottom w:val="single" w:sz="8" w:color="004054"/>
            </w:tcBorders>
            <w:shd w:val="clear" w:color="auto" w:fill="004054"/>
          </w:tcPr>
          <w:p>
            <w:pPr>
              <w:spacing w:after="0"/>
              <w:rPr>
                <w:sz w:val="15"/>
                <w:szCs w:val="15"/>
                <w:color w:val="auto"/>
              </w:rPr>
            </w:pPr>
          </w:p>
        </w:tc>
        <w:tc>
          <w:tcPr>
            <w:tcW w:w="500" w:type="dxa"/>
            <w:vAlign w:val="bottom"/>
            <w:tcBorders>
              <w:bottom w:val="single" w:sz="8" w:color="004054"/>
            </w:tcBorders>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Amount</w:t>
            </w:r>
          </w:p>
        </w:tc>
        <w:tc>
          <w:tcPr>
            <w:tcW w:w="980" w:type="dxa"/>
            <w:vAlign w:val="bottom"/>
            <w:tcBorders>
              <w:bottom w:val="single" w:sz="8" w:color="004054"/>
            </w:tcBorders>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Shares</w:t>
            </w:r>
          </w:p>
        </w:tc>
        <w:tc>
          <w:tcPr>
            <w:tcW w:w="100" w:type="dxa"/>
            <w:vAlign w:val="bottom"/>
            <w:tcBorders>
              <w:bottom w:val="single" w:sz="8" w:color="004054"/>
            </w:tcBorders>
            <w:shd w:val="clear" w:color="auto" w:fill="004054"/>
          </w:tcPr>
          <w:p>
            <w:pPr>
              <w:spacing w:after="0"/>
              <w:rPr>
                <w:sz w:val="15"/>
                <w:szCs w:val="15"/>
                <w:color w:val="auto"/>
              </w:rPr>
            </w:pPr>
          </w:p>
        </w:tc>
        <w:tc>
          <w:tcPr>
            <w:tcW w:w="720" w:type="dxa"/>
            <w:vAlign w:val="bottom"/>
            <w:tcBorders>
              <w:bottom w:val="single" w:sz="8" w:color="004054"/>
            </w:tcBorders>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Amount</w:t>
            </w:r>
          </w:p>
        </w:tc>
        <w:tc>
          <w:tcPr>
            <w:tcW w:w="260" w:type="dxa"/>
            <w:vAlign w:val="bottom"/>
            <w:tcBorders>
              <w:bottom w:val="single" w:sz="8" w:color="004054"/>
            </w:tcBorders>
            <w:shd w:val="clear" w:color="auto" w:fill="004054"/>
          </w:tcPr>
          <w:p>
            <w:pPr>
              <w:spacing w:after="0"/>
              <w:rPr>
                <w:sz w:val="15"/>
                <w:szCs w:val="15"/>
                <w:color w:val="auto"/>
              </w:rPr>
            </w:pPr>
          </w:p>
        </w:tc>
        <w:tc>
          <w:tcPr>
            <w:tcW w:w="660" w:type="dxa"/>
            <w:vAlign w:val="bottom"/>
            <w:tcBorders>
              <w:bottom w:val="single" w:sz="8" w:color="004054"/>
            </w:tcBorders>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capital</w:t>
            </w:r>
          </w:p>
        </w:tc>
        <w:tc>
          <w:tcPr>
            <w:tcW w:w="220" w:type="dxa"/>
            <w:vAlign w:val="bottom"/>
            <w:tcBorders>
              <w:bottom w:val="single" w:sz="8" w:color="004054"/>
            </w:tcBorders>
            <w:shd w:val="clear" w:color="auto" w:fill="004054"/>
          </w:tcPr>
          <w:p>
            <w:pPr>
              <w:spacing w:after="0"/>
              <w:rPr>
                <w:sz w:val="15"/>
                <w:szCs w:val="15"/>
                <w:color w:val="auto"/>
              </w:rPr>
            </w:pPr>
          </w:p>
        </w:tc>
        <w:tc>
          <w:tcPr>
            <w:tcW w:w="880" w:type="dxa"/>
            <w:vAlign w:val="bottom"/>
            <w:tcBorders>
              <w:bottom w:val="single" w:sz="8" w:color="004054"/>
            </w:tcBorders>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income</w:t>
            </w:r>
          </w:p>
        </w:tc>
        <w:tc>
          <w:tcPr>
            <w:tcW w:w="200" w:type="dxa"/>
            <w:vAlign w:val="bottom"/>
            <w:tcBorders>
              <w:bottom w:val="single" w:sz="8" w:color="004054"/>
            </w:tcBorders>
            <w:shd w:val="clear" w:color="auto" w:fill="004054"/>
          </w:tcPr>
          <w:p>
            <w:pPr>
              <w:spacing w:after="0"/>
              <w:rPr>
                <w:sz w:val="15"/>
                <w:szCs w:val="15"/>
                <w:color w:val="auto"/>
              </w:rPr>
            </w:pPr>
          </w:p>
        </w:tc>
        <w:tc>
          <w:tcPr>
            <w:tcW w:w="600" w:type="dxa"/>
            <w:vAlign w:val="bottom"/>
            <w:tcBorders>
              <w:bottom w:val="single" w:sz="8" w:color="004054"/>
            </w:tcBorders>
            <w:shd w:val="clear" w:color="auto" w:fill="004054"/>
          </w:tcPr>
          <w:p>
            <w:pPr>
              <w:jc w:val="center"/>
              <w:ind w:left="97"/>
              <w:spacing w:after="0"/>
              <w:rPr>
                <w:sz w:val="20"/>
                <w:szCs w:val="20"/>
                <w:color w:val="auto"/>
              </w:rPr>
            </w:pPr>
            <w:r>
              <w:rPr>
                <w:rFonts w:ascii="Calibri" w:cs="Calibri" w:eastAsia="Calibri" w:hAnsi="Calibri"/>
                <w:sz w:val="11"/>
                <w:szCs w:val="11"/>
                <w:b w:val="1"/>
                <w:bCs w:val="1"/>
                <w:color w:val="FFFFFF"/>
              </w:rPr>
              <w:t>earnings</w:t>
            </w:r>
          </w:p>
        </w:tc>
        <w:tc>
          <w:tcPr>
            <w:tcW w:w="220" w:type="dxa"/>
            <w:vAlign w:val="bottom"/>
            <w:tcBorders>
              <w:bottom w:val="single" w:sz="8" w:color="004054"/>
            </w:tcBorders>
            <w:shd w:val="clear" w:color="auto" w:fill="004054"/>
          </w:tcPr>
          <w:p>
            <w:pPr>
              <w:spacing w:after="0"/>
              <w:rPr>
                <w:sz w:val="15"/>
                <w:szCs w:val="15"/>
                <w:color w:val="auto"/>
              </w:rPr>
            </w:pPr>
          </w:p>
        </w:tc>
        <w:tc>
          <w:tcPr>
            <w:tcW w:w="780" w:type="dxa"/>
            <w:vAlign w:val="bottom"/>
            <w:tcBorders>
              <w:bottom w:val="single" w:sz="8" w:color="004054"/>
            </w:tcBorders>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equity</w:t>
            </w:r>
          </w:p>
        </w:tc>
        <w:tc>
          <w:tcPr>
            <w:tcW w:w="260" w:type="dxa"/>
            <w:vAlign w:val="bottom"/>
            <w:tcBorders>
              <w:left w:val="single" w:sz="8" w:color="004054"/>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620" w:type="dxa"/>
            <w:vAlign w:val="bottom"/>
            <w:tcBorders>
              <w:bottom w:val="single" w:sz="8" w:color="EBFBFF"/>
            </w:tcBorders>
            <w:shd w:val="clear" w:color="auto" w:fill="EBFBFF"/>
          </w:tcPr>
          <w:p>
            <w:pPr>
              <w:ind w:left="20"/>
              <w:spacing w:after="0" w:line="157" w:lineRule="exact"/>
              <w:rPr>
                <w:sz w:val="20"/>
                <w:szCs w:val="20"/>
                <w:color w:val="auto"/>
              </w:rPr>
            </w:pPr>
            <w:r>
              <w:rPr>
                <w:rFonts w:ascii="Calibri" w:cs="Calibri" w:eastAsia="Calibri" w:hAnsi="Calibri"/>
                <w:sz w:val="13"/>
                <w:szCs w:val="13"/>
                <w:b w:val="1"/>
                <w:bCs w:val="1"/>
                <w:color w:val="51555C"/>
              </w:rPr>
              <w:t>Balance at December 31, 2022</w:t>
            </w:r>
          </w:p>
        </w:tc>
        <w:tc>
          <w:tcPr>
            <w:tcW w:w="2120" w:type="dxa"/>
            <w:vAlign w:val="bottom"/>
            <w:tcBorders>
              <w:bottom w:val="single" w:sz="8" w:color="EBFBFF"/>
            </w:tcBorders>
            <w:gridSpan w:val="2"/>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67,814,044</w:t>
            </w:r>
          </w:p>
        </w:tc>
        <w:tc>
          <w:tcPr>
            <w:tcW w:w="160" w:type="dxa"/>
            <w:vAlign w:val="bottom"/>
            <w:tcBorders>
              <w:bottom w:val="single" w:sz="8" w:color="EBFBFF"/>
            </w:tcBorders>
            <w:shd w:val="clear" w:color="auto" w:fill="EBFBFF"/>
          </w:tcPr>
          <w:p>
            <w:pPr>
              <w:jc w:val="right"/>
              <w:ind w:right="16"/>
              <w:spacing w:after="0" w:line="157" w:lineRule="exact"/>
              <w:rPr>
                <w:sz w:val="20"/>
                <w:szCs w:val="20"/>
                <w:color w:val="auto"/>
              </w:rPr>
            </w:pPr>
            <w:r>
              <w:rPr>
                <w:rFonts w:ascii="Calibri" w:cs="Calibri" w:eastAsia="Calibri" w:hAnsi="Calibri"/>
                <w:sz w:val="13"/>
                <w:szCs w:val="13"/>
                <w:color w:val="51555C"/>
                <w:w w:val="90"/>
              </w:rPr>
              <w:t>$</w:t>
            </w:r>
          </w:p>
        </w:tc>
        <w:tc>
          <w:tcPr>
            <w:tcW w:w="50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68</w:t>
            </w:r>
          </w:p>
        </w:tc>
        <w:tc>
          <w:tcPr>
            <w:tcW w:w="98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(14,745,230)</w:t>
            </w:r>
          </w:p>
        </w:tc>
        <w:tc>
          <w:tcPr>
            <w:tcW w:w="10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w w:val="90"/>
              </w:rPr>
              <w:t>$</w:t>
            </w:r>
          </w:p>
        </w:tc>
        <w:tc>
          <w:tcPr>
            <w:tcW w:w="72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(537,287)</w:t>
            </w:r>
          </w:p>
        </w:tc>
        <w:tc>
          <w:tcPr>
            <w:tcW w:w="260" w:type="dxa"/>
            <w:vAlign w:val="bottom"/>
            <w:tcBorders>
              <w:bottom w:val="single" w:sz="8" w:color="EBFBFF"/>
            </w:tcBorders>
            <w:shd w:val="clear" w:color="auto" w:fill="EBFBFF"/>
          </w:tcPr>
          <w:p>
            <w:pPr>
              <w:jc w:val="right"/>
              <w:ind w:right="16"/>
              <w:spacing w:after="0" w:line="157" w:lineRule="exact"/>
              <w:rPr>
                <w:sz w:val="20"/>
                <w:szCs w:val="20"/>
                <w:color w:val="auto"/>
              </w:rPr>
            </w:pPr>
            <w:r>
              <w:rPr>
                <w:rFonts w:ascii="Calibri" w:cs="Calibri" w:eastAsia="Calibri" w:hAnsi="Calibri"/>
                <w:sz w:val="13"/>
                <w:szCs w:val="13"/>
                <w:color w:val="51555C"/>
              </w:rPr>
              <w:t>$</w:t>
            </w:r>
          </w:p>
        </w:tc>
        <w:tc>
          <w:tcPr>
            <w:tcW w:w="66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1,075,264</w:t>
            </w:r>
          </w:p>
        </w:tc>
        <w:tc>
          <w:tcPr>
            <w:tcW w:w="220" w:type="dxa"/>
            <w:vAlign w:val="bottom"/>
            <w:tcBorders>
              <w:bottom w:val="single" w:sz="8" w:color="EBFBFF"/>
            </w:tcBorders>
            <w:shd w:val="clear" w:color="auto" w:fill="EBFBFF"/>
          </w:tcPr>
          <w:p>
            <w:pPr>
              <w:jc w:val="right"/>
              <w:ind w:right="107"/>
              <w:spacing w:after="0"/>
              <w:rPr>
                <w:sz w:val="20"/>
                <w:szCs w:val="20"/>
                <w:color w:val="auto"/>
              </w:rPr>
            </w:pPr>
            <w:r>
              <w:rPr>
                <w:rFonts w:ascii="Calibri" w:cs="Calibri" w:eastAsia="Calibri" w:hAnsi="Calibri"/>
                <w:sz w:val="11"/>
                <w:szCs w:val="11"/>
                <w:color w:val="51555C"/>
                <w:w w:val="70"/>
              </w:rPr>
              <w:t>$</w:t>
            </w:r>
          </w:p>
        </w:tc>
        <w:tc>
          <w:tcPr>
            <w:tcW w:w="88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8,938</w:t>
            </w:r>
          </w:p>
        </w:tc>
        <w:tc>
          <w:tcPr>
            <w:tcW w:w="200" w:type="dxa"/>
            <w:vAlign w:val="bottom"/>
            <w:tcBorders>
              <w:bottom w:val="single" w:sz="8" w:color="EBFBFF"/>
            </w:tcBorders>
            <w:shd w:val="clear" w:color="auto" w:fill="EBFBFF"/>
          </w:tcPr>
          <w:p>
            <w:pPr>
              <w:jc w:val="center"/>
              <w:ind w:right="36"/>
              <w:spacing w:after="0" w:line="157" w:lineRule="exact"/>
              <w:rPr>
                <w:sz w:val="20"/>
                <w:szCs w:val="20"/>
                <w:color w:val="auto"/>
              </w:rPr>
            </w:pPr>
            <w:r>
              <w:rPr>
                <w:rFonts w:ascii="Calibri" w:cs="Calibri" w:eastAsia="Calibri" w:hAnsi="Calibri"/>
                <w:sz w:val="13"/>
                <w:szCs w:val="13"/>
                <w:color w:val="51555C"/>
                <w:w w:val="90"/>
              </w:rPr>
              <w:t>$</w:t>
            </w:r>
          </w:p>
        </w:tc>
        <w:tc>
          <w:tcPr>
            <w:tcW w:w="60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197,049</w:t>
            </w:r>
          </w:p>
        </w:tc>
        <w:tc>
          <w:tcPr>
            <w:tcW w:w="220" w:type="dxa"/>
            <w:vAlign w:val="bottom"/>
            <w:tcBorders>
              <w:bottom w:val="single" w:sz="8" w:color="EBFBFF"/>
            </w:tcBorders>
            <w:shd w:val="clear" w:color="auto" w:fill="EBFBFF"/>
          </w:tcPr>
          <w:p>
            <w:pPr>
              <w:jc w:val="right"/>
              <w:ind w:right="76"/>
              <w:spacing w:after="0" w:line="157" w:lineRule="exact"/>
              <w:rPr>
                <w:sz w:val="20"/>
                <w:szCs w:val="20"/>
                <w:color w:val="auto"/>
              </w:rPr>
            </w:pPr>
            <w:r>
              <w:rPr>
                <w:rFonts w:ascii="Calibri" w:cs="Calibri" w:eastAsia="Calibri" w:hAnsi="Calibri"/>
                <w:sz w:val="13"/>
                <w:szCs w:val="13"/>
                <w:color w:val="51555C"/>
                <w:w w:val="90"/>
              </w:rPr>
              <w:t>$</w:t>
            </w:r>
          </w:p>
        </w:tc>
        <w:tc>
          <w:tcPr>
            <w:tcW w:w="78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744,032</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620" w:type="dxa"/>
            <w:vAlign w:val="bottom"/>
          </w:tcPr>
          <w:p>
            <w:pPr>
              <w:ind w:left="100"/>
              <w:spacing w:after="0" w:line="157" w:lineRule="exact"/>
              <w:rPr>
                <w:sz w:val="20"/>
                <w:szCs w:val="20"/>
                <w:color w:val="auto"/>
              </w:rPr>
            </w:pPr>
            <w:r>
              <w:rPr>
                <w:rFonts w:ascii="Calibri" w:cs="Calibri" w:eastAsia="Calibri" w:hAnsi="Calibri"/>
                <w:sz w:val="13"/>
                <w:szCs w:val="13"/>
                <w:color w:val="51555C"/>
              </w:rPr>
              <w:t>Net loss</w:t>
            </w:r>
          </w:p>
        </w:tc>
        <w:tc>
          <w:tcPr>
            <w:tcW w:w="1260" w:type="dxa"/>
            <w:vAlign w:val="bottom"/>
          </w:tcPr>
          <w:p>
            <w:pPr>
              <w:spacing w:after="0"/>
              <w:rPr>
                <w:sz w:val="13"/>
                <w:szCs w:val="13"/>
                <w:color w:val="auto"/>
              </w:rPr>
            </w:pPr>
          </w:p>
        </w:tc>
        <w:tc>
          <w:tcPr>
            <w:tcW w:w="860" w:type="dxa"/>
            <w:vAlign w:val="bottom"/>
          </w:tcPr>
          <w:p>
            <w:pPr>
              <w:jc w:val="right"/>
              <w:spacing w:after="0" w:line="157" w:lineRule="exact"/>
              <w:rPr>
                <w:sz w:val="20"/>
                <w:szCs w:val="20"/>
                <w:color w:val="auto"/>
              </w:rPr>
            </w:pPr>
            <w:r>
              <w:rPr>
                <w:rFonts w:ascii="Calibri" w:cs="Calibri" w:eastAsia="Calibri" w:hAnsi="Calibri"/>
                <w:sz w:val="13"/>
                <w:szCs w:val="13"/>
                <w:color w:val="51555C"/>
              </w:rPr>
              <w:t>—</w:t>
            </w:r>
          </w:p>
        </w:tc>
        <w:tc>
          <w:tcPr>
            <w:tcW w:w="160" w:type="dxa"/>
            <w:vAlign w:val="bottom"/>
          </w:tcPr>
          <w:p>
            <w:pPr>
              <w:spacing w:after="0"/>
              <w:rPr>
                <w:sz w:val="13"/>
                <w:szCs w:val="13"/>
                <w:color w:val="auto"/>
              </w:rPr>
            </w:pPr>
          </w:p>
        </w:tc>
        <w:tc>
          <w:tcPr>
            <w:tcW w:w="500" w:type="dxa"/>
            <w:vAlign w:val="bottom"/>
          </w:tcPr>
          <w:p>
            <w:pPr>
              <w:jc w:val="right"/>
              <w:spacing w:after="0" w:line="157" w:lineRule="exact"/>
              <w:rPr>
                <w:sz w:val="20"/>
                <w:szCs w:val="20"/>
                <w:color w:val="auto"/>
              </w:rPr>
            </w:pPr>
            <w:r>
              <w:rPr>
                <w:rFonts w:ascii="Calibri" w:cs="Calibri" w:eastAsia="Calibri" w:hAnsi="Calibri"/>
                <w:sz w:val="13"/>
                <w:szCs w:val="13"/>
                <w:color w:val="51555C"/>
              </w:rPr>
              <w:t>—</w:t>
            </w:r>
          </w:p>
        </w:tc>
        <w:tc>
          <w:tcPr>
            <w:tcW w:w="980" w:type="dxa"/>
            <w:vAlign w:val="bottom"/>
          </w:tcPr>
          <w:p>
            <w:pPr>
              <w:jc w:val="right"/>
              <w:spacing w:after="0" w:line="157" w:lineRule="exact"/>
              <w:rPr>
                <w:sz w:val="20"/>
                <w:szCs w:val="20"/>
                <w:color w:val="auto"/>
              </w:rPr>
            </w:pPr>
            <w:r>
              <w:rPr>
                <w:rFonts w:ascii="Calibri" w:cs="Calibri" w:eastAsia="Calibri" w:hAnsi="Calibri"/>
                <w:sz w:val="13"/>
                <w:szCs w:val="13"/>
                <w:color w:val="51555C"/>
              </w:rPr>
              <w:t>—</w:t>
            </w:r>
          </w:p>
        </w:tc>
        <w:tc>
          <w:tcPr>
            <w:tcW w:w="100" w:type="dxa"/>
            <w:vAlign w:val="bottom"/>
          </w:tcPr>
          <w:p>
            <w:pPr>
              <w:spacing w:after="0"/>
              <w:rPr>
                <w:sz w:val="13"/>
                <w:szCs w:val="13"/>
                <w:color w:val="auto"/>
              </w:rPr>
            </w:pPr>
          </w:p>
        </w:tc>
        <w:tc>
          <w:tcPr>
            <w:tcW w:w="720" w:type="dxa"/>
            <w:vAlign w:val="bottom"/>
          </w:tcPr>
          <w:p>
            <w:pPr>
              <w:jc w:val="right"/>
              <w:spacing w:after="0" w:line="157" w:lineRule="exact"/>
              <w:rPr>
                <w:sz w:val="20"/>
                <w:szCs w:val="20"/>
                <w:color w:val="auto"/>
              </w:rPr>
            </w:pPr>
            <w:r>
              <w:rPr>
                <w:rFonts w:ascii="Calibri" w:cs="Calibri" w:eastAsia="Calibri" w:hAnsi="Calibri"/>
                <w:sz w:val="13"/>
                <w:szCs w:val="13"/>
                <w:color w:val="51555C"/>
              </w:rPr>
              <w:t>—</w:t>
            </w:r>
          </w:p>
        </w:tc>
        <w:tc>
          <w:tcPr>
            <w:tcW w:w="260" w:type="dxa"/>
            <w:vAlign w:val="bottom"/>
          </w:tcPr>
          <w:p>
            <w:pPr>
              <w:spacing w:after="0"/>
              <w:rPr>
                <w:sz w:val="13"/>
                <w:szCs w:val="13"/>
                <w:color w:val="auto"/>
              </w:rPr>
            </w:pPr>
          </w:p>
        </w:tc>
        <w:tc>
          <w:tcPr>
            <w:tcW w:w="660" w:type="dxa"/>
            <w:vAlign w:val="bottom"/>
          </w:tcPr>
          <w:p>
            <w:pPr>
              <w:jc w:val="right"/>
              <w:spacing w:after="0" w:line="157" w:lineRule="exact"/>
              <w:rPr>
                <w:sz w:val="20"/>
                <w:szCs w:val="20"/>
                <w:color w:val="auto"/>
              </w:rPr>
            </w:pPr>
            <w:r>
              <w:rPr>
                <w:rFonts w:ascii="Calibri" w:cs="Calibri" w:eastAsia="Calibri" w:hAnsi="Calibri"/>
                <w:sz w:val="13"/>
                <w:szCs w:val="13"/>
                <w:color w:val="51555C"/>
              </w:rPr>
              <w:t>—</w:t>
            </w:r>
          </w:p>
        </w:tc>
        <w:tc>
          <w:tcPr>
            <w:tcW w:w="220" w:type="dxa"/>
            <w:vAlign w:val="bottom"/>
          </w:tcPr>
          <w:p>
            <w:pPr>
              <w:spacing w:after="0"/>
              <w:rPr>
                <w:sz w:val="13"/>
                <w:szCs w:val="13"/>
                <w:color w:val="auto"/>
              </w:rPr>
            </w:pPr>
          </w:p>
        </w:tc>
        <w:tc>
          <w:tcPr>
            <w:tcW w:w="880" w:type="dxa"/>
            <w:vAlign w:val="bottom"/>
          </w:tcPr>
          <w:p>
            <w:pPr>
              <w:jc w:val="right"/>
              <w:spacing w:after="0" w:line="157" w:lineRule="exact"/>
              <w:rPr>
                <w:sz w:val="20"/>
                <w:szCs w:val="20"/>
                <w:color w:val="auto"/>
              </w:rPr>
            </w:pPr>
            <w:r>
              <w:rPr>
                <w:rFonts w:ascii="Calibri" w:cs="Calibri" w:eastAsia="Calibri" w:hAnsi="Calibri"/>
                <w:sz w:val="13"/>
                <w:szCs w:val="13"/>
                <w:color w:val="51555C"/>
              </w:rPr>
              <w:t>—</w:t>
            </w:r>
          </w:p>
        </w:tc>
        <w:tc>
          <w:tcPr>
            <w:tcW w:w="200" w:type="dxa"/>
            <w:vAlign w:val="bottom"/>
          </w:tcPr>
          <w:p>
            <w:pPr>
              <w:spacing w:after="0"/>
              <w:rPr>
                <w:sz w:val="13"/>
                <w:szCs w:val="13"/>
                <w:color w:val="auto"/>
              </w:rPr>
            </w:pPr>
          </w:p>
        </w:tc>
        <w:tc>
          <w:tcPr>
            <w:tcW w:w="600" w:type="dxa"/>
            <w:vAlign w:val="bottom"/>
          </w:tcPr>
          <w:p>
            <w:pPr>
              <w:jc w:val="center"/>
              <w:ind w:left="57"/>
              <w:spacing w:after="0" w:line="157" w:lineRule="exact"/>
              <w:rPr>
                <w:sz w:val="20"/>
                <w:szCs w:val="20"/>
                <w:color w:val="auto"/>
              </w:rPr>
            </w:pPr>
            <w:r>
              <w:rPr>
                <w:rFonts w:ascii="Calibri" w:cs="Calibri" w:eastAsia="Calibri" w:hAnsi="Calibri"/>
                <w:sz w:val="13"/>
                <w:szCs w:val="13"/>
                <w:color w:val="51555C"/>
                <w:w w:val="99"/>
              </w:rPr>
              <w:t>(14,701)</w:t>
            </w:r>
          </w:p>
        </w:tc>
        <w:tc>
          <w:tcPr>
            <w:tcW w:w="220" w:type="dxa"/>
            <w:vAlign w:val="bottom"/>
          </w:tcPr>
          <w:p>
            <w:pPr>
              <w:spacing w:after="0"/>
              <w:rPr>
                <w:sz w:val="13"/>
                <w:szCs w:val="13"/>
                <w:color w:val="auto"/>
              </w:rPr>
            </w:pPr>
          </w:p>
        </w:tc>
        <w:tc>
          <w:tcPr>
            <w:tcW w:w="780" w:type="dxa"/>
            <w:vAlign w:val="bottom"/>
          </w:tcPr>
          <w:p>
            <w:pPr>
              <w:jc w:val="right"/>
              <w:spacing w:after="0" w:line="157" w:lineRule="exact"/>
              <w:rPr>
                <w:sz w:val="20"/>
                <w:szCs w:val="20"/>
                <w:color w:val="auto"/>
              </w:rPr>
            </w:pPr>
            <w:r>
              <w:rPr>
                <w:rFonts w:ascii="Calibri" w:cs="Calibri" w:eastAsia="Calibri" w:hAnsi="Calibri"/>
                <w:sz w:val="13"/>
                <w:szCs w:val="13"/>
                <w:color w:val="51555C"/>
              </w:rPr>
              <w:t>(14,701)</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6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620" w:type="dxa"/>
            <w:vAlign w:val="bottom"/>
            <w:tcBorders>
              <w:bottom w:val="single" w:sz="8" w:color="EBFBFF"/>
            </w:tcBorders>
            <w:shd w:val="clear" w:color="auto" w:fill="EBFBFF"/>
          </w:tcPr>
          <w:p>
            <w:pPr>
              <w:ind w:left="100"/>
              <w:spacing w:after="0" w:line="157" w:lineRule="exact"/>
              <w:rPr>
                <w:sz w:val="20"/>
                <w:szCs w:val="20"/>
                <w:color w:val="auto"/>
              </w:rPr>
            </w:pPr>
            <w:r>
              <w:rPr>
                <w:rFonts w:ascii="Calibri" w:cs="Calibri" w:eastAsia="Calibri" w:hAnsi="Calibri"/>
                <w:sz w:val="13"/>
                <w:szCs w:val="13"/>
                <w:color w:val="51555C"/>
              </w:rPr>
              <w:t>Vestng of restricted stock units</w:t>
            </w:r>
          </w:p>
        </w:tc>
        <w:tc>
          <w:tcPr>
            <w:tcW w:w="2120" w:type="dxa"/>
            <w:vAlign w:val="bottom"/>
            <w:tcBorders>
              <w:bottom w:val="single" w:sz="8" w:color="EBFBFF"/>
            </w:tcBorders>
            <w:gridSpan w:val="2"/>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954,147</w:t>
            </w:r>
          </w:p>
        </w:tc>
        <w:tc>
          <w:tcPr>
            <w:tcW w:w="160" w:type="dxa"/>
            <w:vAlign w:val="bottom"/>
            <w:tcBorders>
              <w:bottom w:val="single" w:sz="8" w:color="EBFBFF"/>
            </w:tcBorders>
            <w:shd w:val="clear" w:color="auto" w:fill="EBFBFF"/>
          </w:tcPr>
          <w:p>
            <w:pPr>
              <w:spacing w:after="0"/>
              <w:rPr>
                <w:sz w:val="14"/>
                <w:szCs w:val="14"/>
                <w:color w:val="auto"/>
              </w:rPr>
            </w:pPr>
          </w:p>
        </w:tc>
        <w:tc>
          <w:tcPr>
            <w:tcW w:w="50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w:t>
            </w:r>
          </w:p>
        </w:tc>
        <w:tc>
          <w:tcPr>
            <w:tcW w:w="98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w:t>
            </w:r>
          </w:p>
        </w:tc>
        <w:tc>
          <w:tcPr>
            <w:tcW w:w="100" w:type="dxa"/>
            <w:vAlign w:val="bottom"/>
            <w:tcBorders>
              <w:bottom w:val="single" w:sz="8" w:color="EBFBFF"/>
            </w:tcBorders>
            <w:shd w:val="clear" w:color="auto" w:fill="EBFBFF"/>
          </w:tcPr>
          <w:p>
            <w:pPr>
              <w:spacing w:after="0"/>
              <w:rPr>
                <w:sz w:val="14"/>
                <w:szCs w:val="14"/>
                <w:color w:val="auto"/>
              </w:rPr>
            </w:pPr>
          </w:p>
        </w:tc>
        <w:tc>
          <w:tcPr>
            <w:tcW w:w="72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w:t>
            </w:r>
          </w:p>
        </w:tc>
        <w:tc>
          <w:tcPr>
            <w:tcW w:w="260" w:type="dxa"/>
            <w:vAlign w:val="bottom"/>
            <w:tcBorders>
              <w:bottom w:val="single" w:sz="8" w:color="EBFBFF"/>
            </w:tcBorders>
            <w:shd w:val="clear" w:color="auto" w:fill="EBFBFF"/>
          </w:tcPr>
          <w:p>
            <w:pPr>
              <w:spacing w:after="0"/>
              <w:rPr>
                <w:sz w:val="14"/>
                <w:szCs w:val="14"/>
                <w:color w:val="auto"/>
              </w:rPr>
            </w:pPr>
          </w:p>
        </w:tc>
        <w:tc>
          <w:tcPr>
            <w:tcW w:w="66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w:t>
            </w:r>
          </w:p>
        </w:tc>
        <w:tc>
          <w:tcPr>
            <w:tcW w:w="220" w:type="dxa"/>
            <w:vAlign w:val="bottom"/>
            <w:tcBorders>
              <w:bottom w:val="single" w:sz="8" w:color="EBFBFF"/>
            </w:tcBorders>
            <w:shd w:val="clear" w:color="auto" w:fill="EBFBFF"/>
          </w:tcPr>
          <w:p>
            <w:pPr>
              <w:spacing w:after="0"/>
              <w:rPr>
                <w:sz w:val="14"/>
                <w:szCs w:val="14"/>
                <w:color w:val="auto"/>
              </w:rPr>
            </w:pPr>
          </w:p>
        </w:tc>
        <w:tc>
          <w:tcPr>
            <w:tcW w:w="88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w:t>
            </w:r>
          </w:p>
        </w:tc>
        <w:tc>
          <w:tcPr>
            <w:tcW w:w="200" w:type="dxa"/>
            <w:vAlign w:val="bottom"/>
            <w:tcBorders>
              <w:bottom w:val="single" w:sz="8" w:color="EBFBFF"/>
            </w:tcBorders>
            <w:shd w:val="clear" w:color="auto" w:fill="EBFBFF"/>
          </w:tcPr>
          <w:p>
            <w:pPr>
              <w:spacing w:after="0"/>
              <w:rPr>
                <w:sz w:val="14"/>
                <w:szCs w:val="14"/>
                <w:color w:val="auto"/>
              </w:rPr>
            </w:pPr>
          </w:p>
        </w:tc>
        <w:tc>
          <w:tcPr>
            <w:tcW w:w="60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w:t>
            </w:r>
          </w:p>
        </w:tc>
        <w:tc>
          <w:tcPr>
            <w:tcW w:w="220" w:type="dxa"/>
            <w:vAlign w:val="bottom"/>
            <w:tcBorders>
              <w:bottom w:val="single" w:sz="8" w:color="EBFBFF"/>
            </w:tcBorders>
            <w:shd w:val="clear" w:color="auto" w:fill="EBFBFF"/>
          </w:tcPr>
          <w:p>
            <w:pPr>
              <w:spacing w:after="0"/>
              <w:rPr>
                <w:sz w:val="14"/>
                <w:szCs w:val="14"/>
                <w:color w:val="auto"/>
              </w:rPr>
            </w:pPr>
          </w:p>
        </w:tc>
        <w:tc>
          <w:tcPr>
            <w:tcW w:w="78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620" w:type="dxa"/>
            <w:vAlign w:val="bottom"/>
          </w:tcPr>
          <w:p>
            <w:pPr>
              <w:ind w:left="100"/>
              <w:spacing w:after="0" w:line="157" w:lineRule="exact"/>
              <w:rPr>
                <w:sz w:val="20"/>
                <w:szCs w:val="20"/>
                <w:color w:val="auto"/>
              </w:rPr>
            </w:pPr>
            <w:r>
              <w:rPr>
                <w:rFonts w:ascii="Calibri" w:cs="Calibri" w:eastAsia="Calibri" w:hAnsi="Calibri"/>
                <w:sz w:val="13"/>
                <w:szCs w:val="13"/>
                <w:color w:val="51555C"/>
              </w:rPr>
              <w:t>Shares withheld to satsfy tax withholdings</w:t>
            </w:r>
          </w:p>
        </w:tc>
        <w:tc>
          <w:tcPr>
            <w:tcW w:w="1260" w:type="dxa"/>
            <w:vAlign w:val="bottom"/>
          </w:tcPr>
          <w:p>
            <w:pPr>
              <w:spacing w:after="0"/>
              <w:rPr>
                <w:sz w:val="13"/>
                <w:szCs w:val="13"/>
                <w:color w:val="auto"/>
              </w:rPr>
            </w:pPr>
          </w:p>
        </w:tc>
        <w:tc>
          <w:tcPr>
            <w:tcW w:w="860" w:type="dxa"/>
            <w:vAlign w:val="bottom"/>
          </w:tcPr>
          <w:p>
            <w:pPr>
              <w:jc w:val="right"/>
              <w:spacing w:after="0" w:line="157" w:lineRule="exact"/>
              <w:rPr>
                <w:sz w:val="20"/>
                <w:szCs w:val="20"/>
                <w:color w:val="auto"/>
              </w:rPr>
            </w:pPr>
            <w:r>
              <w:rPr>
                <w:rFonts w:ascii="Calibri" w:cs="Calibri" w:eastAsia="Calibri" w:hAnsi="Calibri"/>
                <w:sz w:val="13"/>
                <w:szCs w:val="13"/>
                <w:color w:val="51555C"/>
              </w:rPr>
              <w:t>—</w:t>
            </w:r>
          </w:p>
        </w:tc>
        <w:tc>
          <w:tcPr>
            <w:tcW w:w="160" w:type="dxa"/>
            <w:vAlign w:val="bottom"/>
          </w:tcPr>
          <w:p>
            <w:pPr>
              <w:spacing w:after="0"/>
              <w:rPr>
                <w:sz w:val="13"/>
                <w:szCs w:val="13"/>
                <w:color w:val="auto"/>
              </w:rPr>
            </w:pPr>
          </w:p>
        </w:tc>
        <w:tc>
          <w:tcPr>
            <w:tcW w:w="500" w:type="dxa"/>
            <w:vAlign w:val="bottom"/>
          </w:tcPr>
          <w:p>
            <w:pPr>
              <w:jc w:val="right"/>
              <w:spacing w:after="0" w:line="157" w:lineRule="exact"/>
              <w:rPr>
                <w:sz w:val="20"/>
                <w:szCs w:val="20"/>
                <w:color w:val="auto"/>
              </w:rPr>
            </w:pPr>
            <w:r>
              <w:rPr>
                <w:rFonts w:ascii="Calibri" w:cs="Calibri" w:eastAsia="Calibri" w:hAnsi="Calibri"/>
                <w:sz w:val="13"/>
                <w:szCs w:val="13"/>
                <w:color w:val="51555C"/>
              </w:rPr>
              <w:t>—</w:t>
            </w:r>
          </w:p>
        </w:tc>
        <w:tc>
          <w:tcPr>
            <w:tcW w:w="980" w:type="dxa"/>
            <w:vAlign w:val="bottom"/>
          </w:tcPr>
          <w:p>
            <w:pPr>
              <w:jc w:val="right"/>
              <w:spacing w:after="0" w:line="157" w:lineRule="exact"/>
              <w:rPr>
                <w:sz w:val="20"/>
                <w:szCs w:val="20"/>
                <w:color w:val="auto"/>
              </w:rPr>
            </w:pPr>
            <w:r>
              <w:rPr>
                <w:rFonts w:ascii="Calibri" w:cs="Calibri" w:eastAsia="Calibri" w:hAnsi="Calibri"/>
                <w:sz w:val="13"/>
                <w:szCs w:val="13"/>
                <w:color w:val="51555C"/>
              </w:rPr>
              <w:t>(533,597)</w:t>
            </w:r>
          </w:p>
        </w:tc>
        <w:tc>
          <w:tcPr>
            <w:tcW w:w="100" w:type="dxa"/>
            <w:vAlign w:val="bottom"/>
          </w:tcPr>
          <w:p>
            <w:pPr>
              <w:spacing w:after="0"/>
              <w:rPr>
                <w:sz w:val="13"/>
                <w:szCs w:val="13"/>
                <w:color w:val="auto"/>
              </w:rPr>
            </w:pPr>
          </w:p>
        </w:tc>
        <w:tc>
          <w:tcPr>
            <w:tcW w:w="720" w:type="dxa"/>
            <w:vAlign w:val="bottom"/>
          </w:tcPr>
          <w:p>
            <w:pPr>
              <w:jc w:val="right"/>
              <w:spacing w:after="0" w:line="157" w:lineRule="exact"/>
              <w:rPr>
                <w:sz w:val="20"/>
                <w:szCs w:val="20"/>
                <w:color w:val="auto"/>
              </w:rPr>
            </w:pPr>
            <w:r>
              <w:rPr>
                <w:rFonts w:ascii="Calibri" w:cs="Calibri" w:eastAsia="Calibri" w:hAnsi="Calibri"/>
                <w:sz w:val="13"/>
                <w:szCs w:val="13"/>
                <w:color w:val="51555C"/>
              </w:rPr>
              <w:t>(30,990)</w:t>
            </w:r>
          </w:p>
        </w:tc>
        <w:tc>
          <w:tcPr>
            <w:tcW w:w="260" w:type="dxa"/>
            <w:vAlign w:val="bottom"/>
          </w:tcPr>
          <w:p>
            <w:pPr>
              <w:spacing w:after="0"/>
              <w:rPr>
                <w:sz w:val="13"/>
                <w:szCs w:val="13"/>
                <w:color w:val="auto"/>
              </w:rPr>
            </w:pPr>
          </w:p>
        </w:tc>
        <w:tc>
          <w:tcPr>
            <w:tcW w:w="660" w:type="dxa"/>
            <w:vAlign w:val="bottom"/>
          </w:tcPr>
          <w:p>
            <w:pPr>
              <w:jc w:val="right"/>
              <w:spacing w:after="0" w:line="157" w:lineRule="exact"/>
              <w:rPr>
                <w:sz w:val="20"/>
                <w:szCs w:val="20"/>
                <w:color w:val="auto"/>
              </w:rPr>
            </w:pPr>
            <w:r>
              <w:rPr>
                <w:rFonts w:ascii="Calibri" w:cs="Calibri" w:eastAsia="Calibri" w:hAnsi="Calibri"/>
                <w:sz w:val="13"/>
                <w:szCs w:val="13"/>
                <w:color w:val="51555C"/>
              </w:rPr>
              <w:t>—</w:t>
            </w:r>
          </w:p>
        </w:tc>
        <w:tc>
          <w:tcPr>
            <w:tcW w:w="220" w:type="dxa"/>
            <w:vAlign w:val="bottom"/>
          </w:tcPr>
          <w:p>
            <w:pPr>
              <w:spacing w:after="0"/>
              <w:rPr>
                <w:sz w:val="13"/>
                <w:szCs w:val="13"/>
                <w:color w:val="auto"/>
              </w:rPr>
            </w:pPr>
          </w:p>
        </w:tc>
        <w:tc>
          <w:tcPr>
            <w:tcW w:w="880" w:type="dxa"/>
            <w:vAlign w:val="bottom"/>
          </w:tcPr>
          <w:p>
            <w:pPr>
              <w:jc w:val="right"/>
              <w:spacing w:after="0" w:line="157" w:lineRule="exact"/>
              <w:rPr>
                <w:sz w:val="20"/>
                <w:szCs w:val="20"/>
                <w:color w:val="auto"/>
              </w:rPr>
            </w:pPr>
            <w:r>
              <w:rPr>
                <w:rFonts w:ascii="Calibri" w:cs="Calibri" w:eastAsia="Calibri" w:hAnsi="Calibri"/>
                <w:sz w:val="13"/>
                <w:szCs w:val="13"/>
                <w:color w:val="51555C"/>
              </w:rPr>
              <w:t>—</w:t>
            </w:r>
          </w:p>
        </w:tc>
        <w:tc>
          <w:tcPr>
            <w:tcW w:w="200" w:type="dxa"/>
            <w:vAlign w:val="bottom"/>
          </w:tcPr>
          <w:p>
            <w:pPr>
              <w:spacing w:after="0"/>
              <w:rPr>
                <w:sz w:val="13"/>
                <w:szCs w:val="13"/>
                <w:color w:val="auto"/>
              </w:rPr>
            </w:pPr>
          </w:p>
        </w:tc>
        <w:tc>
          <w:tcPr>
            <w:tcW w:w="600" w:type="dxa"/>
            <w:vAlign w:val="bottom"/>
          </w:tcPr>
          <w:p>
            <w:pPr>
              <w:jc w:val="right"/>
              <w:spacing w:after="0" w:line="157" w:lineRule="exact"/>
              <w:rPr>
                <w:sz w:val="20"/>
                <w:szCs w:val="20"/>
                <w:color w:val="auto"/>
              </w:rPr>
            </w:pPr>
            <w:r>
              <w:rPr>
                <w:rFonts w:ascii="Calibri" w:cs="Calibri" w:eastAsia="Calibri" w:hAnsi="Calibri"/>
                <w:sz w:val="13"/>
                <w:szCs w:val="13"/>
                <w:color w:val="51555C"/>
              </w:rPr>
              <w:t>—</w:t>
            </w:r>
          </w:p>
        </w:tc>
        <w:tc>
          <w:tcPr>
            <w:tcW w:w="220" w:type="dxa"/>
            <w:vAlign w:val="bottom"/>
          </w:tcPr>
          <w:p>
            <w:pPr>
              <w:spacing w:after="0"/>
              <w:rPr>
                <w:sz w:val="13"/>
                <w:szCs w:val="13"/>
                <w:color w:val="auto"/>
              </w:rPr>
            </w:pPr>
          </w:p>
        </w:tc>
        <w:tc>
          <w:tcPr>
            <w:tcW w:w="780" w:type="dxa"/>
            <w:vAlign w:val="bottom"/>
          </w:tcPr>
          <w:p>
            <w:pPr>
              <w:jc w:val="right"/>
              <w:spacing w:after="0" w:line="157" w:lineRule="exact"/>
              <w:rPr>
                <w:sz w:val="20"/>
                <w:szCs w:val="20"/>
                <w:color w:val="auto"/>
              </w:rPr>
            </w:pPr>
            <w:r>
              <w:rPr>
                <w:rFonts w:ascii="Calibri" w:cs="Calibri" w:eastAsia="Calibri" w:hAnsi="Calibri"/>
                <w:sz w:val="13"/>
                <w:szCs w:val="13"/>
                <w:color w:val="51555C"/>
              </w:rPr>
              <w:t>(30,990)</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6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620" w:type="dxa"/>
            <w:vAlign w:val="bottom"/>
            <w:tcBorders>
              <w:bottom w:val="single" w:sz="8" w:color="EBFBFF"/>
            </w:tcBorders>
            <w:shd w:val="clear" w:color="auto" w:fill="EBFBFF"/>
          </w:tcPr>
          <w:p>
            <w:pPr>
              <w:ind w:left="100"/>
              <w:spacing w:after="0" w:line="157" w:lineRule="exact"/>
              <w:rPr>
                <w:sz w:val="20"/>
                <w:szCs w:val="20"/>
                <w:color w:val="auto"/>
              </w:rPr>
            </w:pPr>
            <w:r>
              <w:rPr>
                <w:rFonts w:ascii="Calibri" w:cs="Calibri" w:eastAsia="Calibri" w:hAnsi="Calibri"/>
                <w:sz w:val="13"/>
                <w:szCs w:val="13"/>
                <w:color w:val="51555C"/>
              </w:rPr>
              <w:t>Stock-based compensaton</w:t>
            </w:r>
          </w:p>
        </w:tc>
        <w:tc>
          <w:tcPr>
            <w:tcW w:w="1260" w:type="dxa"/>
            <w:vAlign w:val="bottom"/>
            <w:tcBorders>
              <w:bottom w:val="single" w:sz="8" w:color="EBFBFF"/>
            </w:tcBorders>
            <w:shd w:val="clear" w:color="auto" w:fill="EBFBFF"/>
          </w:tcPr>
          <w:p>
            <w:pPr>
              <w:spacing w:after="0"/>
              <w:rPr>
                <w:sz w:val="14"/>
                <w:szCs w:val="14"/>
                <w:color w:val="auto"/>
              </w:rPr>
            </w:pPr>
          </w:p>
        </w:tc>
        <w:tc>
          <w:tcPr>
            <w:tcW w:w="86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w:t>
            </w:r>
          </w:p>
        </w:tc>
        <w:tc>
          <w:tcPr>
            <w:tcW w:w="160" w:type="dxa"/>
            <w:vAlign w:val="bottom"/>
            <w:tcBorders>
              <w:bottom w:val="single" w:sz="8" w:color="EBFBFF"/>
            </w:tcBorders>
            <w:shd w:val="clear" w:color="auto" w:fill="EBFBFF"/>
          </w:tcPr>
          <w:p>
            <w:pPr>
              <w:spacing w:after="0"/>
              <w:rPr>
                <w:sz w:val="14"/>
                <w:szCs w:val="14"/>
                <w:color w:val="auto"/>
              </w:rPr>
            </w:pPr>
          </w:p>
        </w:tc>
        <w:tc>
          <w:tcPr>
            <w:tcW w:w="50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w:t>
            </w:r>
          </w:p>
        </w:tc>
        <w:tc>
          <w:tcPr>
            <w:tcW w:w="98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w:t>
            </w:r>
          </w:p>
        </w:tc>
        <w:tc>
          <w:tcPr>
            <w:tcW w:w="100" w:type="dxa"/>
            <w:vAlign w:val="bottom"/>
            <w:tcBorders>
              <w:bottom w:val="single" w:sz="8" w:color="EBFBFF"/>
            </w:tcBorders>
            <w:shd w:val="clear" w:color="auto" w:fill="EBFBFF"/>
          </w:tcPr>
          <w:p>
            <w:pPr>
              <w:spacing w:after="0"/>
              <w:rPr>
                <w:sz w:val="14"/>
                <w:szCs w:val="14"/>
                <w:color w:val="auto"/>
              </w:rPr>
            </w:pPr>
          </w:p>
        </w:tc>
        <w:tc>
          <w:tcPr>
            <w:tcW w:w="72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w:t>
            </w:r>
          </w:p>
        </w:tc>
        <w:tc>
          <w:tcPr>
            <w:tcW w:w="260" w:type="dxa"/>
            <w:vAlign w:val="bottom"/>
            <w:tcBorders>
              <w:bottom w:val="single" w:sz="8" w:color="EBFBFF"/>
            </w:tcBorders>
            <w:shd w:val="clear" w:color="auto" w:fill="EBFBFF"/>
          </w:tcPr>
          <w:p>
            <w:pPr>
              <w:spacing w:after="0"/>
              <w:rPr>
                <w:sz w:val="14"/>
                <w:szCs w:val="14"/>
                <w:color w:val="auto"/>
              </w:rPr>
            </w:pPr>
          </w:p>
        </w:tc>
        <w:tc>
          <w:tcPr>
            <w:tcW w:w="66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29,925</w:t>
            </w:r>
          </w:p>
        </w:tc>
        <w:tc>
          <w:tcPr>
            <w:tcW w:w="220" w:type="dxa"/>
            <w:vAlign w:val="bottom"/>
            <w:tcBorders>
              <w:bottom w:val="single" w:sz="8" w:color="EBFBFF"/>
            </w:tcBorders>
            <w:shd w:val="clear" w:color="auto" w:fill="EBFBFF"/>
          </w:tcPr>
          <w:p>
            <w:pPr>
              <w:spacing w:after="0"/>
              <w:rPr>
                <w:sz w:val="14"/>
                <w:szCs w:val="14"/>
                <w:color w:val="auto"/>
              </w:rPr>
            </w:pPr>
          </w:p>
        </w:tc>
        <w:tc>
          <w:tcPr>
            <w:tcW w:w="88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w:t>
            </w:r>
          </w:p>
        </w:tc>
        <w:tc>
          <w:tcPr>
            <w:tcW w:w="200" w:type="dxa"/>
            <w:vAlign w:val="bottom"/>
            <w:tcBorders>
              <w:bottom w:val="single" w:sz="8" w:color="EBFBFF"/>
            </w:tcBorders>
            <w:shd w:val="clear" w:color="auto" w:fill="EBFBFF"/>
          </w:tcPr>
          <w:p>
            <w:pPr>
              <w:spacing w:after="0"/>
              <w:rPr>
                <w:sz w:val="14"/>
                <w:szCs w:val="14"/>
                <w:color w:val="auto"/>
              </w:rPr>
            </w:pPr>
          </w:p>
        </w:tc>
        <w:tc>
          <w:tcPr>
            <w:tcW w:w="60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w:t>
            </w:r>
          </w:p>
        </w:tc>
        <w:tc>
          <w:tcPr>
            <w:tcW w:w="220" w:type="dxa"/>
            <w:vAlign w:val="bottom"/>
            <w:tcBorders>
              <w:bottom w:val="single" w:sz="8" w:color="EBFBFF"/>
            </w:tcBorders>
            <w:shd w:val="clear" w:color="auto" w:fill="EBFBFF"/>
          </w:tcPr>
          <w:p>
            <w:pPr>
              <w:spacing w:after="0"/>
              <w:rPr>
                <w:sz w:val="14"/>
                <w:szCs w:val="14"/>
                <w:color w:val="auto"/>
              </w:rPr>
            </w:pPr>
          </w:p>
        </w:tc>
        <w:tc>
          <w:tcPr>
            <w:tcW w:w="78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29,925</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620" w:type="dxa"/>
            <w:vAlign w:val="bottom"/>
          </w:tcPr>
          <w:p>
            <w:pPr>
              <w:ind w:left="100"/>
              <w:spacing w:after="0" w:line="157" w:lineRule="exact"/>
              <w:rPr>
                <w:sz w:val="20"/>
                <w:szCs w:val="20"/>
                <w:color w:val="auto"/>
              </w:rPr>
            </w:pPr>
            <w:r>
              <w:rPr>
                <w:rFonts w:ascii="Calibri" w:cs="Calibri" w:eastAsia="Calibri" w:hAnsi="Calibri"/>
                <w:sz w:val="13"/>
                <w:szCs w:val="13"/>
                <w:color w:val="51555C"/>
              </w:rPr>
              <w:t>Restricted stock grants</w:t>
            </w:r>
          </w:p>
        </w:tc>
        <w:tc>
          <w:tcPr>
            <w:tcW w:w="2120" w:type="dxa"/>
            <w:vAlign w:val="bottom"/>
            <w:gridSpan w:val="2"/>
          </w:tcPr>
          <w:p>
            <w:pPr>
              <w:jc w:val="right"/>
              <w:spacing w:after="0" w:line="157" w:lineRule="exact"/>
              <w:rPr>
                <w:sz w:val="20"/>
                <w:szCs w:val="20"/>
                <w:color w:val="auto"/>
              </w:rPr>
            </w:pPr>
            <w:r>
              <w:rPr>
                <w:rFonts w:ascii="Calibri" w:cs="Calibri" w:eastAsia="Calibri" w:hAnsi="Calibri"/>
                <w:sz w:val="13"/>
                <w:szCs w:val="13"/>
                <w:color w:val="51555C"/>
              </w:rPr>
              <w:t>427,941</w:t>
            </w:r>
          </w:p>
        </w:tc>
        <w:tc>
          <w:tcPr>
            <w:tcW w:w="160" w:type="dxa"/>
            <w:vAlign w:val="bottom"/>
          </w:tcPr>
          <w:p>
            <w:pPr>
              <w:spacing w:after="0"/>
              <w:rPr>
                <w:sz w:val="13"/>
                <w:szCs w:val="13"/>
                <w:color w:val="auto"/>
              </w:rPr>
            </w:pPr>
          </w:p>
        </w:tc>
        <w:tc>
          <w:tcPr>
            <w:tcW w:w="500" w:type="dxa"/>
            <w:vAlign w:val="bottom"/>
          </w:tcPr>
          <w:p>
            <w:pPr>
              <w:jc w:val="right"/>
              <w:spacing w:after="0" w:line="157" w:lineRule="exact"/>
              <w:rPr>
                <w:sz w:val="20"/>
                <w:szCs w:val="20"/>
                <w:color w:val="auto"/>
              </w:rPr>
            </w:pPr>
            <w:r>
              <w:rPr>
                <w:rFonts w:ascii="Calibri" w:cs="Calibri" w:eastAsia="Calibri" w:hAnsi="Calibri"/>
                <w:sz w:val="13"/>
                <w:szCs w:val="13"/>
                <w:color w:val="51555C"/>
              </w:rPr>
              <w:t>1</w:t>
            </w:r>
          </w:p>
        </w:tc>
        <w:tc>
          <w:tcPr>
            <w:tcW w:w="980" w:type="dxa"/>
            <w:vAlign w:val="bottom"/>
          </w:tcPr>
          <w:p>
            <w:pPr>
              <w:jc w:val="right"/>
              <w:spacing w:after="0" w:line="157" w:lineRule="exact"/>
              <w:rPr>
                <w:sz w:val="20"/>
                <w:szCs w:val="20"/>
                <w:color w:val="auto"/>
              </w:rPr>
            </w:pPr>
            <w:r>
              <w:rPr>
                <w:rFonts w:ascii="Calibri" w:cs="Calibri" w:eastAsia="Calibri" w:hAnsi="Calibri"/>
                <w:sz w:val="13"/>
                <w:szCs w:val="13"/>
                <w:color w:val="51555C"/>
              </w:rPr>
              <w:t>—</w:t>
            </w:r>
          </w:p>
        </w:tc>
        <w:tc>
          <w:tcPr>
            <w:tcW w:w="100" w:type="dxa"/>
            <w:vAlign w:val="bottom"/>
          </w:tcPr>
          <w:p>
            <w:pPr>
              <w:spacing w:after="0"/>
              <w:rPr>
                <w:sz w:val="13"/>
                <w:szCs w:val="13"/>
                <w:color w:val="auto"/>
              </w:rPr>
            </w:pPr>
          </w:p>
        </w:tc>
        <w:tc>
          <w:tcPr>
            <w:tcW w:w="720" w:type="dxa"/>
            <w:vAlign w:val="bottom"/>
          </w:tcPr>
          <w:p>
            <w:pPr>
              <w:jc w:val="right"/>
              <w:spacing w:after="0" w:line="157" w:lineRule="exact"/>
              <w:rPr>
                <w:sz w:val="20"/>
                <w:szCs w:val="20"/>
                <w:color w:val="auto"/>
              </w:rPr>
            </w:pPr>
            <w:r>
              <w:rPr>
                <w:rFonts w:ascii="Calibri" w:cs="Calibri" w:eastAsia="Calibri" w:hAnsi="Calibri"/>
                <w:sz w:val="13"/>
                <w:szCs w:val="13"/>
                <w:color w:val="51555C"/>
              </w:rPr>
              <w:t>—</w:t>
            </w:r>
          </w:p>
        </w:tc>
        <w:tc>
          <w:tcPr>
            <w:tcW w:w="260" w:type="dxa"/>
            <w:vAlign w:val="bottom"/>
          </w:tcPr>
          <w:p>
            <w:pPr>
              <w:spacing w:after="0"/>
              <w:rPr>
                <w:sz w:val="13"/>
                <w:szCs w:val="13"/>
                <w:color w:val="auto"/>
              </w:rPr>
            </w:pPr>
          </w:p>
        </w:tc>
        <w:tc>
          <w:tcPr>
            <w:tcW w:w="660" w:type="dxa"/>
            <w:vAlign w:val="bottom"/>
          </w:tcPr>
          <w:p>
            <w:pPr>
              <w:jc w:val="right"/>
              <w:spacing w:after="0" w:line="157" w:lineRule="exact"/>
              <w:rPr>
                <w:sz w:val="20"/>
                <w:szCs w:val="20"/>
                <w:color w:val="auto"/>
              </w:rPr>
            </w:pPr>
            <w:r>
              <w:rPr>
                <w:rFonts w:ascii="Calibri" w:cs="Calibri" w:eastAsia="Calibri" w:hAnsi="Calibri"/>
                <w:sz w:val="13"/>
                <w:szCs w:val="13"/>
                <w:color w:val="51555C"/>
              </w:rPr>
              <w:t>—</w:t>
            </w:r>
          </w:p>
        </w:tc>
        <w:tc>
          <w:tcPr>
            <w:tcW w:w="220" w:type="dxa"/>
            <w:vAlign w:val="bottom"/>
          </w:tcPr>
          <w:p>
            <w:pPr>
              <w:spacing w:after="0"/>
              <w:rPr>
                <w:sz w:val="13"/>
                <w:szCs w:val="13"/>
                <w:color w:val="auto"/>
              </w:rPr>
            </w:pPr>
          </w:p>
        </w:tc>
        <w:tc>
          <w:tcPr>
            <w:tcW w:w="880" w:type="dxa"/>
            <w:vAlign w:val="bottom"/>
          </w:tcPr>
          <w:p>
            <w:pPr>
              <w:jc w:val="right"/>
              <w:spacing w:after="0" w:line="157" w:lineRule="exact"/>
              <w:rPr>
                <w:sz w:val="20"/>
                <w:szCs w:val="20"/>
                <w:color w:val="auto"/>
              </w:rPr>
            </w:pPr>
            <w:r>
              <w:rPr>
                <w:rFonts w:ascii="Calibri" w:cs="Calibri" w:eastAsia="Calibri" w:hAnsi="Calibri"/>
                <w:sz w:val="13"/>
                <w:szCs w:val="13"/>
                <w:color w:val="51555C"/>
              </w:rPr>
              <w:t>—</w:t>
            </w:r>
          </w:p>
        </w:tc>
        <w:tc>
          <w:tcPr>
            <w:tcW w:w="200" w:type="dxa"/>
            <w:vAlign w:val="bottom"/>
          </w:tcPr>
          <w:p>
            <w:pPr>
              <w:spacing w:after="0"/>
              <w:rPr>
                <w:sz w:val="13"/>
                <w:szCs w:val="13"/>
                <w:color w:val="auto"/>
              </w:rPr>
            </w:pPr>
          </w:p>
        </w:tc>
        <w:tc>
          <w:tcPr>
            <w:tcW w:w="600" w:type="dxa"/>
            <w:vAlign w:val="bottom"/>
          </w:tcPr>
          <w:p>
            <w:pPr>
              <w:jc w:val="right"/>
              <w:spacing w:after="0" w:line="157" w:lineRule="exact"/>
              <w:rPr>
                <w:sz w:val="20"/>
                <w:szCs w:val="20"/>
                <w:color w:val="auto"/>
              </w:rPr>
            </w:pPr>
            <w:r>
              <w:rPr>
                <w:rFonts w:ascii="Calibri" w:cs="Calibri" w:eastAsia="Calibri" w:hAnsi="Calibri"/>
                <w:sz w:val="13"/>
                <w:szCs w:val="13"/>
                <w:color w:val="51555C"/>
              </w:rPr>
              <w:t>—</w:t>
            </w:r>
          </w:p>
        </w:tc>
        <w:tc>
          <w:tcPr>
            <w:tcW w:w="220" w:type="dxa"/>
            <w:vAlign w:val="bottom"/>
          </w:tcPr>
          <w:p>
            <w:pPr>
              <w:spacing w:after="0"/>
              <w:rPr>
                <w:sz w:val="13"/>
                <w:szCs w:val="13"/>
                <w:color w:val="auto"/>
              </w:rPr>
            </w:pPr>
          </w:p>
        </w:tc>
        <w:tc>
          <w:tcPr>
            <w:tcW w:w="780" w:type="dxa"/>
            <w:vAlign w:val="bottom"/>
          </w:tcPr>
          <w:p>
            <w:pPr>
              <w:jc w:val="right"/>
              <w:spacing w:after="0" w:line="157" w:lineRule="exact"/>
              <w:rPr>
                <w:sz w:val="20"/>
                <w:szCs w:val="20"/>
                <w:color w:val="auto"/>
              </w:rPr>
            </w:pPr>
            <w:r>
              <w:rPr>
                <w:rFonts w:ascii="Calibri" w:cs="Calibri" w:eastAsia="Calibri" w:hAnsi="Calibri"/>
                <w:sz w:val="13"/>
                <w:szCs w:val="13"/>
                <w:color w:val="51555C"/>
              </w:rPr>
              <w:t>1</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6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620" w:type="dxa"/>
            <w:vAlign w:val="bottom"/>
            <w:tcBorders>
              <w:bottom w:val="single" w:sz="8" w:color="EBFBFF"/>
            </w:tcBorders>
            <w:shd w:val="clear" w:color="auto" w:fill="EBFBFF"/>
          </w:tcPr>
          <w:p>
            <w:pPr>
              <w:ind w:left="100"/>
              <w:spacing w:after="0" w:line="157" w:lineRule="exact"/>
              <w:rPr>
                <w:sz w:val="20"/>
                <w:szCs w:val="20"/>
                <w:color w:val="auto"/>
              </w:rPr>
            </w:pPr>
            <w:r>
              <w:rPr>
                <w:rFonts w:ascii="Calibri" w:cs="Calibri" w:eastAsia="Calibri" w:hAnsi="Calibri"/>
                <w:sz w:val="13"/>
                <w:szCs w:val="13"/>
                <w:color w:val="51555C"/>
              </w:rPr>
              <w:t>Restricted stock cancellatons</w:t>
            </w:r>
          </w:p>
        </w:tc>
        <w:tc>
          <w:tcPr>
            <w:tcW w:w="2120" w:type="dxa"/>
            <w:vAlign w:val="bottom"/>
            <w:tcBorders>
              <w:bottom w:val="single" w:sz="8" w:color="EBFBFF"/>
            </w:tcBorders>
            <w:gridSpan w:val="2"/>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(41,269)</w:t>
            </w:r>
          </w:p>
        </w:tc>
        <w:tc>
          <w:tcPr>
            <w:tcW w:w="160" w:type="dxa"/>
            <w:vAlign w:val="bottom"/>
            <w:tcBorders>
              <w:bottom w:val="single" w:sz="8" w:color="EBFBFF"/>
            </w:tcBorders>
            <w:shd w:val="clear" w:color="auto" w:fill="EBFBFF"/>
          </w:tcPr>
          <w:p>
            <w:pPr>
              <w:spacing w:after="0"/>
              <w:rPr>
                <w:sz w:val="14"/>
                <w:szCs w:val="14"/>
                <w:color w:val="auto"/>
              </w:rPr>
            </w:pPr>
          </w:p>
        </w:tc>
        <w:tc>
          <w:tcPr>
            <w:tcW w:w="50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w:t>
            </w:r>
          </w:p>
        </w:tc>
        <w:tc>
          <w:tcPr>
            <w:tcW w:w="98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w:t>
            </w:r>
          </w:p>
        </w:tc>
        <w:tc>
          <w:tcPr>
            <w:tcW w:w="100" w:type="dxa"/>
            <w:vAlign w:val="bottom"/>
            <w:tcBorders>
              <w:bottom w:val="single" w:sz="8" w:color="EBFBFF"/>
            </w:tcBorders>
            <w:shd w:val="clear" w:color="auto" w:fill="EBFBFF"/>
          </w:tcPr>
          <w:p>
            <w:pPr>
              <w:spacing w:after="0"/>
              <w:rPr>
                <w:sz w:val="14"/>
                <w:szCs w:val="14"/>
                <w:color w:val="auto"/>
              </w:rPr>
            </w:pPr>
          </w:p>
        </w:tc>
        <w:tc>
          <w:tcPr>
            <w:tcW w:w="72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w:t>
            </w:r>
          </w:p>
        </w:tc>
        <w:tc>
          <w:tcPr>
            <w:tcW w:w="260" w:type="dxa"/>
            <w:vAlign w:val="bottom"/>
            <w:tcBorders>
              <w:bottom w:val="single" w:sz="8" w:color="EBFBFF"/>
            </w:tcBorders>
            <w:shd w:val="clear" w:color="auto" w:fill="EBFBFF"/>
          </w:tcPr>
          <w:p>
            <w:pPr>
              <w:spacing w:after="0"/>
              <w:rPr>
                <w:sz w:val="14"/>
                <w:szCs w:val="14"/>
                <w:color w:val="auto"/>
              </w:rPr>
            </w:pPr>
          </w:p>
        </w:tc>
        <w:tc>
          <w:tcPr>
            <w:tcW w:w="66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w:t>
            </w:r>
          </w:p>
        </w:tc>
        <w:tc>
          <w:tcPr>
            <w:tcW w:w="220" w:type="dxa"/>
            <w:vAlign w:val="bottom"/>
            <w:tcBorders>
              <w:bottom w:val="single" w:sz="8" w:color="EBFBFF"/>
            </w:tcBorders>
            <w:shd w:val="clear" w:color="auto" w:fill="EBFBFF"/>
          </w:tcPr>
          <w:p>
            <w:pPr>
              <w:spacing w:after="0"/>
              <w:rPr>
                <w:sz w:val="14"/>
                <w:szCs w:val="14"/>
                <w:color w:val="auto"/>
              </w:rPr>
            </w:pPr>
          </w:p>
        </w:tc>
        <w:tc>
          <w:tcPr>
            <w:tcW w:w="88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w:t>
            </w:r>
          </w:p>
        </w:tc>
        <w:tc>
          <w:tcPr>
            <w:tcW w:w="200" w:type="dxa"/>
            <w:vAlign w:val="bottom"/>
            <w:tcBorders>
              <w:bottom w:val="single" w:sz="8" w:color="EBFBFF"/>
            </w:tcBorders>
            <w:shd w:val="clear" w:color="auto" w:fill="EBFBFF"/>
          </w:tcPr>
          <w:p>
            <w:pPr>
              <w:spacing w:after="0"/>
              <w:rPr>
                <w:sz w:val="14"/>
                <w:szCs w:val="14"/>
                <w:color w:val="auto"/>
              </w:rPr>
            </w:pPr>
          </w:p>
        </w:tc>
        <w:tc>
          <w:tcPr>
            <w:tcW w:w="60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w:t>
            </w:r>
          </w:p>
        </w:tc>
        <w:tc>
          <w:tcPr>
            <w:tcW w:w="220" w:type="dxa"/>
            <w:vAlign w:val="bottom"/>
            <w:tcBorders>
              <w:bottom w:val="single" w:sz="8" w:color="EBFBFF"/>
            </w:tcBorders>
            <w:shd w:val="clear" w:color="auto" w:fill="EBFBFF"/>
          </w:tcPr>
          <w:p>
            <w:pPr>
              <w:spacing w:after="0"/>
              <w:rPr>
                <w:sz w:val="14"/>
                <w:szCs w:val="14"/>
                <w:color w:val="auto"/>
              </w:rPr>
            </w:pPr>
          </w:p>
        </w:tc>
        <w:tc>
          <w:tcPr>
            <w:tcW w:w="78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620" w:type="dxa"/>
            <w:vAlign w:val="bottom"/>
          </w:tcPr>
          <w:p>
            <w:pPr>
              <w:ind w:left="100"/>
              <w:spacing w:after="0" w:line="157" w:lineRule="exact"/>
              <w:rPr>
                <w:sz w:val="20"/>
                <w:szCs w:val="20"/>
                <w:color w:val="auto"/>
              </w:rPr>
            </w:pPr>
            <w:r>
              <w:rPr>
                <w:rFonts w:ascii="Calibri" w:cs="Calibri" w:eastAsia="Calibri" w:hAnsi="Calibri"/>
                <w:sz w:val="13"/>
                <w:szCs w:val="13"/>
                <w:color w:val="51555C"/>
              </w:rPr>
              <w:t>Other comprehensive loss</w:t>
            </w:r>
          </w:p>
        </w:tc>
        <w:tc>
          <w:tcPr>
            <w:tcW w:w="1260" w:type="dxa"/>
            <w:vAlign w:val="bottom"/>
          </w:tcPr>
          <w:p>
            <w:pPr>
              <w:spacing w:after="0"/>
              <w:rPr>
                <w:sz w:val="13"/>
                <w:szCs w:val="13"/>
                <w:color w:val="auto"/>
              </w:rPr>
            </w:pPr>
          </w:p>
        </w:tc>
        <w:tc>
          <w:tcPr>
            <w:tcW w:w="860" w:type="dxa"/>
            <w:vAlign w:val="bottom"/>
          </w:tcPr>
          <w:p>
            <w:pPr>
              <w:jc w:val="right"/>
              <w:spacing w:after="0" w:line="157" w:lineRule="exact"/>
              <w:rPr>
                <w:sz w:val="20"/>
                <w:szCs w:val="20"/>
                <w:color w:val="auto"/>
              </w:rPr>
            </w:pPr>
            <w:r>
              <w:rPr>
                <w:rFonts w:ascii="Calibri" w:cs="Calibri" w:eastAsia="Calibri" w:hAnsi="Calibri"/>
                <w:sz w:val="13"/>
                <w:szCs w:val="13"/>
                <w:color w:val="51555C"/>
              </w:rPr>
              <w:t>—</w:t>
            </w:r>
          </w:p>
        </w:tc>
        <w:tc>
          <w:tcPr>
            <w:tcW w:w="160" w:type="dxa"/>
            <w:vAlign w:val="bottom"/>
          </w:tcPr>
          <w:p>
            <w:pPr>
              <w:spacing w:after="0"/>
              <w:rPr>
                <w:sz w:val="13"/>
                <w:szCs w:val="13"/>
                <w:color w:val="auto"/>
              </w:rPr>
            </w:pPr>
          </w:p>
        </w:tc>
        <w:tc>
          <w:tcPr>
            <w:tcW w:w="500" w:type="dxa"/>
            <w:vAlign w:val="bottom"/>
          </w:tcPr>
          <w:p>
            <w:pPr>
              <w:jc w:val="right"/>
              <w:spacing w:after="0" w:line="157" w:lineRule="exact"/>
              <w:rPr>
                <w:sz w:val="20"/>
                <w:szCs w:val="20"/>
                <w:color w:val="auto"/>
              </w:rPr>
            </w:pPr>
            <w:r>
              <w:rPr>
                <w:rFonts w:ascii="Calibri" w:cs="Calibri" w:eastAsia="Calibri" w:hAnsi="Calibri"/>
                <w:sz w:val="13"/>
                <w:szCs w:val="13"/>
                <w:color w:val="51555C"/>
              </w:rPr>
              <w:t>—</w:t>
            </w:r>
          </w:p>
        </w:tc>
        <w:tc>
          <w:tcPr>
            <w:tcW w:w="980" w:type="dxa"/>
            <w:vAlign w:val="bottom"/>
          </w:tcPr>
          <w:p>
            <w:pPr>
              <w:jc w:val="right"/>
              <w:spacing w:after="0" w:line="157" w:lineRule="exact"/>
              <w:rPr>
                <w:sz w:val="20"/>
                <w:szCs w:val="20"/>
                <w:color w:val="auto"/>
              </w:rPr>
            </w:pPr>
            <w:r>
              <w:rPr>
                <w:rFonts w:ascii="Calibri" w:cs="Calibri" w:eastAsia="Calibri" w:hAnsi="Calibri"/>
                <w:sz w:val="13"/>
                <w:szCs w:val="13"/>
                <w:color w:val="51555C"/>
              </w:rPr>
              <w:t>—</w:t>
            </w:r>
          </w:p>
        </w:tc>
        <w:tc>
          <w:tcPr>
            <w:tcW w:w="100" w:type="dxa"/>
            <w:vAlign w:val="bottom"/>
          </w:tcPr>
          <w:p>
            <w:pPr>
              <w:spacing w:after="0"/>
              <w:rPr>
                <w:sz w:val="13"/>
                <w:szCs w:val="13"/>
                <w:color w:val="auto"/>
              </w:rPr>
            </w:pPr>
          </w:p>
        </w:tc>
        <w:tc>
          <w:tcPr>
            <w:tcW w:w="720" w:type="dxa"/>
            <w:vAlign w:val="bottom"/>
          </w:tcPr>
          <w:p>
            <w:pPr>
              <w:jc w:val="right"/>
              <w:spacing w:after="0" w:line="157" w:lineRule="exact"/>
              <w:rPr>
                <w:sz w:val="20"/>
                <w:szCs w:val="20"/>
                <w:color w:val="auto"/>
              </w:rPr>
            </w:pPr>
            <w:r>
              <w:rPr>
                <w:rFonts w:ascii="Calibri" w:cs="Calibri" w:eastAsia="Calibri" w:hAnsi="Calibri"/>
                <w:sz w:val="13"/>
                <w:szCs w:val="13"/>
                <w:color w:val="51555C"/>
              </w:rPr>
              <w:t>—</w:t>
            </w:r>
          </w:p>
        </w:tc>
        <w:tc>
          <w:tcPr>
            <w:tcW w:w="260" w:type="dxa"/>
            <w:vAlign w:val="bottom"/>
          </w:tcPr>
          <w:p>
            <w:pPr>
              <w:spacing w:after="0"/>
              <w:rPr>
                <w:sz w:val="13"/>
                <w:szCs w:val="13"/>
                <w:color w:val="auto"/>
              </w:rPr>
            </w:pPr>
          </w:p>
        </w:tc>
        <w:tc>
          <w:tcPr>
            <w:tcW w:w="660" w:type="dxa"/>
            <w:vAlign w:val="bottom"/>
          </w:tcPr>
          <w:p>
            <w:pPr>
              <w:jc w:val="right"/>
              <w:spacing w:after="0" w:line="157" w:lineRule="exact"/>
              <w:rPr>
                <w:sz w:val="20"/>
                <w:szCs w:val="20"/>
                <w:color w:val="auto"/>
              </w:rPr>
            </w:pPr>
            <w:r>
              <w:rPr>
                <w:rFonts w:ascii="Calibri" w:cs="Calibri" w:eastAsia="Calibri" w:hAnsi="Calibri"/>
                <w:sz w:val="13"/>
                <w:szCs w:val="13"/>
                <w:color w:val="51555C"/>
              </w:rPr>
              <w:t>—</w:t>
            </w:r>
          </w:p>
        </w:tc>
        <w:tc>
          <w:tcPr>
            <w:tcW w:w="220" w:type="dxa"/>
            <w:vAlign w:val="bottom"/>
          </w:tcPr>
          <w:p>
            <w:pPr>
              <w:spacing w:after="0"/>
              <w:rPr>
                <w:sz w:val="13"/>
                <w:szCs w:val="13"/>
                <w:color w:val="auto"/>
              </w:rPr>
            </w:pPr>
          </w:p>
        </w:tc>
        <w:tc>
          <w:tcPr>
            <w:tcW w:w="880" w:type="dxa"/>
            <w:vAlign w:val="bottom"/>
          </w:tcPr>
          <w:p>
            <w:pPr>
              <w:jc w:val="right"/>
              <w:spacing w:after="0" w:line="157" w:lineRule="exact"/>
              <w:rPr>
                <w:sz w:val="20"/>
                <w:szCs w:val="20"/>
                <w:color w:val="auto"/>
              </w:rPr>
            </w:pPr>
            <w:r>
              <w:rPr>
                <w:rFonts w:ascii="Calibri" w:cs="Calibri" w:eastAsia="Calibri" w:hAnsi="Calibri"/>
                <w:sz w:val="13"/>
                <w:szCs w:val="13"/>
                <w:color w:val="51555C"/>
              </w:rPr>
              <w:t>(8,534)</w:t>
            </w:r>
          </w:p>
        </w:tc>
        <w:tc>
          <w:tcPr>
            <w:tcW w:w="200" w:type="dxa"/>
            <w:vAlign w:val="bottom"/>
          </w:tcPr>
          <w:p>
            <w:pPr>
              <w:spacing w:after="0"/>
              <w:rPr>
                <w:sz w:val="13"/>
                <w:szCs w:val="13"/>
                <w:color w:val="auto"/>
              </w:rPr>
            </w:pPr>
          </w:p>
        </w:tc>
        <w:tc>
          <w:tcPr>
            <w:tcW w:w="600" w:type="dxa"/>
            <w:vAlign w:val="bottom"/>
          </w:tcPr>
          <w:p>
            <w:pPr>
              <w:jc w:val="right"/>
              <w:spacing w:after="0" w:line="157" w:lineRule="exact"/>
              <w:rPr>
                <w:sz w:val="20"/>
                <w:szCs w:val="20"/>
                <w:color w:val="auto"/>
              </w:rPr>
            </w:pPr>
            <w:r>
              <w:rPr>
                <w:rFonts w:ascii="Calibri" w:cs="Calibri" w:eastAsia="Calibri" w:hAnsi="Calibri"/>
                <w:sz w:val="13"/>
                <w:szCs w:val="13"/>
                <w:color w:val="51555C"/>
              </w:rPr>
              <w:t>—</w:t>
            </w:r>
          </w:p>
        </w:tc>
        <w:tc>
          <w:tcPr>
            <w:tcW w:w="220" w:type="dxa"/>
            <w:vAlign w:val="bottom"/>
          </w:tcPr>
          <w:p>
            <w:pPr>
              <w:spacing w:after="0"/>
              <w:rPr>
                <w:sz w:val="13"/>
                <w:szCs w:val="13"/>
                <w:color w:val="auto"/>
              </w:rPr>
            </w:pPr>
          </w:p>
        </w:tc>
        <w:tc>
          <w:tcPr>
            <w:tcW w:w="780" w:type="dxa"/>
            <w:vAlign w:val="bottom"/>
          </w:tcPr>
          <w:p>
            <w:pPr>
              <w:jc w:val="right"/>
              <w:spacing w:after="0" w:line="157" w:lineRule="exact"/>
              <w:rPr>
                <w:sz w:val="20"/>
                <w:szCs w:val="20"/>
                <w:color w:val="auto"/>
              </w:rPr>
            </w:pPr>
            <w:r>
              <w:rPr>
                <w:rFonts w:ascii="Calibri" w:cs="Calibri" w:eastAsia="Calibri" w:hAnsi="Calibri"/>
                <w:sz w:val="13"/>
                <w:szCs w:val="13"/>
                <w:color w:val="51555C"/>
              </w:rPr>
              <w:t>(8,534)</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620" w:type="dxa"/>
            <w:vAlign w:val="bottom"/>
            <w:tcBorders>
              <w:bottom w:val="single" w:sz="8" w:color="EBFBFF"/>
            </w:tcBorders>
          </w:tcPr>
          <w:p>
            <w:pPr>
              <w:spacing w:after="0"/>
              <w:rPr>
                <w:sz w:val="2"/>
                <w:szCs w:val="2"/>
                <w:color w:val="auto"/>
              </w:rPr>
            </w:pPr>
          </w:p>
        </w:tc>
        <w:tc>
          <w:tcPr>
            <w:tcW w:w="1260" w:type="dxa"/>
            <w:vAlign w:val="bottom"/>
            <w:tcBorders>
              <w:bottom w:val="single" w:sz="8" w:color="EBFBFF"/>
            </w:tcBorders>
          </w:tcPr>
          <w:p>
            <w:pPr>
              <w:spacing w:after="0"/>
              <w:rPr>
                <w:sz w:val="2"/>
                <w:szCs w:val="2"/>
                <w:color w:val="auto"/>
              </w:rPr>
            </w:pPr>
          </w:p>
        </w:tc>
        <w:tc>
          <w:tcPr>
            <w:tcW w:w="860" w:type="dxa"/>
            <w:vAlign w:val="bottom"/>
            <w:tcBorders>
              <w:bottom w:val="single" w:sz="8" w:color="51555C"/>
            </w:tcBorders>
          </w:tcPr>
          <w:p>
            <w:pPr>
              <w:spacing w:after="0"/>
              <w:rPr>
                <w:sz w:val="2"/>
                <w:szCs w:val="2"/>
                <w:color w:val="auto"/>
              </w:rPr>
            </w:pPr>
          </w:p>
        </w:tc>
        <w:tc>
          <w:tcPr>
            <w:tcW w:w="160" w:type="dxa"/>
            <w:vAlign w:val="bottom"/>
            <w:tcBorders>
              <w:bottom w:val="single" w:sz="8" w:color="51555C"/>
            </w:tcBorders>
          </w:tcPr>
          <w:p>
            <w:pPr>
              <w:spacing w:after="0"/>
              <w:rPr>
                <w:sz w:val="2"/>
                <w:szCs w:val="2"/>
                <w:color w:val="auto"/>
              </w:rPr>
            </w:pPr>
          </w:p>
        </w:tc>
        <w:tc>
          <w:tcPr>
            <w:tcW w:w="500" w:type="dxa"/>
            <w:vAlign w:val="bottom"/>
            <w:tcBorders>
              <w:bottom w:val="single" w:sz="8" w:color="51555C"/>
            </w:tcBorders>
          </w:tcPr>
          <w:p>
            <w:pPr>
              <w:spacing w:after="0"/>
              <w:rPr>
                <w:sz w:val="2"/>
                <w:szCs w:val="2"/>
                <w:color w:val="auto"/>
              </w:rPr>
            </w:pPr>
          </w:p>
        </w:tc>
        <w:tc>
          <w:tcPr>
            <w:tcW w:w="980" w:type="dxa"/>
            <w:vAlign w:val="bottom"/>
            <w:tcBorders>
              <w:bottom w:val="single" w:sz="8" w:color="51555C"/>
            </w:tcBorders>
          </w:tcPr>
          <w:p>
            <w:pPr>
              <w:spacing w:after="0"/>
              <w:rPr>
                <w:sz w:val="2"/>
                <w:szCs w:val="2"/>
                <w:color w:val="auto"/>
              </w:rPr>
            </w:pPr>
          </w:p>
        </w:tc>
        <w:tc>
          <w:tcPr>
            <w:tcW w:w="100" w:type="dxa"/>
            <w:vAlign w:val="bottom"/>
            <w:tcBorders>
              <w:bottom w:val="single" w:sz="8" w:color="51555C"/>
            </w:tcBorders>
          </w:tcPr>
          <w:p>
            <w:pPr>
              <w:spacing w:after="0"/>
              <w:rPr>
                <w:sz w:val="2"/>
                <w:szCs w:val="2"/>
                <w:color w:val="auto"/>
              </w:rPr>
            </w:pPr>
          </w:p>
        </w:tc>
        <w:tc>
          <w:tcPr>
            <w:tcW w:w="720" w:type="dxa"/>
            <w:vAlign w:val="bottom"/>
            <w:tcBorders>
              <w:bottom w:val="single" w:sz="8" w:color="51555C"/>
            </w:tcBorders>
          </w:tcPr>
          <w:p>
            <w:pPr>
              <w:spacing w:after="0"/>
              <w:rPr>
                <w:sz w:val="2"/>
                <w:szCs w:val="2"/>
                <w:color w:val="auto"/>
              </w:rPr>
            </w:pPr>
          </w:p>
        </w:tc>
        <w:tc>
          <w:tcPr>
            <w:tcW w:w="260" w:type="dxa"/>
            <w:vAlign w:val="bottom"/>
            <w:tcBorders>
              <w:bottom w:val="single" w:sz="8" w:color="51555C"/>
            </w:tcBorders>
          </w:tcPr>
          <w:p>
            <w:pPr>
              <w:spacing w:after="0"/>
              <w:rPr>
                <w:sz w:val="2"/>
                <w:szCs w:val="2"/>
                <w:color w:val="auto"/>
              </w:rPr>
            </w:pPr>
          </w:p>
        </w:tc>
        <w:tc>
          <w:tcPr>
            <w:tcW w:w="660" w:type="dxa"/>
            <w:vAlign w:val="bottom"/>
            <w:tcBorders>
              <w:bottom w:val="single" w:sz="8" w:color="51555C"/>
            </w:tcBorders>
          </w:tcPr>
          <w:p>
            <w:pPr>
              <w:spacing w:after="0"/>
              <w:rPr>
                <w:sz w:val="2"/>
                <w:szCs w:val="2"/>
                <w:color w:val="auto"/>
              </w:rPr>
            </w:pPr>
          </w:p>
        </w:tc>
        <w:tc>
          <w:tcPr>
            <w:tcW w:w="220" w:type="dxa"/>
            <w:vAlign w:val="bottom"/>
            <w:tcBorders>
              <w:bottom w:val="single" w:sz="8" w:color="51555C"/>
            </w:tcBorders>
          </w:tcPr>
          <w:p>
            <w:pPr>
              <w:spacing w:after="0"/>
              <w:rPr>
                <w:sz w:val="2"/>
                <w:szCs w:val="2"/>
                <w:color w:val="auto"/>
              </w:rPr>
            </w:pPr>
          </w:p>
        </w:tc>
        <w:tc>
          <w:tcPr>
            <w:tcW w:w="880" w:type="dxa"/>
            <w:vAlign w:val="bottom"/>
            <w:tcBorders>
              <w:bottom w:val="single" w:sz="8" w:color="51555C"/>
            </w:tcBorders>
          </w:tcPr>
          <w:p>
            <w:pPr>
              <w:spacing w:after="0"/>
              <w:rPr>
                <w:sz w:val="2"/>
                <w:szCs w:val="2"/>
                <w:color w:val="auto"/>
              </w:rPr>
            </w:pPr>
          </w:p>
        </w:tc>
        <w:tc>
          <w:tcPr>
            <w:tcW w:w="200" w:type="dxa"/>
            <w:vAlign w:val="bottom"/>
            <w:tcBorders>
              <w:bottom w:val="single" w:sz="8" w:color="51555C"/>
            </w:tcBorders>
          </w:tcPr>
          <w:p>
            <w:pPr>
              <w:spacing w:after="0"/>
              <w:rPr>
                <w:sz w:val="2"/>
                <w:szCs w:val="2"/>
                <w:color w:val="auto"/>
              </w:rPr>
            </w:pPr>
          </w:p>
        </w:tc>
        <w:tc>
          <w:tcPr>
            <w:tcW w:w="600" w:type="dxa"/>
            <w:vAlign w:val="bottom"/>
            <w:tcBorders>
              <w:bottom w:val="single" w:sz="8" w:color="51555C"/>
            </w:tcBorders>
          </w:tcPr>
          <w:p>
            <w:pPr>
              <w:spacing w:after="0"/>
              <w:rPr>
                <w:sz w:val="2"/>
                <w:szCs w:val="2"/>
                <w:color w:val="auto"/>
              </w:rPr>
            </w:pPr>
          </w:p>
        </w:tc>
        <w:tc>
          <w:tcPr>
            <w:tcW w:w="220" w:type="dxa"/>
            <w:vAlign w:val="bottom"/>
            <w:tcBorders>
              <w:bottom w:val="single" w:sz="8" w:color="51555C"/>
            </w:tcBorders>
          </w:tcPr>
          <w:p>
            <w:pPr>
              <w:spacing w:after="0"/>
              <w:rPr>
                <w:sz w:val="2"/>
                <w:szCs w:val="2"/>
                <w:color w:val="auto"/>
              </w:rPr>
            </w:pPr>
          </w:p>
        </w:tc>
        <w:tc>
          <w:tcPr>
            <w:tcW w:w="780" w:type="dxa"/>
            <w:vAlign w:val="bottom"/>
            <w:tcBorders>
              <w:bottom w:val="single" w:sz="8" w:color="51555C"/>
            </w:tcBorders>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620" w:type="dxa"/>
            <w:vAlign w:val="bottom"/>
            <w:tcBorders>
              <w:bottom w:val="single" w:sz="8" w:color="EBFBFF"/>
            </w:tcBorders>
            <w:shd w:val="clear" w:color="auto" w:fill="EBFBFF"/>
          </w:tcPr>
          <w:p>
            <w:pPr>
              <w:ind w:left="20"/>
              <w:spacing w:after="0" w:line="137" w:lineRule="exact"/>
              <w:rPr>
                <w:sz w:val="20"/>
                <w:szCs w:val="20"/>
                <w:color w:val="auto"/>
              </w:rPr>
            </w:pPr>
            <w:r>
              <w:rPr>
                <w:rFonts w:ascii="Calibri" w:cs="Calibri" w:eastAsia="Calibri" w:hAnsi="Calibri"/>
                <w:sz w:val="13"/>
                <w:szCs w:val="13"/>
                <w:b w:val="1"/>
                <w:bCs w:val="1"/>
                <w:color w:val="51555C"/>
              </w:rPr>
              <w:t>Balance at March 31, 2023</w:t>
            </w:r>
          </w:p>
        </w:tc>
        <w:tc>
          <w:tcPr>
            <w:tcW w:w="2120" w:type="dxa"/>
            <w:vAlign w:val="bottom"/>
            <w:tcBorders>
              <w:bottom w:val="single" w:sz="8" w:color="EBFBFF"/>
            </w:tcBorders>
            <w:gridSpan w:val="2"/>
            <w:shd w:val="clear" w:color="auto" w:fill="EBFBFF"/>
          </w:tcPr>
          <w:p>
            <w:pPr>
              <w:jc w:val="right"/>
              <w:spacing w:after="0" w:line="148" w:lineRule="exact"/>
              <w:rPr>
                <w:sz w:val="20"/>
                <w:szCs w:val="20"/>
                <w:color w:val="auto"/>
              </w:rPr>
            </w:pPr>
            <w:r>
              <w:rPr>
                <w:rFonts w:ascii="Calibri" w:cs="Calibri" w:eastAsia="Calibri" w:hAnsi="Calibri"/>
                <w:sz w:val="13"/>
                <w:szCs w:val="13"/>
                <w:color w:val="51555C"/>
              </w:rPr>
              <w:t>69,154,863</w:t>
            </w:r>
          </w:p>
        </w:tc>
        <w:tc>
          <w:tcPr>
            <w:tcW w:w="160" w:type="dxa"/>
            <w:vAlign w:val="bottom"/>
            <w:tcBorders>
              <w:bottom w:val="single" w:sz="8" w:color="EBFBFF"/>
            </w:tcBorders>
            <w:shd w:val="clear" w:color="auto" w:fill="EBFBFF"/>
          </w:tcPr>
          <w:p>
            <w:pPr>
              <w:jc w:val="right"/>
              <w:ind w:right="16"/>
              <w:spacing w:after="0" w:line="148" w:lineRule="exact"/>
              <w:rPr>
                <w:sz w:val="20"/>
                <w:szCs w:val="20"/>
                <w:color w:val="auto"/>
              </w:rPr>
            </w:pPr>
            <w:r>
              <w:rPr>
                <w:rFonts w:ascii="Calibri" w:cs="Calibri" w:eastAsia="Calibri" w:hAnsi="Calibri"/>
                <w:sz w:val="13"/>
                <w:szCs w:val="13"/>
                <w:color w:val="51555C"/>
                <w:w w:val="90"/>
              </w:rPr>
              <w:t>$</w:t>
            </w:r>
          </w:p>
        </w:tc>
        <w:tc>
          <w:tcPr>
            <w:tcW w:w="500" w:type="dxa"/>
            <w:vAlign w:val="bottom"/>
            <w:tcBorders>
              <w:bottom w:val="single" w:sz="8" w:color="EBFBFF"/>
            </w:tcBorders>
            <w:shd w:val="clear" w:color="auto" w:fill="EBFBFF"/>
          </w:tcPr>
          <w:p>
            <w:pPr>
              <w:jc w:val="right"/>
              <w:spacing w:after="0" w:line="148" w:lineRule="exact"/>
              <w:rPr>
                <w:sz w:val="20"/>
                <w:szCs w:val="20"/>
                <w:color w:val="auto"/>
              </w:rPr>
            </w:pPr>
            <w:r>
              <w:rPr>
                <w:rFonts w:ascii="Calibri" w:cs="Calibri" w:eastAsia="Calibri" w:hAnsi="Calibri"/>
                <w:sz w:val="13"/>
                <w:szCs w:val="13"/>
                <w:color w:val="51555C"/>
              </w:rPr>
              <w:t>69</w:t>
            </w:r>
          </w:p>
        </w:tc>
        <w:tc>
          <w:tcPr>
            <w:tcW w:w="980" w:type="dxa"/>
            <w:vAlign w:val="bottom"/>
            <w:tcBorders>
              <w:bottom w:val="single" w:sz="8" w:color="EBFBFF"/>
            </w:tcBorders>
            <w:shd w:val="clear" w:color="auto" w:fill="EBFBFF"/>
          </w:tcPr>
          <w:p>
            <w:pPr>
              <w:jc w:val="right"/>
              <w:spacing w:after="0" w:line="148" w:lineRule="exact"/>
              <w:rPr>
                <w:sz w:val="20"/>
                <w:szCs w:val="20"/>
                <w:color w:val="auto"/>
              </w:rPr>
            </w:pPr>
            <w:r>
              <w:rPr>
                <w:rFonts w:ascii="Calibri" w:cs="Calibri" w:eastAsia="Calibri" w:hAnsi="Calibri"/>
                <w:sz w:val="13"/>
                <w:szCs w:val="13"/>
                <w:color w:val="51555C"/>
              </w:rPr>
              <w:t>(15,278,827)</w:t>
            </w:r>
          </w:p>
        </w:tc>
        <w:tc>
          <w:tcPr>
            <w:tcW w:w="100" w:type="dxa"/>
            <w:vAlign w:val="bottom"/>
            <w:tcBorders>
              <w:bottom w:val="single" w:sz="8" w:color="EBFBFF"/>
            </w:tcBorders>
            <w:shd w:val="clear" w:color="auto" w:fill="EBFBFF"/>
          </w:tcPr>
          <w:p>
            <w:pPr>
              <w:jc w:val="right"/>
              <w:spacing w:after="0" w:line="148" w:lineRule="exact"/>
              <w:rPr>
                <w:sz w:val="20"/>
                <w:szCs w:val="20"/>
                <w:color w:val="auto"/>
              </w:rPr>
            </w:pPr>
            <w:r>
              <w:rPr>
                <w:rFonts w:ascii="Calibri" w:cs="Calibri" w:eastAsia="Calibri" w:hAnsi="Calibri"/>
                <w:sz w:val="13"/>
                <w:szCs w:val="13"/>
                <w:color w:val="51555C"/>
                <w:w w:val="90"/>
              </w:rPr>
              <w:t>$</w:t>
            </w:r>
          </w:p>
        </w:tc>
        <w:tc>
          <w:tcPr>
            <w:tcW w:w="720" w:type="dxa"/>
            <w:vAlign w:val="bottom"/>
            <w:tcBorders>
              <w:bottom w:val="single" w:sz="8" w:color="EBFBFF"/>
            </w:tcBorders>
            <w:shd w:val="clear" w:color="auto" w:fill="EBFBFF"/>
          </w:tcPr>
          <w:p>
            <w:pPr>
              <w:jc w:val="right"/>
              <w:spacing w:after="0" w:line="148" w:lineRule="exact"/>
              <w:rPr>
                <w:sz w:val="20"/>
                <w:szCs w:val="20"/>
                <w:color w:val="auto"/>
              </w:rPr>
            </w:pPr>
            <w:r>
              <w:rPr>
                <w:rFonts w:ascii="Calibri" w:cs="Calibri" w:eastAsia="Calibri" w:hAnsi="Calibri"/>
                <w:sz w:val="13"/>
                <w:szCs w:val="13"/>
                <w:color w:val="51555C"/>
              </w:rPr>
              <w:t>(568,277)</w:t>
            </w:r>
          </w:p>
        </w:tc>
        <w:tc>
          <w:tcPr>
            <w:tcW w:w="260" w:type="dxa"/>
            <w:vAlign w:val="bottom"/>
            <w:tcBorders>
              <w:bottom w:val="single" w:sz="8" w:color="EBFBFF"/>
            </w:tcBorders>
            <w:shd w:val="clear" w:color="auto" w:fill="EBFBFF"/>
          </w:tcPr>
          <w:p>
            <w:pPr>
              <w:jc w:val="right"/>
              <w:ind w:right="16"/>
              <w:spacing w:after="0" w:line="148" w:lineRule="exact"/>
              <w:rPr>
                <w:sz w:val="20"/>
                <w:szCs w:val="20"/>
                <w:color w:val="auto"/>
              </w:rPr>
            </w:pPr>
            <w:r>
              <w:rPr>
                <w:rFonts w:ascii="Calibri" w:cs="Calibri" w:eastAsia="Calibri" w:hAnsi="Calibri"/>
                <w:sz w:val="13"/>
                <w:szCs w:val="13"/>
                <w:color w:val="51555C"/>
              </w:rPr>
              <w:t>$</w:t>
            </w:r>
          </w:p>
        </w:tc>
        <w:tc>
          <w:tcPr>
            <w:tcW w:w="660" w:type="dxa"/>
            <w:vAlign w:val="bottom"/>
            <w:tcBorders>
              <w:bottom w:val="single" w:sz="8" w:color="EBFBFF"/>
            </w:tcBorders>
            <w:shd w:val="clear" w:color="auto" w:fill="EBFBFF"/>
          </w:tcPr>
          <w:p>
            <w:pPr>
              <w:jc w:val="right"/>
              <w:spacing w:after="0" w:line="148" w:lineRule="exact"/>
              <w:rPr>
                <w:sz w:val="20"/>
                <w:szCs w:val="20"/>
                <w:color w:val="auto"/>
              </w:rPr>
            </w:pPr>
            <w:r>
              <w:rPr>
                <w:rFonts w:ascii="Calibri" w:cs="Calibri" w:eastAsia="Calibri" w:hAnsi="Calibri"/>
                <w:sz w:val="13"/>
                <w:szCs w:val="13"/>
                <w:color w:val="51555C"/>
              </w:rPr>
              <w:t>1,105,189</w:t>
            </w:r>
          </w:p>
        </w:tc>
        <w:tc>
          <w:tcPr>
            <w:tcW w:w="220" w:type="dxa"/>
            <w:vAlign w:val="bottom"/>
            <w:tcBorders>
              <w:bottom w:val="single" w:sz="8" w:color="EBFBFF"/>
            </w:tcBorders>
            <w:shd w:val="clear" w:color="auto" w:fill="EBFBFF"/>
          </w:tcPr>
          <w:p>
            <w:pPr>
              <w:jc w:val="right"/>
              <w:ind w:right="107"/>
              <w:spacing w:after="0"/>
              <w:rPr>
                <w:sz w:val="20"/>
                <w:szCs w:val="20"/>
                <w:color w:val="auto"/>
              </w:rPr>
            </w:pPr>
            <w:r>
              <w:rPr>
                <w:rFonts w:ascii="Calibri" w:cs="Calibri" w:eastAsia="Calibri" w:hAnsi="Calibri"/>
                <w:sz w:val="11"/>
                <w:szCs w:val="11"/>
                <w:color w:val="51555C"/>
                <w:w w:val="70"/>
              </w:rPr>
              <w:t>$</w:t>
            </w:r>
          </w:p>
        </w:tc>
        <w:tc>
          <w:tcPr>
            <w:tcW w:w="880" w:type="dxa"/>
            <w:vAlign w:val="bottom"/>
            <w:tcBorders>
              <w:bottom w:val="single" w:sz="8" w:color="EBFBFF"/>
            </w:tcBorders>
            <w:shd w:val="clear" w:color="auto" w:fill="EBFBFF"/>
          </w:tcPr>
          <w:p>
            <w:pPr>
              <w:jc w:val="right"/>
              <w:spacing w:after="0" w:line="148" w:lineRule="exact"/>
              <w:rPr>
                <w:sz w:val="20"/>
                <w:szCs w:val="20"/>
                <w:color w:val="auto"/>
              </w:rPr>
            </w:pPr>
            <w:r>
              <w:rPr>
                <w:rFonts w:ascii="Calibri" w:cs="Calibri" w:eastAsia="Calibri" w:hAnsi="Calibri"/>
                <w:sz w:val="13"/>
                <w:szCs w:val="13"/>
                <w:color w:val="51555C"/>
              </w:rPr>
              <w:t>404</w:t>
            </w:r>
          </w:p>
        </w:tc>
        <w:tc>
          <w:tcPr>
            <w:tcW w:w="200" w:type="dxa"/>
            <w:vAlign w:val="bottom"/>
            <w:tcBorders>
              <w:bottom w:val="single" w:sz="8" w:color="EBFBFF"/>
            </w:tcBorders>
            <w:shd w:val="clear" w:color="auto" w:fill="EBFBFF"/>
          </w:tcPr>
          <w:p>
            <w:pPr>
              <w:jc w:val="center"/>
              <w:ind w:right="36"/>
              <w:spacing w:after="0" w:line="148" w:lineRule="exact"/>
              <w:rPr>
                <w:sz w:val="20"/>
                <w:szCs w:val="20"/>
                <w:color w:val="auto"/>
              </w:rPr>
            </w:pPr>
            <w:r>
              <w:rPr>
                <w:rFonts w:ascii="Calibri" w:cs="Calibri" w:eastAsia="Calibri" w:hAnsi="Calibri"/>
                <w:sz w:val="13"/>
                <w:szCs w:val="13"/>
                <w:color w:val="51555C"/>
                <w:w w:val="90"/>
              </w:rPr>
              <w:t>$</w:t>
            </w:r>
          </w:p>
        </w:tc>
        <w:tc>
          <w:tcPr>
            <w:tcW w:w="600" w:type="dxa"/>
            <w:vAlign w:val="bottom"/>
            <w:tcBorders>
              <w:bottom w:val="single" w:sz="8" w:color="EBFBFF"/>
            </w:tcBorders>
            <w:shd w:val="clear" w:color="auto" w:fill="EBFBFF"/>
          </w:tcPr>
          <w:p>
            <w:pPr>
              <w:jc w:val="right"/>
              <w:spacing w:after="0" w:line="148" w:lineRule="exact"/>
              <w:rPr>
                <w:sz w:val="20"/>
                <w:szCs w:val="20"/>
                <w:color w:val="auto"/>
              </w:rPr>
            </w:pPr>
            <w:r>
              <w:rPr>
                <w:rFonts w:ascii="Calibri" w:cs="Calibri" w:eastAsia="Calibri" w:hAnsi="Calibri"/>
                <w:sz w:val="13"/>
                <w:szCs w:val="13"/>
                <w:color w:val="51555C"/>
              </w:rPr>
              <w:t>182,348</w:t>
            </w:r>
          </w:p>
        </w:tc>
        <w:tc>
          <w:tcPr>
            <w:tcW w:w="220" w:type="dxa"/>
            <w:vAlign w:val="bottom"/>
            <w:tcBorders>
              <w:bottom w:val="single" w:sz="8" w:color="EBFBFF"/>
            </w:tcBorders>
            <w:shd w:val="clear" w:color="auto" w:fill="EBFBFF"/>
          </w:tcPr>
          <w:p>
            <w:pPr>
              <w:jc w:val="right"/>
              <w:ind w:right="76"/>
              <w:spacing w:after="0" w:line="148" w:lineRule="exact"/>
              <w:rPr>
                <w:sz w:val="20"/>
                <w:szCs w:val="20"/>
                <w:color w:val="auto"/>
              </w:rPr>
            </w:pPr>
            <w:r>
              <w:rPr>
                <w:rFonts w:ascii="Calibri" w:cs="Calibri" w:eastAsia="Calibri" w:hAnsi="Calibri"/>
                <w:sz w:val="13"/>
                <w:szCs w:val="13"/>
                <w:color w:val="51555C"/>
                <w:w w:val="90"/>
              </w:rPr>
              <w:t>$</w:t>
            </w:r>
          </w:p>
        </w:tc>
        <w:tc>
          <w:tcPr>
            <w:tcW w:w="780" w:type="dxa"/>
            <w:vAlign w:val="bottom"/>
            <w:tcBorders>
              <w:bottom w:val="single" w:sz="8" w:color="EBFBFF"/>
            </w:tcBorders>
            <w:shd w:val="clear" w:color="auto" w:fill="EBFBFF"/>
          </w:tcPr>
          <w:p>
            <w:pPr>
              <w:jc w:val="right"/>
              <w:spacing w:after="0" w:line="148" w:lineRule="exact"/>
              <w:rPr>
                <w:sz w:val="20"/>
                <w:szCs w:val="20"/>
                <w:color w:val="auto"/>
              </w:rPr>
            </w:pPr>
            <w:r>
              <w:rPr>
                <w:rFonts w:ascii="Calibri" w:cs="Calibri" w:eastAsia="Calibri" w:hAnsi="Calibri"/>
                <w:sz w:val="13"/>
                <w:szCs w:val="13"/>
                <w:color w:val="51555C"/>
              </w:rPr>
              <w:t>719,733</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620" w:type="dxa"/>
            <w:vAlign w:val="bottom"/>
          </w:tcPr>
          <w:p>
            <w:pPr>
              <w:ind w:left="100"/>
              <w:spacing w:after="0" w:line="157" w:lineRule="exact"/>
              <w:rPr>
                <w:sz w:val="20"/>
                <w:szCs w:val="20"/>
                <w:color w:val="auto"/>
              </w:rPr>
            </w:pPr>
            <w:r>
              <w:rPr>
                <w:rFonts w:ascii="Calibri" w:cs="Calibri" w:eastAsia="Calibri" w:hAnsi="Calibri"/>
                <w:sz w:val="13"/>
                <w:szCs w:val="13"/>
                <w:color w:val="51555C"/>
              </w:rPr>
              <w:t>Net income</w:t>
            </w:r>
          </w:p>
        </w:tc>
        <w:tc>
          <w:tcPr>
            <w:tcW w:w="1260" w:type="dxa"/>
            <w:vAlign w:val="bottom"/>
          </w:tcPr>
          <w:p>
            <w:pPr>
              <w:spacing w:after="0"/>
              <w:rPr>
                <w:sz w:val="13"/>
                <w:szCs w:val="13"/>
                <w:color w:val="auto"/>
              </w:rPr>
            </w:pPr>
          </w:p>
        </w:tc>
        <w:tc>
          <w:tcPr>
            <w:tcW w:w="860" w:type="dxa"/>
            <w:vAlign w:val="bottom"/>
          </w:tcPr>
          <w:p>
            <w:pPr>
              <w:jc w:val="right"/>
              <w:spacing w:after="0" w:line="157" w:lineRule="exact"/>
              <w:rPr>
                <w:sz w:val="20"/>
                <w:szCs w:val="20"/>
                <w:color w:val="auto"/>
              </w:rPr>
            </w:pPr>
            <w:r>
              <w:rPr>
                <w:rFonts w:ascii="Calibri" w:cs="Calibri" w:eastAsia="Calibri" w:hAnsi="Calibri"/>
                <w:sz w:val="13"/>
                <w:szCs w:val="13"/>
                <w:color w:val="51555C"/>
              </w:rPr>
              <w:t>—</w:t>
            </w:r>
          </w:p>
        </w:tc>
        <w:tc>
          <w:tcPr>
            <w:tcW w:w="160" w:type="dxa"/>
            <w:vAlign w:val="bottom"/>
          </w:tcPr>
          <w:p>
            <w:pPr>
              <w:spacing w:after="0"/>
              <w:rPr>
                <w:sz w:val="13"/>
                <w:szCs w:val="13"/>
                <w:color w:val="auto"/>
              </w:rPr>
            </w:pPr>
          </w:p>
        </w:tc>
        <w:tc>
          <w:tcPr>
            <w:tcW w:w="500" w:type="dxa"/>
            <w:vAlign w:val="bottom"/>
          </w:tcPr>
          <w:p>
            <w:pPr>
              <w:jc w:val="right"/>
              <w:spacing w:after="0" w:line="157" w:lineRule="exact"/>
              <w:rPr>
                <w:sz w:val="20"/>
                <w:szCs w:val="20"/>
                <w:color w:val="auto"/>
              </w:rPr>
            </w:pPr>
            <w:r>
              <w:rPr>
                <w:rFonts w:ascii="Calibri" w:cs="Calibri" w:eastAsia="Calibri" w:hAnsi="Calibri"/>
                <w:sz w:val="13"/>
                <w:szCs w:val="13"/>
                <w:color w:val="51555C"/>
              </w:rPr>
              <w:t>—</w:t>
            </w:r>
          </w:p>
        </w:tc>
        <w:tc>
          <w:tcPr>
            <w:tcW w:w="980" w:type="dxa"/>
            <w:vAlign w:val="bottom"/>
          </w:tcPr>
          <w:p>
            <w:pPr>
              <w:jc w:val="right"/>
              <w:spacing w:after="0" w:line="157" w:lineRule="exact"/>
              <w:rPr>
                <w:sz w:val="20"/>
                <w:szCs w:val="20"/>
                <w:color w:val="auto"/>
              </w:rPr>
            </w:pPr>
            <w:r>
              <w:rPr>
                <w:rFonts w:ascii="Calibri" w:cs="Calibri" w:eastAsia="Calibri" w:hAnsi="Calibri"/>
                <w:sz w:val="13"/>
                <w:szCs w:val="13"/>
                <w:color w:val="51555C"/>
              </w:rPr>
              <w:t>—</w:t>
            </w:r>
          </w:p>
        </w:tc>
        <w:tc>
          <w:tcPr>
            <w:tcW w:w="100" w:type="dxa"/>
            <w:vAlign w:val="bottom"/>
          </w:tcPr>
          <w:p>
            <w:pPr>
              <w:spacing w:after="0"/>
              <w:rPr>
                <w:sz w:val="13"/>
                <w:szCs w:val="13"/>
                <w:color w:val="auto"/>
              </w:rPr>
            </w:pPr>
          </w:p>
        </w:tc>
        <w:tc>
          <w:tcPr>
            <w:tcW w:w="720" w:type="dxa"/>
            <w:vAlign w:val="bottom"/>
          </w:tcPr>
          <w:p>
            <w:pPr>
              <w:jc w:val="right"/>
              <w:spacing w:after="0" w:line="157" w:lineRule="exact"/>
              <w:rPr>
                <w:sz w:val="20"/>
                <w:szCs w:val="20"/>
                <w:color w:val="auto"/>
              </w:rPr>
            </w:pPr>
            <w:r>
              <w:rPr>
                <w:rFonts w:ascii="Calibri" w:cs="Calibri" w:eastAsia="Calibri" w:hAnsi="Calibri"/>
                <w:sz w:val="13"/>
                <w:szCs w:val="13"/>
                <w:color w:val="51555C"/>
              </w:rPr>
              <w:t>—</w:t>
            </w:r>
          </w:p>
        </w:tc>
        <w:tc>
          <w:tcPr>
            <w:tcW w:w="260" w:type="dxa"/>
            <w:vAlign w:val="bottom"/>
          </w:tcPr>
          <w:p>
            <w:pPr>
              <w:spacing w:after="0"/>
              <w:rPr>
                <w:sz w:val="13"/>
                <w:szCs w:val="13"/>
                <w:color w:val="auto"/>
              </w:rPr>
            </w:pPr>
          </w:p>
        </w:tc>
        <w:tc>
          <w:tcPr>
            <w:tcW w:w="660" w:type="dxa"/>
            <w:vAlign w:val="bottom"/>
          </w:tcPr>
          <w:p>
            <w:pPr>
              <w:jc w:val="right"/>
              <w:spacing w:after="0" w:line="157" w:lineRule="exact"/>
              <w:rPr>
                <w:sz w:val="20"/>
                <w:szCs w:val="20"/>
                <w:color w:val="auto"/>
              </w:rPr>
            </w:pPr>
            <w:r>
              <w:rPr>
                <w:rFonts w:ascii="Calibri" w:cs="Calibri" w:eastAsia="Calibri" w:hAnsi="Calibri"/>
                <w:sz w:val="13"/>
                <w:szCs w:val="13"/>
                <w:color w:val="51555C"/>
              </w:rPr>
              <w:t>—</w:t>
            </w:r>
          </w:p>
        </w:tc>
        <w:tc>
          <w:tcPr>
            <w:tcW w:w="220" w:type="dxa"/>
            <w:vAlign w:val="bottom"/>
          </w:tcPr>
          <w:p>
            <w:pPr>
              <w:spacing w:after="0"/>
              <w:rPr>
                <w:sz w:val="13"/>
                <w:szCs w:val="13"/>
                <w:color w:val="auto"/>
              </w:rPr>
            </w:pPr>
          </w:p>
        </w:tc>
        <w:tc>
          <w:tcPr>
            <w:tcW w:w="880" w:type="dxa"/>
            <w:vAlign w:val="bottom"/>
          </w:tcPr>
          <w:p>
            <w:pPr>
              <w:jc w:val="right"/>
              <w:spacing w:after="0" w:line="157" w:lineRule="exact"/>
              <w:rPr>
                <w:sz w:val="20"/>
                <w:szCs w:val="20"/>
                <w:color w:val="auto"/>
              </w:rPr>
            </w:pPr>
            <w:r>
              <w:rPr>
                <w:rFonts w:ascii="Calibri" w:cs="Calibri" w:eastAsia="Calibri" w:hAnsi="Calibri"/>
                <w:sz w:val="13"/>
                <w:szCs w:val="13"/>
                <w:color w:val="51555C"/>
              </w:rPr>
              <w:t>—</w:t>
            </w:r>
          </w:p>
        </w:tc>
        <w:tc>
          <w:tcPr>
            <w:tcW w:w="200" w:type="dxa"/>
            <w:vAlign w:val="bottom"/>
          </w:tcPr>
          <w:p>
            <w:pPr>
              <w:spacing w:after="0"/>
              <w:rPr>
                <w:sz w:val="13"/>
                <w:szCs w:val="13"/>
                <w:color w:val="auto"/>
              </w:rPr>
            </w:pPr>
          </w:p>
        </w:tc>
        <w:tc>
          <w:tcPr>
            <w:tcW w:w="600" w:type="dxa"/>
            <w:vAlign w:val="bottom"/>
          </w:tcPr>
          <w:p>
            <w:pPr>
              <w:jc w:val="right"/>
              <w:spacing w:after="0" w:line="157" w:lineRule="exact"/>
              <w:rPr>
                <w:sz w:val="20"/>
                <w:szCs w:val="20"/>
                <w:color w:val="auto"/>
              </w:rPr>
            </w:pPr>
            <w:r>
              <w:rPr>
                <w:rFonts w:ascii="Calibri" w:cs="Calibri" w:eastAsia="Calibri" w:hAnsi="Calibri"/>
                <w:sz w:val="13"/>
                <w:szCs w:val="13"/>
                <w:color w:val="51555C"/>
              </w:rPr>
              <w:t>2,105</w:t>
            </w:r>
          </w:p>
        </w:tc>
        <w:tc>
          <w:tcPr>
            <w:tcW w:w="220" w:type="dxa"/>
            <w:vAlign w:val="bottom"/>
          </w:tcPr>
          <w:p>
            <w:pPr>
              <w:spacing w:after="0"/>
              <w:rPr>
                <w:sz w:val="13"/>
                <w:szCs w:val="13"/>
                <w:color w:val="auto"/>
              </w:rPr>
            </w:pPr>
          </w:p>
        </w:tc>
        <w:tc>
          <w:tcPr>
            <w:tcW w:w="780" w:type="dxa"/>
            <w:vAlign w:val="bottom"/>
          </w:tcPr>
          <w:p>
            <w:pPr>
              <w:jc w:val="right"/>
              <w:spacing w:after="0" w:line="157" w:lineRule="exact"/>
              <w:rPr>
                <w:sz w:val="20"/>
                <w:szCs w:val="20"/>
                <w:color w:val="auto"/>
              </w:rPr>
            </w:pPr>
            <w:r>
              <w:rPr>
                <w:rFonts w:ascii="Calibri" w:cs="Calibri" w:eastAsia="Calibri" w:hAnsi="Calibri"/>
                <w:sz w:val="13"/>
                <w:szCs w:val="13"/>
                <w:color w:val="51555C"/>
              </w:rPr>
              <w:t>2,105</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6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620" w:type="dxa"/>
            <w:vAlign w:val="bottom"/>
            <w:tcBorders>
              <w:bottom w:val="single" w:sz="8" w:color="EBFBFF"/>
            </w:tcBorders>
            <w:shd w:val="clear" w:color="auto" w:fill="EBFBFF"/>
          </w:tcPr>
          <w:p>
            <w:pPr>
              <w:ind w:left="100"/>
              <w:spacing w:after="0" w:line="157" w:lineRule="exact"/>
              <w:rPr>
                <w:sz w:val="20"/>
                <w:szCs w:val="20"/>
                <w:color w:val="auto"/>
              </w:rPr>
            </w:pPr>
            <w:r>
              <w:rPr>
                <w:rFonts w:ascii="Calibri" w:cs="Calibri" w:eastAsia="Calibri" w:hAnsi="Calibri"/>
                <w:sz w:val="13"/>
                <w:szCs w:val="13"/>
                <w:color w:val="51555C"/>
              </w:rPr>
              <w:t>Vestng of restricted stock units</w:t>
            </w:r>
          </w:p>
        </w:tc>
        <w:tc>
          <w:tcPr>
            <w:tcW w:w="2120" w:type="dxa"/>
            <w:vAlign w:val="bottom"/>
            <w:tcBorders>
              <w:bottom w:val="single" w:sz="8" w:color="EBFBFF"/>
            </w:tcBorders>
            <w:gridSpan w:val="2"/>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23,550</w:t>
            </w:r>
          </w:p>
        </w:tc>
        <w:tc>
          <w:tcPr>
            <w:tcW w:w="160" w:type="dxa"/>
            <w:vAlign w:val="bottom"/>
            <w:tcBorders>
              <w:bottom w:val="single" w:sz="8" w:color="EBFBFF"/>
            </w:tcBorders>
            <w:shd w:val="clear" w:color="auto" w:fill="EBFBFF"/>
          </w:tcPr>
          <w:p>
            <w:pPr>
              <w:spacing w:after="0"/>
              <w:rPr>
                <w:sz w:val="14"/>
                <w:szCs w:val="14"/>
                <w:color w:val="auto"/>
              </w:rPr>
            </w:pPr>
          </w:p>
        </w:tc>
        <w:tc>
          <w:tcPr>
            <w:tcW w:w="50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w:t>
            </w:r>
          </w:p>
        </w:tc>
        <w:tc>
          <w:tcPr>
            <w:tcW w:w="98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w:t>
            </w:r>
          </w:p>
        </w:tc>
        <w:tc>
          <w:tcPr>
            <w:tcW w:w="100" w:type="dxa"/>
            <w:vAlign w:val="bottom"/>
            <w:tcBorders>
              <w:bottom w:val="single" w:sz="8" w:color="EBFBFF"/>
            </w:tcBorders>
            <w:shd w:val="clear" w:color="auto" w:fill="EBFBFF"/>
          </w:tcPr>
          <w:p>
            <w:pPr>
              <w:spacing w:after="0"/>
              <w:rPr>
                <w:sz w:val="14"/>
                <w:szCs w:val="14"/>
                <w:color w:val="auto"/>
              </w:rPr>
            </w:pPr>
          </w:p>
        </w:tc>
        <w:tc>
          <w:tcPr>
            <w:tcW w:w="72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w:t>
            </w:r>
          </w:p>
        </w:tc>
        <w:tc>
          <w:tcPr>
            <w:tcW w:w="260" w:type="dxa"/>
            <w:vAlign w:val="bottom"/>
            <w:tcBorders>
              <w:bottom w:val="single" w:sz="8" w:color="EBFBFF"/>
            </w:tcBorders>
            <w:shd w:val="clear" w:color="auto" w:fill="EBFBFF"/>
          </w:tcPr>
          <w:p>
            <w:pPr>
              <w:spacing w:after="0"/>
              <w:rPr>
                <w:sz w:val="14"/>
                <w:szCs w:val="14"/>
                <w:color w:val="auto"/>
              </w:rPr>
            </w:pPr>
          </w:p>
        </w:tc>
        <w:tc>
          <w:tcPr>
            <w:tcW w:w="66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w:t>
            </w:r>
          </w:p>
        </w:tc>
        <w:tc>
          <w:tcPr>
            <w:tcW w:w="220" w:type="dxa"/>
            <w:vAlign w:val="bottom"/>
            <w:tcBorders>
              <w:bottom w:val="single" w:sz="8" w:color="EBFBFF"/>
            </w:tcBorders>
            <w:shd w:val="clear" w:color="auto" w:fill="EBFBFF"/>
          </w:tcPr>
          <w:p>
            <w:pPr>
              <w:spacing w:after="0"/>
              <w:rPr>
                <w:sz w:val="14"/>
                <w:szCs w:val="14"/>
                <w:color w:val="auto"/>
              </w:rPr>
            </w:pPr>
          </w:p>
        </w:tc>
        <w:tc>
          <w:tcPr>
            <w:tcW w:w="88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w:t>
            </w:r>
          </w:p>
        </w:tc>
        <w:tc>
          <w:tcPr>
            <w:tcW w:w="200" w:type="dxa"/>
            <w:vAlign w:val="bottom"/>
            <w:tcBorders>
              <w:bottom w:val="single" w:sz="8" w:color="EBFBFF"/>
            </w:tcBorders>
            <w:shd w:val="clear" w:color="auto" w:fill="EBFBFF"/>
          </w:tcPr>
          <w:p>
            <w:pPr>
              <w:spacing w:after="0"/>
              <w:rPr>
                <w:sz w:val="14"/>
                <w:szCs w:val="14"/>
                <w:color w:val="auto"/>
              </w:rPr>
            </w:pPr>
          </w:p>
        </w:tc>
        <w:tc>
          <w:tcPr>
            <w:tcW w:w="60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w:t>
            </w:r>
          </w:p>
        </w:tc>
        <w:tc>
          <w:tcPr>
            <w:tcW w:w="220" w:type="dxa"/>
            <w:vAlign w:val="bottom"/>
            <w:tcBorders>
              <w:bottom w:val="single" w:sz="8" w:color="EBFBFF"/>
            </w:tcBorders>
            <w:shd w:val="clear" w:color="auto" w:fill="EBFBFF"/>
          </w:tcPr>
          <w:p>
            <w:pPr>
              <w:spacing w:after="0"/>
              <w:rPr>
                <w:sz w:val="14"/>
                <w:szCs w:val="14"/>
                <w:color w:val="auto"/>
              </w:rPr>
            </w:pPr>
          </w:p>
        </w:tc>
        <w:tc>
          <w:tcPr>
            <w:tcW w:w="78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620" w:type="dxa"/>
            <w:vAlign w:val="bottom"/>
          </w:tcPr>
          <w:p>
            <w:pPr>
              <w:ind w:left="100"/>
              <w:spacing w:after="0" w:line="157" w:lineRule="exact"/>
              <w:rPr>
                <w:sz w:val="20"/>
                <w:szCs w:val="20"/>
                <w:color w:val="auto"/>
              </w:rPr>
            </w:pPr>
            <w:r>
              <w:rPr>
                <w:rFonts w:ascii="Calibri" w:cs="Calibri" w:eastAsia="Calibri" w:hAnsi="Calibri"/>
                <w:sz w:val="13"/>
                <w:szCs w:val="13"/>
                <w:color w:val="51555C"/>
              </w:rPr>
              <w:t>Shares withheld to satsfy tax withholdings</w:t>
            </w:r>
          </w:p>
        </w:tc>
        <w:tc>
          <w:tcPr>
            <w:tcW w:w="1260" w:type="dxa"/>
            <w:vAlign w:val="bottom"/>
          </w:tcPr>
          <w:p>
            <w:pPr>
              <w:spacing w:after="0"/>
              <w:rPr>
                <w:sz w:val="13"/>
                <w:szCs w:val="13"/>
                <w:color w:val="auto"/>
              </w:rPr>
            </w:pPr>
          </w:p>
        </w:tc>
        <w:tc>
          <w:tcPr>
            <w:tcW w:w="860" w:type="dxa"/>
            <w:vAlign w:val="bottom"/>
          </w:tcPr>
          <w:p>
            <w:pPr>
              <w:jc w:val="right"/>
              <w:spacing w:after="0" w:line="157" w:lineRule="exact"/>
              <w:rPr>
                <w:sz w:val="20"/>
                <w:szCs w:val="20"/>
                <w:color w:val="auto"/>
              </w:rPr>
            </w:pPr>
            <w:r>
              <w:rPr>
                <w:rFonts w:ascii="Calibri" w:cs="Calibri" w:eastAsia="Calibri" w:hAnsi="Calibri"/>
                <w:sz w:val="13"/>
                <w:szCs w:val="13"/>
                <w:color w:val="51555C"/>
              </w:rPr>
              <w:t>—</w:t>
            </w:r>
          </w:p>
        </w:tc>
        <w:tc>
          <w:tcPr>
            <w:tcW w:w="160" w:type="dxa"/>
            <w:vAlign w:val="bottom"/>
          </w:tcPr>
          <w:p>
            <w:pPr>
              <w:spacing w:after="0"/>
              <w:rPr>
                <w:sz w:val="13"/>
                <w:szCs w:val="13"/>
                <w:color w:val="auto"/>
              </w:rPr>
            </w:pPr>
          </w:p>
        </w:tc>
        <w:tc>
          <w:tcPr>
            <w:tcW w:w="500" w:type="dxa"/>
            <w:vAlign w:val="bottom"/>
          </w:tcPr>
          <w:p>
            <w:pPr>
              <w:jc w:val="right"/>
              <w:spacing w:after="0" w:line="157" w:lineRule="exact"/>
              <w:rPr>
                <w:sz w:val="20"/>
                <w:szCs w:val="20"/>
                <w:color w:val="auto"/>
              </w:rPr>
            </w:pPr>
            <w:r>
              <w:rPr>
                <w:rFonts w:ascii="Calibri" w:cs="Calibri" w:eastAsia="Calibri" w:hAnsi="Calibri"/>
                <w:sz w:val="13"/>
                <w:szCs w:val="13"/>
                <w:color w:val="51555C"/>
              </w:rPr>
              <w:t>—</w:t>
            </w:r>
          </w:p>
        </w:tc>
        <w:tc>
          <w:tcPr>
            <w:tcW w:w="980" w:type="dxa"/>
            <w:vAlign w:val="bottom"/>
          </w:tcPr>
          <w:p>
            <w:pPr>
              <w:jc w:val="right"/>
              <w:spacing w:after="0" w:line="157" w:lineRule="exact"/>
              <w:rPr>
                <w:sz w:val="20"/>
                <w:szCs w:val="20"/>
                <w:color w:val="auto"/>
              </w:rPr>
            </w:pPr>
            <w:r>
              <w:rPr>
                <w:rFonts w:ascii="Calibri" w:cs="Calibri" w:eastAsia="Calibri" w:hAnsi="Calibri"/>
                <w:sz w:val="13"/>
                <w:szCs w:val="13"/>
                <w:color w:val="51555C"/>
              </w:rPr>
              <w:t>(32,540)</w:t>
            </w:r>
          </w:p>
        </w:tc>
        <w:tc>
          <w:tcPr>
            <w:tcW w:w="100" w:type="dxa"/>
            <w:vAlign w:val="bottom"/>
          </w:tcPr>
          <w:p>
            <w:pPr>
              <w:spacing w:after="0"/>
              <w:rPr>
                <w:sz w:val="13"/>
                <w:szCs w:val="13"/>
                <w:color w:val="auto"/>
              </w:rPr>
            </w:pPr>
          </w:p>
        </w:tc>
        <w:tc>
          <w:tcPr>
            <w:tcW w:w="720" w:type="dxa"/>
            <w:vAlign w:val="bottom"/>
          </w:tcPr>
          <w:p>
            <w:pPr>
              <w:jc w:val="right"/>
              <w:spacing w:after="0" w:line="157" w:lineRule="exact"/>
              <w:rPr>
                <w:sz w:val="20"/>
                <w:szCs w:val="20"/>
                <w:color w:val="auto"/>
              </w:rPr>
            </w:pPr>
            <w:r>
              <w:rPr>
                <w:rFonts w:ascii="Calibri" w:cs="Calibri" w:eastAsia="Calibri" w:hAnsi="Calibri"/>
                <w:sz w:val="13"/>
                <w:szCs w:val="13"/>
                <w:color w:val="51555C"/>
              </w:rPr>
              <w:t>(2,270)</w:t>
            </w:r>
          </w:p>
        </w:tc>
        <w:tc>
          <w:tcPr>
            <w:tcW w:w="260" w:type="dxa"/>
            <w:vAlign w:val="bottom"/>
          </w:tcPr>
          <w:p>
            <w:pPr>
              <w:spacing w:after="0"/>
              <w:rPr>
                <w:sz w:val="13"/>
                <w:szCs w:val="13"/>
                <w:color w:val="auto"/>
              </w:rPr>
            </w:pPr>
          </w:p>
        </w:tc>
        <w:tc>
          <w:tcPr>
            <w:tcW w:w="660" w:type="dxa"/>
            <w:vAlign w:val="bottom"/>
          </w:tcPr>
          <w:p>
            <w:pPr>
              <w:jc w:val="right"/>
              <w:spacing w:after="0" w:line="157" w:lineRule="exact"/>
              <w:rPr>
                <w:sz w:val="20"/>
                <w:szCs w:val="20"/>
                <w:color w:val="auto"/>
              </w:rPr>
            </w:pPr>
            <w:r>
              <w:rPr>
                <w:rFonts w:ascii="Calibri" w:cs="Calibri" w:eastAsia="Calibri" w:hAnsi="Calibri"/>
                <w:sz w:val="13"/>
                <w:szCs w:val="13"/>
                <w:color w:val="51555C"/>
              </w:rPr>
              <w:t>—</w:t>
            </w:r>
          </w:p>
        </w:tc>
        <w:tc>
          <w:tcPr>
            <w:tcW w:w="220" w:type="dxa"/>
            <w:vAlign w:val="bottom"/>
          </w:tcPr>
          <w:p>
            <w:pPr>
              <w:spacing w:after="0"/>
              <w:rPr>
                <w:sz w:val="13"/>
                <w:szCs w:val="13"/>
                <w:color w:val="auto"/>
              </w:rPr>
            </w:pPr>
          </w:p>
        </w:tc>
        <w:tc>
          <w:tcPr>
            <w:tcW w:w="880" w:type="dxa"/>
            <w:vAlign w:val="bottom"/>
          </w:tcPr>
          <w:p>
            <w:pPr>
              <w:jc w:val="right"/>
              <w:spacing w:after="0" w:line="157" w:lineRule="exact"/>
              <w:rPr>
                <w:sz w:val="20"/>
                <w:szCs w:val="20"/>
                <w:color w:val="auto"/>
              </w:rPr>
            </w:pPr>
            <w:r>
              <w:rPr>
                <w:rFonts w:ascii="Calibri" w:cs="Calibri" w:eastAsia="Calibri" w:hAnsi="Calibri"/>
                <w:sz w:val="13"/>
                <w:szCs w:val="13"/>
                <w:color w:val="51555C"/>
              </w:rPr>
              <w:t>—</w:t>
            </w:r>
          </w:p>
        </w:tc>
        <w:tc>
          <w:tcPr>
            <w:tcW w:w="200" w:type="dxa"/>
            <w:vAlign w:val="bottom"/>
          </w:tcPr>
          <w:p>
            <w:pPr>
              <w:spacing w:after="0"/>
              <w:rPr>
                <w:sz w:val="13"/>
                <w:szCs w:val="13"/>
                <w:color w:val="auto"/>
              </w:rPr>
            </w:pPr>
          </w:p>
        </w:tc>
        <w:tc>
          <w:tcPr>
            <w:tcW w:w="600" w:type="dxa"/>
            <w:vAlign w:val="bottom"/>
          </w:tcPr>
          <w:p>
            <w:pPr>
              <w:jc w:val="right"/>
              <w:spacing w:after="0" w:line="157" w:lineRule="exact"/>
              <w:rPr>
                <w:sz w:val="20"/>
                <w:szCs w:val="20"/>
                <w:color w:val="auto"/>
              </w:rPr>
            </w:pPr>
            <w:r>
              <w:rPr>
                <w:rFonts w:ascii="Calibri" w:cs="Calibri" w:eastAsia="Calibri" w:hAnsi="Calibri"/>
                <w:sz w:val="13"/>
                <w:szCs w:val="13"/>
                <w:color w:val="51555C"/>
              </w:rPr>
              <w:t>—</w:t>
            </w:r>
          </w:p>
        </w:tc>
        <w:tc>
          <w:tcPr>
            <w:tcW w:w="220" w:type="dxa"/>
            <w:vAlign w:val="bottom"/>
          </w:tcPr>
          <w:p>
            <w:pPr>
              <w:spacing w:after="0"/>
              <w:rPr>
                <w:sz w:val="13"/>
                <w:szCs w:val="13"/>
                <w:color w:val="auto"/>
              </w:rPr>
            </w:pPr>
          </w:p>
        </w:tc>
        <w:tc>
          <w:tcPr>
            <w:tcW w:w="780" w:type="dxa"/>
            <w:vAlign w:val="bottom"/>
          </w:tcPr>
          <w:p>
            <w:pPr>
              <w:jc w:val="right"/>
              <w:spacing w:after="0" w:line="157" w:lineRule="exact"/>
              <w:rPr>
                <w:sz w:val="20"/>
                <w:szCs w:val="20"/>
                <w:color w:val="auto"/>
              </w:rPr>
            </w:pPr>
            <w:r>
              <w:rPr>
                <w:rFonts w:ascii="Calibri" w:cs="Calibri" w:eastAsia="Calibri" w:hAnsi="Calibri"/>
                <w:sz w:val="13"/>
                <w:szCs w:val="13"/>
                <w:color w:val="51555C"/>
              </w:rPr>
              <w:t>(2,270)</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6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620" w:type="dxa"/>
            <w:vAlign w:val="bottom"/>
            <w:tcBorders>
              <w:bottom w:val="single" w:sz="8" w:color="EBFBFF"/>
            </w:tcBorders>
            <w:shd w:val="clear" w:color="auto" w:fill="EBFBFF"/>
          </w:tcPr>
          <w:p>
            <w:pPr>
              <w:ind w:left="100"/>
              <w:spacing w:after="0" w:line="157" w:lineRule="exact"/>
              <w:rPr>
                <w:sz w:val="20"/>
                <w:szCs w:val="20"/>
                <w:color w:val="auto"/>
              </w:rPr>
            </w:pPr>
            <w:r>
              <w:rPr>
                <w:rFonts w:ascii="Calibri" w:cs="Calibri" w:eastAsia="Calibri" w:hAnsi="Calibri"/>
                <w:sz w:val="13"/>
                <w:szCs w:val="13"/>
                <w:color w:val="51555C"/>
              </w:rPr>
              <w:t>Stock-based compensaton</w:t>
            </w:r>
          </w:p>
        </w:tc>
        <w:tc>
          <w:tcPr>
            <w:tcW w:w="1260" w:type="dxa"/>
            <w:vAlign w:val="bottom"/>
            <w:tcBorders>
              <w:bottom w:val="single" w:sz="8" w:color="EBFBFF"/>
            </w:tcBorders>
            <w:shd w:val="clear" w:color="auto" w:fill="EBFBFF"/>
          </w:tcPr>
          <w:p>
            <w:pPr>
              <w:spacing w:after="0"/>
              <w:rPr>
                <w:sz w:val="14"/>
                <w:szCs w:val="14"/>
                <w:color w:val="auto"/>
              </w:rPr>
            </w:pPr>
          </w:p>
        </w:tc>
        <w:tc>
          <w:tcPr>
            <w:tcW w:w="86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w:t>
            </w:r>
          </w:p>
        </w:tc>
        <w:tc>
          <w:tcPr>
            <w:tcW w:w="160" w:type="dxa"/>
            <w:vAlign w:val="bottom"/>
            <w:tcBorders>
              <w:bottom w:val="single" w:sz="8" w:color="EBFBFF"/>
            </w:tcBorders>
            <w:shd w:val="clear" w:color="auto" w:fill="EBFBFF"/>
          </w:tcPr>
          <w:p>
            <w:pPr>
              <w:spacing w:after="0"/>
              <w:rPr>
                <w:sz w:val="14"/>
                <w:szCs w:val="14"/>
                <w:color w:val="auto"/>
              </w:rPr>
            </w:pPr>
          </w:p>
        </w:tc>
        <w:tc>
          <w:tcPr>
            <w:tcW w:w="50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w:t>
            </w:r>
          </w:p>
        </w:tc>
        <w:tc>
          <w:tcPr>
            <w:tcW w:w="98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w:t>
            </w:r>
          </w:p>
        </w:tc>
        <w:tc>
          <w:tcPr>
            <w:tcW w:w="100" w:type="dxa"/>
            <w:vAlign w:val="bottom"/>
            <w:tcBorders>
              <w:bottom w:val="single" w:sz="8" w:color="EBFBFF"/>
            </w:tcBorders>
            <w:shd w:val="clear" w:color="auto" w:fill="EBFBFF"/>
          </w:tcPr>
          <w:p>
            <w:pPr>
              <w:spacing w:after="0"/>
              <w:rPr>
                <w:sz w:val="14"/>
                <w:szCs w:val="14"/>
                <w:color w:val="auto"/>
              </w:rPr>
            </w:pPr>
          </w:p>
        </w:tc>
        <w:tc>
          <w:tcPr>
            <w:tcW w:w="72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w:t>
            </w:r>
          </w:p>
        </w:tc>
        <w:tc>
          <w:tcPr>
            <w:tcW w:w="260" w:type="dxa"/>
            <w:vAlign w:val="bottom"/>
            <w:tcBorders>
              <w:bottom w:val="single" w:sz="8" w:color="EBFBFF"/>
            </w:tcBorders>
            <w:shd w:val="clear" w:color="auto" w:fill="EBFBFF"/>
          </w:tcPr>
          <w:p>
            <w:pPr>
              <w:spacing w:after="0"/>
              <w:rPr>
                <w:sz w:val="14"/>
                <w:szCs w:val="14"/>
                <w:color w:val="auto"/>
              </w:rPr>
            </w:pPr>
          </w:p>
        </w:tc>
        <w:tc>
          <w:tcPr>
            <w:tcW w:w="66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33,364</w:t>
            </w:r>
          </w:p>
        </w:tc>
        <w:tc>
          <w:tcPr>
            <w:tcW w:w="220" w:type="dxa"/>
            <w:vAlign w:val="bottom"/>
            <w:tcBorders>
              <w:bottom w:val="single" w:sz="8" w:color="EBFBFF"/>
            </w:tcBorders>
            <w:shd w:val="clear" w:color="auto" w:fill="EBFBFF"/>
          </w:tcPr>
          <w:p>
            <w:pPr>
              <w:spacing w:after="0"/>
              <w:rPr>
                <w:sz w:val="14"/>
                <w:szCs w:val="14"/>
                <w:color w:val="auto"/>
              </w:rPr>
            </w:pPr>
          </w:p>
        </w:tc>
        <w:tc>
          <w:tcPr>
            <w:tcW w:w="88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w:t>
            </w:r>
          </w:p>
        </w:tc>
        <w:tc>
          <w:tcPr>
            <w:tcW w:w="200" w:type="dxa"/>
            <w:vAlign w:val="bottom"/>
            <w:tcBorders>
              <w:bottom w:val="single" w:sz="8" w:color="EBFBFF"/>
            </w:tcBorders>
            <w:shd w:val="clear" w:color="auto" w:fill="EBFBFF"/>
          </w:tcPr>
          <w:p>
            <w:pPr>
              <w:spacing w:after="0"/>
              <w:rPr>
                <w:sz w:val="14"/>
                <w:szCs w:val="14"/>
                <w:color w:val="auto"/>
              </w:rPr>
            </w:pPr>
          </w:p>
        </w:tc>
        <w:tc>
          <w:tcPr>
            <w:tcW w:w="60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w:t>
            </w:r>
          </w:p>
        </w:tc>
        <w:tc>
          <w:tcPr>
            <w:tcW w:w="220" w:type="dxa"/>
            <w:vAlign w:val="bottom"/>
            <w:tcBorders>
              <w:bottom w:val="single" w:sz="8" w:color="EBFBFF"/>
            </w:tcBorders>
            <w:shd w:val="clear" w:color="auto" w:fill="EBFBFF"/>
          </w:tcPr>
          <w:p>
            <w:pPr>
              <w:spacing w:after="0"/>
              <w:rPr>
                <w:sz w:val="14"/>
                <w:szCs w:val="14"/>
                <w:color w:val="auto"/>
              </w:rPr>
            </w:pPr>
          </w:p>
        </w:tc>
        <w:tc>
          <w:tcPr>
            <w:tcW w:w="78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33,364</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620" w:type="dxa"/>
            <w:vAlign w:val="bottom"/>
          </w:tcPr>
          <w:p>
            <w:pPr>
              <w:ind w:left="100"/>
              <w:spacing w:after="0" w:line="157" w:lineRule="exact"/>
              <w:rPr>
                <w:sz w:val="20"/>
                <w:szCs w:val="20"/>
                <w:color w:val="auto"/>
              </w:rPr>
            </w:pPr>
            <w:r>
              <w:rPr>
                <w:rFonts w:ascii="Calibri" w:cs="Calibri" w:eastAsia="Calibri" w:hAnsi="Calibri"/>
                <w:sz w:val="13"/>
                <w:szCs w:val="13"/>
                <w:color w:val="51555C"/>
              </w:rPr>
              <w:t>Restricted stock grants</w:t>
            </w:r>
          </w:p>
        </w:tc>
        <w:tc>
          <w:tcPr>
            <w:tcW w:w="2120" w:type="dxa"/>
            <w:vAlign w:val="bottom"/>
            <w:gridSpan w:val="2"/>
          </w:tcPr>
          <w:p>
            <w:pPr>
              <w:jc w:val="right"/>
              <w:spacing w:after="0" w:line="157" w:lineRule="exact"/>
              <w:rPr>
                <w:sz w:val="20"/>
                <w:szCs w:val="20"/>
                <w:color w:val="auto"/>
              </w:rPr>
            </w:pPr>
            <w:r>
              <w:rPr>
                <w:rFonts w:ascii="Calibri" w:cs="Calibri" w:eastAsia="Calibri" w:hAnsi="Calibri"/>
                <w:sz w:val="13"/>
                <w:szCs w:val="13"/>
                <w:color w:val="51555C"/>
              </w:rPr>
              <w:t>6,031</w:t>
            </w:r>
          </w:p>
        </w:tc>
        <w:tc>
          <w:tcPr>
            <w:tcW w:w="160" w:type="dxa"/>
            <w:vAlign w:val="bottom"/>
          </w:tcPr>
          <w:p>
            <w:pPr>
              <w:spacing w:after="0"/>
              <w:rPr>
                <w:sz w:val="13"/>
                <w:szCs w:val="13"/>
                <w:color w:val="auto"/>
              </w:rPr>
            </w:pPr>
          </w:p>
        </w:tc>
        <w:tc>
          <w:tcPr>
            <w:tcW w:w="500" w:type="dxa"/>
            <w:vAlign w:val="bottom"/>
          </w:tcPr>
          <w:p>
            <w:pPr>
              <w:jc w:val="right"/>
              <w:spacing w:after="0" w:line="157" w:lineRule="exact"/>
              <w:rPr>
                <w:sz w:val="20"/>
                <w:szCs w:val="20"/>
                <w:color w:val="auto"/>
              </w:rPr>
            </w:pPr>
            <w:r>
              <w:rPr>
                <w:rFonts w:ascii="Calibri" w:cs="Calibri" w:eastAsia="Calibri" w:hAnsi="Calibri"/>
                <w:sz w:val="13"/>
                <w:szCs w:val="13"/>
                <w:color w:val="51555C"/>
              </w:rPr>
              <w:t>—</w:t>
            </w:r>
          </w:p>
        </w:tc>
        <w:tc>
          <w:tcPr>
            <w:tcW w:w="980" w:type="dxa"/>
            <w:vAlign w:val="bottom"/>
          </w:tcPr>
          <w:p>
            <w:pPr>
              <w:jc w:val="right"/>
              <w:spacing w:after="0" w:line="157" w:lineRule="exact"/>
              <w:rPr>
                <w:sz w:val="20"/>
                <w:szCs w:val="20"/>
                <w:color w:val="auto"/>
              </w:rPr>
            </w:pPr>
            <w:r>
              <w:rPr>
                <w:rFonts w:ascii="Calibri" w:cs="Calibri" w:eastAsia="Calibri" w:hAnsi="Calibri"/>
                <w:sz w:val="13"/>
                <w:szCs w:val="13"/>
                <w:color w:val="51555C"/>
              </w:rPr>
              <w:t>—</w:t>
            </w:r>
          </w:p>
        </w:tc>
        <w:tc>
          <w:tcPr>
            <w:tcW w:w="100" w:type="dxa"/>
            <w:vAlign w:val="bottom"/>
          </w:tcPr>
          <w:p>
            <w:pPr>
              <w:spacing w:after="0"/>
              <w:rPr>
                <w:sz w:val="13"/>
                <w:szCs w:val="13"/>
                <w:color w:val="auto"/>
              </w:rPr>
            </w:pPr>
          </w:p>
        </w:tc>
        <w:tc>
          <w:tcPr>
            <w:tcW w:w="720" w:type="dxa"/>
            <w:vAlign w:val="bottom"/>
          </w:tcPr>
          <w:p>
            <w:pPr>
              <w:jc w:val="right"/>
              <w:spacing w:after="0" w:line="157" w:lineRule="exact"/>
              <w:rPr>
                <w:sz w:val="20"/>
                <w:szCs w:val="20"/>
                <w:color w:val="auto"/>
              </w:rPr>
            </w:pPr>
            <w:r>
              <w:rPr>
                <w:rFonts w:ascii="Calibri" w:cs="Calibri" w:eastAsia="Calibri" w:hAnsi="Calibri"/>
                <w:sz w:val="13"/>
                <w:szCs w:val="13"/>
                <w:color w:val="51555C"/>
              </w:rPr>
              <w:t>—</w:t>
            </w:r>
          </w:p>
        </w:tc>
        <w:tc>
          <w:tcPr>
            <w:tcW w:w="260" w:type="dxa"/>
            <w:vAlign w:val="bottom"/>
          </w:tcPr>
          <w:p>
            <w:pPr>
              <w:spacing w:after="0"/>
              <w:rPr>
                <w:sz w:val="13"/>
                <w:szCs w:val="13"/>
                <w:color w:val="auto"/>
              </w:rPr>
            </w:pPr>
          </w:p>
        </w:tc>
        <w:tc>
          <w:tcPr>
            <w:tcW w:w="660" w:type="dxa"/>
            <w:vAlign w:val="bottom"/>
          </w:tcPr>
          <w:p>
            <w:pPr>
              <w:jc w:val="right"/>
              <w:spacing w:after="0" w:line="157" w:lineRule="exact"/>
              <w:rPr>
                <w:sz w:val="20"/>
                <w:szCs w:val="20"/>
                <w:color w:val="auto"/>
              </w:rPr>
            </w:pPr>
            <w:r>
              <w:rPr>
                <w:rFonts w:ascii="Calibri" w:cs="Calibri" w:eastAsia="Calibri" w:hAnsi="Calibri"/>
                <w:sz w:val="13"/>
                <w:szCs w:val="13"/>
                <w:color w:val="51555C"/>
              </w:rPr>
              <w:t>—</w:t>
            </w:r>
          </w:p>
        </w:tc>
        <w:tc>
          <w:tcPr>
            <w:tcW w:w="220" w:type="dxa"/>
            <w:vAlign w:val="bottom"/>
          </w:tcPr>
          <w:p>
            <w:pPr>
              <w:spacing w:after="0"/>
              <w:rPr>
                <w:sz w:val="13"/>
                <w:szCs w:val="13"/>
                <w:color w:val="auto"/>
              </w:rPr>
            </w:pPr>
          </w:p>
        </w:tc>
        <w:tc>
          <w:tcPr>
            <w:tcW w:w="880" w:type="dxa"/>
            <w:vAlign w:val="bottom"/>
          </w:tcPr>
          <w:p>
            <w:pPr>
              <w:jc w:val="right"/>
              <w:spacing w:after="0" w:line="157" w:lineRule="exact"/>
              <w:rPr>
                <w:sz w:val="20"/>
                <w:szCs w:val="20"/>
                <w:color w:val="auto"/>
              </w:rPr>
            </w:pPr>
            <w:r>
              <w:rPr>
                <w:rFonts w:ascii="Calibri" w:cs="Calibri" w:eastAsia="Calibri" w:hAnsi="Calibri"/>
                <w:sz w:val="13"/>
                <w:szCs w:val="13"/>
                <w:color w:val="51555C"/>
              </w:rPr>
              <w:t>—</w:t>
            </w:r>
          </w:p>
        </w:tc>
        <w:tc>
          <w:tcPr>
            <w:tcW w:w="200" w:type="dxa"/>
            <w:vAlign w:val="bottom"/>
          </w:tcPr>
          <w:p>
            <w:pPr>
              <w:spacing w:after="0"/>
              <w:rPr>
                <w:sz w:val="13"/>
                <w:szCs w:val="13"/>
                <w:color w:val="auto"/>
              </w:rPr>
            </w:pPr>
          </w:p>
        </w:tc>
        <w:tc>
          <w:tcPr>
            <w:tcW w:w="600" w:type="dxa"/>
            <w:vAlign w:val="bottom"/>
          </w:tcPr>
          <w:p>
            <w:pPr>
              <w:jc w:val="right"/>
              <w:spacing w:after="0" w:line="157" w:lineRule="exact"/>
              <w:rPr>
                <w:sz w:val="20"/>
                <w:szCs w:val="20"/>
                <w:color w:val="auto"/>
              </w:rPr>
            </w:pPr>
            <w:r>
              <w:rPr>
                <w:rFonts w:ascii="Calibri" w:cs="Calibri" w:eastAsia="Calibri" w:hAnsi="Calibri"/>
                <w:sz w:val="13"/>
                <w:szCs w:val="13"/>
                <w:color w:val="51555C"/>
              </w:rPr>
              <w:t>—</w:t>
            </w:r>
          </w:p>
        </w:tc>
        <w:tc>
          <w:tcPr>
            <w:tcW w:w="220" w:type="dxa"/>
            <w:vAlign w:val="bottom"/>
          </w:tcPr>
          <w:p>
            <w:pPr>
              <w:spacing w:after="0"/>
              <w:rPr>
                <w:sz w:val="13"/>
                <w:szCs w:val="13"/>
                <w:color w:val="auto"/>
              </w:rPr>
            </w:pPr>
          </w:p>
        </w:tc>
        <w:tc>
          <w:tcPr>
            <w:tcW w:w="1040" w:type="dxa"/>
            <w:vAlign w:val="bottom"/>
            <w:gridSpan w:val="2"/>
          </w:tcPr>
          <w:p>
            <w:pPr>
              <w:jc w:val="right"/>
              <w:ind w:right="300"/>
              <w:spacing w:after="0" w:line="157" w:lineRule="exact"/>
              <w:rPr>
                <w:sz w:val="20"/>
                <w:szCs w:val="20"/>
                <w:color w:val="auto"/>
              </w:rPr>
            </w:pPr>
            <w:r>
              <w:rPr>
                <w:rFonts w:ascii="Calibri" w:cs="Calibri" w:eastAsia="Calibri" w:hAnsi="Calibri"/>
                <w:sz w:val="13"/>
                <w:szCs w:val="13"/>
                <w:color w:val="51555C"/>
              </w:rPr>
              <w:t>—</w:t>
            </w:r>
          </w:p>
        </w:tc>
        <w:tc>
          <w:tcPr>
            <w:tcW w:w="0" w:type="dxa"/>
            <w:vAlign w:val="bottom"/>
          </w:tcPr>
          <w:p>
            <w:pPr>
              <w:spacing w:after="0"/>
              <w:rPr>
                <w:sz w:val="1"/>
                <w:szCs w:val="1"/>
                <w:color w:val="auto"/>
              </w:rPr>
            </w:pPr>
          </w:p>
        </w:tc>
      </w:tr>
      <w:tr>
        <w:trPr>
          <w:trHeight w:val="34"/>
        </w:trPr>
        <w:tc>
          <w:tcPr>
            <w:tcW w:w="26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620" w:type="dxa"/>
            <w:vAlign w:val="bottom"/>
            <w:tcBorders>
              <w:bottom w:val="single" w:sz="8" w:color="EBFBFF"/>
            </w:tcBorders>
            <w:shd w:val="clear" w:color="auto" w:fill="EBFBFF"/>
          </w:tcPr>
          <w:p>
            <w:pPr>
              <w:ind w:left="100"/>
              <w:spacing w:after="0" w:line="157" w:lineRule="exact"/>
              <w:rPr>
                <w:sz w:val="20"/>
                <w:szCs w:val="20"/>
                <w:color w:val="auto"/>
              </w:rPr>
            </w:pPr>
            <w:r>
              <w:rPr>
                <w:rFonts w:ascii="Calibri" w:cs="Calibri" w:eastAsia="Calibri" w:hAnsi="Calibri"/>
                <w:sz w:val="13"/>
                <w:szCs w:val="13"/>
                <w:color w:val="51555C"/>
              </w:rPr>
              <w:t>Restricted stock cancellatons</w:t>
            </w:r>
          </w:p>
        </w:tc>
        <w:tc>
          <w:tcPr>
            <w:tcW w:w="2120" w:type="dxa"/>
            <w:vAlign w:val="bottom"/>
            <w:tcBorders>
              <w:bottom w:val="single" w:sz="8" w:color="EBFBFF"/>
            </w:tcBorders>
            <w:gridSpan w:val="2"/>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(20,200)</w:t>
            </w:r>
          </w:p>
        </w:tc>
        <w:tc>
          <w:tcPr>
            <w:tcW w:w="160" w:type="dxa"/>
            <w:vAlign w:val="bottom"/>
            <w:tcBorders>
              <w:bottom w:val="single" w:sz="8" w:color="EBFBFF"/>
            </w:tcBorders>
            <w:shd w:val="clear" w:color="auto" w:fill="EBFBFF"/>
          </w:tcPr>
          <w:p>
            <w:pPr>
              <w:spacing w:after="0"/>
              <w:rPr>
                <w:sz w:val="14"/>
                <w:szCs w:val="14"/>
                <w:color w:val="auto"/>
              </w:rPr>
            </w:pPr>
          </w:p>
        </w:tc>
        <w:tc>
          <w:tcPr>
            <w:tcW w:w="50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w:t>
            </w:r>
          </w:p>
        </w:tc>
        <w:tc>
          <w:tcPr>
            <w:tcW w:w="98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w:t>
            </w:r>
          </w:p>
        </w:tc>
        <w:tc>
          <w:tcPr>
            <w:tcW w:w="100" w:type="dxa"/>
            <w:vAlign w:val="bottom"/>
            <w:tcBorders>
              <w:bottom w:val="single" w:sz="8" w:color="EBFBFF"/>
            </w:tcBorders>
            <w:shd w:val="clear" w:color="auto" w:fill="EBFBFF"/>
          </w:tcPr>
          <w:p>
            <w:pPr>
              <w:spacing w:after="0"/>
              <w:rPr>
                <w:sz w:val="14"/>
                <w:szCs w:val="14"/>
                <w:color w:val="auto"/>
              </w:rPr>
            </w:pPr>
          </w:p>
        </w:tc>
        <w:tc>
          <w:tcPr>
            <w:tcW w:w="72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w:t>
            </w:r>
          </w:p>
        </w:tc>
        <w:tc>
          <w:tcPr>
            <w:tcW w:w="260" w:type="dxa"/>
            <w:vAlign w:val="bottom"/>
            <w:tcBorders>
              <w:bottom w:val="single" w:sz="8" w:color="EBFBFF"/>
            </w:tcBorders>
            <w:shd w:val="clear" w:color="auto" w:fill="EBFBFF"/>
          </w:tcPr>
          <w:p>
            <w:pPr>
              <w:spacing w:after="0"/>
              <w:rPr>
                <w:sz w:val="14"/>
                <w:szCs w:val="14"/>
                <w:color w:val="auto"/>
              </w:rPr>
            </w:pPr>
          </w:p>
        </w:tc>
        <w:tc>
          <w:tcPr>
            <w:tcW w:w="66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w:t>
            </w:r>
          </w:p>
        </w:tc>
        <w:tc>
          <w:tcPr>
            <w:tcW w:w="220" w:type="dxa"/>
            <w:vAlign w:val="bottom"/>
            <w:tcBorders>
              <w:bottom w:val="single" w:sz="8" w:color="EBFBFF"/>
            </w:tcBorders>
            <w:shd w:val="clear" w:color="auto" w:fill="EBFBFF"/>
          </w:tcPr>
          <w:p>
            <w:pPr>
              <w:spacing w:after="0"/>
              <w:rPr>
                <w:sz w:val="14"/>
                <w:szCs w:val="14"/>
                <w:color w:val="auto"/>
              </w:rPr>
            </w:pPr>
          </w:p>
        </w:tc>
        <w:tc>
          <w:tcPr>
            <w:tcW w:w="88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w:t>
            </w:r>
          </w:p>
        </w:tc>
        <w:tc>
          <w:tcPr>
            <w:tcW w:w="200" w:type="dxa"/>
            <w:vAlign w:val="bottom"/>
            <w:tcBorders>
              <w:bottom w:val="single" w:sz="8" w:color="EBFBFF"/>
            </w:tcBorders>
            <w:shd w:val="clear" w:color="auto" w:fill="EBFBFF"/>
          </w:tcPr>
          <w:p>
            <w:pPr>
              <w:spacing w:after="0"/>
              <w:rPr>
                <w:sz w:val="14"/>
                <w:szCs w:val="14"/>
                <w:color w:val="auto"/>
              </w:rPr>
            </w:pPr>
          </w:p>
        </w:tc>
        <w:tc>
          <w:tcPr>
            <w:tcW w:w="60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w:t>
            </w:r>
          </w:p>
        </w:tc>
        <w:tc>
          <w:tcPr>
            <w:tcW w:w="220" w:type="dxa"/>
            <w:vAlign w:val="bottom"/>
            <w:tcBorders>
              <w:bottom w:val="single" w:sz="8" w:color="EBFBFF"/>
            </w:tcBorders>
            <w:shd w:val="clear" w:color="auto" w:fill="EBFBFF"/>
          </w:tcPr>
          <w:p>
            <w:pPr>
              <w:spacing w:after="0"/>
              <w:rPr>
                <w:sz w:val="14"/>
                <w:szCs w:val="14"/>
                <w:color w:val="auto"/>
              </w:rPr>
            </w:pPr>
          </w:p>
        </w:tc>
        <w:tc>
          <w:tcPr>
            <w:tcW w:w="780" w:type="dxa"/>
            <w:vAlign w:val="bottom"/>
            <w:tcBorders>
              <w:bottom w:val="single" w:sz="8" w:color="EBFBFF"/>
            </w:tcBorders>
            <w:shd w:val="clear" w:color="auto" w:fill="EBFBFF"/>
          </w:tcPr>
          <w:p>
            <w:pPr>
              <w:jc w:val="right"/>
              <w:spacing w:after="0" w:line="157" w:lineRule="exact"/>
              <w:rPr>
                <w:sz w:val="20"/>
                <w:szCs w:val="20"/>
                <w:color w:val="auto"/>
              </w:rPr>
            </w:pPr>
            <w:r>
              <w:rPr>
                <w:rFonts w:ascii="Calibri" w:cs="Calibri" w:eastAsia="Calibri" w:hAnsi="Calibri"/>
                <w:sz w:val="13"/>
                <w:szCs w:val="13"/>
                <w:color w:val="51555C"/>
              </w:rPr>
              <w: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620" w:type="dxa"/>
            <w:vAlign w:val="bottom"/>
          </w:tcPr>
          <w:p>
            <w:pPr>
              <w:ind w:left="100"/>
              <w:spacing w:after="0" w:line="157" w:lineRule="exact"/>
              <w:rPr>
                <w:sz w:val="20"/>
                <w:szCs w:val="20"/>
                <w:color w:val="auto"/>
              </w:rPr>
            </w:pPr>
            <w:r>
              <w:rPr>
                <w:rFonts w:ascii="Calibri" w:cs="Calibri" w:eastAsia="Calibri" w:hAnsi="Calibri"/>
                <w:sz w:val="13"/>
                <w:szCs w:val="13"/>
                <w:color w:val="51555C"/>
              </w:rPr>
              <w:t>Other comprehensive income</w:t>
            </w:r>
          </w:p>
        </w:tc>
        <w:tc>
          <w:tcPr>
            <w:tcW w:w="1260" w:type="dxa"/>
            <w:vAlign w:val="bottom"/>
          </w:tcPr>
          <w:p>
            <w:pPr>
              <w:spacing w:after="0"/>
              <w:rPr>
                <w:sz w:val="13"/>
                <w:szCs w:val="13"/>
                <w:color w:val="auto"/>
              </w:rPr>
            </w:pPr>
          </w:p>
        </w:tc>
        <w:tc>
          <w:tcPr>
            <w:tcW w:w="860" w:type="dxa"/>
            <w:vAlign w:val="bottom"/>
          </w:tcPr>
          <w:p>
            <w:pPr>
              <w:jc w:val="right"/>
              <w:spacing w:after="0" w:line="157" w:lineRule="exact"/>
              <w:rPr>
                <w:sz w:val="20"/>
                <w:szCs w:val="20"/>
                <w:color w:val="auto"/>
              </w:rPr>
            </w:pPr>
            <w:r>
              <w:rPr>
                <w:rFonts w:ascii="Calibri" w:cs="Calibri" w:eastAsia="Calibri" w:hAnsi="Calibri"/>
                <w:sz w:val="13"/>
                <w:szCs w:val="13"/>
                <w:color w:val="51555C"/>
              </w:rPr>
              <w:t>—</w:t>
            </w:r>
          </w:p>
        </w:tc>
        <w:tc>
          <w:tcPr>
            <w:tcW w:w="160" w:type="dxa"/>
            <w:vAlign w:val="bottom"/>
          </w:tcPr>
          <w:p>
            <w:pPr>
              <w:spacing w:after="0"/>
              <w:rPr>
                <w:sz w:val="13"/>
                <w:szCs w:val="13"/>
                <w:color w:val="auto"/>
              </w:rPr>
            </w:pPr>
          </w:p>
        </w:tc>
        <w:tc>
          <w:tcPr>
            <w:tcW w:w="500" w:type="dxa"/>
            <w:vAlign w:val="bottom"/>
          </w:tcPr>
          <w:p>
            <w:pPr>
              <w:jc w:val="right"/>
              <w:spacing w:after="0" w:line="157" w:lineRule="exact"/>
              <w:rPr>
                <w:sz w:val="20"/>
                <w:szCs w:val="20"/>
                <w:color w:val="auto"/>
              </w:rPr>
            </w:pPr>
            <w:r>
              <w:rPr>
                <w:rFonts w:ascii="Calibri" w:cs="Calibri" w:eastAsia="Calibri" w:hAnsi="Calibri"/>
                <w:sz w:val="13"/>
                <w:szCs w:val="13"/>
                <w:color w:val="51555C"/>
              </w:rPr>
              <w:t>—</w:t>
            </w:r>
          </w:p>
        </w:tc>
        <w:tc>
          <w:tcPr>
            <w:tcW w:w="980" w:type="dxa"/>
            <w:vAlign w:val="bottom"/>
          </w:tcPr>
          <w:p>
            <w:pPr>
              <w:jc w:val="right"/>
              <w:spacing w:after="0" w:line="157" w:lineRule="exact"/>
              <w:rPr>
                <w:sz w:val="20"/>
                <w:szCs w:val="20"/>
                <w:color w:val="auto"/>
              </w:rPr>
            </w:pPr>
            <w:r>
              <w:rPr>
                <w:rFonts w:ascii="Calibri" w:cs="Calibri" w:eastAsia="Calibri" w:hAnsi="Calibri"/>
                <w:sz w:val="13"/>
                <w:szCs w:val="13"/>
                <w:color w:val="51555C"/>
              </w:rPr>
              <w:t>—</w:t>
            </w:r>
          </w:p>
        </w:tc>
        <w:tc>
          <w:tcPr>
            <w:tcW w:w="100" w:type="dxa"/>
            <w:vAlign w:val="bottom"/>
          </w:tcPr>
          <w:p>
            <w:pPr>
              <w:spacing w:after="0"/>
              <w:rPr>
                <w:sz w:val="13"/>
                <w:szCs w:val="13"/>
                <w:color w:val="auto"/>
              </w:rPr>
            </w:pPr>
          </w:p>
        </w:tc>
        <w:tc>
          <w:tcPr>
            <w:tcW w:w="720" w:type="dxa"/>
            <w:vAlign w:val="bottom"/>
          </w:tcPr>
          <w:p>
            <w:pPr>
              <w:jc w:val="right"/>
              <w:spacing w:after="0" w:line="157" w:lineRule="exact"/>
              <w:rPr>
                <w:sz w:val="20"/>
                <w:szCs w:val="20"/>
                <w:color w:val="auto"/>
              </w:rPr>
            </w:pPr>
            <w:r>
              <w:rPr>
                <w:rFonts w:ascii="Calibri" w:cs="Calibri" w:eastAsia="Calibri" w:hAnsi="Calibri"/>
                <w:sz w:val="13"/>
                <w:szCs w:val="13"/>
                <w:color w:val="51555C"/>
              </w:rPr>
              <w:t>—</w:t>
            </w:r>
          </w:p>
        </w:tc>
        <w:tc>
          <w:tcPr>
            <w:tcW w:w="260" w:type="dxa"/>
            <w:vAlign w:val="bottom"/>
          </w:tcPr>
          <w:p>
            <w:pPr>
              <w:spacing w:after="0"/>
              <w:rPr>
                <w:sz w:val="13"/>
                <w:szCs w:val="13"/>
                <w:color w:val="auto"/>
              </w:rPr>
            </w:pPr>
          </w:p>
        </w:tc>
        <w:tc>
          <w:tcPr>
            <w:tcW w:w="660" w:type="dxa"/>
            <w:vAlign w:val="bottom"/>
          </w:tcPr>
          <w:p>
            <w:pPr>
              <w:jc w:val="right"/>
              <w:spacing w:after="0" w:line="157" w:lineRule="exact"/>
              <w:rPr>
                <w:sz w:val="20"/>
                <w:szCs w:val="20"/>
                <w:color w:val="auto"/>
              </w:rPr>
            </w:pPr>
            <w:r>
              <w:rPr>
                <w:rFonts w:ascii="Calibri" w:cs="Calibri" w:eastAsia="Calibri" w:hAnsi="Calibri"/>
                <w:sz w:val="13"/>
                <w:szCs w:val="13"/>
                <w:color w:val="51555C"/>
              </w:rPr>
              <w:t>—</w:t>
            </w:r>
          </w:p>
        </w:tc>
        <w:tc>
          <w:tcPr>
            <w:tcW w:w="220" w:type="dxa"/>
            <w:vAlign w:val="bottom"/>
          </w:tcPr>
          <w:p>
            <w:pPr>
              <w:spacing w:after="0"/>
              <w:rPr>
                <w:sz w:val="13"/>
                <w:szCs w:val="13"/>
                <w:color w:val="auto"/>
              </w:rPr>
            </w:pPr>
          </w:p>
        </w:tc>
        <w:tc>
          <w:tcPr>
            <w:tcW w:w="880" w:type="dxa"/>
            <w:vAlign w:val="bottom"/>
          </w:tcPr>
          <w:p>
            <w:pPr>
              <w:jc w:val="right"/>
              <w:spacing w:after="0" w:line="157" w:lineRule="exact"/>
              <w:rPr>
                <w:sz w:val="20"/>
                <w:szCs w:val="20"/>
                <w:color w:val="auto"/>
              </w:rPr>
            </w:pPr>
            <w:r>
              <w:rPr>
                <w:rFonts w:ascii="Calibri" w:cs="Calibri" w:eastAsia="Calibri" w:hAnsi="Calibri"/>
                <w:sz w:val="13"/>
                <w:szCs w:val="13"/>
                <w:color w:val="51555C"/>
              </w:rPr>
              <w:t>8,438</w:t>
            </w:r>
          </w:p>
        </w:tc>
        <w:tc>
          <w:tcPr>
            <w:tcW w:w="200" w:type="dxa"/>
            <w:vAlign w:val="bottom"/>
          </w:tcPr>
          <w:p>
            <w:pPr>
              <w:spacing w:after="0"/>
              <w:rPr>
                <w:sz w:val="13"/>
                <w:szCs w:val="13"/>
                <w:color w:val="auto"/>
              </w:rPr>
            </w:pPr>
          </w:p>
        </w:tc>
        <w:tc>
          <w:tcPr>
            <w:tcW w:w="600" w:type="dxa"/>
            <w:vAlign w:val="bottom"/>
          </w:tcPr>
          <w:p>
            <w:pPr>
              <w:jc w:val="right"/>
              <w:spacing w:after="0" w:line="157" w:lineRule="exact"/>
              <w:rPr>
                <w:sz w:val="20"/>
                <w:szCs w:val="20"/>
                <w:color w:val="auto"/>
              </w:rPr>
            </w:pPr>
            <w:r>
              <w:rPr>
                <w:rFonts w:ascii="Calibri" w:cs="Calibri" w:eastAsia="Calibri" w:hAnsi="Calibri"/>
                <w:sz w:val="13"/>
                <w:szCs w:val="13"/>
                <w:color w:val="51555C"/>
              </w:rPr>
              <w:t>—</w:t>
            </w:r>
          </w:p>
        </w:tc>
        <w:tc>
          <w:tcPr>
            <w:tcW w:w="220" w:type="dxa"/>
            <w:vAlign w:val="bottom"/>
          </w:tcPr>
          <w:p>
            <w:pPr>
              <w:spacing w:after="0"/>
              <w:rPr>
                <w:sz w:val="13"/>
                <w:szCs w:val="13"/>
                <w:color w:val="auto"/>
              </w:rPr>
            </w:pPr>
          </w:p>
        </w:tc>
        <w:tc>
          <w:tcPr>
            <w:tcW w:w="780" w:type="dxa"/>
            <w:vAlign w:val="bottom"/>
          </w:tcPr>
          <w:p>
            <w:pPr>
              <w:jc w:val="right"/>
              <w:spacing w:after="0" w:line="157" w:lineRule="exact"/>
              <w:rPr>
                <w:sz w:val="20"/>
                <w:szCs w:val="20"/>
                <w:color w:val="auto"/>
              </w:rPr>
            </w:pPr>
            <w:r>
              <w:rPr>
                <w:rFonts w:ascii="Calibri" w:cs="Calibri" w:eastAsia="Calibri" w:hAnsi="Calibri"/>
                <w:sz w:val="13"/>
                <w:szCs w:val="13"/>
                <w:color w:val="51555C"/>
              </w:rPr>
              <w:t>8,438</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620" w:type="dxa"/>
            <w:vAlign w:val="bottom"/>
            <w:tcBorders>
              <w:bottom w:val="single" w:sz="8" w:color="EBFBFF"/>
            </w:tcBorders>
          </w:tcPr>
          <w:p>
            <w:pPr>
              <w:spacing w:after="0"/>
              <w:rPr>
                <w:sz w:val="2"/>
                <w:szCs w:val="2"/>
                <w:color w:val="auto"/>
              </w:rPr>
            </w:pPr>
          </w:p>
        </w:tc>
        <w:tc>
          <w:tcPr>
            <w:tcW w:w="1260" w:type="dxa"/>
            <w:vAlign w:val="bottom"/>
            <w:tcBorders>
              <w:bottom w:val="single" w:sz="8" w:color="EBFBFF"/>
            </w:tcBorders>
          </w:tcPr>
          <w:p>
            <w:pPr>
              <w:spacing w:after="0"/>
              <w:rPr>
                <w:sz w:val="2"/>
                <w:szCs w:val="2"/>
                <w:color w:val="auto"/>
              </w:rPr>
            </w:pPr>
          </w:p>
        </w:tc>
        <w:tc>
          <w:tcPr>
            <w:tcW w:w="860" w:type="dxa"/>
            <w:vAlign w:val="bottom"/>
            <w:tcBorders>
              <w:bottom w:val="single" w:sz="8" w:color="51555C"/>
            </w:tcBorders>
          </w:tcPr>
          <w:p>
            <w:pPr>
              <w:spacing w:after="0"/>
              <w:rPr>
                <w:sz w:val="2"/>
                <w:szCs w:val="2"/>
                <w:color w:val="auto"/>
              </w:rPr>
            </w:pPr>
          </w:p>
        </w:tc>
        <w:tc>
          <w:tcPr>
            <w:tcW w:w="160" w:type="dxa"/>
            <w:vAlign w:val="bottom"/>
            <w:tcBorders>
              <w:bottom w:val="single" w:sz="8" w:color="51555C"/>
            </w:tcBorders>
          </w:tcPr>
          <w:p>
            <w:pPr>
              <w:spacing w:after="0"/>
              <w:rPr>
                <w:sz w:val="2"/>
                <w:szCs w:val="2"/>
                <w:color w:val="auto"/>
              </w:rPr>
            </w:pPr>
          </w:p>
        </w:tc>
        <w:tc>
          <w:tcPr>
            <w:tcW w:w="500" w:type="dxa"/>
            <w:vAlign w:val="bottom"/>
            <w:tcBorders>
              <w:bottom w:val="single" w:sz="8" w:color="51555C"/>
            </w:tcBorders>
          </w:tcPr>
          <w:p>
            <w:pPr>
              <w:spacing w:after="0"/>
              <w:rPr>
                <w:sz w:val="2"/>
                <w:szCs w:val="2"/>
                <w:color w:val="auto"/>
              </w:rPr>
            </w:pPr>
          </w:p>
        </w:tc>
        <w:tc>
          <w:tcPr>
            <w:tcW w:w="980" w:type="dxa"/>
            <w:vAlign w:val="bottom"/>
            <w:tcBorders>
              <w:bottom w:val="single" w:sz="8" w:color="51555C"/>
            </w:tcBorders>
          </w:tcPr>
          <w:p>
            <w:pPr>
              <w:spacing w:after="0"/>
              <w:rPr>
                <w:sz w:val="2"/>
                <w:szCs w:val="2"/>
                <w:color w:val="auto"/>
              </w:rPr>
            </w:pPr>
          </w:p>
        </w:tc>
        <w:tc>
          <w:tcPr>
            <w:tcW w:w="100" w:type="dxa"/>
            <w:vAlign w:val="bottom"/>
            <w:tcBorders>
              <w:bottom w:val="single" w:sz="8" w:color="51555C"/>
            </w:tcBorders>
          </w:tcPr>
          <w:p>
            <w:pPr>
              <w:spacing w:after="0"/>
              <w:rPr>
                <w:sz w:val="2"/>
                <w:szCs w:val="2"/>
                <w:color w:val="auto"/>
              </w:rPr>
            </w:pPr>
          </w:p>
        </w:tc>
        <w:tc>
          <w:tcPr>
            <w:tcW w:w="720" w:type="dxa"/>
            <w:vAlign w:val="bottom"/>
            <w:tcBorders>
              <w:bottom w:val="single" w:sz="8" w:color="51555C"/>
            </w:tcBorders>
          </w:tcPr>
          <w:p>
            <w:pPr>
              <w:spacing w:after="0"/>
              <w:rPr>
                <w:sz w:val="2"/>
                <w:szCs w:val="2"/>
                <w:color w:val="auto"/>
              </w:rPr>
            </w:pPr>
          </w:p>
        </w:tc>
        <w:tc>
          <w:tcPr>
            <w:tcW w:w="260" w:type="dxa"/>
            <w:vAlign w:val="bottom"/>
            <w:tcBorders>
              <w:bottom w:val="single" w:sz="8" w:color="51555C"/>
            </w:tcBorders>
          </w:tcPr>
          <w:p>
            <w:pPr>
              <w:spacing w:after="0"/>
              <w:rPr>
                <w:sz w:val="2"/>
                <w:szCs w:val="2"/>
                <w:color w:val="auto"/>
              </w:rPr>
            </w:pPr>
          </w:p>
        </w:tc>
        <w:tc>
          <w:tcPr>
            <w:tcW w:w="660" w:type="dxa"/>
            <w:vAlign w:val="bottom"/>
            <w:tcBorders>
              <w:bottom w:val="single" w:sz="8" w:color="51555C"/>
            </w:tcBorders>
          </w:tcPr>
          <w:p>
            <w:pPr>
              <w:spacing w:after="0"/>
              <w:rPr>
                <w:sz w:val="2"/>
                <w:szCs w:val="2"/>
                <w:color w:val="auto"/>
              </w:rPr>
            </w:pPr>
          </w:p>
        </w:tc>
        <w:tc>
          <w:tcPr>
            <w:tcW w:w="220" w:type="dxa"/>
            <w:vAlign w:val="bottom"/>
            <w:tcBorders>
              <w:bottom w:val="single" w:sz="8" w:color="51555C"/>
            </w:tcBorders>
          </w:tcPr>
          <w:p>
            <w:pPr>
              <w:spacing w:after="0"/>
              <w:rPr>
                <w:sz w:val="2"/>
                <w:szCs w:val="2"/>
                <w:color w:val="auto"/>
              </w:rPr>
            </w:pPr>
          </w:p>
        </w:tc>
        <w:tc>
          <w:tcPr>
            <w:tcW w:w="880" w:type="dxa"/>
            <w:vAlign w:val="bottom"/>
            <w:tcBorders>
              <w:bottom w:val="single" w:sz="8" w:color="51555C"/>
            </w:tcBorders>
          </w:tcPr>
          <w:p>
            <w:pPr>
              <w:spacing w:after="0"/>
              <w:rPr>
                <w:sz w:val="2"/>
                <w:szCs w:val="2"/>
                <w:color w:val="auto"/>
              </w:rPr>
            </w:pPr>
          </w:p>
        </w:tc>
        <w:tc>
          <w:tcPr>
            <w:tcW w:w="200" w:type="dxa"/>
            <w:vAlign w:val="bottom"/>
            <w:tcBorders>
              <w:bottom w:val="single" w:sz="8" w:color="51555C"/>
            </w:tcBorders>
          </w:tcPr>
          <w:p>
            <w:pPr>
              <w:spacing w:after="0"/>
              <w:rPr>
                <w:sz w:val="2"/>
                <w:szCs w:val="2"/>
                <w:color w:val="auto"/>
              </w:rPr>
            </w:pPr>
          </w:p>
        </w:tc>
        <w:tc>
          <w:tcPr>
            <w:tcW w:w="600" w:type="dxa"/>
            <w:vAlign w:val="bottom"/>
            <w:tcBorders>
              <w:bottom w:val="single" w:sz="8" w:color="51555C"/>
            </w:tcBorders>
          </w:tcPr>
          <w:p>
            <w:pPr>
              <w:spacing w:after="0"/>
              <w:rPr>
                <w:sz w:val="2"/>
                <w:szCs w:val="2"/>
                <w:color w:val="auto"/>
              </w:rPr>
            </w:pPr>
          </w:p>
        </w:tc>
        <w:tc>
          <w:tcPr>
            <w:tcW w:w="220" w:type="dxa"/>
            <w:vAlign w:val="bottom"/>
            <w:tcBorders>
              <w:bottom w:val="single" w:sz="8" w:color="51555C"/>
            </w:tcBorders>
          </w:tcPr>
          <w:p>
            <w:pPr>
              <w:spacing w:after="0"/>
              <w:rPr>
                <w:sz w:val="2"/>
                <w:szCs w:val="2"/>
                <w:color w:val="auto"/>
              </w:rPr>
            </w:pPr>
          </w:p>
        </w:tc>
        <w:tc>
          <w:tcPr>
            <w:tcW w:w="780" w:type="dxa"/>
            <w:vAlign w:val="bottom"/>
            <w:tcBorders>
              <w:bottom w:val="single" w:sz="8" w:color="51555C"/>
            </w:tcBorders>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2620" w:type="dxa"/>
            <w:vAlign w:val="bottom"/>
            <w:tcBorders>
              <w:bottom w:val="single" w:sz="8" w:color="EBFBFF"/>
            </w:tcBorders>
            <w:shd w:val="clear" w:color="auto" w:fill="EBFBFF"/>
          </w:tcPr>
          <w:p>
            <w:pPr>
              <w:ind w:left="20"/>
              <w:spacing w:after="0" w:line="137" w:lineRule="exact"/>
              <w:rPr>
                <w:sz w:val="20"/>
                <w:szCs w:val="20"/>
                <w:color w:val="auto"/>
              </w:rPr>
            </w:pPr>
            <w:r>
              <w:rPr>
                <w:rFonts w:ascii="Calibri" w:cs="Calibri" w:eastAsia="Calibri" w:hAnsi="Calibri"/>
                <w:sz w:val="13"/>
                <w:szCs w:val="13"/>
                <w:b w:val="1"/>
                <w:bCs w:val="1"/>
                <w:color w:val="51555C"/>
              </w:rPr>
              <w:t>Balance at June 30, 2023</w:t>
            </w:r>
          </w:p>
        </w:tc>
        <w:tc>
          <w:tcPr>
            <w:tcW w:w="2120" w:type="dxa"/>
            <w:vAlign w:val="bottom"/>
            <w:tcBorders>
              <w:bottom w:val="single" w:sz="8" w:color="EBFBFF"/>
            </w:tcBorders>
            <w:gridSpan w:val="2"/>
            <w:shd w:val="clear" w:color="auto" w:fill="EBFBFF"/>
          </w:tcPr>
          <w:p>
            <w:pPr>
              <w:jc w:val="right"/>
              <w:spacing w:after="0" w:line="148" w:lineRule="exact"/>
              <w:rPr>
                <w:sz w:val="20"/>
                <w:szCs w:val="20"/>
                <w:color w:val="auto"/>
              </w:rPr>
            </w:pPr>
            <w:r>
              <w:rPr>
                <w:rFonts w:ascii="Calibri" w:cs="Calibri" w:eastAsia="Calibri" w:hAnsi="Calibri"/>
                <w:sz w:val="13"/>
                <w:szCs w:val="13"/>
                <w:color w:val="51555C"/>
              </w:rPr>
              <w:t>69,164,244</w:t>
            </w:r>
          </w:p>
        </w:tc>
        <w:tc>
          <w:tcPr>
            <w:tcW w:w="160" w:type="dxa"/>
            <w:vAlign w:val="bottom"/>
            <w:tcBorders>
              <w:bottom w:val="single" w:sz="8" w:color="EBFBFF"/>
            </w:tcBorders>
            <w:shd w:val="clear" w:color="auto" w:fill="EBFBFF"/>
          </w:tcPr>
          <w:p>
            <w:pPr>
              <w:jc w:val="right"/>
              <w:ind w:right="16"/>
              <w:spacing w:after="0" w:line="148" w:lineRule="exact"/>
              <w:rPr>
                <w:sz w:val="20"/>
                <w:szCs w:val="20"/>
                <w:color w:val="auto"/>
              </w:rPr>
            </w:pPr>
            <w:r>
              <w:rPr>
                <w:rFonts w:ascii="Calibri" w:cs="Calibri" w:eastAsia="Calibri" w:hAnsi="Calibri"/>
                <w:sz w:val="13"/>
                <w:szCs w:val="13"/>
                <w:color w:val="51555C"/>
                <w:w w:val="90"/>
              </w:rPr>
              <w:t>$</w:t>
            </w:r>
          </w:p>
        </w:tc>
        <w:tc>
          <w:tcPr>
            <w:tcW w:w="500" w:type="dxa"/>
            <w:vAlign w:val="bottom"/>
            <w:tcBorders>
              <w:bottom w:val="single" w:sz="8" w:color="EBFBFF"/>
            </w:tcBorders>
            <w:shd w:val="clear" w:color="auto" w:fill="EBFBFF"/>
          </w:tcPr>
          <w:p>
            <w:pPr>
              <w:jc w:val="right"/>
              <w:spacing w:after="0" w:line="148" w:lineRule="exact"/>
              <w:rPr>
                <w:sz w:val="20"/>
                <w:szCs w:val="20"/>
                <w:color w:val="auto"/>
              </w:rPr>
            </w:pPr>
            <w:r>
              <w:rPr>
                <w:rFonts w:ascii="Calibri" w:cs="Calibri" w:eastAsia="Calibri" w:hAnsi="Calibri"/>
                <w:sz w:val="13"/>
                <w:szCs w:val="13"/>
                <w:color w:val="51555C"/>
              </w:rPr>
              <w:t>69</w:t>
            </w:r>
          </w:p>
        </w:tc>
        <w:tc>
          <w:tcPr>
            <w:tcW w:w="980" w:type="dxa"/>
            <w:vAlign w:val="bottom"/>
            <w:tcBorders>
              <w:bottom w:val="single" w:sz="8" w:color="EBFBFF"/>
            </w:tcBorders>
            <w:shd w:val="clear" w:color="auto" w:fill="EBFBFF"/>
          </w:tcPr>
          <w:p>
            <w:pPr>
              <w:jc w:val="right"/>
              <w:spacing w:after="0" w:line="148" w:lineRule="exact"/>
              <w:rPr>
                <w:sz w:val="20"/>
                <w:szCs w:val="20"/>
                <w:color w:val="auto"/>
              </w:rPr>
            </w:pPr>
            <w:r>
              <w:rPr>
                <w:rFonts w:ascii="Calibri" w:cs="Calibri" w:eastAsia="Calibri" w:hAnsi="Calibri"/>
                <w:sz w:val="13"/>
                <w:szCs w:val="13"/>
                <w:color w:val="51555C"/>
              </w:rPr>
              <w:t>(15,311,367)</w:t>
            </w:r>
          </w:p>
        </w:tc>
        <w:tc>
          <w:tcPr>
            <w:tcW w:w="100" w:type="dxa"/>
            <w:vAlign w:val="bottom"/>
            <w:tcBorders>
              <w:bottom w:val="single" w:sz="8" w:color="EBFBFF"/>
            </w:tcBorders>
            <w:shd w:val="clear" w:color="auto" w:fill="EBFBFF"/>
          </w:tcPr>
          <w:p>
            <w:pPr>
              <w:jc w:val="right"/>
              <w:spacing w:after="0" w:line="148" w:lineRule="exact"/>
              <w:rPr>
                <w:sz w:val="20"/>
                <w:szCs w:val="20"/>
                <w:color w:val="auto"/>
              </w:rPr>
            </w:pPr>
            <w:r>
              <w:rPr>
                <w:rFonts w:ascii="Calibri" w:cs="Calibri" w:eastAsia="Calibri" w:hAnsi="Calibri"/>
                <w:sz w:val="13"/>
                <w:szCs w:val="13"/>
                <w:color w:val="51555C"/>
                <w:w w:val="90"/>
              </w:rPr>
              <w:t>$</w:t>
            </w:r>
          </w:p>
        </w:tc>
        <w:tc>
          <w:tcPr>
            <w:tcW w:w="720" w:type="dxa"/>
            <w:vAlign w:val="bottom"/>
            <w:tcBorders>
              <w:bottom w:val="single" w:sz="8" w:color="EBFBFF"/>
            </w:tcBorders>
            <w:shd w:val="clear" w:color="auto" w:fill="EBFBFF"/>
          </w:tcPr>
          <w:p>
            <w:pPr>
              <w:jc w:val="right"/>
              <w:spacing w:after="0" w:line="148" w:lineRule="exact"/>
              <w:rPr>
                <w:sz w:val="20"/>
                <w:szCs w:val="20"/>
                <w:color w:val="auto"/>
              </w:rPr>
            </w:pPr>
            <w:r>
              <w:rPr>
                <w:rFonts w:ascii="Calibri" w:cs="Calibri" w:eastAsia="Calibri" w:hAnsi="Calibri"/>
                <w:sz w:val="13"/>
                <w:szCs w:val="13"/>
                <w:color w:val="51555C"/>
              </w:rPr>
              <w:t>(570,547)</w:t>
            </w:r>
          </w:p>
        </w:tc>
        <w:tc>
          <w:tcPr>
            <w:tcW w:w="260" w:type="dxa"/>
            <w:vAlign w:val="bottom"/>
            <w:tcBorders>
              <w:bottom w:val="single" w:sz="8" w:color="EBFBFF"/>
            </w:tcBorders>
            <w:shd w:val="clear" w:color="auto" w:fill="EBFBFF"/>
          </w:tcPr>
          <w:p>
            <w:pPr>
              <w:jc w:val="right"/>
              <w:ind w:right="16"/>
              <w:spacing w:after="0" w:line="148" w:lineRule="exact"/>
              <w:rPr>
                <w:sz w:val="20"/>
                <w:szCs w:val="20"/>
                <w:color w:val="auto"/>
              </w:rPr>
            </w:pPr>
            <w:r>
              <w:rPr>
                <w:rFonts w:ascii="Calibri" w:cs="Calibri" w:eastAsia="Calibri" w:hAnsi="Calibri"/>
                <w:sz w:val="13"/>
                <w:szCs w:val="13"/>
                <w:color w:val="51555C"/>
              </w:rPr>
              <w:t>$</w:t>
            </w:r>
          </w:p>
        </w:tc>
        <w:tc>
          <w:tcPr>
            <w:tcW w:w="660" w:type="dxa"/>
            <w:vAlign w:val="bottom"/>
            <w:tcBorders>
              <w:bottom w:val="single" w:sz="8" w:color="EBFBFF"/>
            </w:tcBorders>
            <w:shd w:val="clear" w:color="auto" w:fill="EBFBFF"/>
          </w:tcPr>
          <w:p>
            <w:pPr>
              <w:jc w:val="right"/>
              <w:spacing w:after="0" w:line="148" w:lineRule="exact"/>
              <w:rPr>
                <w:sz w:val="20"/>
                <w:szCs w:val="20"/>
                <w:color w:val="auto"/>
              </w:rPr>
            </w:pPr>
            <w:r>
              <w:rPr>
                <w:rFonts w:ascii="Calibri" w:cs="Calibri" w:eastAsia="Calibri" w:hAnsi="Calibri"/>
                <w:sz w:val="13"/>
                <w:szCs w:val="13"/>
                <w:color w:val="51555C"/>
              </w:rPr>
              <w:t>1,138,553</w:t>
            </w:r>
          </w:p>
        </w:tc>
        <w:tc>
          <w:tcPr>
            <w:tcW w:w="220" w:type="dxa"/>
            <w:vAlign w:val="bottom"/>
            <w:tcBorders>
              <w:bottom w:val="single" w:sz="8" w:color="EBFBFF"/>
            </w:tcBorders>
            <w:shd w:val="clear" w:color="auto" w:fill="EBFBFF"/>
          </w:tcPr>
          <w:p>
            <w:pPr>
              <w:jc w:val="right"/>
              <w:ind w:right="107"/>
              <w:spacing w:after="0"/>
              <w:rPr>
                <w:sz w:val="20"/>
                <w:szCs w:val="20"/>
                <w:color w:val="auto"/>
              </w:rPr>
            </w:pPr>
            <w:r>
              <w:rPr>
                <w:rFonts w:ascii="Calibri" w:cs="Calibri" w:eastAsia="Calibri" w:hAnsi="Calibri"/>
                <w:sz w:val="11"/>
                <w:szCs w:val="11"/>
                <w:color w:val="51555C"/>
                <w:w w:val="70"/>
              </w:rPr>
              <w:t>$</w:t>
            </w:r>
          </w:p>
        </w:tc>
        <w:tc>
          <w:tcPr>
            <w:tcW w:w="880" w:type="dxa"/>
            <w:vAlign w:val="bottom"/>
            <w:tcBorders>
              <w:bottom w:val="single" w:sz="8" w:color="EBFBFF"/>
            </w:tcBorders>
            <w:shd w:val="clear" w:color="auto" w:fill="EBFBFF"/>
          </w:tcPr>
          <w:p>
            <w:pPr>
              <w:jc w:val="right"/>
              <w:spacing w:after="0" w:line="148" w:lineRule="exact"/>
              <w:rPr>
                <w:sz w:val="20"/>
                <w:szCs w:val="20"/>
                <w:color w:val="auto"/>
              </w:rPr>
            </w:pPr>
            <w:r>
              <w:rPr>
                <w:rFonts w:ascii="Calibri" w:cs="Calibri" w:eastAsia="Calibri" w:hAnsi="Calibri"/>
                <w:sz w:val="13"/>
                <w:szCs w:val="13"/>
                <w:color w:val="51555C"/>
              </w:rPr>
              <w:t>8,842</w:t>
            </w:r>
          </w:p>
        </w:tc>
        <w:tc>
          <w:tcPr>
            <w:tcW w:w="200" w:type="dxa"/>
            <w:vAlign w:val="bottom"/>
            <w:tcBorders>
              <w:bottom w:val="single" w:sz="8" w:color="EBFBFF"/>
            </w:tcBorders>
            <w:shd w:val="clear" w:color="auto" w:fill="EBFBFF"/>
          </w:tcPr>
          <w:p>
            <w:pPr>
              <w:jc w:val="center"/>
              <w:ind w:right="36"/>
              <w:spacing w:after="0" w:line="148" w:lineRule="exact"/>
              <w:rPr>
                <w:sz w:val="20"/>
                <w:szCs w:val="20"/>
                <w:color w:val="auto"/>
              </w:rPr>
            </w:pPr>
            <w:r>
              <w:rPr>
                <w:rFonts w:ascii="Calibri" w:cs="Calibri" w:eastAsia="Calibri" w:hAnsi="Calibri"/>
                <w:sz w:val="13"/>
                <w:szCs w:val="13"/>
                <w:color w:val="51555C"/>
                <w:w w:val="90"/>
              </w:rPr>
              <w:t>$</w:t>
            </w:r>
          </w:p>
        </w:tc>
        <w:tc>
          <w:tcPr>
            <w:tcW w:w="600" w:type="dxa"/>
            <w:vAlign w:val="bottom"/>
            <w:tcBorders>
              <w:bottom w:val="single" w:sz="8" w:color="EBFBFF"/>
            </w:tcBorders>
            <w:shd w:val="clear" w:color="auto" w:fill="EBFBFF"/>
          </w:tcPr>
          <w:p>
            <w:pPr>
              <w:jc w:val="right"/>
              <w:spacing w:after="0" w:line="148" w:lineRule="exact"/>
              <w:rPr>
                <w:sz w:val="20"/>
                <w:szCs w:val="20"/>
                <w:color w:val="auto"/>
              </w:rPr>
            </w:pPr>
            <w:r>
              <w:rPr>
                <w:rFonts w:ascii="Calibri" w:cs="Calibri" w:eastAsia="Calibri" w:hAnsi="Calibri"/>
                <w:sz w:val="13"/>
                <w:szCs w:val="13"/>
                <w:color w:val="51555C"/>
              </w:rPr>
              <w:t>184,453</w:t>
            </w:r>
          </w:p>
        </w:tc>
        <w:tc>
          <w:tcPr>
            <w:tcW w:w="220" w:type="dxa"/>
            <w:vAlign w:val="bottom"/>
            <w:tcBorders>
              <w:bottom w:val="single" w:sz="8" w:color="EBFBFF"/>
            </w:tcBorders>
            <w:shd w:val="clear" w:color="auto" w:fill="EBFBFF"/>
          </w:tcPr>
          <w:p>
            <w:pPr>
              <w:jc w:val="right"/>
              <w:ind w:right="76"/>
              <w:spacing w:after="0" w:line="148" w:lineRule="exact"/>
              <w:rPr>
                <w:sz w:val="20"/>
                <w:szCs w:val="20"/>
                <w:color w:val="auto"/>
              </w:rPr>
            </w:pPr>
            <w:r>
              <w:rPr>
                <w:rFonts w:ascii="Calibri" w:cs="Calibri" w:eastAsia="Calibri" w:hAnsi="Calibri"/>
                <w:sz w:val="13"/>
                <w:szCs w:val="13"/>
                <w:color w:val="51555C"/>
                <w:w w:val="90"/>
              </w:rPr>
              <w:t>$</w:t>
            </w:r>
          </w:p>
        </w:tc>
        <w:tc>
          <w:tcPr>
            <w:tcW w:w="780" w:type="dxa"/>
            <w:vAlign w:val="bottom"/>
            <w:tcBorders>
              <w:bottom w:val="single" w:sz="8" w:color="EBFBFF"/>
            </w:tcBorders>
            <w:shd w:val="clear" w:color="auto" w:fill="EBFBFF"/>
          </w:tcPr>
          <w:p>
            <w:pPr>
              <w:jc w:val="right"/>
              <w:spacing w:after="0" w:line="148" w:lineRule="exact"/>
              <w:rPr>
                <w:sz w:val="20"/>
                <w:szCs w:val="20"/>
                <w:color w:val="auto"/>
              </w:rPr>
            </w:pPr>
            <w:r>
              <w:rPr>
                <w:rFonts w:ascii="Calibri" w:cs="Calibri" w:eastAsia="Calibri" w:hAnsi="Calibri"/>
                <w:sz w:val="13"/>
                <w:szCs w:val="13"/>
                <w:color w:val="51555C"/>
              </w:rPr>
              <w:t>761,370</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2620" w:type="dxa"/>
            <w:vAlign w:val="bottom"/>
            <w:tcBorders>
              <w:top w:val="single" w:sz="8" w:color="0CD973"/>
            </w:tcBorders>
          </w:tcPr>
          <w:p>
            <w:pPr>
              <w:spacing w:after="0"/>
              <w:rPr>
                <w:sz w:val="20"/>
                <w:szCs w:val="20"/>
                <w:color w:val="auto"/>
              </w:rPr>
            </w:pPr>
          </w:p>
        </w:tc>
        <w:tc>
          <w:tcPr>
            <w:tcW w:w="5500" w:type="dxa"/>
            <w:vAlign w:val="bottom"/>
            <w:tcBorders>
              <w:top w:val="single" w:sz="8" w:color="0CD973"/>
            </w:tcBorders>
            <w:gridSpan w:val="9"/>
          </w:tcPr>
          <w:p>
            <w:pPr>
              <w:jc w:val="right"/>
              <w:spacing w:after="0"/>
              <w:rPr>
                <w:sz w:val="20"/>
                <w:szCs w:val="20"/>
                <w:color w:val="auto"/>
              </w:rPr>
            </w:pPr>
            <w:r>
              <w:rPr>
                <w:rFonts w:ascii="Calibri" w:cs="Calibri" w:eastAsia="Calibri" w:hAnsi="Calibri"/>
                <w:sz w:val="13"/>
                <w:szCs w:val="13"/>
                <w:color w:val="51555C"/>
              </w:rPr>
              <w:t>The accompanying notes are an integral part of these condensed consolidated fnancial statements.</w:t>
            </w:r>
          </w:p>
        </w:tc>
        <w:tc>
          <w:tcPr>
            <w:tcW w:w="220" w:type="dxa"/>
            <w:vAlign w:val="bottom"/>
            <w:tcBorders>
              <w:top w:val="single" w:sz="8" w:color="0CD973"/>
            </w:tcBorders>
          </w:tcPr>
          <w:p>
            <w:pPr>
              <w:spacing w:after="0"/>
              <w:rPr>
                <w:sz w:val="20"/>
                <w:szCs w:val="20"/>
                <w:color w:val="auto"/>
              </w:rPr>
            </w:pPr>
          </w:p>
        </w:tc>
        <w:tc>
          <w:tcPr>
            <w:tcW w:w="880" w:type="dxa"/>
            <w:vAlign w:val="bottom"/>
            <w:tcBorders>
              <w:top w:val="single" w:sz="8" w:color="0CD973"/>
            </w:tcBorders>
          </w:tcPr>
          <w:p>
            <w:pPr>
              <w:spacing w:after="0"/>
              <w:rPr>
                <w:sz w:val="20"/>
                <w:szCs w:val="20"/>
                <w:color w:val="auto"/>
              </w:rPr>
            </w:pPr>
          </w:p>
        </w:tc>
        <w:tc>
          <w:tcPr>
            <w:tcW w:w="200" w:type="dxa"/>
            <w:vAlign w:val="bottom"/>
            <w:tcBorders>
              <w:top w:val="single" w:sz="8" w:color="0CD973"/>
            </w:tcBorders>
          </w:tcPr>
          <w:p>
            <w:pPr>
              <w:spacing w:after="0"/>
              <w:rPr>
                <w:sz w:val="20"/>
                <w:szCs w:val="20"/>
                <w:color w:val="auto"/>
              </w:rPr>
            </w:pPr>
          </w:p>
        </w:tc>
        <w:tc>
          <w:tcPr>
            <w:tcW w:w="600" w:type="dxa"/>
            <w:vAlign w:val="bottom"/>
            <w:tcBorders>
              <w:top w:val="single" w:sz="8" w:color="0CD973"/>
            </w:tcBorders>
          </w:tcPr>
          <w:p>
            <w:pPr>
              <w:spacing w:after="0"/>
              <w:rPr>
                <w:sz w:val="20"/>
                <w:szCs w:val="20"/>
                <w:color w:val="auto"/>
              </w:rPr>
            </w:pPr>
          </w:p>
        </w:tc>
        <w:tc>
          <w:tcPr>
            <w:tcW w:w="220" w:type="dxa"/>
            <w:vAlign w:val="bottom"/>
            <w:tcBorders>
              <w:top w:val="single" w:sz="8" w:color="0CD973"/>
            </w:tcBorders>
          </w:tcPr>
          <w:p>
            <w:pPr>
              <w:spacing w:after="0"/>
              <w:rPr>
                <w:sz w:val="20"/>
                <w:szCs w:val="20"/>
                <w:color w:val="auto"/>
              </w:rPr>
            </w:pPr>
          </w:p>
        </w:tc>
        <w:tc>
          <w:tcPr>
            <w:tcW w:w="780" w:type="dxa"/>
            <w:vAlign w:val="bottom"/>
            <w:tcBorders>
              <w:top w:val="single" w:sz="8" w:color="0CD973"/>
            </w:tcBorders>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0"/>
        </w:trPr>
        <w:tc>
          <w:tcPr>
            <w:tcW w:w="2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gridSpan w:val="3"/>
          </w:tcPr>
          <w:p>
            <w:pPr>
              <w:jc w:val="center"/>
              <w:ind w:left="98"/>
              <w:spacing w:after="0"/>
              <w:rPr>
                <w:sz w:val="20"/>
                <w:szCs w:val="20"/>
                <w:color w:val="auto"/>
              </w:rPr>
            </w:pPr>
            <w:r>
              <w:rPr>
                <w:rFonts w:ascii="Calibri" w:cs="Calibri" w:eastAsia="Calibri" w:hAnsi="Calibri"/>
                <w:sz w:val="11"/>
                <w:szCs w:val="11"/>
                <w:color w:val="51555C"/>
              </w:rPr>
              <w:t>Second Quarter 2024 Form 10-Q</w:t>
            </w:r>
          </w:p>
        </w:tc>
        <w:tc>
          <w:tcPr>
            <w:tcW w:w="22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Calibri" w:cs="Calibri" w:eastAsia="Calibri" w:hAnsi="Calibri"/>
                <w:sz w:val="11"/>
                <w:szCs w:val="11"/>
                <w:color w:val="51555C"/>
              </w:rPr>
              <w:t>7</w:t>
            </w:r>
          </w:p>
        </w:tc>
        <w:tc>
          <w:tcPr>
            <w:tcW w:w="0" w:type="dxa"/>
            <w:vAlign w:val="bottom"/>
          </w:tcPr>
          <w:p>
            <w:pPr>
              <w:spacing w:after="0"/>
              <w:rPr>
                <w:sz w:val="1"/>
                <w:szCs w:val="1"/>
                <w:color w:val="auto"/>
              </w:rPr>
            </w:pPr>
          </w:p>
        </w:tc>
      </w:tr>
      <w:tr>
        <w:trPr>
          <w:trHeight w:val="270"/>
        </w:trPr>
        <w:tc>
          <w:tcPr>
            <w:tcW w:w="2620" w:type="dxa"/>
            <w:vAlign w:val="bottom"/>
            <w:tcBorders>
              <w:bottom w:val="single" w:sz="8" w:color="9A9A9A"/>
            </w:tcBorders>
          </w:tcPr>
          <w:p>
            <w:pPr>
              <w:spacing w:after="0"/>
              <w:rPr>
                <w:sz w:val="23"/>
                <w:szCs w:val="23"/>
                <w:color w:val="auto"/>
              </w:rPr>
            </w:pPr>
          </w:p>
        </w:tc>
        <w:tc>
          <w:tcPr>
            <w:tcW w:w="1260" w:type="dxa"/>
            <w:vAlign w:val="bottom"/>
            <w:tcBorders>
              <w:bottom w:val="single" w:sz="8" w:color="9A9A9A"/>
            </w:tcBorders>
          </w:tcPr>
          <w:p>
            <w:pPr>
              <w:spacing w:after="0"/>
              <w:rPr>
                <w:sz w:val="23"/>
                <w:szCs w:val="23"/>
                <w:color w:val="auto"/>
              </w:rPr>
            </w:pPr>
          </w:p>
        </w:tc>
        <w:tc>
          <w:tcPr>
            <w:tcW w:w="860" w:type="dxa"/>
            <w:vAlign w:val="bottom"/>
            <w:tcBorders>
              <w:bottom w:val="single" w:sz="8" w:color="9A9A9A"/>
            </w:tcBorders>
          </w:tcPr>
          <w:p>
            <w:pPr>
              <w:spacing w:after="0"/>
              <w:rPr>
                <w:sz w:val="23"/>
                <w:szCs w:val="23"/>
                <w:color w:val="auto"/>
              </w:rPr>
            </w:pPr>
          </w:p>
        </w:tc>
        <w:tc>
          <w:tcPr>
            <w:tcW w:w="160" w:type="dxa"/>
            <w:vAlign w:val="bottom"/>
            <w:tcBorders>
              <w:bottom w:val="single" w:sz="8" w:color="9A9A9A"/>
            </w:tcBorders>
          </w:tcPr>
          <w:p>
            <w:pPr>
              <w:spacing w:after="0"/>
              <w:rPr>
                <w:sz w:val="23"/>
                <w:szCs w:val="23"/>
                <w:color w:val="auto"/>
              </w:rPr>
            </w:pPr>
          </w:p>
        </w:tc>
        <w:tc>
          <w:tcPr>
            <w:tcW w:w="500" w:type="dxa"/>
            <w:vAlign w:val="bottom"/>
            <w:tcBorders>
              <w:bottom w:val="single" w:sz="8" w:color="9A9A9A"/>
            </w:tcBorders>
          </w:tcPr>
          <w:p>
            <w:pPr>
              <w:spacing w:after="0"/>
              <w:rPr>
                <w:sz w:val="23"/>
                <w:szCs w:val="23"/>
                <w:color w:val="auto"/>
              </w:rPr>
            </w:pPr>
          </w:p>
        </w:tc>
        <w:tc>
          <w:tcPr>
            <w:tcW w:w="980" w:type="dxa"/>
            <w:vAlign w:val="bottom"/>
            <w:tcBorders>
              <w:bottom w:val="single" w:sz="8" w:color="9A9A9A"/>
            </w:tcBorders>
          </w:tcPr>
          <w:p>
            <w:pPr>
              <w:spacing w:after="0"/>
              <w:rPr>
                <w:sz w:val="23"/>
                <w:szCs w:val="23"/>
                <w:color w:val="auto"/>
              </w:rPr>
            </w:pPr>
          </w:p>
        </w:tc>
        <w:tc>
          <w:tcPr>
            <w:tcW w:w="100" w:type="dxa"/>
            <w:vAlign w:val="bottom"/>
            <w:tcBorders>
              <w:bottom w:val="single" w:sz="8" w:color="9A9A9A"/>
            </w:tcBorders>
          </w:tcPr>
          <w:p>
            <w:pPr>
              <w:spacing w:after="0"/>
              <w:rPr>
                <w:sz w:val="23"/>
                <w:szCs w:val="23"/>
                <w:color w:val="auto"/>
              </w:rPr>
            </w:pPr>
          </w:p>
        </w:tc>
        <w:tc>
          <w:tcPr>
            <w:tcW w:w="720" w:type="dxa"/>
            <w:vAlign w:val="bottom"/>
            <w:tcBorders>
              <w:bottom w:val="single" w:sz="8" w:color="9A9A9A"/>
            </w:tcBorders>
          </w:tcPr>
          <w:p>
            <w:pPr>
              <w:spacing w:after="0"/>
              <w:rPr>
                <w:sz w:val="23"/>
                <w:szCs w:val="23"/>
                <w:color w:val="auto"/>
              </w:rPr>
            </w:pPr>
          </w:p>
        </w:tc>
        <w:tc>
          <w:tcPr>
            <w:tcW w:w="260" w:type="dxa"/>
            <w:vAlign w:val="bottom"/>
            <w:tcBorders>
              <w:bottom w:val="single" w:sz="8" w:color="9A9A9A"/>
            </w:tcBorders>
          </w:tcPr>
          <w:p>
            <w:pPr>
              <w:spacing w:after="0"/>
              <w:rPr>
                <w:sz w:val="23"/>
                <w:szCs w:val="23"/>
                <w:color w:val="auto"/>
              </w:rPr>
            </w:pPr>
          </w:p>
        </w:tc>
        <w:tc>
          <w:tcPr>
            <w:tcW w:w="660" w:type="dxa"/>
            <w:vAlign w:val="bottom"/>
            <w:tcBorders>
              <w:bottom w:val="single" w:sz="8" w:color="9A9A9A"/>
            </w:tcBorders>
          </w:tcPr>
          <w:p>
            <w:pPr>
              <w:spacing w:after="0"/>
              <w:rPr>
                <w:sz w:val="23"/>
                <w:szCs w:val="23"/>
                <w:color w:val="auto"/>
              </w:rPr>
            </w:pPr>
          </w:p>
        </w:tc>
        <w:tc>
          <w:tcPr>
            <w:tcW w:w="220" w:type="dxa"/>
            <w:vAlign w:val="bottom"/>
            <w:tcBorders>
              <w:bottom w:val="single" w:sz="8" w:color="9A9A9A"/>
            </w:tcBorders>
          </w:tcPr>
          <w:p>
            <w:pPr>
              <w:spacing w:after="0"/>
              <w:rPr>
                <w:sz w:val="23"/>
                <w:szCs w:val="23"/>
                <w:color w:val="auto"/>
              </w:rPr>
            </w:pPr>
          </w:p>
        </w:tc>
        <w:tc>
          <w:tcPr>
            <w:tcW w:w="880" w:type="dxa"/>
            <w:vAlign w:val="bottom"/>
            <w:tcBorders>
              <w:bottom w:val="single" w:sz="8" w:color="9A9A9A"/>
            </w:tcBorders>
          </w:tcPr>
          <w:p>
            <w:pPr>
              <w:spacing w:after="0"/>
              <w:rPr>
                <w:sz w:val="23"/>
                <w:szCs w:val="23"/>
                <w:color w:val="auto"/>
              </w:rPr>
            </w:pPr>
          </w:p>
        </w:tc>
        <w:tc>
          <w:tcPr>
            <w:tcW w:w="200" w:type="dxa"/>
            <w:vAlign w:val="bottom"/>
            <w:tcBorders>
              <w:bottom w:val="single" w:sz="8" w:color="9A9A9A"/>
            </w:tcBorders>
          </w:tcPr>
          <w:p>
            <w:pPr>
              <w:spacing w:after="0"/>
              <w:rPr>
                <w:sz w:val="23"/>
                <w:szCs w:val="23"/>
                <w:color w:val="auto"/>
              </w:rPr>
            </w:pPr>
          </w:p>
        </w:tc>
        <w:tc>
          <w:tcPr>
            <w:tcW w:w="600" w:type="dxa"/>
            <w:vAlign w:val="bottom"/>
            <w:tcBorders>
              <w:bottom w:val="single" w:sz="8" w:color="9A9A9A"/>
            </w:tcBorders>
          </w:tcPr>
          <w:p>
            <w:pPr>
              <w:spacing w:after="0"/>
              <w:rPr>
                <w:sz w:val="23"/>
                <w:szCs w:val="23"/>
                <w:color w:val="auto"/>
              </w:rPr>
            </w:pPr>
          </w:p>
        </w:tc>
        <w:tc>
          <w:tcPr>
            <w:tcW w:w="220" w:type="dxa"/>
            <w:vAlign w:val="bottom"/>
            <w:tcBorders>
              <w:bottom w:val="single" w:sz="8" w:color="9A9A9A"/>
            </w:tcBorders>
          </w:tcPr>
          <w:p>
            <w:pPr>
              <w:spacing w:after="0"/>
              <w:rPr>
                <w:sz w:val="23"/>
                <w:szCs w:val="23"/>
                <w:color w:val="auto"/>
              </w:rPr>
            </w:pPr>
          </w:p>
        </w:tc>
        <w:tc>
          <w:tcPr>
            <w:tcW w:w="780" w:type="dxa"/>
            <w:vAlign w:val="bottom"/>
            <w:tcBorders>
              <w:bottom w:val="single" w:sz="8" w:color="9A9A9A"/>
            </w:tcBorders>
          </w:tcPr>
          <w:p>
            <w:pPr>
              <w:spacing w:after="0"/>
              <w:rPr>
                <w:sz w:val="23"/>
                <w:szCs w:val="23"/>
                <w:color w:val="auto"/>
              </w:rPr>
            </w:pPr>
          </w:p>
        </w:tc>
        <w:tc>
          <w:tcPr>
            <w:tcW w:w="260" w:type="dxa"/>
            <w:vAlign w:val="bottom"/>
            <w:tcBorders>
              <w:bottom w:val="single" w:sz="8" w:color="9A9A9A"/>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2461895</wp:posOffset>
            </wp:positionH>
            <wp:positionV relativeFrom="paragraph">
              <wp:posOffset>-2896235</wp:posOffset>
            </wp:positionV>
            <wp:extent cx="2115185"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115185" cy="6985"/>
                    </a:xfrm>
                    <a:prstGeom prst="rect">
                      <a:avLst/>
                    </a:prstGeom>
                    <a:noFill/>
                  </pic:spPr>
                </pic:pic>
              </a:graphicData>
            </a:graphic>
          </wp:anchor>
        </w:drawing>
        <w:drawing>
          <wp:anchor simplePos="0" relativeHeight="251657728" behindDoc="1" locked="0" layoutInCell="0" allowOverlap="1">
            <wp:simplePos x="0" y="0"/>
            <wp:positionH relativeFrom="column">
              <wp:posOffset>6410325</wp:posOffset>
            </wp:positionH>
            <wp:positionV relativeFrom="paragraph">
              <wp:posOffset>-288925</wp:posOffset>
            </wp:positionV>
            <wp:extent cx="518795" cy="134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8795" cy="134620"/>
                    </a:xfrm>
                    <a:prstGeom prst="rect">
                      <a:avLst/>
                    </a:prstGeom>
                    <a:noFill/>
                  </pic:spPr>
                </pic:pic>
              </a:graphicData>
            </a:graphic>
          </wp:anchor>
        </w:drawing>
      </w:r>
    </w:p>
    <w:p>
      <w:pPr>
        <w:sectPr>
          <w:pgSz w:w="11900" w:h="16838" w:orient="portrait"/>
          <w:cols w:equalWidth="0" w:num="1">
            <w:col w:w="11280"/>
          </w:cols>
          <w:pgMar w:left="300" w:top="119" w:right="319" w:bottom="1440" w:gutter="0" w:footer="0" w:header="0"/>
        </w:sectPr>
      </w:pPr>
    </w:p>
    <w:bookmarkStart w:id="8" w:name="page9"/>
    <w:bookmarkEnd w:id="8"/>
    <w:p>
      <w:pPr>
        <w:spacing w:after="0"/>
        <w:rPr>
          <w:sz w:val="20"/>
          <w:szCs w:val="20"/>
          <w:color w:val="auto"/>
        </w:rPr>
      </w:pPr>
      <w:r>
        <w:rPr>
          <w:rFonts w:ascii="Calibri" w:cs="Calibri" w:eastAsia="Calibri" w:hAnsi="Calibri"/>
          <w:sz w:val="11"/>
          <w:szCs w:val="11"/>
          <w:u w:val="single" w:color="auto"/>
          <w:color w:val="7A04DD"/>
        </w:rPr>
        <w:t>Table of Contents</w:t>
      </w:r>
    </w:p>
    <w:p>
      <w:pPr>
        <w:spacing w:after="0" w:line="196" w:lineRule="exact"/>
        <w:rPr>
          <w:sz w:val="20"/>
          <w:szCs w:val="20"/>
          <w:color w:val="auto"/>
        </w:rPr>
      </w:pPr>
    </w:p>
    <w:p>
      <w:pPr>
        <w:jc w:val="center"/>
        <w:spacing w:after="0"/>
        <w:rPr>
          <w:sz w:val="20"/>
          <w:szCs w:val="20"/>
          <w:color w:val="auto"/>
        </w:rPr>
      </w:pPr>
      <w:r>
        <w:rPr>
          <w:rFonts w:ascii="Calibri" w:cs="Calibri" w:eastAsia="Calibri" w:hAnsi="Calibri"/>
          <w:sz w:val="14"/>
          <w:szCs w:val="14"/>
          <w:b w:val="1"/>
          <w:bCs w:val="1"/>
          <w:color w:val="51555C"/>
        </w:rPr>
        <w:t>Blackbaud, Inc.</w:t>
      </w:r>
    </w:p>
    <w:p>
      <w:pPr>
        <w:jc w:val="center"/>
        <w:spacing w:after="0" w:line="238" w:lineRule="auto"/>
        <w:rPr>
          <w:sz w:val="20"/>
          <w:szCs w:val="20"/>
          <w:color w:val="auto"/>
        </w:rPr>
      </w:pPr>
      <w:r>
        <w:rPr>
          <w:rFonts w:ascii="Calibri" w:cs="Calibri" w:eastAsia="Calibri" w:hAnsi="Calibri"/>
          <w:sz w:val="14"/>
          <w:szCs w:val="14"/>
          <w:b w:val="1"/>
          <w:bCs w:val="1"/>
          <w:color w:val="51555C"/>
        </w:rPr>
        <w:t>Notes to Condensed Consolidated Financial Statements</w:t>
      </w:r>
    </w:p>
    <w:p>
      <w:pPr>
        <w:jc w:val="center"/>
        <w:spacing w:after="0"/>
        <w:rPr>
          <w:sz w:val="20"/>
          <w:szCs w:val="20"/>
          <w:color w:val="auto"/>
        </w:rPr>
      </w:pPr>
      <w:r>
        <w:rPr>
          <w:rFonts w:ascii="Calibri" w:cs="Calibri" w:eastAsia="Calibri" w:hAnsi="Calibri"/>
          <w:sz w:val="14"/>
          <w:szCs w:val="14"/>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0"/>
        <w:spacing w:after="0"/>
        <w:rPr>
          <w:sz w:val="20"/>
          <w:szCs w:val="20"/>
          <w:color w:val="auto"/>
        </w:rPr>
      </w:pPr>
      <w:r>
        <w:rPr>
          <w:rFonts w:ascii="Calibri" w:cs="Calibri" w:eastAsia="Calibri" w:hAnsi="Calibri"/>
          <w:sz w:val="17"/>
          <w:szCs w:val="17"/>
          <w:b w:val="1"/>
          <w:bCs w:val="1"/>
          <w:color w:val="006880"/>
        </w:rPr>
        <w:t>1. Organizaton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27305</wp:posOffset>
            </wp:positionV>
            <wp:extent cx="7161530"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7" w:lineRule="exact"/>
        <w:rPr>
          <w:sz w:val="20"/>
          <w:szCs w:val="20"/>
          <w:color w:val="auto"/>
        </w:rPr>
      </w:pPr>
    </w:p>
    <w:p>
      <w:pPr>
        <w:jc w:val="both"/>
        <w:spacing w:after="0" w:line="237" w:lineRule="auto"/>
        <w:rPr>
          <w:sz w:val="20"/>
          <w:szCs w:val="20"/>
          <w:color w:val="auto"/>
        </w:rPr>
      </w:pPr>
      <w:r>
        <w:rPr>
          <w:rFonts w:ascii="Calibri" w:cs="Calibri" w:eastAsia="Calibri" w:hAnsi="Calibri"/>
          <w:sz w:val="14"/>
          <w:szCs w:val="14"/>
          <w:color w:val="51555C"/>
        </w:rPr>
        <w:t>We are the leading sofware provider exclusively dedicated to powering social impact. Serving the nonproft and educaton sectors, companies commited to social responsibility and individual change makers, our essental sofware is built to accelerate impact in fundraising, nonproft fnancial management, digital giving, grantmaking, corporate social responsibility and educaton management. A remote-frst company, we have operatons in the United States, Australia, Canada, Costa Rica and the United Kingdom, supportng users in 100+ countries.</w:t>
      </w:r>
    </w:p>
    <w:p>
      <w:pPr>
        <w:spacing w:after="0" w:line="205" w:lineRule="exact"/>
        <w:rPr>
          <w:sz w:val="20"/>
          <w:szCs w:val="20"/>
          <w:color w:val="auto"/>
        </w:rPr>
      </w:pPr>
    </w:p>
    <w:p>
      <w:pPr>
        <w:ind w:left="20"/>
        <w:spacing w:after="0"/>
        <w:rPr>
          <w:sz w:val="20"/>
          <w:szCs w:val="20"/>
          <w:color w:val="auto"/>
        </w:rPr>
      </w:pPr>
      <w:r>
        <w:rPr>
          <w:rFonts w:ascii="Calibri" w:cs="Calibri" w:eastAsia="Calibri" w:hAnsi="Calibri"/>
          <w:sz w:val="17"/>
          <w:szCs w:val="17"/>
          <w:b w:val="1"/>
          <w:bCs w:val="1"/>
          <w:color w:val="006880"/>
        </w:rPr>
        <w:t>2. Basis of Presentaton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27305</wp:posOffset>
            </wp:positionV>
            <wp:extent cx="7161530"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51555C"/>
        </w:rPr>
        <w:t>Unaudited condensed consolidated interim fnancial statements</w:t>
      </w:r>
    </w:p>
    <w:p>
      <w:pPr>
        <w:spacing w:after="0" w:line="129" w:lineRule="exact"/>
        <w:rPr>
          <w:sz w:val="20"/>
          <w:szCs w:val="20"/>
          <w:color w:val="auto"/>
        </w:rPr>
      </w:pPr>
    </w:p>
    <w:p>
      <w:pPr>
        <w:jc w:val="both"/>
        <w:spacing w:after="0" w:line="238" w:lineRule="auto"/>
        <w:rPr>
          <w:sz w:val="20"/>
          <w:szCs w:val="20"/>
          <w:color w:val="auto"/>
        </w:rPr>
      </w:pPr>
      <w:r>
        <w:rPr>
          <w:rFonts w:ascii="Calibri" w:cs="Calibri" w:eastAsia="Calibri" w:hAnsi="Calibri"/>
          <w:sz w:val="14"/>
          <w:szCs w:val="14"/>
          <w:color w:val="51555C"/>
        </w:rPr>
        <w:t>The accompanying condensed consolidated interim fnancial statements have been prepared pursuant to the rules and regulatons of the United States Securites and Exchange Commission ("SEC") for interim fnancial reportng. These condensed consolidated statements are unaudited and, in the opinion of management, include all adjustments (consistng of normal recurring adjustments and accruals) necessary to state fairly the consolidated balance sheets, consolidated statements of comprehensive income, consolidated statements of cash fows and consolidated statements of stockholders’ equity, for the periods presented in accordance with accountng principles generally accepted in the United States ("U.S.") ("GAAP"). The condensed consolidated balance sheet at December 31, 2023 has been derived from the audited consolidated fnancial statements at that date. Operatng results and cash fows for the six months ended June 30, 2024 are not necessarily indicatve of the results that may be expected for the fscal year ending December 31, 2024, or any other future period. Certain informaton and footnote disclosures normally included in annual fnancial statements prepared in accordance with GAAP have been omited in accordance with the rules and regulatons for interim reportng of the SEC. These unaudited, condensed consolidated interim fnancial statements should be read in conjuncton with the consolidated fnancial statements and notes thereto included in our Annual Report on Form 10-K for the year ended December 31, 2023, and other forms fled with the SEC from tme to tme.</w:t>
      </w:r>
    </w:p>
    <w:p>
      <w:pPr>
        <w:spacing w:after="0" w:line="127"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51555C"/>
        </w:rPr>
        <w:t>Basis of consolidaton</w:t>
      </w:r>
    </w:p>
    <w:p>
      <w:pPr>
        <w:spacing w:after="0" w:line="129" w:lineRule="exact"/>
        <w:rPr>
          <w:sz w:val="20"/>
          <w:szCs w:val="20"/>
          <w:color w:val="auto"/>
        </w:rPr>
      </w:pPr>
    </w:p>
    <w:p>
      <w:pPr>
        <w:jc w:val="both"/>
        <w:spacing w:after="0" w:line="237" w:lineRule="auto"/>
        <w:rPr>
          <w:sz w:val="20"/>
          <w:szCs w:val="20"/>
          <w:color w:val="auto"/>
        </w:rPr>
      </w:pPr>
      <w:r>
        <w:rPr>
          <w:rFonts w:ascii="Calibri" w:cs="Calibri" w:eastAsia="Calibri" w:hAnsi="Calibri"/>
          <w:sz w:val="14"/>
          <w:szCs w:val="14"/>
          <w:color w:val="51555C"/>
        </w:rPr>
        <w:t>The unaudited, condensed consolidated fnancial statements include the accounts of Blackbaud, Inc. and its wholly owned subsidiaries. All intercompany balances and transactons have been eliminated in consolidaton.</w:t>
      </w:r>
    </w:p>
    <w:p>
      <w:pPr>
        <w:spacing w:after="0" w:line="126"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51555C"/>
        </w:rPr>
        <w:t>Reportable segment</w:t>
      </w:r>
    </w:p>
    <w:p>
      <w:pPr>
        <w:spacing w:after="0" w:line="129" w:lineRule="exact"/>
        <w:rPr>
          <w:sz w:val="20"/>
          <w:szCs w:val="20"/>
          <w:color w:val="auto"/>
        </w:rPr>
      </w:pPr>
    </w:p>
    <w:p>
      <w:pPr>
        <w:jc w:val="both"/>
        <w:spacing w:after="0" w:line="237" w:lineRule="auto"/>
        <w:rPr>
          <w:sz w:val="20"/>
          <w:szCs w:val="20"/>
          <w:color w:val="auto"/>
        </w:rPr>
      </w:pPr>
      <w:r>
        <w:rPr>
          <w:rFonts w:ascii="Calibri" w:cs="Calibri" w:eastAsia="Calibri" w:hAnsi="Calibri"/>
          <w:sz w:val="14"/>
          <w:szCs w:val="14"/>
          <w:color w:val="51555C"/>
        </w:rPr>
        <w:t>We report our operatng results and fnancial informaton in one operatng and reportable segment. Our chief operatng decision maker uses consolidated fnancial informaton to make operatng decisions, assess fnancial performance and allocate resources. Our chief operatng decision maker is our chief executve ofcer.</w:t>
      </w:r>
    </w:p>
    <w:p>
      <w:pPr>
        <w:spacing w:after="0" w:line="126"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51555C"/>
        </w:rPr>
        <w:t>Use of estmates</w:t>
      </w:r>
    </w:p>
    <w:p>
      <w:pPr>
        <w:spacing w:after="0" w:line="129" w:lineRule="exact"/>
        <w:rPr>
          <w:sz w:val="20"/>
          <w:szCs w:val="20"/>
          <w:color w:val="auto"/>
        </w:rPr>
      </w:pPr>
    </w:p>
    <w:p>
      <w:pPr>
        <w:jc w:val="both"/>
        <w:spacing w:after="0" w:line="237" w:lineRule="auto"/>
        <w:rPr>
          <w:sz w:val="20"/>
          <w:szCs w:val="20"/>
          <w:color w:val="auto"/>
        </w:rPr>
      </w:pPr>
      <w:r>
        <w:rPr>
          <w:rFonts w:ascii="Calibri" w:cs="Calibri" w:eastAsia="Calibri" w:hAnsi="Calibri"/>
          <w:sz w:val="14"/>
          <w:szCs w:val="14"/>
          <w:color w:val="51555C"/>
        </w:rPr>
        <w:t>The preparaton of fnancial statements in conformity with GAAP requires management to make estmates and assumptons that afect the reported amounts of assets and liabilites and disclosure of contngent assets and liabilites at the date of the fnancial statements, as well as the reported amounts of revenues and expenses during the reportng periods. On an ongoing basis, we reconsider and evaluate our estmates and assumptons, including those that impact revenue recogniton, long-lived and intangible assets, income taxes, business combinatons, stock-based compensaton, capitalizaton of sofware and content development costs, our allowances for credit losses and sales returns, costs of obtaining contracts, valuaton of derivatve instruments, loss contngencies and insurance recoveries, among others. Changes in the facts or circumstances underlying these estmates could result in material changes and actual results could materially difer from these estmates.</w:t>
      </w:r>
    </w:p>
    <w:p>
      <w:pPr>
        <w:spacing w:after="0" w:line="269" w:lineRule="exact"/>
        <w:rPr>
          <w:sz w:val="20"/>
          <w:szCs w:val="20"/>
          <w:color w:val="auto"/>
        </w:rPr>
      </w:pPr>
    </w:p>
    <w:p>
      <w:pPr>
        <w:ind w:left="20"/>
        <w:spacing w:after="0"/>
        <w:tabs>
          <w:tab w:leader="none" w:pos="589" w:val="left"/>
        </w:tabs>
        <w:rPr>
          <w:sz w:val="20"/>
          <w:szCs w:val="20"/>
          <w:color w:val="auto"/>
        </w:rPr>
      </w:pPr>
      <w:r>
        <w:rPr>
          <w:rFonts w:ascii="Calibri" w:cs="Calibri" w:eastAsia="Calibri" w:hAnsi="Calibri"/>
          <w:sz w:val="11"/>
          <w:szCs w:val="11"/>
          <w:color w:val="51555C"/>
        </w:rPr>
        <w:t>8</w:t>
      </w:r>
      <w:r>
        <w:rPr>
          <w:sz w:val="20"/>
          <w:szCs w:val="20"/>
          <w:color w:val="auto"/>
        </w:rPr>
        <w:tab/>
      </w:r>
      <w:r>
        <w:rPr>
          <w:sz w:val="1"/>
          <w:szCs w:val="1"/>
          <w:color w:val="auto"/>
        </w:rPr>
        <w:drawing>
          <wp:inline distT="0" distB="0" distL="0" distR="0">
            <wp:extent cx="511810" cy="134620"/>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1810" cy="134620"/>
                    </a:xfrm>
                    <a:prstGeom prst="rect">
                      <a:avLst/>
                    </a:prstGeom>
                    <a:noFill/>
                    <a:ln>
                      <a:noFill/>
                    </a:ln>
                  </pic:spPr>
                </pic:pic>
              </a:graphicData>
            </a:graphic>
          </wp:inline>
        </w:drawing>
      </w:r>
      <w:r>
        <w:rPr>
          <w:rFonts w:ascii="Calibri" w:cs="Calibri" w:eastAsia="Calibri" w:hAnsi="Calibri"/>
          <w:sz w:val="11"/>
          <w:szCs w:val="11"/>
          <w:color w:val="51555C"/>
        </w:rPr>
        <w:t xml:space="preserve">    Second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135255</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9" w:name="page10"/>
    <w:bookmarkEnd w:id="9"/>
    <w:p>
      <w:pPr>
        <w:spacing w:after="0"/>
        <w:rPr>
          <w:sz w:val="20"/>
          <w:szCs w:val="20"/>
          <w:color w:val="auto"/>
        </w:rPr>
      </w:pPr>
      <w:r>
        <w:rPr>
          <w:rFonts w:ascii="Calibri" w:cs="Calibri" w:eastAsia="Calibri" w:hAnsi="Calibri"/>
          <w:sz w:val="11"/>
          <w:szCs w:val="11"/>
          <w:u w:val="single" w:color="auto"/>
          <w:color w:val="7A04DD"/>
        </w:rPr>
        <w:t>Table of Contents</w:t>
      </w:r>
    </w:p>
    <w:p>
      <w:pPr>
        <w:spacing w:after="0" w:line="196" w:lineRule="exact"/>
        <w:rPr>
          <w:sz w:val="20"/>
          <w:szCs w:val="20"/>
          <w:color w:val="auto"/>
        </w:rPr>
      </w:pPr>
    </w:p>
    <w:p>
      <w:pPr>
        <w:jc w:val="center"/>
        <w:ind w:right="20"/>
        <w:spacing w:after="0"/>
        <w:rPr>
          <w:sz w:val="20"/>
          <w:szCs w:val="20"/>
          <w:color w:val="auto"/>
        </w:rPr>
      </w:pPr>
      <w:r>
        <w:rPr>
          <w:rFonts w:ascii="Calibri" w:cs="Calibri" w:eastAsia="Calibri" w:hAnsi="Calibri"/>
          <w:sz w:val="14"/>
          <w:szCs w:val="14"/>
          <w:b w:val="1"/>
          <w:bCs w:val="1"/>
          <w:color w:val="51555C"/>
        </w:rPr>
        <w:t>Blackbaud, Inc.</w:t>
      </w:r>
    </w:p>
    <w:p>
      <w:pPr>
        <w:jc w:val="center"/>
        <w:ind w:right="20"/>
        <w:spacing w:after="0" w:line="238" w:lineRule="auto"/>
        <w:rPr>
          <w:sz w:val="20"/>
          <w:szCs w:val="20"/>
          <w:color w:val="auto"/>
        </w:rPr>
      </w:pPr>
      <w:r>
        <w:rPr>
          <w:rFonts w:ascii="Calibri" w:cs="Calibri" w:eastAsia="Calibri" w:hAnsi="Calibri"/>
          <w:sz w:val="14"/>
          <w:szCs w:val="14"/>
          <w:b w:val="1"/>
          <w:bCs w:val="1"/>
          <w:color w:val="51555C"/>
        </w:rPr>
        <w:t>Notes to Condensed Consolidated Financial Statements</w:t>
      </w:r>
    </w:p>
    <w:p>
      <w:pPr>
        <w:jc w:val="center"/>
        <w:ind w:right="20"/>
        <w:spacing w:after="0"/>
        <w:rPr>
          <w:sz w:val="20"/>
          <w:szCs w:val="20"/>
          <w:color w:val="auto"/>
        </w:rPr>
      </w:pPr>
      <w:r>
        <w:rPr>
          <w:rFonts w:ascii="Calibri" w:cs="Calibri" w:eastAsia="Calibri" w:hAnsi="Calibri"/>
          <w:sz w:val="14"/>
          <w:szCs w:val="14"/>
          <w:b w:val="1"/>
          <w:bCs w:val="1"/>
          <w:color w:val="51555C"/>
        </w:rPr>
        <w:t>(Unaudited)</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51555C"/>
        </w:rPr>
        <w:t>Recently issued accountng pronouncements</w:t>
      </w:r>
    </w:p>
    <w:p>
      <w:pPr>
        <w:spacing w:after="0" w:line="126" w:lineRule="exact"/>
        <w:rPr>
          <w:sz w:val="20"/>
          <w:szCs w:val="20"/>
          <w:color w:val="auto"/>
        </w:rPr>
      </w:pPr>
    </w:p>
    <w:p>
      <w:pPr>
        <w:spacing w:after="0"/>
        <w:rPr>
          <w:sz w:val="20"/>
          <w:szCs w:val="20"/>
          <w:color w:val="auto"/>
        </w:rPr>
      </w:pPr>
      <w:r>
        <w:rPr>
          <w:rFonts w:ascii="Calibri" w:cs="Calibri" w:eastAsia="Calibri" w:hAnsi="Calibri"/>
          <w:sz w:val="14"/>
          <w:szCs w:val="14"/>
          <w:color w:val="51555C"/>
        </w:rPr>
        <w:t>There are no recently issued accountng pronouncements that we expect to have a material impact on our consolidated fnancial statements when adopted in the future.</w:t>
      </w:r>
    </w:p>
    <w:p>
      <w:pPr>
        <w:spacing w:after="0" w:line="126"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51555C"/>
        </w:rPr>
        <w:t>Summary of signifcant accountng policies</w:t>
      </w:r>
    </w:p>
    <w:p>
      <w:pPr>
        <w:spacing w:after="0" w:line="129" w:lineRule="exact"/>
        <w:rPr>
          <w:sz w:val="20"/>
          <w:szCs w:val="20"/>
          <w:color w:val="auto"/>
        </w:rPr>
      </w:pPr>
    </w:p>
    <w:p>
      <w:pPr>
        <w:spacing w:after="0"/>
        <w:rPr>
          <w:sz w:val="20"/>
          <w:szCs w:val="20"/>
          <w:color w:val="auto"/>
        </w:rPr>
      </w:pPr>
      <w:r>
        <w:rPr>
          <w:rFonts w:ascii="Calibri" w:cs="Calibri" w:eastAsia="Calibri" w:hAnsi="Calibri"/>
          <w:sz w:val="13"/>
          <w:szCs w:val="13"/>
          <w:color w:val="51555C"/>
        </w:rPr>
        <w:t>There have been no material changes to our signifcant accountng policies described in our Annual Report on Form 10-K for the year ended December 31, 2023, fled with the SEC on February 21, 2024.</w:t>
      </w:r>
    </w:p>
    <w:p>
      <w:pPr>
        <w:spacing w:after="0" w:line="171" w:lineRule="exact"/>
        <w:rPr>
          <w:sz w:val="20"/>
          <w:szCs w:val="20"/>
          <w:color w:val="auto"/>
        </w:rPr>
      </w:pPr>
    </w:p>
    <w:p>
      <w:pPr>
        <w:ind w:left="20"/>
        <w:spacing w:after="0"/>
        <w:rPr>
          <w:sz w:val="20"/>
          <w:szCs w:val="20"/>
          <w:color w:val="auto"/>
        </w:rPr>
      </w:pPr>
      <w:r>
        <w:rPr>
          <w:rFonts w:ascii="Calibri" w:cs="Calibri" w:eastAsia="Calibri" w:hAnsi="Calibri"/>
          <w:sz w:val="17"/>
          <w:szCs w:val="17"/>
          <w:b w:val="1"/>
          <w:bCs w:val="1"/>
          <w:color w:val="006880"/>
        </w:rPr>
        <w:t>3. Business Combinatons and Dispositons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27305</wp:posOffset>
            </wp:positionV>
            <wp:extent cx="7161530"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51555C"/>
        </w:rPr>
        <w:t>2024 dispositon</w:t>
      </w:r>
    </w:p>
    <w:p>
      <w:pPr>
        <w:spacing w:after="0" w:line="129" w:lineRule="exact"/>
        <w:rPr>
          <w:sz w:val="20"/>
          <w:szCs w:val="20"/>
          <w:color w:val="auto"/>
        </w:rPr>
      </w:pPr>
    </w:p>
    <w:p>
      <w:pPr>
        <w:jc w:val="both"/>
        <w:ind w:right="20"/>
        <w:spacing w:after="0" w:line="237" w:lineRule="auto"/>
        <w:rPr>
          <w:sz w:val="20"/>
          <w:szCs w:val="20"/>
          <w:color w:val="auto"/>
        </w:rPr>
      </w:pPr>
      <w:r>
        <w:rPr>
          <w:rFonts w:ascii="Calibri" w:cs="Calibri" w:eastAsia="Calibri" w:hAnsi="Calibri"/>
          <w:sz w:val="14"/>
          <w:szCs w:val="14"/>
          <w:color w:val="51555C"/>
        </w:rPr>
        <w:t>On March 2, 2024, we completed a transacton to divest our U.K.-based creatve services business EVERFI Limited, formerly a wholly-owned subsidiary of EVERFI Inc, which is a wholly-owned subsidiary of Blackbaud, Inc. EVERFI Limited's total revenue during 2023 was $8.4 million. We incurred an insignifcant amount of legal costs associated with the dispositon of this business. As a result of the dispositon, we recorded a $1.6 million loss, which was recorded in general and administratve expense in the unaudited, condensed consolidated statement of comprehensive income for the six months ended June 30, 2024.</w:t>
      </w:r>
    </w:p>
    <w:p>
      <w:pPr>
        <w:spacing w:after="0" w:line="206" w:lineRule="exact"/>
        <w:rPr>
          <w:sz w:val="20"/>
          <w:szCs w:val="20"/>
          <w:color w:val="auto"/>
        </w:rPr>
      </w:pPr>
    </w:p>
    <w:p>
      <w:pPr>
        <w:ind w:left="20"/>
        <w:spacing w:after="0"/>
        <w:rPr>
          <w:sz w:val="20"/>
          <w:szCs w:val="20"/>
          <w:color w:val="auto"/>
        </w:rPr>
      </w:pPr>
      <w:r>
        <w:rPr>
          <w:rFonts w:ascii="Calibri" w:cs="Calibri" w:eastAsia="Calibri" w:hAnsi="Calibri"/>
          <w:sz w:val="17"/>
          <w:szCs w:val="17"/>
          <w:b w:val="1"/>
          <w:bCs w:val="1"/>
          <w:color w:val="006880"/>
        </w:rPr>
        <w:t>4. Earnings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27305</wp:posOffset>
            </wp:positionV>
            <wp:extent cx="7161530"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18" w:lineRule="exact"/>
        <w:rPr>
          <w:sz w:val="20"/>
          <w:szCs w:val="20"/>
          <w:color w:val="auto"/>
        </w:rPr>
      </w:pPr>
    </w:p>
    <w:p>
      <w:pPr>
        <w:jc w:val="both"/>
        <w:ind w:right="20"/>
        <w:spacing w:after="0" w:line="237" w:lineRule="auto"/>
        <w:rPr>
          <w:sz w:val="20"/>
          <w:szCs w:val="20"/>
          <w:color w:val="auto"/>
        </w:rPr>
      </w:pPr>
      <w:r>
        <w:rPr>
          <w:rFonts w:ascii="Calibri" w:cs="Calibri" w:eastAsia="Calibri" w:hAnsi="Calibri"/>
          <w:sz w:val="14"/>
          <w:szCs w:val="14"/>
          <w:color w:val="51555C"/>
        </w:rPr>
        <w:t>We compute basic earnings (loss) per share by dividing net income (loss) available to common stockholders by the weighted average number of common shares outstanding during the period. Diluted earnings (loss) per share is computed by dividing net income (loss) available to common stockholders by the weighted average number of common shares and dilutve potental common shares outstanding during the period. Diluted earnings (loss) per share refects the assumed exercise, setlement and vestng of all dilutve securites using the “treasury stock method” except when the efect is ant-dilutve. Potentally dilutve securites consist of shares issuable upon vestng of restricted stock awards and units. Diluted loss per share for the six months ended June 30, 2023 was the same as basic loss per share as there was a net loss in the period and inclusion of potentally dilutve securites was ant-dilutve.</w:t>
      </w:r>
    </w:p>
    <w:p>
      <w:pPr>
        <w:spacing w:after="0" w:line="129" w:lineRule="exact"/>
        <w:rPr>
          <w:sz w:val="20"/>
          <w:szCs w:val="20"/>
          <w:color w:val="auto"/>
        </w:rPr>
      </w:pPr>
    </w:p>
    <w:p>
      <w:pPr>
        <w:spacing w:after="0"/>
        <w:rPr>
          <w:sz w:val="20"/>
          <w:szCs w:val="20"/>
          <w:color w:val="auto"/>
        </w:rPr>
      </w:pPr>
      <w:r>
        <w:rPr>
          <w:rFonts w:ascii="Calibri" w:cs="Calibri" w:eastAsia="Calibri" w:hAnsi="Calibri"/>
          <w:sz w:val="14"/>
          <w:szCs w:val="14"/>
          <w:color w:val="51555C"/>
        </w:rPr>
        <w:t>The following table sets forth the computaton of basic and diluted earnings (loss) per share:</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5960" w:type="dxa"/>
            <w:vAlign w:val="bottom"/>
            <w:shd w:val="clear" w:color="auto" w:fill="004054"/>
          </w:tcPr>
          <w:p>
            <w:pPr>
              <w:spacing w:after="0"/>
              <w:rPr>
                <w:sz w:val="12"/>
                <w:szCs w:val="12"/>
                <w:color w:val="auto"/>
              </w:rPr>
            </w:pPr>
          </w:p>
        </w:tc>
        <w:tc>
          <w:tcPr>
            <w:tcW w:w="360" w:type="dxa"/>
            <w:vAlign w:val="bottom"/>
            <w:shd w:val="clear" w:color="auto" w:fill="004054"/>
          </w:tcPr>
          <w:p>
            <w:pPr>
              <w:spacing w:after="0"/>
              <w:rPr>
                <w:sz w:val="12"/>
                <w:szCs w:val="12"/>
                <w:color w:val="auto"/>
              </w:rPr>
            </w:pPr>
          </w:p>
        </w:tc>
        <w:tc>
          <w:tcPr>
            <w:tcW w:w="960" w:type="dxa"/>
            <w:vAlign w:val="bottom"/>
            <w:shd w:val="clear" w:color="auto" w:fill="004054"/>
          </w:tcPr>
          <w:p>
            <w:pPr>
              <w:spacing w:after="0"/>
              <w:rPr>
                <w:sz w:val="12"/>
                <w:szCs w:val="12"/>
                <w:color w:val="auto"/>
              </w:rPr>
            </w:pPr>
          </w:p>
        </w:tc>
        <w:tc>
          <w:tcPr>
            <w:tcW w:w="200" w:type="dxa"/>
            <w:vAlign w:val="bottom"/>
            <w:shd w:val="clear" w:color="auto" w:fill="004054"/>
          </w:tcPr>
          <w:p>
            <w:pPr>
              <w:spacing w:after="0"/>
              <w:rPr>
                <w:sz w:val="12"/>
                <w:szCs w:val="12"/>
                <w:color w:val="auto"/>
              </w:rPr>
            </w:pPr>
          </w:p>
        </w:tc>
        <w:tc>
          <w:tcPr>
            <w:tcW w:w="110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Three months ended</w:t>
            </w:r>
          </w:p>
        </w:tc>
        <w:tc>
          <w:tcPr>
            <w:tcW w:w="100" w:type="dxa"/>
            <w:vAlign w:val="bottom"/>
          </w:tcPr>
          <w:p>
            <w:pPr>
              <w:spacing w:after="0"/>
              <w:rPr>
                <w:sz w:val="12"/>
                <w:szCs w:val="12"/>
                <w:color w:val="auto"/>
              </w:rPr>
            </w:pPr>
          </w:p>
        </w:tc>
        <w:tc>
          <w:tcPr>
            <w:tcW w:w="340" w:type="dxa"/>
            <w:vAlign w:val="bottom"/>
            <w:shd w:val="clear" w:color="auto" w:fill="004054"/>
          </w:tcPr>
          <w:p>
            <w:pPr>
              <w:spacing w:after="0"/>
              <w:rPr>
                <w:sz w:val="12"/>
                <w:szCs w:val="12"/>
                <w:color w:val="auto"/>
              </w:rPr>
            </w:pPr>
          </w:p>
        </w:tc>
        <w:tc>
          <w:tcPr>
            <w:tcW w:w="960" w:type="dxa"/>
            <w:vAlign w:val="bottom"/>
            <w:shd w:val="clear" w:color="auto" w:fill="004054"/>
          </w:tcPr>
          <w:p>
            <w:pPr>
              <w:spacing w:after="0"/>
              <w:rPr>
                <w:sz w:val="12"/>
                <w:szCs w:val="12"/>
                <w:color w:val="auto"/>
              </w:rPr>
            </w:pPr>
          </w:p>
        </w:tc>
        <w:tc>
          <w:tcPr>
            <w:tcW w:w="260" w:type="dxa"/>
            <w:vAlign w:val="bottom"/>
            <w:shd w:val="clear" w:color="auto" w:fill="004054"/>
          </w:tcPr>
          <w:p>
            <w:pPr>
              <w:spacing w:after="0"/>
              <w:rPr>
                <w:sz w:val="12"/>
                <w:szCs w:val="12"/>
                <w:color w:val="auto"/>
              </w:rPr>
            </w:pPr>
          </w:p>
        </w:tc>
        <w:tc>
          <w:tcPr>
            <w:tcW w:w="104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Six months ended</w:t>
            </w:r>
          </w:p>
        </w:tc>
        <w:tc>
          <w:tcPr>
            <w:tcW w:w="20" w:type="dxa"/>
            <w:vAlign w:val="bottom"/>
            <w:shd w:val="clear" w:color="auto" w:fill="004054"/>
          </w:tcPr>
          <w:p>
            <w:pPr>
              <w:spacing w:after="0"/>
              <w:rPr>
                <w:sz w:val="12"/>
                <w:szCs w:val="12"/>
                <w:color w:val="auto"/>
              </w:rPr>
            </w:pPr>
          </w:p>
        </w:tc>
      </w:tr>
      <w:tr>
        <w:trPr>
          <w:trHeight w:val="135"/>
        </w:trPr>
        <w:tc>
          <w:tcPr>
            <w:tcW w:w="5960" w:type="dxa"/>
            <w:vAlign w:val="bottom"/>
            <w:shd w:val="clear" w:color="auto" w:fill="004054"/>
          </w:tcPr>
          <w:p>
            <w:pPr>
              <w:spacing w:after="0"/>
              <w:rPr>
                <w:sz w:val="11"/>
                <w:szCs w:val="11"/>
                <w:color w:val="auto"/>
              </w:rPr>
            </w:pPr>
          </w:p>
        </w:tc>
        <w:tc>
          <w:tcPr>
            <w:tcW w:w="360" w:type="dxa"/>
            <w:vAlign w:val="bottom"/>
            <w:shd w:val="clear" w:color="auto" w:fill="004054"/>
          </w:tcPr>
          <w:p>
            <w:pPr>
              <w:spacing w:after="0"/>
              <w:rPr>
                <w:sz w:val="11"/>
                <w:szCs w:val="11"/>
                <w:color w:val="auto"/>
              </w:rPr>
            </w:pPr>
          </w:p>
        </w:tc>
        <w:tc>
          <w:tcPr>
            <w:tcW w:w="960" w:type="dxa"/>
            <w:vAlign w:val="bottom"/>
            <w:shd w:val="clear" w:color="auto" w:fill="004054"/>
          </w:tcPr>
          <w:p>
            <w:pPr>
              <w:spacing w:after="0"/>
              <w:rPr>
                <w:sz w:val="11"/>
                <w:szCs w:val="11"/>
                <w:color w:val="auto"/>
              </w:rPr>
            </w:pPr>
          </w:p>
        </w:tc>
        <w:tc>
          <w:tcPr>
            <w:tcW w:w="200" w:type="dxa"/>
            <w:vAlign w:val="bottom"/>
            <w:shd w:val="clear" w:color="auto" w:fill="004054"/>
          </w:tcPr>
          <w:p>
            <w:pPr>
              <w:spacing w:after="0"/>
              <w:rPr>
                <w:sz w:val="11"/>
                <w:szCs w:val="11"/>
                <w:color w:val="auto"/>
              </w:rPr>
            </w:pPr>
          </w:p>
        </w:tc>
        <w:tc>
          <w:tcPr>
            <w:tcW w:w="110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June 30,</w:t>
            </w:r>
          </w:p>
        </w:tc>
        <w:tc>
          <w:tcPr>
            <w:tcW w:w="100" w:type="dxa"/>
            <w:vAlign w:val="bottom"/>
          </w:tcPr>
          <w:p>
            <w:pPr>
              <w:spacing w:after="0"/>
              <w:rPr>
                <w:sz w:val="11"/>
                <w:szCs w:val="11"/>
                <w:color w:val="auto"/>
              </w:rPr>
            </w:pPr>
          </w:p>
        </w:tc>
        <w:tc>
          <w:tcPr>
            <w:tcW w:w="340" w:type="dxa"/>
            <w:vAlign w:val="bottom"/>
            <w:shd w:val="clear" w:color="auto" w:fill="004054"/>
          </w:tcPr>
          <w:p>
            <w:pPr>
              <w:spacing w:after="0"/>
              <w:rPr>
                <w:sz w:val="11"/>
                <w:szCs w:val="11"/>
                <w:color w:val="auto"/>
              </w:rPr>
            </w:pPr>
          </w:p>
        </w:tc>
        <w:tc>
          <w:tcPr>
            <w:tcW w:w="960" w:type="dxa"/>
            <w:vAlign w:val="bottom"/>
            <w:shd w:val="clear" w:color="auto" w:fill="004054"/>
          </w:tcPr>
          <w:p>
            <w:pPr>
              <w:spacing w:after="0"/>
              <w:rPr>
                <w:sz w:val="11"/>
                <w:szCs w:val="11"/>
                <w:color w:val="auto"/>
              </w:rPr>
            </w:pPr>
          </w:p>
        </w:tc>
        <w:tc>
          <w:tcPr>
            <w:tcW w:w="260" w:type="dxa"/>
            <w:vAlign w:val="bottom"/>
            <w:shd w:val="clear" w:color="auto" w:fill="004054"/>
          </w:tcPr>
          <w:p>
            <w:pPr>
              <w:spacing w:after="0"/>
              <w:rPr>
                <w:sz w:val="11"/>
                <w:szCs w:val="11"/>
                <w:color w:val="auto"/>
              </w:rPr>
            </w:pPr>
          </w:p>
        </w:tc>
        <w:tc>
          <w:tcPr>
            <w:tcW w:w="104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June 30,</w:t>
            </w:r>
          </w:p>
        </w:tc>
        <w:tc>
          <w:tcPr>
            <w:tcW w:w="20" w:type="dxa"/>
            <w:vAlign w:val="bottom"/>
            <w:shd w:val="clear" w:color="auto" w:fill="004054"/>
          </w:tcPr>
          <w:p>
            <w:pPr>
              <w:spacing w:after="0"/>
              <w:rPr>
                <w:sz w:val="11"/>
                <w:szCs w:val="11"/>
                <w:color w:val="auto"/>
              </w:rPr>
            </w:pPr>
          </w:p>
        </w:tc>
      </w:tr>
      <w:tr>
        <w:trPr>
          <w:trHeight w:val="191"/>
        </w:trPr>
        <w:tc>
          <w:tcPr>
            <w:tcW w:w="5960" w:type="dxa"/>
            <w:vAlign w:val="bottom"/>
            <w:shd w:val="clear" w:color="auto" w:fill="004054"/>
          </w:tcPr>
          <w:p>
            <w:pPr>
              <w:ind w:left="20"/>
              <w:spacing w:after="0"/>
              <w:rPr>
                <w:sz w:val="20"/>
                <w:szCs w:val="20"/>
                <w:color w:val="auto"/>
              </w:rPr>
            </w:pPr>
            <w:r>
              <w:rPr>
                <w:rFonts w:ascii="Calibri" w:cs="Calibri" w:eastAsia="Calibri" w:hAnsi="Calibri"/>
                <w:sz w:val="11"/>
                <w:szCs w:val="11"/>
                <w:b w:val="1"/>
                <w:bCs w:val="1"/>
                <w:color w:val="FFFFFF"/>
              </w:rPr>
              <w:t>(dollars in thousands, except per share amounts)</w:t>
            </w:r>
          </w:p>
        </w:tc>
        <w:tc>
          <w:tcPr>
            <w:tcW w:w="360" w:type="dxa"/>
            <w:vAlign w:val="bottom"/>
            <w:shd w:val="clear" w:color="auto" w:fill="004054"/>
          </w:tcPr>
          <w:p>
            <w:pPr>
              <w:spacing w:after="0"/>
              <w:rPr>
                <w:sz w:val="16"/>
                <w:szCs w:val="16"/>
                <w:color w:val="auto"/>
              </w:rPr>
            </w:pPr>
          </w:p>
        </w:tc>
        <w:tc>
          <w:tcPr>
            <w:tcW w:w="96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2024</w:t>
            </w:r>
          </w:p>
        </w:tc>
        <w:tc>
          <w:tcPr>
            <w:tcW w:w="200" w:type="dxa"/>
            <w:vAlign w:val="bottom"/>
            <w:shd w:val="clear" w:color="auto" w:fill="004054"/>
          </w:tcPr>
          <w:p>
            <w:pPr>
              <w:spacing w:after="0"/>
              <w:rPr>
                <w:sz w:val="16"/>
                <w:szCs w:val="16"/>
                <w:color w:val="auto"/>
              </w:rPr>
            </w:pPr>
          </w:p>
        </w:tc>
        <w:tc>
          <w:tcPr>
            <w:tcW w:w="110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2023</w:t>
            </w:r>
          </w:p>
        </w:tc>
        <w:tc>
          <w:tcPr>
            <w:tcW w:w="100" w:type="dxa"/>
            <w:vAlign w:val="bottom"/>
          </w:tcPr>
          <w:p>
            <w:pPr>
              <w:spacing w:after="0"/>
              <w:rPr>
                <w:sz w:val="16"/>
                <w:szCs w:val="16"/>
                <w:color w:val="auto"/>
              </w:rPr>
            </w:pPr>
          </w:p>
        </w:tc>
        <w:tc>
          <w:tcPr>
            <w:tcW w:w="340" w:type="dxa"/>
            <w:vAlign w:val="bottom"/>
            <w:shd w:val="clear" w:color="auto" w:fill="004054"/>
          </w:tcPr>
          <w:p>
            <w:pPr>
              <w:spacing w:after="0"/>
              <w:rPr>
                <w:sz w:val="16"/>
                <w:szCs w:val="16"/>
                <w:color w:val="auto"/>
              </w:rPr>
            </w:pPr>
          </w:p>
        </w:tc>
        <w:tc>
          <w:tcPr>
            <w:tcW w:w="96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2024</w:t>
            </w:r>
          </w:p>
        </w:tc>
        <w:tc>
          <w:tcPr>
            <w:tcW w:w="260" w:type="dxa"/>
            <w:vAlign w:val="bottom"/>
            <w:shd w:val="clear" w:color="auto" w:fill="004054"/>
          </w:tcPr>
          <w:p>
            <w:pPr>
              <w:spacing w:after="0"/>
              <w:rPr>
                <w:sz w:val="16"/>
                <w:szCs w:val="16"/>
                <w:color w:val="auto"/>
              </w:rPr>
            </w:pPr>
          </w:p>
        </w:tc>
        <w:tc>
          <w:tcPr>
            <w:tcW w:w="104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2023</w:t>
            </w:r>
          </w:p>
        </w:tc>
        <w:tc>
          <w:tcPr>
            <w:tcW w:w="20" w:type="dxa"/>
            <w:vAlign w:val="bottom"/>
            <w:shd w:val="clear" w:color="auto" w:fill="004054"/>
          </w:tcPr>
          <w:p>
            <w:pPr>
              <w:spacing w:after="0"/>
              <w:rPr>
                <w:sz w:val="16"/>
                <w:szCs w:val="16"/>
                <w:color w:val="auto"/>
              </w:rPr>
            </w:pPr>
          </w:p>
        </w:tc>
      </w:tr>
      <w:tr>
        <w:trPr>
          <w:trHeight w:val="46"/>
        </w:trPr>
        <w:tc>
          <w:tcPr>
            <w:tcW w:w="5960" w:type="dxa"/>
            <w:vAlign w:val="bottom"/>
            <w:tcBorders>
              <w:bottom w:val="single" w:sz="8" w:color="004054"/>
            </w:tcBorders>
            <w:shd w:val="clear" w:color="auto" w:fill="004054"/>
          </w:tcPr>
          <w:p>
            <w:pPr>
              <w:spacing w:after="0"/>
              <w:rPr>
                <w:sz w:val="4"/>
                <w:szCs w:val="4"/>
                <w:color w:val="auto"/>
              </w:rPr>
            </w:pPr>
          </w:p>
        </w:tc>
        <w:tc>
          <w:tcPr>
            <w:tcW w:w="360" w:type="dxa"/>
            <w:vAlign w:val="bottom"/>
            <w:tcBorders>
              <w:bottom w:val="single" w:sz="8" w:color="004054"/>
            </w:tcBorders>
            <w:shd w:val="clear" w:color="auto" w:fill="004054"/>
          </w:tcPr>
          <w:p>
            <w:pPr>
              <w:spacing w:after="0"/>
              <w:rPr>
                <w:sz w:val="4"/>
                <w:szCs w:val="4"/>
                <w:color w:val="auto"/>
              </w:rPr>
            </w:pPr>
          </w:p>
        </w:tc>
        <w:tc>
          <w:tcPr>
            <w:tcW w:w="960" w:type="dxa"/>
            <w:vAlign w:val="bottom"/>
            <w:tcBorders>
              <w:bottom w:val="single" w:sz="8" w:color="004054"/>
            </w:tcBorders>
            <w:shd w:val="clear" w:color="auto" w:fill="004054"/>
          </w:tcPr>
          <w:p>
            <w:pPr>
              <w:spacing w:after="0"/>
              <w:rPr>
                <w:sz w:val="4"/>
                <w:szCs w:val="4"/>
                <w:color w:val="auto"/>
              </w:rPr>
            </w:pPr>
          </w:p>
        </w:tc>
        <w:tc>
          <w:tcPr>
            <w:tcW w:w="200" w:type="dxa"/>
            <w:vAlign w:val="bottom"/>
            <w:tcBorders>
              <w:bottom w:val="single" w:sz="8" w:color="004054"/>
            </w:tcBorders>
            <w:shd w:val="clear" w:color="auto" w:fill="004054"/>
          </w:tcPr>
          <w:p>
            <w:pPr>
              <w:spacing w:after="0"/>
              <w:rPr>
                <w:sz w:val="4"/>
                <w:szCs w:val="4"/>
                <w:color w:val="auto"/>
              </w:rPr>
            </w:pPr>
          </w:p>
        </w:tc>
        <w:tc>
          <w:tcPr>
            <w:tcW w:w="1100" w:type="dxa"/>
            <w:vAlign w:val="bottom"/>
            <w:tcBorders>
              <w:bottom w:val="single" w:sz="8" w:color="004054"/>
            </w:tcBorders>
            <w:shd w:val="clear" w:color="auto" w:fill="004054"/>
          </w:tcPr>
          <w:p>
            <w:pPr>
              <w:spacing w:after="0"/>
              <w:rPr>
                <w:sz w:val="4"/>
                <w:szCs w:val="4"/>
                <w:color w:val="auto"/>
              </w:rPr>
            </w:pPr>
          </w:p>
        </w:tc>
        <w:tc>
          <w:tcPr>
            <w:tcW w:w="100" w:type="dxa"/>
            <w:vAlign w:val="bottom"/>
            <w:tcBorders>
              <w:bottom w:val="single" w:sz="8" w:color="EBFBFF"/>
            </w:tcBorders>
          </w:tcPr>
          <w:p>
            <w:pPr>
              <w:spacing w:after="0"/>
              <w:rPr>
                <w:sz w:val="4"/>
                <w:szCs w:val="4"/>
                <w:color w:val="auto"/>
              </w:rPr>
            </w:pPr>
          </w:p>
        </w:tc>
        <w:tc>
          <w:tcPr>
            <w:tcW w:w="340" w:type="dxa"/>
            <w:vAlign w:val="bottom"/>
            <w:tcBorders>
              <w:bottom w:val="single" w:sz="8" w:color="004054"/>
            </w:tcBorders>
            <w:shd w:val="clear" w:color="auto" w:fill="004054"/>
          </w:tcPr>
          <w:p>
            <w:pPr>
              <w:spacing w:after="0"/>
              <w:rPr>
                <w:sz w:val="4"/>
                <w:szCs w:val="4"/>
                <w:color w:val="auto"/>
              </w:rPr>
            </w:pPr>
          </w:p>
        </w:tc>
        <w:tc>
          <w:tcPr>
            <w:tcW w:w="960" w:type="dxa"/>
            <w:vAlign w:val="bottom"/>
            <w:tcBorders>
              <w:bottom w:val="single" w:sz="8" w:color="004054"/>
            </w:tcBorders>
            <w:shd w:val="clear" w:color="auto" w:fill="004054"/>
          </w:tcPr>
          <w:p>
            <w:pPr>
              <w:spacing w:after="0"/>
              <w:rPr>
                <w:sz w:val="4"/>
                <w:szCs w:val="4"/>
                <w:color w:val="auto"/>
              </w:rPr>
            </w:pPr>
          </w:p>
        </w:tc>
        <w:tc>
          <w:tcPr>
            <w:tcW w:w="260" w:type="dxa"/>
            <w:vAlign w:val="bottom"/>
            <w:tcBorders>
              <w:bottom w:val="single" w:sz="8" w:color="004054"/>
            </w:tcBorders>
            <w:shd w:val="clear" w:color="auto" w:fill="004054"/>
          </w:tcPr>
          <w:p>
            <w:pPr>
              <w:spacing w:after="0"/>
              <w:rPr>
                <w:sz w:val="4"/>
                <w:szCs w:val="4"/>
                <w:color w:val="auto"/>
              </w:rPr>
            </w:pPr>
          </w:p>
        </w:tc>
        <w:tc>
          <w:tcPr>
            <w:tcW w:w="1040" w:type="dxa"/>
            <w:vAlign w:val="bottom"/>
            <w:tcBorders>
              <w:bottom w:val="single" w:sz="8" w:color="004054"/>
            </w:tcBorders>
            <w:shd w:val="clear" w:color="auto" w:fill="004054"/>
          </w:tcPr>
          <w:p>
            <w:pPr>
              <w:spacing w:after="0"/>
              <w:rPr>
                <w:sz w:val="4"/>
                <w:szCs w:val="4"/>
                <w:color w:val="auto"/>
              </w:rPr>
            </w:pPr>
          </w:p>
        </w:tc>
        <w:tc>
          <w:tcPr>
            <w:tcW w:w="20" w:type="dxa"/>
            <w:vAlign w:val="bottom"/>
            <w:tcBorders>
              <w:bottom w:val="single" w:sz="8" w:color="004054"/>
            </w:tcBorders>
            <w:shd w:val="clear" w:color="auto" w:fill="004054"/>
          </w:tcPr>
          <w:p>
            <w:pPr>
              <w:spacing w:after="0"/>
              <w:rPr>
                <w:sz w:val="4"/>
                <w:szCs w:val="4"/>
                <w:color w:val="auto"/>
              </w:rPr>
            </w:pPr>
          </w:p>
        </w:tc>
      </w:tr>
      <w:tr>
        <w:trPr>
          <w:trHeight w:val="183"/>
        </w:trPr>
        <w:tc>
          <w:tcPr>
            <w:tcW w:w="5960" w:type="dxa"/>
            <w:vAlign w:val="bottom"/>
            <w:tcBorders>
              <w:bottom w:val="single" w:sz="8" w:color="EBFBFF"/>
            </w:tcBorders>
            <w:shd w:val="clear" w:color="auto" w:fill="EBFBFF"/>
          </w:tcPr>
          <w:p>
            <w:pPr>
              <w:ind w:left="20"/>
              <w:spacing w:after="0" w:line="163" w:lineRule="exact"/>
              <w:rPr>
                <w:sz w:val="20"/>
                <w:szCs w:val="20"/>
                <w:color w:val="auto"/>
              </w:rPr>
            </w:pPr>
            <w:r>
              <w:rPr>
                <w:rFonts w:ascii="Calibri" w:cs="Calibri" w:eastAsia="Calibri" w:hAnsi="Calibri"/>
                <w:sz w:val="14"/>
                <w:szCs w:val="14"/>
                <w:color w:val="51555C"/>
              </w:rPr>
              <w:t>Numerator:</w:t>
            </w:r>
          </w:p>
        </w:tc>
        <w:tc>
          <w:tcPr>
            <w:tcW w:w="360" w:type="dxa"/>
            <w:vAlign w:val="bottom"/>
            <w:tcBorders>
              <w:bottom w:val="single" w:sz="8" w:color="EBFBFF"/>
            </w:tcBorders>
            <w:shd w:val="clear" w:color="auto" w:fill="EBFBFF"/>
          </w:tcPr>
          <w:p>
            <w:pPr>
              <w:spacing w:after="0"/>
              <w:rPr>
                <w:sz w:val="15"/>
                <w:szCs w:val="15"/>
                <w:color w:val="auto"/>
              </w:rPr>
            </w:pPr>
          </w:p>
        </w:tc>
        <w:tc>
          <w:tcPr>
            <w:tcW w:w="960" w:type="dxa"/>
            <w:vAlign w:val="bottom"/>
            <w:tcBorders>
              <w:bottom w:val="single" w:sz="8" w:color="EBFBFF"/>
            </w:tcBorders>
            <w:shd w:val="clear" w:color="auto" w:fill="EBFBFF"/>
          </w:tcPr>
          <w:p>
            <w:pPr>
              <w:spacing w:after="0"/>
              <w:rPr>
                <w:sz w:val="15"/>
                <w:szCs w:val="15"/>
                <w:color w:val="auto"/>
              </w:rPr>
            </w:pPr>
          </w:p>
        </w:tc>
        <w:tc>
          <w:tcPr>
            <w:tcW w:w="200" w:type="dxa"/>
            <w:vAlign w:val="bottom"/>
            <w:tcBorders>
              <w:bottom w:val="single" w:sz="8" w:color="EBFBFF"/>
            </w:tcBorders>
            <w:shd w:val="clear" w:color="auto" w:fill="EBFBFF"/>
          </w:tcPr>
          <w:p>
            <w:pPr>
              <w:spacing w:after="0"/>
              <w:rPr>
                <w:sz w:val="15"/>
                <w:szCs w:val="15"/>
                <w:color w:val="auto"/>
              </w:rPr>
            </w:pPr>
          </w:p>
        </w:tc>
        <w:tc>
          <w:tcPr>
            <w:tcW w:w="1100" w:type="dxa"/>
            <w:vAlign w:val="bottom"/>
            <w:tcBorders>
              <w:bottom w:val="single" w:sz="8" w:color="EBFBFF"/>
            </w:tcBorders>
            <w:shd w:val="clear" w:color="auto" w:fill="EBFBFF"/>
          </w:tcPr>
          <w:p>
            <w:pPr>
              <w:spacing w:after="0"/>
              <w:rPr>
                <w:sz w:val="15"/>
                <w:szCs w:val="15"/>
                <w:color w:val="auto"/>
              </w:rPr>
            </w:pPr>
          </w:p>
        </w:tc>
        <w:tc>
          <w:tcPr>
            <w:tcW w:w="100" w:type="dxa"/>
            <w:vAlign w:val="bottom"/>
            <w:tcBorders>
              <w:bottom w:val="single" w:sz="8" w:color="EBFBFF"/>
            </w:tcBorders>
            <w:shd w:val="clear" w:color="auto" w:fill="EBFBFF"/>
          </w:tcPr>
          <w:p>
            <w:pPr>
              <w:spacing w:after="0"/>
              <w:rPr>
                <w:sz w:val="15"/>
                <w:szCs w:val="15"/>
                <w:color w:val="auto"/>
              </w:rPr>
            </w:pPr>
          </w:p>
        </w:tc>
        <w:tc>
          <w:tcPr>
            <w:tcW w:w="340" w:type="dxa"/>
            <w:vAlign w:val="bottom"/>
            <w:tcBorders>
              <w:bottom w:val="single" w:sz="8" w:color="EBFBFF"/>
            </w:tcBorders>
            <w:shd w:val="clear" w:color="auto" w:fill="EBFBFF"/>
          </w:tcPr>
          <w:p>
            <w:pPr>
              <w:spacing w:after="0"/>
              <w:rPr>
                <w:sz w:val="15"/>
                <w:szCs w:val="15"/>
                <w:color w:val="auto"/>
              </w:rPr>
            </w:pPr>
          </w:p>
        </w:tc>
        <w:tc>
          <w:tcPr>
            <w:tcW w:w="960" w:type="dxa"/>
            <w:vAlign w:val="bottom"/>
            <w:tcBorders>
              <w:bottom w:val="single" w:sz="8" w:color="EBFBFF"/>
            </w:tcBorders>
            <w:shd w:val="clear" w:color="auto" w:fill="EBFBFF"/>
          </w:tcPr>
          <w:p>
            <w:pPr>
              <w:spacing w:after="0"/>
              <w:rPr>
                <w:sz w:val="15"/>
                <w:szCs w:val="15"/>
                <w:color w:val="auto"/>
              </w:rPr>
            </w:pPr>
          </w:p>
        </w:tc>
        <w:tc>
          <w:tcPr>
            <w:tcW w:w="260" w:type="dxa"/>
            <w:vAlign w:val="bottom"/>
            <w:tcBorders>
              <w:bottom w:val="single" w:sz="8" w:color="EBFBFF"/>
            </w:tcBorders>
            <w:shd w:val="clear" w:color="auto" w:fill="EBFBFF"/>
          </w:tcPr>
          <w:p>
            <w:pPr>
              <w:spacing w:after="0"/>
              <w:rPr>
                <w:sz w:val="15"/>
                <w:szCs w:val="15"/>
                <w:color w:val="auto"/>
              </w:rPr>
            </w:pPr>
          </w:p>
        </w:tc>
        <w:tc>
          <w:tcPr>
            <w:tcW w:w="1040" w:type="dxa"/>
            <w:vAlign w:val="bottom"/>
            <w:tcBorders>
              <w:bottom w:val="single" w:sz="8" w:color="EBFBFF"/>
            </w:tcBorders>
            <w:shd w:val="clear" w:color="auto" w:fill="EBFBFF"/>
          </w:tcPr>
          <w:p>
            <w:pPr>
              <w:spacing w:after="0"/>
              <w:rPr>
                <w:sz w:val="15"/>
                <w:szCs w:val="15"/>
                <w:color w:val="auto"/>
              </w:rPr>
            </w:pPr>
          </w:p>
        </w:tc>
        <w:tc>
          <w:tcPr>
            <w:tcW w:w="20" w:type="dxa"/>
            <w:vAlign w:val="bottom"/>
          </w:tcPr>
          <w:p>
            <w:pPr>
              <w:spacing w:after="0"/>
              <w:rPr>
                <w:sz w:val="15"/>
                <w:szCs w:val="15"/>
                <w:color w:val="auto"/>
              </w:rPr>
            </w:pPr>
          </w:p>
        </w:tc>
      </w:tr>
      <w:tr>
        <w:trPr>
          <w:trHeight w:val="172"/>
        </w:trPr>
        <w:tc>
          <w:tcPr>
            <w:tcW w:w="5960" w:type="dxa"/>
            <w:vAlign w:val="bottom"/>
          </w:tcPr>
          <w:p>
            <w:pPr>
              <w:ind w:left="100"/>
              <w:spacing w:after="0"/>
              <w:rPr>
                <w:sz w:val="20"/>
                <w:szCs w:val="20"/>
                <w:color w:val="auto"/>
              </w:rPr>
            </w:pPr>
            <w:r>
              <w:rPr>
                <w:rFonts w:ascii="Calibri" w:cs="Calibri" w:eastAsia="Calibri" w:hAnsi="Calibri"/>
                <w:sz w:val="14"/>
                <w:szCs w:val="14"/>
                <w:color w:val="51555C"/>
              </w:rPr>
              <w:t>Net income (loss)</w:t>
            </w:r>
          </w:p>
        </w:tc>
        <w:tc>
          <w:tcPr>
            <w:tcW w:w="360" w:type="dxa"/>
            <w:vAlign w:val="bottom"/>
          </w:tcPr>
          <w:p>
            <w:pPr>
              <w:jc w:val="right"/>
              <w:ind w:right="189"/>
              <w:spacing w:after="0"/>
              <w:rPr>
                <w:sz w:val="20"/>
                <w:szCs w:val="20"/>
                <w:color w:val="auto"/>
              </w:rPr>
            </w:pPr>
            <w:r>
              <w:rPr>
                <w:rFonts w:ascii="Calibri" w:cs="Calibri" w:eastAsia="Calibri" w:hAnsi="Calibri"/>
                <w:sz w:val="14"/>
                <w:szCs w:val="14"/>
                <w:color w:val="51555C"/>
              </w:rPr>
              <w:t>$</w:t>
            </w:r>
          </w:p>
        </w:tc>
        <w:tc>
          <w:tcPr>
            <w:tcW w:w="960" w:type="dxa"/>
            <w:vAlign w:val="bottom"/>
          </w:tcPr>
          <w:p>
            <w:pPr>
              <w:jc w:val="right"/>
              <w:spacing w:after="0"/>
              <w:rPr>
                <w:sz w:val="20"/>
                <w:szCs w:val="20"/>
                <w:color w:val="auto"/>
              </w:rPr>
            </w:pPr>
            <w:r>
              <w:rPr>
                <w:rFonts w:ascii="Calibri" w:cs="Calibri" w:eastAsia="Calibri" w:hAnsi="Calibri"/>
                <w:sz w:val="14"/>
                <w:szCs w:val="14"/>
                <w:color w:val="51555C"/>
              </w:rPr>
              <w:t>21,804</w:t>
            </w:r>
          </w:p>
        </w:tc>
        <w:tc>
          <w:tcPr>
            <w:tcW w:w="200" w:type="dxa"/>
            <w:vAlign w:val="bottom"/>
          </w:tcPr>
          <w:p>
            <w:pPr>
              <w:jc w:val="right"/>
              <w:ind w:right="49"/>
              <w:spacing w:after="0"/>
              <w:rPr>
                <w:sz w:val="20"/>
                <w:szCs w:val="20"/>
                <w:color w:val="auto"/>
              </w:rPr>
            </w:pPr>
            <w:r>
              <w:rPr>
                <w:rFonts w:ascii="Calibri" w:cs="Calibri" w:eastAsia="Calibri" w:hAnsi="Calibri"/>
                <w:sz w:val="14"/>
                <w:szCs w:val="14"/>
                <w:color w:val="51555C"/>
                <w:w w:val="83"/>
              </w:rPr>
              <w:t>$</w:t>
            </w:r>
          </w:p>
        </w:tc>
        <w:tc>
          <w:tcPr>
            <w:tcW w:w="1100" w:type="dxa"/>
            <w:vAlign w:val="bottom"/>
          </w:tcPr>
          <w:p>
            <w:pPr>
              <w:jc w:val="right"/>
              <w:spacing w:after="0"/>
              <w:rPr>
                <w:sz w:val="20"/>
                <w:szCs w:val="20"/>
                <w:color w:val="auto"/>
              </w:rPr>
            </w:pPr>
            <w:r>
              <w:rPr>
                <w:rFonts w:ascii="Calibri" w:cs="Calibri" w:eastAsia="Calibri" w:hAnsi="Calibri"/>
                <w:sz w:val="14"/>
                <w:szCs w:val="14"/>
                <w:color w:val="51555C"/>
              </w:rPr>
              <w:t>2,105</w:t>
            </w:r>
          </w:p>
        </w:tc>
        <w:tc>
          <w:tcPr>
            <w:tcW w:w="440" w:type="dxa"/>
            <w:vAlign w:val="bottom"/>
            <w:gridSpan w:val="2"/>
          </w:tcPr>
          <w:p>
            <w:pPr>
              <w:jc w:val="right"/>
              <w:ind w:right="260"/>
              <w:spacing w:after="0"/>
              <w:rPr>
                <w:sz w:val="20"/>
                <w:szCs w:val="20"/>
                <w:color w:val="auto"/>
              </w:rPr>
            </w:pPr>
            <w:r>
              <w:rPr>
                <w:rFonts w:ascii="Calibri" w:cs="Calibri" w:eastAsia="Calibri" w:hAnsi="Calibri"/>
                <w:sz w:val="14"/>
                <w:szCs w:val="14"/>
                <w:color w:val="51555C"/>
              </w:rPr>
              <w:t>$</w:t>
            </w:r>
          </w:p>
        </w:tc>
        <w:tc>
          <w:tcPr>
            <w:tcW w:w="960" w:type="dxa"/>
            <w:vAlign w:val="bottom"/>
          </w:tcPr>
          <w:p>
            <w:pPr>
              <w:jc w:val="right"/>
              <w:spacing w:after="0"/>
              <w:rPr>
                <w:sz w:val="20"/>
                <w:szCs w:val="20"/>
                <w:color w:val="auto"/>
              </w:rPr>
            </w:pPr>
            <w:r>
              <w:rPr>
                <w:rFonts w:ascii="Calibri" w:cs="Calibri" w:eastAsia="Calibri" w:hAnsi="Calibri"/>
                <w:sz w:val="14"/>
                <w:szCs w:val="14"/>
                <w:color w:val="51555C"/>
              </w:rPr>
              <w:t>27,050</w:t>
            </w:r>
          </w:p>
        </w:tc>
        <w:tc>
          <w:tcPr>
            <w:tcW w:w="260" w:type="dxa"/>
            <w:vAlign w:val="bottom"/>
          </w:tcPr>
          <w:p>
            <w:pPr>
              <w:jc w:val="right"/>
              <w:ind w:right="109"/>
              <w:spacing w:after="0"/>
              <w:rPr>
                <w:sz w:val="20"/>
                <w:szCs w:val="20"/>
                <w:color w:val="auto"/>
              </w:rPr>
            </w:pPr>
            <w:r>
              <w:rPr>
                <w:rFonts w:ascii="Calibri" w:cs="Calibri" w:eastAsia="Calibri" w:hAnsi="Calibri"/>
                <w:sz w:val="14"/>
                <w:szCs w:val="14"/>
                <w:color w:val="51555C"/>
                <w:w w:val="83"/>
              </w:rPr>
              <w:t>$</w:t>
            </w:r>
          </w:p>
        </w:tc>
        <w:tc>
          <w:tcPr>
            <w:tcW w:w="1040" w:type="dxa"/>
            <w:vAlign w:val="bottom"/>
          </w:tcPr>
          <w:p>
            <w:pPr>
              <w:jc w:val="right"/>
              <w:spacing w:after="0"/>
              <w:rPr>
                <w:sz w:val="20"/>
                <w:szCs w:val="20"/>
                <w:color w:val="auto"/>
              </w:rPr>
            </w:pPr>
            <w:r>
              <w:rPr>
                <w:rFonts w:ascii="Calibri" w:cs="Calibri" w:eastAsia="Calibri" w:hAnsi="Calibri"/>
                <w:sz w:val="14"/>
                <w:szCs w:val="14"/>
                <w:color w:val="51555C"/>
              </w:rPr>
              <w:t>(12,596)</w:t>
            </w:r>
          </w:p>
        </w:tc>
        <w:tc>
          <w:tcPr>
            <w:tcW w:w="20" w:type="dxa"/>
            <w:vAlign w:val="bottom"/>
          </w:tcPr>
          <w:p>
            <w:pPr>
              <w:spacing w:after="0"/>
              <w:rPr>
                <w:sz w:val="14"/>
                <w:szCs w:val="14"/>
                <w:color w:val="auto"/>
              </w:rPr>
            </w:pPr>
          </w:p>
        </w:tc>
      </w:tr>
      <w:tr>
        <w:trPr>
          <w:trHeight w:val="40"/>
        </w:trPr>
        <w:tc>
          <w:tcPr>
            <w:tcW w:w="5960" w:type="dxa"/>
            <w:vAlign w:val="bottom"/>
          </w:tcPr>
          <w:p>
            <w:pPr>
              <w:spacing w:after="0"/>
              <w:rPr>
                <w:sz w:val="3"/>
                <w:szCs w:val="3"/>
                <w:color w:val="auto"/>
              </w:rPr>
            </w:pPr>
          </w:p>
        </w:tc>
        <w:tc>
          <w:tcPr>
            <w:tcW w:w="36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92"/>
        </w:trPr>
        <w:tc>
          <w:tcPr>
            <w:tcW w:w="596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4"/>
                <w:szCs w:val="14"/>
                <w:color w:val="51555C"/>
              </w:rPr>
              <w:t>Denominator:</w:t>
            </w:r>
          </w:p>
        </w:tc>
        <w:tc>
          <w:tcPr>
            <w:tcW w:w="360" w:type="dxa"/>
            <w:vAlign w:val="bottom"/>
            <w:tcBorders>
              <w:bottom w:val="single" w:sz="8" w:color="EBFBFF"/>
            </w:tcBorders>
            <w:shd w:val="clear" w:color="auto" w:fill="EBFBFF"/>
          </w:tcPr>
          <w:p>
            <w:pPr>
              <w:spacing w:after="0"/>
              <w:rPr>
                <w:sz w:val="16"/>
                <w:szCs w:val="16"/>
                <w:color w:val="auto"/>
              </w:rPr>
            </w:pPr>
          </w:p>
        </w:tc>
        <w:tc>
          <w:tcPr>
            <w:tcW w:w="960" w:type="dxa"/>
            <w:vAlign w:val="bottom"/>
            <w:tcBorders>
              <w:bottom w:val="single" w:sz="8" w:color="EBFBFF"/>
            </w:tcBorders>
            <w:shd w:val="clear" w:color="auto" w:fill="EBFBFF"/>
          </w:tcPr>
          <w:p>
            <w:pPr>
              <w:spacing w:after="0"/>
              <w:rPr>
                <w:sz w:val="16"/>
                <w:szCs w:val="16"/>
                <w:color w:val="auto"/>
              </w:rPr>
            </w:pPr>
          </w:p>
        </w:tc>
        <w:tc>
          <w:tcPr>
            <w:tcW w:w="200" w:type="dxa"/>
            <w:vAlign w:val="bottom"/>
            <w:tcBorders>
              <w:bottom w:val="single" w:sz="8" w:color="EBFBFF"/>
            </w:tcBorders>
            <w:shd w:val="clear" w:color="auto" w:fill="EBFBFF"/>
          </w:tcPr>
          <w:p>
            <w:pPr>
              <w:spacing w:after="0"/>
              <w:rPr>
                <w:sz w:val="16"/>
                <w:szCs w:val="16"/>
                <w:color w:val="auto"/>
              </w:rPr>
            </w:pPr>
          </w:p>
        </w:tc>
        <w:tc>
          <w:tcPr>
            <w:tcW w:w="1100" w:type="dxa"/>
            <w:vAlign w:val="bottom"/>
            <w:tcBorders>
              <w:bottom w:val="single" w:sz="8" w:color="EBFBFF"/>
            </w:tcBorders>
            <w:shd w:val="clear" w:color="auto" w:fill="EBFBFF"/>
          </w:tcPr>
          <w:p>
            <w:pPr>
              <w:spacing w:after="0"/>
              <w:rPr>
                <w:sz w:val="16"/>
                <w:szCs w:val="16"/>
                <w:color w:val="auto"/>
              </w:rPr>
            </w:pPr>
          </w:p>
        </w:tc>
        <w:tc>
          <w:tcPr>
            <w:tcW w:w="100" w:type="dxa"/>
            <w:vAlign w:val="bottom"/>
            <w:tcBorders>
              <w:bottom w:val="single" w:sz="8" w:color="EBFBFF"/>
            </w:tcBorders>
            <w:shd w:val="clear" w:color="auto" w:fill="EBFBFF"/>
          </w:tcPr>
          <w:p>
            <w:pPr>
              <w:spacing w:after="0"/>
              <w:rPr>
                <w:sz w:val="16"/>
                <w:szCs w:val="16"/>
                <w:color w:val="auto"/>
              </w:rPr>
            </w:pPr>
          </w:p>
        </w:tc>
        <w:tc>
          <w:tcPr>
            <w:tcW w:w="340" w:type="dxa"/>
            <w:vAlign w:val="bottom"/>
            <w:tcBorders>
              <w:bottom w:val="single" w:sz="8" w:color="EBFBFF"/>
            </w:tcBorders>
            <w:shd w:val="clear" w:color="auto" w:fill="EBFBFF"/>
          </w:tcPr>
          <w:p>
            <w:pPr>
              <w:spacing w:after="0"/>
              <w:rPr>
                <w:sz w:val="16"/>
                <w:szCs w:val="16"/>
                <w:color w:val="auto"/>
              </w:rPr>
            </w:pPr>
          </w:p>
        </w:tc>
        <w:tc>
          <w:tcPr>
            <w:tcW w:w="960" w:type="dxa"/>
            <w:vAlign w:val="bottom"/>
            <w:tcBorders>
              <w:bottom w:val="single" w:sz="8" w:color="EBFBFF"/>
            </w:tcBorders>
            <w:shd w:val="clear" w:color="auto" w:fill="EBFBFF"/>
          </w:tcPr>
          <w:p>
            <w:pPr>
              <w:spacing w:after="0"/>
              <w:rPr>
                <w:sz w:val="16"/>
                <w:szCs w:val="16"/>
                <w:color w:val="auto"/>
              </w:rPr>
            </w:pPr>
          </w:p>
        </w:tc>
        <w:tc>
          <w:tcPr>
            <w:tcW w:w="260" w:type="dxa"/>
            <w:vAlign w:val="bottom"/>
            <w:tcBorders>
              <w:bottom w:val="single" w:sz="8" w:color="EBFBFF"/>
            </w:tcBorders>
            <w:shd w:val="clear" w:color="auto" w:fill="EBFBFF"/>
          </w:tcPr>
          <w:p>
            <w:pPr>
              <w:spacing w:after="0"/>
              <w:rPr>
                <w:sz w:val="16"/>
                <w:szCs w:val="16"/>
                <w:color w:val="auto"/>
              </w:rPr>
            </w:pPr>
          </w:p>
        </w:tc>
        <w:tc>
          <w:tcPr>
            <w:tcW w:w="1040" w:type="dxa"/>
            <w:vAlign w:val="bottom"/>
            <w:tcBorders>
              <w:bottom w:val="single" w:sz="8" w:color="EBFBFF"/>
            </w:tcBorders>
            <w:shd w:val="clear" w:color="auto" w:fill="EBFBFF"/>
          </w:tcPr>
          <w:p>
            <w:pPr>
              <w:spacing w:after="0"/>
              <w:rPr>
                <w:sz w:val="16"/>
                <w:szCs w:val="16"/>
                <w:color w:val="auto"/>
              </w:rPr>
            </w:pPr>
          </w:p>
        </w:tc>
        <w:tc>
          <w:tcPr>
            <w:tcW w:w="20" w:type="dxa"/>
            <w:vAlign w:val="bottom"/>
          </w:tcPr>
          <w:p>
            <w:pPr>
              <w:spacing w:after="0"/>
              <w:rPr>
                <w:sz w:val="16"/>
                <w:szCs w:val="16"/>
                <w:color w:val="auto"/>
              </w:rPr>
            </w:pPr>
          </w:p>
        </w:tc>
      </w:tr>
      <w:tr>
        <w:trPr>
          <w:trHeight w:val="172"/>
        </w:trPr>
        <w:tc>
          <w:tcPr>
            <w:tcW w:w="5960" w:type="dxa"/>
            <w:vAlign w:val="bottom"/>
          </w:tcPr>
          <w:p>
            <w:pPr>
              <w:ind w:left="120"/>
              <w:spacing w:after="0"/>
              <w:rPr>
                <w:sz w:val="20"/>
                <w:szCs w:val="20"/>
                <w:color w:val="auto"/>
              </w:rPr>
            </w:pPr>
            <w:r>
              <w:rPr>
                <w:rFonts w:ascii="Calibri" w:cs="Calibri" w:eastAsia="Calibri" w:hAnsi="Calibri"/>
                <w:sz w:val="14"/>
                <w:szCs w:val="14"/>
                <w:color w:val="51555C"/>
              </w:rPr>
              <w:t>Weighted average common shares</w:t>
            </w:r>
          </w:p>
        </w:tc>
        <w:tc>
          <w:tcPr>
            <w:tcW w:w="3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alibri" w:cs="Calibri" w:eastAsia="Calibri" w:hAnsi="Calibri"/>
                <w:sz w:val="14"/>
                <w:szCs w:val="14"/>
                <w:color w:val="51555C"/>
              </w:rPr>
              <w:t>50,747,337</w:t>
            </w:r>
          </w:p>
        </w:tc>
        <w:tc>
          <w:tcPr>
            <w:tcW w:w="2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alibri" w:cs="Calibri" w:eastAsia="Calibri" w:hAnsi="Calibri"/>
                <w:sz w:val="14"/>
                <w:szCs w:val="14"/>
                <w:color w:val="51555C"/>
              </w:rPr>
              <w:t>52,642,411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alibri" w:cs="Calibri" w:eastAsia="Calibri" w:hAnsi="Calibri"/>
                <w:sz w:val="14"/>
                <w:szCs w:val="14"/>
                <w:color w:val="51555C"/>
              </w:rPr>
              <w:t>51,399,853</w:t>
            </w: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alibri" w:cs="Calibri" w:eastAsia="Calibri" w:hAnsi="Calibri"/>
                <w:sz w:val="14"/>
                <w:szCs w:val="14"/>
                <w:color w:val="51555C"/>
              </w:rPr>
              <w:t>52,389,112</w:t>
            </w:r>
          </w:p>
        </w:tc>
        <w:tc>
          <w:tcPr>
            <w:tcW w:w="20" w:type="dxa"/>
            <w:vAlign w:val="bottom"/>
          </w:tcPr>
          <w:p>
            <w:pPr>
              <w:spacing w:after="0"/>
              <w:rPr>
                <w:sz w:val="14"/>
                <w:szCs w:val="14"/>
                <w:color w:val="auto"/>
              </w:rPr>
            </w:pPr>
          </w:p>
        </w:tc>
      </w:tr>
      <w:tr>
        <w:trPr>
          <w:trHeight w:val="40"/>
        </w:trPr>
        <w:tc>
          <w:tcPr>
            <w:tcW w:w="5960" w:type="dxa"/>
            <w:vAlign w:val="bottom"/>
          </w:tcPr>
          <w:p>
            <w:pPr>
              <w:spacing w:after="0"/>
              <w:rPr>
                <w:sz w:val="3"/>
                <w:szCs w:val="3"/>
                <w:color w:val="auto"/>
              </w:rPr>
            </w:pPr>
          </w:p>
        </w:tc>
        <w:tc>
          <w:tcPr>
            <w:tcW w:w="36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92"/>
        </w:trPr>
        <w:tc>
          <w:tcPr>
            <w:tcW w:w="5960" w:type="dxa"/>
            <w:vAlign w:val="bottom"/>
            <w:tcBorders>
              <w:bottom w:val="single" w:sz="8" w:color="EBFBFF"/>
            </w:tcBorders>
            <w:shd w:val="clear" w:color="auto" w:fill="EBFBFF"/>
          </w:tcPr>
          <w:p>
            <w:pPr>
              <w:ind w:left="120"/>
              <w:spacing w:after="0"/>
              <w:rPr>
                <w:sz w:val="20"/>
                <w:szCs w:val="20"/>
                <w:color w:val="auto"/>
              </w:rPr>
            </w:pPr>
            <w:r>
              <w:rPr>
                <w:rFonts w:ascii="Calibri" w:cs="Calibri" w:eastAsia="Calibri" w:hAnsi="Calibri"/>
                <w:sz w:val="14"/>
                <w:szCs w:val="14"/>
                <w:color w:val="51555C"/>
              </w:rPr>
              <w:t>Add efect of dilutve securites:</w:t>
            </w:r>
          </w:p>
        </w:tc>
        <w:tc>
          <w:tcPr>
            <w:tcW w:w="360" w:type="dxa"/>
            <w:vAlign w:val="bottom"/>
            <w:tcBorders>
              <w:bottom w:val="single" w:sz="8" w:color="EBFBFF"/>
            </w:tcBorders>
            <w:shd w:val="clear" w:color="auto" w:fill="EBFBFF"/>
          </w:tcPr>
          <w:p>
            <w:pPr>
              <w:spacing w:after="0"/>
              <w:rPr>
                <w:sz w:val="16"/>
                <w:szCs w:val="16"/>
                <w:color w:val="auto"/>
              </w:rPr>
            </w:pPr>
          </w:p>
        </w:tc>
        <w:tc>
          <w:tcPr>
            <w:tcW w:w="960" w:type="dxa"/>
            <w:vAlign w:val="bottom"/>
            <w:tcBorders>
              <w:bottom w:val="single" w:sz="8" w:color="EBFBFF"/>
            </w:tcBorders>
            <w:shd w:val="clear" w:color="auto" w:fill="EBFBFF"/>
          </w:tcPr>
          <w:p>
            <w:pPr>
              <w:spacing w:after="0"/>
              <w:rPr>
                <w:sz w:val="16"/>
                <w:szCs w:val="16"/>
                <w:color w:val="auto"/>
              </w:rPr>
            </w:pPr>
          </w:p>
        </w:tc>
        <w:tc>
          <w:tcPr>
            <w:tcW w:w="200" w:type="dxa"/>
            <w:vAlign w:val="bottom"/>
            <w:tcBorders>
              <w:bottom w:val="single" w:sz="8" w:color="EBFBFF"/>
            </w:tcBorders>
            <w:shd w:val="clear" w:color="auto" w:fill="EBFBFF"/>
          </w:tcPr>
          <w:p>
            <w:pPr>
              <w:spacing w:after="0"/>
              <w:rPr>
                <w:sz w:val="16"/>
                <w:szCs w:val="16"/>
                <w:color w:val="auto"/>
              </w:rPr>
            </w:pPr>
          </w:p>
        </w:tc>
        <w:tc>
          <w:tcPr>
            <w:tcW w:w="1100" w:type="dxa"/>
            <w:vAlign w:val="bottom"/>
            <w:tcBorders>
              <w:bottom w:val="single" w:sz="8" w:color="EBFBFF"/>
            </w:tcBorders>
            <w:shd w:val="clear" w:color="auto" w:fill="EBFBFF"/>
          </w:tcPr>
          <w:p>
            <w:pPr>
              <w:spacing w:after="0"/>
              <w:rPr>
                <w:sz w:val="16"/>
                <w:szCs w:val="16"/>
                <w:color w:val="auto"/>
              </w:rPr>
            </w:pPr>
          </w:p>
        </w:tc>
        <w:tc>
          <w:tcPr>
            <w:tcW w:w="100" w:type="dxa"/>
            <w:vAlign w:val="bottom"/>
            <w:tcBorders>
              <w:bottom w:val="single" w:sz="8" w:color="EBFBFF"/>
            </w:tcBorders>
            <w:shd w:val="clear" w:color="auto" w:fill="EBFBFF"/>
          </w:tcPr>
          <w:p>
            <w:pPr>
              <w:spacing w:after="0"/>
              <w:rPr>
                <w:sz w:val="16"/>
                <w:szCs w:val="16"/>
                <w:color w:val="auto"/>
              </w:rPr>
            </w:pPr>
          </w:p>
        </w:tc>
        <w:tc>
          <w:tcPr>
            <w:tcW w:w="340" w:type="dxa"/>
            <w:vAlign w:val="bottom"/>
            <w:tcBorders>
              <w:bottom w:val="single" w:sz="8" w:color="EBFBFF"/>
            </w:tcBorders>
            <w:shd w:val="clear" w:color="auto" w:fill="EBFBFF"/>
          </w:tcPr>
          <w:p>
            <w:pPr>
              <w:spacing w:after="0"/>
              <w:rPr>
                <w:sz w:val="16"/>
                <w:szCs w:val="16"/>
                <w:color w:val="auto"/>
              </w:rPr>
            </w:pPr>
          </w:p>
        </w:tc>
        <w:tc>
          <w:tcPr>
            <w:tcW w:w="960" w:type="dxa"/>
            <w:vAlign w:val="bottom"/>
            <w:tcBorders>
              <w:bottom w:val="single" w:sz="8" w:color="EBFBFF"/>
            </w:tcBorders>
            <w:shd w:val="clear" w:color="auto" w:fill="EBFBFF"/>
          </w:tcPr>
          <w:p>
            <w:pPr>
              <w:spacing w:after="0"/>
              <w:rPr>
                <w:sz w:val="16"/>
                <w:szCs w:val="16"/>
                <w:color w:val="auto"/>
              </w:rPr>
            </w:pPr>
          </w:p>
        </w:tc>
        <w:tc>
          <w:tcPr>
            <w:tcW w:w="260" w:type="dxa"/>
            <w:vAlign w:val="bottom"/>
            <w:tcBorders>
              <w:bottom w:val="single" w:sz="8" w:color="EBFBFF"/>
            </w:tcBorders>
            <w:shd w:val="clear" w:color="auto" w:fill="EBFBFF"/>
          </w:tcPr>
          <w:p>
            <w:pPr>
              <w:spacing w:after="0"/>
              <w:rPr>
                <w:sz w:val="16"/>
                <w:szCs w:val="16"/>
                <w:color w:val="auto"/>
              </w:rPr>
            </w:pPr>
          </w:p>
        </w:tc>
        <w:tc>
          <w:tcPr>
            <w:tcW w:w="1040" w:type="dxa"/>
            <w:vAlign w:val="bottom"/>
            <w:tcBorders>
              <w:bottom w:val="single" w:sz="8" w:color="EBFBFF"/>
            </w:tcBorders>
            <w:shd w:val="clear" w:color="auto" w:fill="EBFBFF"/>
          </w:tcPr>
          <w:p>
            <w:pPr>
              <w:spacing w:after="0"/>
              <w:rPr>
                <w:sz w:val="16"/>
                <w:szCs w:val="16"/>
                <w:color w:val="auto"/>
              </w:rPr>
            </w:pPr>
          </w:p>
        </w:tc>
        <w:tc>
          <w:tcPr>
            <w:tcW w:w="20" w:type="dxa"/>
            <w:vAlign w:val="bottom"/>
          </w:tcPr>
          <w:p>
            <w:pPr>
              <w:spacing w:after="0"/>
              <w:rPr>
                <w:sz w:val="16"/>
                <w:szCs w:val="16"/>
                <w:color w:val="auto"/>
              </w:rPr>
            </w:pPr>
          </w:p>
        </w:tc>
      </w:tr>
      <w:tr>
        <w:trPr>
          <w:trHeight w:val="172"/>
        </w:trPr>
        <w:tc>
          <w:tcPr>
            <w:tcW w:w="5960" w:type="dxa"/>
            <w:vAlign w:val="bottom"/>
          </w:tcPr>
          <w:p>
            <w:pPr>
              <w:ind w:left="280"/>
              <w:spacing w:after="0"/>
              <w:rPr>
                <w:sz w:val="20"/>
                <w:szCs w:val="20"/>
                <w:color w:val="auto"/>
              </w:rPr>
            </w:pPr>
            <w:r>
              <w:rPr>
                <w:rFonts w:ascii="Calibri" w:cs="Calibri" w:eastAsia="Calibri" w:hAnsi="Calibri"/>
                <w:sz w:val="14"/>
                <w:szCs w:val="14"/>
                <w:color w:val="51555C"/>
              </w:rPr>
              <w:t>Restricted stock and units</w:t>
            </w:r>
          </w:p>
        </w:tc>
        <w:tc>
          <w:tcPr>
            <w:tcW w:w="3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alibri" w:cs="Calibri" w:eastAsia="Calibri" w:hAnsi="Calibri"/>
                <w:sz w:val="14"/>
                <w:szCs w:val="14"/>
                <w:color w:val="51555C"/>
              </w:rPr>
              <w:t>930,081</w:t>
            </w:r>
          </w:p>
        </w:tc>
        <w:tc>
          <w:tcPr>
            <w:tcW w:w="2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alibri" w:cs="Calibri" w:eastAsia="Calibri" w:hAnsi="Calibri"/>
                <w:sz w:val="14"/>
                <w:szCs w:val="14"/>
                <w:color w:val="51555C"/>
              </w:rPr>
              <w:t>1,000,713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alibri" w:cs="Calibri" w:eastAsia="Calibri" w:hAnsi="Calibri"/>
                <w:sz w:val="14"/>
                <w:szCs w:val="14"/>
                <w:color w:val="51555C"/>
              </w:rPr>
              <w:t>972,074</w:t>
            </w: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alibri" w:cs="Calibri" w:eastAsia="Calibri" w:hAnsi="Calibri"/>
                <w:sz w:val="14"/>
                <w:szCs w:val="14"/>
                <w:color w:val="51555C"/>
              </w:rPr>
              <w:t>—</w:t>
            </w:r>
          </w:p>
        </w:tc>
        <w:tc>
          <w:tcPr>
            <w:tcW w:w="20" w:type="dxa"/>
            <w:vAlign w:val="bottom"/>
          </w:tcPr>
          <w:p>
            <w:pPr>
              <w:spacing w:after="0"/>
              <w:rPr>
                <w:sz w:val="14"/>
                <w:szCs w:val="14"/>
                <w:color w:val="auto"/>
              </w:rPr>
            </w:pPr>
          </w:p>
        </w:tc>
      </w:tr>
      <w:tr>
        <w:trPr>
          <w:trHeight w:val="40"/>
        </w:trPr>
        <w:tc>
          <w:tcPr>
            <w:tcW w:w="5960" w:type="dxa"/>
            <w:vAlign w:val="bottom"/>
            <w:tcBorders>
              <w:bottom w:val="single" w:sz="8" w:color="EBFBFF"/>
            </w:tcBorders>
          </w:tcPr>
          <w:p>
            <w:pPr>
              <w:spacing w:after="0"/>
              <w:rPr>
                <w:sz w:val="3"/>
                <w:szCs w:val="3"/>
                <w:color w:val="auto"/>
              </w:rPr>
            </w:pPr>
          </w:p>
        </w:tc>
        <w:tc>
          <w:tcPr>
            <w:tcW w:w="360" w:type="dxa"/>
            <w:vAlign w:val="bottom"/>
            <w:tcBorders>
              <w:bottom w:val="single" w:sz="8" w:color="51555C"/>
            </w:tcBorders>
          </w:tcPr>
          <w:p>
            <w:pPr>
              <w:spacing w:after="0"/>
              <w:rPr>
                <w:sz w:val="3"/>
                <w:szCs w:val="3"/>
                <w:color w:val="auto"/>
              </w:rPr>
            </w:pPr>
          </w:p>
        </w:tc>
        <w:tc>
          <w:tcPr>
            <w:tcW w:w="960" w:type="dxa"/>
            <w:vAlign w:val="bottom"/>
            <w:tcBorders>
              <w:bottom w:val="single" w:sz="8" w:color="51555C"/>
            </w:tcBorders>
          </w:tcPr>
          <w:p>
            <w:pPr>
              <w:spacing w:after="0"/>
              <w:rPr>
                <w:sz w:val="3"/>
                <w:szCs w:val="3"/>
                <w:color w:val="auto"/>
              </w:rPr>
            </w:pPr>
          </w:p>
        </w:tc>
        <w:tc>
          <w:tcPr>
            <w:tcW w:w="200" w:type="dxa"/>
            <w:vAlign w:val="bottom"/>
            <w:tcBorders>
              <w:bottom w:val="single" w:sz="8" w:color="51555C"/>
            </w:tcBorders>
          </w:tcPr>
          <w:p>
            <w:pPr>
              <w:spacing w:after="0"/>
              <w:rPr>
                <w:sz w:val="3"/>
                <w:szCs w:val="3"/>
                <w:color w:val="auto"/>
              </w:rPr>
            </w:pPr>
          </w:p>
        </w:tc>
        <w:tc>
          <w:tcPr>
            <w:tcW w:w="1100" w:type="dxa"/>
            <w:vAlign w:val="bottom"/>
            <w:tcBorders>
              <w:bottom w:val="single" w:sz="8" w:color="51555C"/>
            </w:tcBorders>
          </w:tcPr>
          <w:p>
            <w:pPr>
              <w:spacing w:after="0"/>
              <w:rPr>
                <w:sz w:val="3"/>
                <w:szCs w:val="3"/>
                <w:color w:val="auto"/>
              </w:rPr>
            </w:pPr>
          </w:p>
        </w:tc>
        <w:tc>
          <w:tcPr>
            <w:tcW w:w="100" w:type="dxa"/>
            <w:vAlign w:val="bottom"/>
            <w:tcBorders>
              <w:bottom w:val="single" w:sz="8" w:color="EBFBFF"/>
            </w:tcBorders>
          </w:tcPr>
          <w:p>
            <w:pPr>
              <w:spacing w:after="0"/>
              <w:rPr>
                <w:sz w:val="3"/>
                <w:szCs w:val="3"/>
                <w:color w:val="auto"/>
              </w:rPr>
            </w:pPr>
          </w:p>
        </w:tc>
        <w:tc>
          <w:tcPr>
            <w:tcW w:w="340" w:type="dxa"/>
            <w:vAlign w:val="bottom"/>
            <w:tcBorders>
              <w:bottom w:val="single" w:sz="8" w:color="51555C"/>
            </w:tcBorders>
          </w:tcPr>
          <w:p>
            <w:pPr>
              <w:spacing w:after="0"/>
              <w:rPr>
                <w:sz w:val="3"/>
                <w:szCs w:val="3"/>
                <w:color w:val="auto"/>
              </w:rPr>
            </w:pPr>
          </w:p>
        </w:tc>
        <w:tc>
          <w:tcPr>
            <w:tcW w:w="960" w:type="dxa"/>
            <w:vAlign w:val="bottom"/>
            <w:tcBorders>
              <w:bottom w:val="single" w:sz="8" w:color="51555C"/>
            </w:tcBorders>
          </w:tcPr>
          <w:p>
            <w:pPr>
              <w:spacing w:after="0"/>
              <w:rPr>
                <w:sz w:val="3"/>
                <w:szCs w:val="3"/>
                <w:color w:val="auto"/>
              </w:rPr>
            </w:pPr>
          </w:p>
        </w:tc>
        <w:tc>
          <w:tcPr>
            <w:tcW w:w="260" w:type="dxa"/>
            <w:vAlign w:val="bottom"/>
            <w:tcBorders>
              <w:bottom w:val="single" w:sz="8" w:color="51555C"/>
            </w:tcBorders>
          </w:tcPr>
          <w:p>
            <w:pPr>
              <w:spacing w:after="0"/>
              <w:rPr>
                <w:sz w:val="3"/>
                <w:szCs w:val="3"/>
                <w:color w:val="auto"/>
              </w:rPr>
            </w:pPr>
          </w:p>
        </w:tc>
        <w:tc>
          <w:tcPr>
            <w:tcW w:w="1040" w:type="dxa"/>
            <w:vAlign w:val="bottom"/>
            <w:tcBorders>
              <w:bottom w:val="single" w:sz="8" w:color="51555C"/>
            </w:tcBorders>
          </w:tcPr>
          <w:p>
            <w:pPr>
              <w:spacing w:after="0"/>
              <w:rPr>
                <w:sz w:val="3"/>
                <w:szCs w:val="3"/>
                <w:color w:val="auto"/>
              </w:rPr>
            </w:pPr>
          </w:p>
        </w:tc>
        <w:tc>
          <w:tcPr>
            <w:tcW w:w="20" w:type="dxa"/>
            <w:vAlign w:val="bottom"/>
          </w:tcPr>
          <w:p>
            <w:pPr>
              <w:spacing w:after="0"/>
              <w:rPr>
                <w:sz w:val="3"/>
                <w:szCs w:val="3"/>
                <w:color w:val="auto"/>
              </w:rPr>
            </w:pPr>
          </w:p>
        </w:tc>
      </w:tr>
      <w:tr>
        <w:trPr>
          <w:trHeight w:val="203"/>
        </w:trPr>
        <w:tc>
          <w:tcPr>
            <w:tcW w:w="5960" w:type="dxa"/>
            <w:vAlign w:val="bottom"/>
            <w:tcBorders>
              <w:bottom w:val="single" w:sz="8" w:color="EBFBFF"/>
            </w:tcBorders>
            <w:shd w:val="clear" w:color="auto" w:fill="EBFBFF"/>
          </w:tcPr>
          <w:p>
            <w:pPr>
              <w:ind w:left="120"/>
              <w:spacing w:after="0" w:line="152" w:lineRule="exact"/>
              <w:rPr>
                <w:sz w:val="20"/>
                <w:szCs w:val="20"/>
                <w:color w:val="auto"/>
              </w:rPr>
            </w:pPr>
            <w:r>
              <w:rPr>
                <w:rFonts w:ascii="Calibri" w:cs="Calibri" w:eastAsia="Calibri" w:hAnsi="Calibri"/>
                <w:sz w:val="14"/>
                <w:szCs w:val="14"/>
                <w:color w:val="51555C"/>
              </w:rPr>
              <w:t>Weighted average common shares assuming diluton</w:t>
            </w:r>
          </w:p>
        </w:tc>
        <w:tc>
          <w:tcPr>
            <w:tcW w:w="360" w:type="dxa"/>
            <w:vAlign w:val="bottom"/>
            <w:tcBorders>
              <w:bottom w:val="single" w:sz="8" w:color="EBFBFF"/>
            </w:tcBorders>
            <w:shd w:val="clear" w:color="auto" w:fill="EBFBFF"/>
          </w:tcPr>
          <w:p>
            <w:pPr>
              <w:spacing w:after="0"/>
              <w:rPr>
                <w:sz w:val="17"/>
                <w:szCs w:val="17"/>
                <w:color w:val="auto"/>
              </w:rPr>
            </w:pPr>
          </w:p>
        </w:tc>
        <w:tc>
          <w:tcPr>
            <w:tcW w:w="960" w:type="dxa"/>
            <w:vAlign w:val="bottom"/>
            <w:tcBorders>
              <w:bottom w:val="single" w:sz="8" w:color="EBFBFF"/>
            </w:tcBorders>
            <w:shd w:val="clear" w:color="auto" w:fill="EBFBFF"/>
          </w:tcPr>
          <w:p>
            <w:pPr>
              <w:jc w:val="right"/>
              <w:spacing w:after="0" w:line="163" w:lineRule="exact"/>
              <w:rPr>
                <w:sz w:val="20"/>
                <w:szCs w:val="20"/>
                <w:color w:val="auto"/>
              </w:rPr>
            </w:pPr>
            <w:r>
              <w:rPr>
                <w:rFonts w:ascii="Calibri" w:cs="Calibri" w:eastAsia="Calibri" w:hAnsi="Calibri"/>
                <w:sz w:val="14"/>
                <w:szCs w:val="14"/>
                <w:color w:val="51555C"/>
              </w:rPr>
              <w:t>51,677,418</w:t>
            </w:r>
          </w:p>
        </w:tc>
        <w:tc>
          <w:tcPr>
            <w:tcW w:w="200" w:type="dxa"/>
            <w:vAlign w:val="bottom"/>
            <w:tcBorders>
              <w:bottom w:val="single" w:sz="8" w:color="EBFBFF"/>
            </w:tcBorders>
            <w:shd w:val="clear" w:color="auto" w:fill="EBFBFF"/>
          </w:tcPr>
          <w:p>
            <w:pPr>
              <w:spacing w:after="0"/>
              <w:rPr>
                <w:sz w:val="17"/>
                <w:szCs w:val="17"/>
                <w:color w:val="auto"/>
              </w:rPr>
            </w:pPr>
          </w:p>
        </w:tc>
        <w:tc>
          <w:tcPr>
            <w:tcW w:w="1100" w:type="dxa"/>
            <w:vAlign w:val="bottom"/>
            <w:tcBorders>
              <w:bottom w:val="single" w:sz="8" w:color="EBFBFF"/>
            </w:tcBorders>
            <w:shd w:val="clear" w:color="auto" w:fill="EBFBFF"/>
          </w:tcPr>
          <w:p>
            <w:pPr>
              <w:jc w:val="right"/>
              <w:spacing w:after="0" w:line="163" w:lineRule="exact"/>
              <w:rPr>
                <w:sz w:val="20"/>
                <w:szCs w:val="20"/>
                <w:color w:val="auto"/>
              </w:rPr>
            </w:pPr>
            <w:r>
              <w:rPr>
                <w:rFonts w:ascii="Calibri" w:cs="Calibri" w:eastAsia="Calibri" w:hAnsi="Calibri"/>
                <w:sz w:val="14"/>
                <w:szCs w:val="14"/>
                <w:color w:val="51555C"/>
              </w:rPr>
              <w:t>53,643,124</w:t>
            </w:r>
          </w:p>
        </w:tc>
        <w:tc>
          <w:tcPr>
            <w:tcW w:w="100" w:type="dxa"/>
            <w:vAlign w:val="bottom"/>
            <w:tcBorders>
              <w:bottom w:val="single" w:sz="8" w:color="EBFBFF"/>
            </w:tcBorders>
            <w:shd w:val="clear" w:color="auto" w:fill="EBFBFF"/>
          </w:tcPr>
          <w:p>
            <w:pPr>
              <w:spacing w:after="0"/>
              <w:rPr>
                <w:sz w:val="17"/>
                <w:szCs w:val="17"/>
                <w:color w:val="auto"/>
              </w:rPr>
            </w:pPr>
          </w:p>
        </w:tc>
        <w:tc>
          <w:tcPr>
            <w:tcW w:w="340" w:type="dxa"/>
            <w:vAlign w:val="bottom"/>
            <w:tcBorders>
              <w:bottom w:val="single" w:sz="8" w:color="EBFBFF"/>
            </w:tcBorders>
            <w:shd w:val="clear" w:color="auto" w:fill="EBFBFF"/>
          </w:tcPr>
          <w:p>
            <w:pPr>
              <w:spacing w:after="0"/>
              <w:rPr>
                <w:sz w:val="17"/>
                <w:szCs w:val="17"/>
                <w:color w:val="auto"/>
              </w:rPr>
            </w:pPr>
          </w:p>
        </w:tc>
        <w:tc>
          <w:tcPr>
            <w:tcW w:w="960" w:type="dxa"/>
            <w:vAlign w:val="bottom"/>
            <w:tcBorders>
              <w:bottom w:val="single" w:sz="8" w:color="EBFBFF"/>
            </w:tcBorders>
            <w:shd w:val="clear" w:color="auto" w:fill="EBFBFF"/>
          </w:tcPr>
          <w:p>
            <w:pPr>
              <w:jc w:val="right"/>
              <w:spacing w:after="0" w:line="163" w:lineRule="exact"/>
              <w:rPr>
                <w:sz w:val="20"/>
                <w:szCs w:val="20"/>
                <w:color w:val="auto"/>
              </w:rPr>
            </w:pPr>
            <w:r>
              <w:rPr>
                <w:rFonts w:ascii="Calibri" w:cs="Calibri" w:eastAsia="Calibri" w:hAnsi="Calibri"/>
                <w:sz w:val="14"/>
                <w:szCs w:val="14"/>
                <w:color w:val="51555C"/>
              </w:rPr>
              <w:t>52,371,927</w:t>
            </w:r>
          </w:p>
        </w:tc>
        <w:tc>
          <w:tcPr>
            <w:tcW w:w="260" w:type="dxa"/>
            <w:vAlign w:val="bottom"/>
            <w:tcBorders>
              <w:bottom w:val="single" w:sz="8" w:color="EBFBFF"/>
            </w:tcBorders>
            <w:shd w:val="clear" w:color="auto" w:fill="EBFBFF"/>
          </w:tcPr>
          <w:p>
            <w:pPr>
              <w:spacing w:after="0"/>
              <w:rPr>
                <w:sz w:val="17"/>
                <w:szCs w:val="17"/>
                <w:color w:val="auto"/>
              </w:rPr>
            </w:pPr>
          </w:p>
        </w:tc>
        <w:tc>
          <w:tcPr>
            <w:tcW w:w="1040" w:type="dxa"/>
            <w:vAlign w:val="bottom"/>
            <w:tcBorders>
              <w:bottom w:val="single" w:sz="8" w:color="EBFBFF"/>
            </w:tcBorders>
            <w:shd w:val="clear" w:color="auto" w:fill="EBFBFF"/>
          </w:tcPr>
          <w:p>
            <w:pPr>
              <w:jc w:val="right"/>
              <w:spacing w:after="0" w:line="163" w:lineRule="exact"/>
              <w:rPr>
                <w:sz w:val="20"/>
                <w:szCs w:val="20"/>
                <w:color w:val="auto"/>
              </w:rPr>
            </w:pPr>
            <w:r>
              <w:rPr>
                <w:rFonts w:ascii="Calibri" w:cs="Calibri" w:eastAsia="Calibri" w:hAnsi="Calibri"/>
                <w:sz w:val="14"/>
                <w:szCs w:val="14"/>
                <w:color w:val="51555C"/>
              </w:rPr>
              <w:t>52,389,112</w:t>
            </w:r>
          </w:p>
        </w:tc>
        <w:tc>
          <w:tcPr>
            <w:tcW w:w="20" w:type="dxa"/>
            <w:vAlign w:val="bottom"/>
          </w:tcPr>
          <w:p>
            <w:pPr>
              <w:spacing w:after="0"/>
              <w:rPr>
                <w:sz w:val="17"/>
                <w:szCs w:val="17"/>
                <w:color w:val="auto"/>
              </w:rPr>
            </w:pPr>
          </w:p>
        </w:tc>
      </w:tr>
      <w:tr>
        <w:trPr>
          <w:trHeight w:val="152"/>
        </w:trPr>
        <w:tc>
          <w:tcPr>
            <w:tcW w:w="5960" w:type="dxa"/>
            <w:vAlign w:val="bottom"/>
          </w:tcPr>
          <w:p>
            <w:pPr>
              <w:ind w:left="20"/>
              <w:spacing w:after="0" w:line="152" w:lineRule="exact"/>
              <w:rPr>
                <w:sz w:val="20"/>
                <w:szCs w:val="20"/>
                <w:color w:val="auto"/>
              </w:rPr>
            </w:pPr>
            <w:r>
              <w:rPr>
                <w:rFonts w:ascii="Calibri" w:cs="Calibri" w:eastAsia="Calibri" w:hAnsi="Calibri"/>
                <w:sz w:val="14"/>
                <w:szCs w:val="14"/>
                <w:color w:val="51555C"/>
              </w:rPr>
              <w:t>Earnings (loss) per share</w:t>
            </w:r>
          </w:p>
        </w:tc>
        <w:tc>
          <w:tcPr>
            <w:tcW w:w="360" w:type="dxa"/>
            <w:vAlign w:val="bottom"/>
            <w:tcBorders>
              <w:top w:val="single" w:sz="8" w:color="51555C"/>
            </w:tcBorders>
          </w:tcPr>
          <w:p>
            <w:pPr>
              <w:spacing w:after="0"/>
              <w:rPr>
                <w:sz w:val="13"/>
                <w:szCs w:val="13"/>
                <w:color w:val="auto"/>
              </w:rPr>
            </w:pPr>
          </w:p>
        </w:tc>
        <w:tc>
          <w:tcPr>
            <w:tcW w:w="960" w:type="dxa"/>
            <w:vAlign w:val="bottom"/>
            <w:tcBorders>
              <w:top w:val="single" w:sz="8" w:color="51555C"/>
            </w:tcBorders>
          </w:tcPr>
          <w:p>
            <w:pPr>
              <w:spacing w:after="0"/>
              <w:rPr>
                <w:sz w:val="13"/>
                <w:szCs w:val="13"/>
                <w:color w:val="auto"/>
              </w:rPr>
            </w:pPr>
          </w:p>
        </w:tc>
        <w:tc>
          <w:tcPr>
            <w:tcW w:w="200" w:type="dxa"/>
            <w:vAlign w:val="bottom"/>
            <w:tcBorders>
              <w:top w:val="single" w:sz="8" w:color="51555C"/>
            </w:tcBorders>
          </w:tcPr>
          <w:p>
            <w:pPr>
              <w:spacing w:after="0"/>
              <w:rPr>
                <w:sz w:val="13"/>
                <w:szCs w:val="13"/>
                <w:color w:val="auto"/>
              </w:rPr>
            </w:pPr>
          </w:p>
        </w:tc>
        <w:tc>
          <w:tcPr>
            <w:tcW w:w="1100" w:type="dxa"/>
            <w:vAlign w:val="bottom"/>
            <w:tcBorders>
              <w:top w:val="single" w:sz="8" w:color="51555C"/>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top w:val="single" w:sz="8" w:color="51555C"/>
            </w:tcBorders>
          </w:tcPr>
          <w:p>
            <w:pPr>
              <w:spacing w:after="0"/>
              <w:rPr>
                <w:sz w:val="13"/>
                <w:szCs w:val="13"/>
                <w:color w:val="auto"/>
              </w:rPr>
            </w:pPr>
          </w:p>
        </w:tc>
        <w:tc>
          <w:tcPr>
            <w:tcW w:w="960" w:type="dxa"/>
            <w:vAlign w:val="bottom"/>
            <w:tcBorders>
              <w:top w:val="single" w:sz="8" w:color="51555C"/>
            </w:tcBorders>
          </w:tcPr>
          <w:p>
            <w:pPr>
              <w:spacing w:after="0"/>
              <w:rPr>
                <w:sz w:val="13"/>
                <w:szCs w:val="13"/>
                <w:color w:val="auto"/>
              </w:rPr>
            </w:pPr>
          </w:p>
        </w:tc>
        <w:tc>
          <w:tcPr>
            <w:tcW w:w="260" w:type="dxa"/>
            <w:vAlign w:val="bottom"/>
            <w:tcBorders>
              <w:top w:val="single" w:sz="8" w:color="51555C"/>
            </w:tcBorders>
          </w:tcPr>
          <w:p>
            <w:pPr>
              <w:spacing w:after="0"/>
              <w:rPr>
                <w:sz w:val="13"/>
                <w:szCs w:val="13"/>
                <w:color w:val="auto"/>
              </w:rPr>
            </w:pPr>
          </w:p>
        </w:tc>
        <w:tc>
          <w:tcPr>
            <w:tcW w:w="1040" w:type="dxa"/>
            <w:vAlign w:val="bottom"/>
            <w:tcBorders>
              <w:top w:val="single" w:sz="8" w:color="51555C"/>
            </w:tcBorders>
          </w:tcPr>
          <w:p>
            <w:pPr>
              <w:spacing w:after="0"/>
              <w:rPr>
                <w:sz w:val="13"/>
                <w:szCs w:val="13"/>
                <w:color w:val="auto"/>
              </w:rPr>
            </w:pPr>
          </w:p>
        </w:tc>
        <w:tc>
          <w:tcPr>
            <w:tcW w:w="20" w:type="dxa"/>
            <w:vAlign w:val="bottom"/>
          </w:tcPr>
          <w:p>
            <w:pPr>
              <w:spacing w:after="0"/>
              <w:rPr>
                <w:sz w:val="13"/>
                <w:szCs w:val="13"/>
                <w:color w:val="auto"/>
              </w:rPr>
            </w:pPr>
          </w:p>
        </w:tc>
      </w:tr>
      <w:tr>
        <w:trPr>
          <w:trHeight w:val="40"/>
        </w:trPr>
        <w:tc>
          <w:tcPr>
            <w:tcW w:w="5960" w:type="dxa"/>
            <w:vAlign w:val="bottom"/>
          </w:tcPr>
          <w:p>
            <w:pPr>
              <w:spacing w:after="0"/>
              <w:rPr>
                <w:sz w:val="3"/>
                <w:szCs w:val="3"/>
                <w:color w:val="auto"/>
              </w:rPr>
            </w:pPr>
          </w:p>
        </w:tc>
        <w:tc>
          <w:tcPr>
            <w:tcW w:w="36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92"/>
        </w:trPr>
        <w:tc>
          <w:tcPr>
            <w:tcW w:w="5960" w:type="dxa"/>
            <w:vAlign w:val="bottom"/>
            <w:tcBorders>
              <w:bottom w:val="single" w:sz="8" w:color="EBFBFF"/>
            </w:tcBorders>
            <w:shd w:val="clear" w:color="auto" w:fill="EBFBFF"/>
          </w:tcPr>
          <w:p>
            <w:pPr>
              <w:ind w:left="120"/>
              <w:spacing w:after="0"/>
              <w:rPr>
                <w:sz w:val="20"/>
                <w:szCs w:val="20"/>
                <w:color w:val="auto"/>
              </w:rPr>
            </w:pPr>
            <w:r>
              <w:rPr>
                <w:rFonts w:ascii="Calibri" w:cs="Calibri" w:eastAsia="Calibri" w:hAnsi="Calibri"/>
                <w:sz w:val="14"/>
                <w:szCs w:val="14"/>
                <w:color w:val="51555C"/>
              </w:rPr>
              <w:t>Basic</w:t>
            </w:r>
          </w:p>
        </w:tc>
        <w:tc>
          <w:tcPr>
            <w:tcW w:w="360" w:type="dxa"/>
            <w:vAlign w:val="bottom"/>
            <w:tcBorders>
              <w:bottom w:val="single" w:sz="8" w:color="EBFBFF"/>
            </w:tcBorders>
            <w:shd w:val="clear" w:color="auto" w:fill="EBFBFF"/>
          </w:tcPr>
          <w:p>
            <w:pPr>
              <w:jc w:val="right"/>
              <w:ind w:right="189"/>
              <w:spacing w:after="0"/>
              <w:rPr>
                <w:sz w:val="20"/>
                <w:szCs w:val="20"/>
                <w:color w:val="auto"/>
              </w:rPr>
            </w:pPr>
            <w:r>
              <w:rPr>
                <w:rFonts w:ascii="Calibri" w:cs="Calibri" w:eastAsia="Calibri" w:hAnsi="Calibri"/>
                <w:sz w:val="14"/>
                <w:szCs w:val="14"/>
                <w:color w:val="51555C"/>
              </w:rPr>
              <w:t>$</w:t>
            </w:r>
          </w:p>
        </w:tc>
        <w:tc>
          <w:tcPr>
            <w:tcW w:w="9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0.43</w:t>
            </w:r>
          </w:p>
        </w:tc>
        <w:tc>
          <w:tcPr>
            <w:tcW w:w="200" w:type="dxa"/>
            <w:vAlign w:val="bottom"/>
            <w:tcBorders>
              <w:bottom w:val="single" w:sz="8" w:color="EBFBFF"/>
            </w:tcBorders>
            <w:shd w:val="clear" w:color="auto" w:fill="EBFBFF"/>
          </w:tcPr>
          <w:p>
            <w:pPr>
              <w:jc w:val="right"/>
              <w:ind w:right="49"/>
              <w:spacing w:after="0"/>
              <w:rPr>
                <w:sz w:val="20"/>
                <w:szCs w:val="20"/>
                <w:color w:val="auto"/>
              </w:rPr>
            </w:pPr>
            <w:r>
              <w:rPr>
                <w:rFonts w:ascii="Calibri" w:cs="Calibri" w:eastAsia="Calibri" w:hAnsi="Calibri"/>
                <w:sz w:val="14"/>
                <w:szCs w:val="14"/>
                <w:color w:val="51555C"/>
                <w:w w:val="83"/>
              </w:rPr>
              <w:t>$</w:t>
            </w:r>
          </w:p>
        </w:tc>
        <w:tc>
          <w:tcPr>
            <w:tcW w:w="11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0.04</w:t>
            </w:r>
          </w:p>
        </w:tc>
        <w:tc>
          <w:tcPr>
            <w:tcW w:w="440" w:type="dxa"/>
            <w:vAlign w:val="bottom"/>
            <w:tcBorders>
              <w:bottom w:val="single" w:sz="8" w:color="EBFBFF"/>
            </w:tcBorders>
            <w:gridSpan w:val="2"/>
            <w:shd w:val="clear" w:color="auto" w:fill="EBFBFF"/>
          </w:tcPr>
          <w:p>
            <w:pPr>
              <w:jc w:val="right"/>
              <w:ind w:right="260"/>
              <w:spacing w:after="0"/>
              <w:rPr>
                <w:sz w:val="20"/>
                <w:szCs w:val="20"/>
                <w:color w:val="auto"/>
              </w:rPr>
            </w:pPr>
            <w:r>
              <w:rPr>
                <w:rFonts w:ascii="Calibri" w:cs="Calibri" w:eastAsia="Calibri" w:hAnsi="Calibri"/>
                <w:sz w:val="14"/>
                <w:szCs w:val="14"/>
                <w:color w:val="51555C"/>
              </w:rPr>
              <w:t>$</w:t>
            </w:r>
          </w:p>
        </w:tc>
        <w:tc>
          <w:tcPr>
            <w:tcW w:w="9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0.53</w:t>
            </w:r>
          </w:p>
        </w:tc>
        <w:tc>
          <w:tcPr>
            <w:tcW w:w="260" w:type="dxa"/>
            <w:vAlign w:val="bottom"/>
            <w:tcBorders>
              <w:bottom w:val="single" w:sz="8" w:color="EBFBFF"/>
            </w:tcBorders>
            <w:shd w:val="clear" w:color="auto" w:fill="EBFBFF"/>
          </w:tcPr>
          <w:p>
            <w:pPr>
              <w:jc w:val="right"/>
              <w:ind w:right="109"/>
              <w:spacing w:after="0"/>
              <w:rPr>
                <w:sz w:val="20"/>
                <w:szCs w:val="20"/>
                <w:color w:val="auto"/>
              </w:rPr>
            </w:pPr>
            <w:r>
              <w:rPr>
                <w:rFonts w:ascii="Calibri" w:cs="Calibri" w:eastAsia="Calibri" w:hAnsi="Calibri"/>
                <w:sz w:val="14"/>
                <w:szCs w:val="14"/>
                <w:color w:val="51555C"/>
                <w:w w:val="83"/>
              </w:rPr>
              <w:t>$</w:t>
            </w:r>
          </w:p>
        </w:tc>
        <w:tc>
          <w:tcPr>
            <w:tcW w:w="10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(0.24)</w:t>
            </w:r>
          </w:p>
        </w:tc>
        <w:tc>
          <w:tcPr>
            <w:tcW w:w="20" w:type="dxa"/>
            <w:vAlign w:val="bottom"/>
          </w:tcPr>
          <w:p>
            <w:pPr>
              <w:spacing w:after="0"/>
              <w:rPr>
                <w:sz w:val="16"/>
                <w:szCs w:val="16"/>
                <w:color w:val="auto"/>
              </w:rPr>
            </w:pPr>
          </w:p>
        </w:tc>
      </w:tr>
      <w:tr>
        <w:trPr>
          <w:trHeight w:val="172"/>
        </w:trPr>
        <w:tc>
          <w:tcPr>
            <w:tcW w:w="5960" w:type="dxa"/>
            <w:vAlign w:val="bottom"/>
          </w:tcPr>
          <w:p>
            <w:pPr>
              <w:ind w:left="120"/>
              <w:spacing w:after="0"/>
              <w:rPr>
                <w:sz w:val="20"/>
                <w:szCs w:val="20"/>
                <w:color w:val="auto"/>
              </w:rPr>
            </w:pPr>
            <w:r>
              <w:rPr>
                <w:rFonts w:ascii="Calibri" w:cs="Calibri" w:eastAsia="Calibri" w:hAnsi="Calibri"/>
                <w:sz w:val="14"/>
                <w:szCs w:val="14"/>
                <w:color w:val="51555C"/>
              </w:rPr>
              <w:t>Diluted</w:t>
            </w:r>
          </w:p>
        </w:tc>
        <w:tc>
          <w:tcPr>
            <w:tcW w:w="360" w:type="dxa"/>
            <w:vAlign w:val="bottom"/>
          </w:tcPr>
          <w:p>
            <w:pPr>
              <w:jc w:val="right"/>
              <w:ind w:right="189"/>
              <w:spacing w:after="0"/>
              <w:rPr>
                <w:sz w:val="20"/>
                <w:szCs w:val="20"/>
                <w:color w:val="auto"/>
              </w:rPr>
            </w:pPr>
            <w:r>
              <w:rPr>
                <w:rFonts w:ascii="Calibri" w:cs="Calibri" w:eastAsia="Calibri" w:hAnsi="Calibri"/>
                <w:sz w:val="14"/>
                <w:szCs w:val="14"/>
                <w:color w:val="51555C"/>
              </w:rPr>
              <w:t>$</w:t>
            </w:r>
          </w:p>
        </w:tc>
        <w:tc>
          <w:tcPr>
            <w:tcW w:w="960" w:type="dxa"/>
            <w:vAlign w:val="bottom"/>
          </w:tcPr>
          <w:p>
            <w:pPr>
              <w:jc w:val="right"/>
              <w:spacing w:after="0"/>
              <w:rPr>
                <w:sz w:val="20"/>
                <w:szCs w:val="20"/>
                <w:color w:val="auto"/>
              </w:rPr>
            </w:pPr>
            <w:r>
              <w:rPr>
                <w:rFonts w:ascii="Calibri" w:cs="Calibri" w:eastAsia="Calibri" w:hAnsi="Calibri"/>
                <w:sz w:val="14"/>
                <w:szCs w:val="14"/>
                <w:color w:val="51555C"/>
              </w:rPr>
              <w:t>0.42</w:t>
            </w:r>
          </w:p>
        </w:tc>
        <w:tc>
          <w:tcPr>
            <w:tcW w:w="200" w:type="dxa"/>
            <w:vAlign w:val="bottom"/>
          </w:tcPr>
          <w:p>
            <w:pPr>
              <w:jc w:val="right"/>
              <w:ind w:right="49"/>
              <w:spacing w:after="0"/>
              <w:rPr>
                <w:sz w:val="20"/>
                <w:szCs w:val="20"/>
                <w:color w:val="auto"/>
              </w:rPr>
            </w:pPr>
            <w:r>
              <w:rPr>
                <w:rFonts w:ascii="Calibri" w:cs="Calibri" w:eastAsia="Calibri" w:hAnsi="Calibri"/>
                <w:sz w:val="14"/>
                <w:szCs w:val="14"/>
                <w:color w:val="51555C"/>
                <w:w w:val="83"/>
              </w:rPr>
              <w:t>$</w:t>
            </w:r>
          </w:p>
        </w:tc>
        <w:tc>
          <w:tcPr>
            <w:tcW w:w="1100" w:type="dxa"/>
            <w:vAlign w:val="bottom"/>
          </w:tcPr>
          <w:p>
            <w:pPr>
              <w:jc w:val="right"/>
              <w:spacing w:after="0"/>
              <w:rPr>
                <w:sz w:val="20"/>
                <w:szCs w:val="20"/>
                <w:color w:val="auto"/>
              </w:rPr>
            </w:pPr>
            <w:r>
              <w:rPr>
                <w:rFonts w:ascii="Calibri" w:cs="Calibri" w:eastAsia="Calibri" w:hAnsi="Calibri"/>
                <w:sz w:val="14"/>
                <w:szCs w:val="14"/>
                <w:color w:val="51555C"/>
              </w:rPr>
              <w:t>0.04</w:t>
            </w:r>
          </w:p>
        </w:tc>
        <w:tc>
          <w:tcPr>
            <w:tcW w:w="440" w:type="dxa"/>
            <w:vAlign w:val="bottom"/>
            <w:gridSpan w:val="2"/>
          </w:tcPr>
          <w:p>
            <w:pPr>
              <w:jc w:val="right"/>
              <w:ind w:right="260"/>
              <w:spacing w:after="0"/>
              <w:rPr>
                <w:sz w:val="20"/>
                <w:szCs w:val="20"/>
                <w:color w:val="auto"/>
              </w:rPr>
            </w:pPr>
            <w:r>
              <w:rPr>
                <w:rFonts w:ascii="Calibri" w:cs="Calibri" w:eastAsia="Calibri" w:hAnsi="Calibri"/>
                <w:sz w:val="14"/>
                <w:szCs w:val="14"/>
                <w:color w:val="51555C"/>
              </w:rPr>
              <w:t>$</w:t>
            </w:r>
          </w:p>
        </w:tc>
        <w:tc>
          <w:tcPr>
            <w:tcW w:w="960" w:type="dxa"/>
            <w:vAlign w:val="bottom"/>
          </w:tcPr>
          <w:p>
            <w:pPr>
              <w:jc w:val="right"/>
              <w:spacing w:after="0"/>
              <w:rPr>
                <w:sz w:val="20"/>
                <w:szCs w:val="20"/>
                <w:color w:val="auto"/>
              </w:rPr>
            </w:pPr>
            <w:r>
              <w:rPr>
                <w:rFonts w:ascii="Calibri" w:cs="Calibri" w:eastAsia="Calibri" w:hAnsi="Calibri"/>
                <w:sz w:val="14"/>
                <w:szCs w:val="14"/>
                <w:color w:val="51555C"/>
              </w:rPr>
              <w:t>0.52</w:t>
            </w:r>
          </w:p>
        </w:tc>
        <w:tc>
          <w:tcPr>
            <w:tcW w:w="260" w:type="dxa"/>
            <w:vAlign w:val="bottom"/>
          </w:tcPr>
          <w:p>
            <w:pPr>
              <w:jc w:val="right"/>
              <w:ind w:right="109"/>
              <w:spacing w:after="0"/>
              <w:rPr>
                <w:sz w:val="20"/>
                <w:szCs w:val="20"/>
                <w:color w:val="auto"/>
              </w:rPr>
            </w:pPr>
            <w:r>
              <w:rPr>
                <w:rFonts w:ascii="Calibri" w:cs="Calibri" w:eastAsia="Calibri" w:hAnsi="Calibri"/>
                <w:sz w:val="14"/>
                <w:szCs w:val="14"/>
                <w:color w:val="51555C"/>
                <w:w w:val="83"/>
              </w:rPr>
              <w:t>$</w:t>
            </w:r>
          </w:p>
        </w:tc>
        <w:tc>
          <w:tcPr>
            <w:tcW w:w="1040" w:type="dxa"/>
            <w:vAlign w:val="bottom"/>
          </w:tcPr>
          <w:p>
            <w:pPr>
              <w:jc w:val="right"/>
              <w:spacing w:after="0"/>
              <w:rPr>
                <w:sz w:val="20"/>
                <w:szCs w:val="20"/>
                <w:color w:val="auto"/>
              </w:rPr>
            </w:pPr>
            <w:r>
              <w:rPr>
                <w:rFonts w:ascii="Calibri" w:cs="Calibri" w:eastAsia="Calibri" w:hAnsi="Calibri"/>
                <w:sz w:val="14"/>
                <w:szCs w:val="14"/>
                <w:color w:val="51555C"/>
              </w:rPr>
              <w:t>(0.24)</w:t>
            </w:r>
          </w:p>
        </w:tc>
        <w:tc>
          <w:tcPr>
            <w:tcW w:w="20" w:type="dxa"/>
            <w:vAlign w:val="bottom"/>
          </w:tcPr>
          <w:p>
            <w:pPr>
              <w:spacing w:after="0"/>
              <w:rPr>
                <w:sz w:val="14"/>
                <w:szCs w:val="14"/>
                <w:color w:val="auto"/>
              </w:rPr>
            </w:pPr>
          </w:p>
        </w:tc>
      </w:tr>
      <w:tr>
        <w:trPr>
          <w:trHeight w:val="40"/>
        </w:trPr>
        <w:tc>
          <w:tcPr>
            <w:tcW w:w="5960" w:type="dxa"/>
            <w:vAlign w:val="bottom"/>
          </w:tcPr>
          <w:p>
            <w:pPr>
              <w:spacing w:after="0"/>
              <w:rPr>
                <w:sz w:val="3"/>
                <w:szCs w:val="3"/>
                <w:color w:val="auto"/>
              </w:rPr>
            </w:pPr>
          </w:p>
        </w:tc>
        <w:tc>
          <w:tcPr>
            <w:tcW w:w="36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12"/>
        </w:trPr>
        <w:tc>
          <w:tcPr>
            <w:tcW w:w="5960" w:type="dxa"/>
            <w:vAlign w:val="bottom"/>
            <w:shd w:val="clear" w:color="auto" w:fill="EBFBFF"/>
          </w:tcPr>
          <w:p>
            <w:pPr>
              <w:spacing w:after="0"/>
              <w:rPr>
                <w:sz w:val="18"/>
                <w:szCs w:val="18"/>
                <w:color w:val="auto"/>
              </w:rPr>
            </w:pPr>
          </w:p>
        </w:tc>
        <w:tc>
          <w:tcPr>
            <w:tcW w:w="360" w:type="dxa"/>
            <w:vAlign w:val="bottom"/>
            <w:shd w:val="clear" w:color="auto" w:fill="EBFBFF"/>
          </w:tcPr>
          <w:p>
            <w:pPr>
              <w:spacing w:after="0"/>
              <w:rPr>
                <w:sz w:val="18"/>
                <w:szCs w:val="18"/>
                <w:color w:val="auto"/>
              </w:rPr>
            </w:pPr>
          </w:p>
        </w:tc>
        <w:tc>
          <w:tcPr>
            <w:tcW w:w="960" w:type="dxa"/>
            <w:vAlign w:val="bottom"/>
            <w:shd w:val="clear" w:color="auto" w:fill="EBFBFF"/>
          </w:tcPr>
          <w:p>
            <w:pPr>
              <w:spacing w:after="0"/>
              <w:rPr>
                <w:sz w:val="18"/>
                <w:szCs w:val="18"/>
                <w:color w:val="auto"/>
              </w:rPr>
            </w:pPr>
          </w:p>
        </w:tc>
        <w:tc>
          <w:tcPr>
            <w:tcW w:w="200" w:type="dxa"/>
            <w:vAlign w:val="bottom"/>
            <w:shd w:val="clear" w:color="auto" w:fill="EBFBFF"/>
          </w:tcPr>
          <w:p>
            <w:pPr>
              <w:spacing w:after="0"/>
              <w:rPr>
                <w:sz w:val="18"/>
                <w:szCs w:val="18"/>
                <w:color w:val="auto"/>
              </w:rPr>
            </w:pPr>
          </w:p>
        </w:tc>
        <w:tc>
          <w:tcPr>
            <w:tcW w:w="1100" w:type="dxa"/>
            <w:vAlign w:val="bottom"/>
            <w:shd w:val="clear" w:color="auto" w:fill="EBFBFF"/>
          </w:tcPr>
          <w:p>
            <w:pPr>
              <w:spacing w:after="0"/>
              <w:rPr>
                <w:sz w:val="18"/>
                <w:szCs w:val="18"/>
                <w:color w:val="auto"/>
              </w:rPr>
            </w:pPr>
          </w:p>
        </w:tc>
        <w:tc>
          <w:tcPr>
            <w:tcW w:w="100" w:type="dxa"/>
            <w:vAlign w:val="bottom"/>
            <w:shd w:val="clear" w:color="auto" w:fill="EBFBFF"/>
          </w:tcPr>
          <w:p>
            <w:pPr>
              <w:spacing w:after="0"/>
              <w:rPr>
                <w:sz w:val="18"/>
                <w:szCs w:val="18"/>
                <w:color w:val="auto"/>
              </w:rPr>
            </w:pPr>
          </w:p>
        </w:tc>
        <w:tc>
          <w:tcPr>
            <w:tcW w:w="340" w:type="dxa"/>
            <w:vAlign w:val="bottom"/>
            <w:shd w:val="clear" w:color="auto" w:fill="EBFBFF"/>
          </w:tcPr>
          <w:p>
            <w:pPr>
              <w:spacing w:after="0"/>
              <w:rPr>
                <w:sz w:val="18"/>
                <w:szCs w:val="18"/>
                <w:color w:val="auto"/>
              </w:rPr>
            </w:pPr>
          </w:p>
        </w:tc>
        <w:tc>
          <w:tcPr>
            <w:tcW w:w="960" w:type="dxa"/>
            <w:vAlign w:val="bottom"/>
            <w:shd w:val="clear" w:color="auto" w:fill="EBFBFF"/>
          </w:tcPr>
          <w:p>
            <w:pPr>
              <w:spacing w:after="0"/>
              <w:rPr>
                <w:sz w:val="18"/>
                <w:szCs w:val="18"/>
                <w:color w:val="auto"/>
              </w:rPr>
            </w:pPr>
          </w:p>
        </w:tc>
        <w:tc>
          <w:tcPr>
            <w:tcW w:w="260" w:type="dxa"/>
            <w:vAlign w:val="bottom"/>
            <w:shd w:val="clear" w:color="auto" w:fill="EBFBFF"/>
          </w:tcPr>
          <w:p>
            <w:pPr>
              <w:spacing w:after="0"/>
              <w:rPr>
                <w:sz w:val="18"/>
                <w:szCs w:val="18"/>
                <w:color w:val="auto"/>
              </w:rPr>
            </w:pPr>
          </w:p>
        </w:tc>
        <w:tc>
          <w:tcPr>
            <w:tcW w:w="1040" w:type="dxa"/>
            <w:vAlign w:val="bottom"/>
            <w:shd w:val="clear" w:color="auto" w:fill="EBFBFF"/>
          </w:tcPr>
          <w:p>
            <w:pPr>
              <w:spacing w:after="0"/>
              <w:rPr>
                <w:sz w:val="18"/>
                <w:szCs w:val="18"/>
                <w:color w:val="auto"/>
              </w:rPr>
            </w:pPr>
          </w:p>
        </w:tc>
        <w:tc>
          <w:tcPr>
            <w:tcW w:w="20" w:type="dxa"/>
            <w:vAlign w:val="bottom"/>
          </w:tcPr>
          <w:p>
            <w:pPr>
              <w:spacing w:after="0"/>
              <w:rPr>
                <w:sz w:val="18"/>
                <w:szCs w:val="18"/>
                <w:color w:val="auto"/>
              </w:rPr>
            </w:pPr>
          </w:p>
        </w:tc>
      </w:tr>
      <w:tr>
        <w:trPr>
          <w:trHeight w:val="172"/>
        </w:trPr>
        <w:tc>
          <w:tcPr>
            <w:tcW w:w="5960" w:type="dxa"/>
            <w:vAlign w:val="bottom"/>
          </w:tcPr>
          <w:p>
            <w:pPr>
              <w:ind w:left="20"/>
              <w:spacing w:after="0"/>
              <w:rPr>
                <w:sz w:val="20"/>
                <w:szCs w:val="20"/>
                <w:color w:val="auto"/>
              </w:rPr>
            </w:pPr>
            <w:r>
              <w:rPr>
                <w:rFonts w:ascii="Calibri" w:cs="Calibri" w:eastAsia="Calibri" w:hAnsi="Calibri"/>
                <w:sz w:val="14"/>
                <w:szCs w:val="14"/>
                <w:color w:val="51555C"/>
              </w:rPr>
              <w:t>Ant-dilutve shares excluded from calculatons of diluted earnings (loss) per share</w:t>
            </w:r>
          </w:p>
        </w:tc>
        <w:tc>
          <w:tcPr>
            <w:tcW w:w="3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alibri" w:cs="Calibri" w:eastAsia="Calibri" w:hAnsi="Calibri"/>
                <w:sz w:val="14"/>
                <w:szCs w:val="14"/>
                <w:color w:val="51555C"/>
              </w:rPr>
              <w:t>12,367</w:t>
            </w:r>
          </w:p>
        </w:tc>
        <w:tc>
          <w:tcPr>
            <w:tcW w:w="2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alibri" w:cs="Calibri" w:eastAsia="Calibri" w:hAnsi="Calibri"/>
                <w:sz w:val="14"/>
                <w:szCs w:val="14"/>
                <w:color w:val="51555C"/>
              </w:rPr>
              <w:t>9,487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alibri" w:cs="Calibri" w:eastAsia="Calibri" w:hAnsi="Calibri"/>
                <w:sz w:val="14"/>
                <w:szCs w:val="14"/>
                <w:color w:val="51555C"/>
              </w:rPr>
              <w:t>1,023,093</w:t>
            </w: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alibri" w:cs="Calibri" w:eastAsia="Calibri" w:hAnsi="Calibri"/>
                <w:sz w:val="14"/>
                <w:szCs w:val="14"/>
                <w:color w:val="51555C"/>
              </w:rPr>
              <w:t>1,151,974</w:t>
            </w:r>
          </w:p>
        </w:tc>
        <w:tc>
          <w:tcPr>
            <w:tcW w:w="20" w:type="dxa"/>
            <w:vAlign w:val="bottom"/>
          </w:tcPr>
          <w:p>
            <w:pPr>
              <w:spacing w:after="0"/>
              <w:rPr>
                <w:sz w:val="14"/>
                <w:szCs w:val="14"/>
                <w:color w:val="auto"/>
              </w:rPr>
            </w:pPr>
          </w:p>
        </w:tc>
      </w:tr>
      <w:tr>
        <w:trPr>
          <w:trHeight w:val="40"/>
        </w:trPr>
        <w:tc>
          <w:tcPr>
            <w:tcW w:w="5960" w:type="dxa"/>
            <w:vAlign w:val="bottom"/>
            <w:tcBorders>
              <w:bottom w:val="single" w:sz="8" w:color="0CD973"/>
            </w:tcBorders>
          </w:tcPr>
          <w:p>
            <w:pPr>
              <w:spacing w:after="0"/>
              <w:rPr>
                <w:sz w:val="3"/>
                <w:szCs w:val="3"/>
                <w:color w:val="auto"/>
              </w:rPr>
            </w:pPr>
          </w:p>
        </w:tc>
        <w:tc>
          <w:tcPr>
            <w:tcW w:w="360" w:type="dxa"/>
            <w:vAlign w:val="bottom"/>
            <w:tcBorders>
              <w:bottom w:val="single" w:sz="8" w:color="0CD973"/>
            </w:tcBorders>
          </w:tcPr>
          <w:p>
            <w:pPr>
              <w:spacing w:after="0"/>
              <w:rPr>
                <w:sz w:val="3"/>
                <w:szCs w:val="3"/>
                <w:color w:val="auto"/>
              </w:rPr>
            </w:pPr>
          </w:p>
        </w:tc>
        <w:tc>
          <w:tcPr>
            <w:tcW w:w="960" w:type="dxa"/>
            <w:vAlign w:val="bottom"/>
            <w:tcBorders>
              <w:bottom w:val="single" w:sz="8" w:color="0CD973"/>
            </w:tcBorders>
          </w:tcPr>
          <w:p>
            <w:pPr>
              <w:spacing w:after="0"/>
              <w:rPr>
                <w:sz w:val="3"/>
                <w:szCs w:val="3"/>
                <w:color w:val="auto"/>
              </w:rPr>
            </w:pPr>
          </w:p>
        </w:tc>
        <w:tc>
          <w:tcPr>
            <w:tcW w:w="200" w:type="dxa"/>
            <w:vAlign w:val="bottom"/>
            <w:tcBorders>
              <w:bottom w:val="single" w:sz="8" w:color="0CD973"/>
            </w:tcBorders>
          </w:tcPr>
          <w:p>
            <w:pPr>
              <w:spacing w:after="0"/>
              <w:rPr>
                <w:sz w:val="3"/>
                <w:szCs w:val="3"/>
                <w:color w:val="auto"/>
              </w:rPr>
            </w:pPr>
          </w:p>
        </w:tc>
        <w:tc>
          <w:tcPr>
            <w:tcW w:w="1100" w:type="dxa"/>
            <w:vAlign w:val="bottom"/>
            <w:tcBorders>
              <w:bottom w:val="single" w:sz="8" w:color="0CD973"/>
            </w:tcBorders>
          </w:tcPr>
          <w:p>
            <w:pPr>
              <w:spacing w:after="0"/>
              <w:rPr>
                <w:sz w:val="3"/>
                <w:szCs w:val="3"/>
                <w:color w:val="auto"/>
              </w:rPr>
            </w:pPr>
          </w:p>
        </w:tc>
        <w:tc>
          <w:tcPr>
            <w:tcW w:w="100" w:type="dxa"/>
            <w:vAlign w:val="bottom"/>
            <w:tcBorders>
              <w:bottom w:val="single" w:sz="8" w:color="0CD973"/>
            </w:tcBorders>
          </w:tcPr>
          <w:p>
            <w:pPr>
              <w:spacing w:after="0"/>
              <w:rPr>
                <w:sz w:val="3"/>
                <w:szCs w:val="3"/>
                <w:color w:val="auto"/>
              </w:rPr>
            </w:pPr>
          </w:p>
        </w:tc>
        <w:tc>
          <w:tcPr>
            <w:tcW w:w="1300" w:type="dxa"/>
            <w:vAlign w:val="bottom"/>
            <w:tcBorders>
              <w:bottom w:val="single" w:sz="8" w:color="0CD973"/>
            </w:tcBorders>
            <w:gridSpan w:val="2"/>
          </w:tcPr>
          <w:p>
            <w:pPr>
              <w:spacing w:after="0"/>
              <w:rPr>
                <w:sz w:val="3"/>
                <w:szCs w:val="3"/>
                <w:color w:val="auto"/>
              </w:rPr>
            </w:pPr>
          </w:p>
        </w:tc>
        <w:tc>
          <w:tcPr>
            <w:tcW w:w="260" w:type="dxa"/>
            <w:vAlign w:val="bottom"/>
            <w:tcBorders>
              <w:bottom w:val="single" w:sz="8" w:color="0CD973"/>
            </w:tcBorders>
          </w:tcPr>
          <w:p>
            <w:pPr>
              <w:spacing w:after="0"/>
              <w:rPr>
                <w:sz w:val="3"/>
                <w:szCs w:val="3"/>
                <w:color w:val="auto"/>
              </w:rPr>
            </w:pPr>
          </w:p>
        </w:tc>
        <w:tc>
          <w:tcPr>
            <w:tcW w:w="1040" w:type="dxa"/>
            <w:vAlign w:val="bottom"/>
            <w:tcBorders>
              <w:bottom w:val="single" w:sz="8" w:color="0CD973"/>
            </w:tcBorders>
          </w:tcPr>
          <w:p>
            <w:pPr>
              <w:spacing w:after="0"/>
              <w:rPr>
                <w:sz w:val="3"/>
                <w:szCs w:val="3"/>
                <w:color w:val="auto"/>
              </w:rPr>
            </w:pPr>
          </w:p>
        </w:tc>
        <w:tc>
          <w:tcPr>
            <w:tcW w:w="20" w:type="dxa"/>
            <w:vAlign w:val="bottom"/>
          </w:tcPr>
          <w:p>
            <w:pPr>
              <w:spacing w:after="0"/>
              <w:rPr>
                <w:sz w:val="3"/>
                <w:szCs w:val="3"/>
                <w:color w:val="auto"/>
              </w:rPr>
            </w:pPr>
          </w:p>
        </w:tc>
      </w:tr>
      <w:tr>
        <w:trPr>
          <w:trHeight w:val="507"/>
        </w:trPr>
        <w:tc>
          <w:tcPr>
            <w:tcW w:w="5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00" w:type="dxa"/>
            <w:vAlign w:val="bottom"/>
            <w:gridSpan w:val="4"/>
          </w:tcPr>
          <w:p>
            <w:pPr>
              <w:jc w:val="right"/>
              <w:ind w:right="271"/>
              <w:spacing w:after="0"/>
              <w:rPr>
                <w:sz w:val="20"/>
                <w:szCs w:val="20"/>
                <w:color w:val="auto"/>
              </w:rPr>
            </w:pPr>
            <w:r>
              <w:rPr>
                <w:rFonts w:ascii="Calibri" w:cs="Calibri" w:eastAsia="Calibri" w:hAnsi="Calibri"/>
                <w:sz w:val="11"/>
                <w:szCs w:val="11"/>
                <w:color w:val="51555C"/>
              </w:rPr>
              <w:t>Second Quarter 2024 Form 10-Q</w:t>
            </w: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alibri" w:cs="Calibri" w:eastAsia="Calibri" w:hAnsi="Calibri"/>
                <w:sz w:val="11"/>
                <w:szCs w:val="11"/>
                <w:color w:val="51555C"/>
              </w:rPr>
              <w:t>9</w:t>
            </w:r>
          </w:p>
        </w:tc>
        <w:tc>
          <w:tcPr>
            <w:tcW w:w="20" w:type="dxa"/>
            <w:vAlign w:val="bottom"/>
          </w:tcPr>
          <w:p>
            <w:pPr>
              <w:spacing w:after="0"/>
              <w:rPr>
                <w:sz w:val="24"/>
                <w:szCs w:val="24"/>
                <w:color w:val="auto"/>
              </w:rPr>
            </w:pPr>
          </w:p>
        </w:tc>
      </w:tr>
      <w:tr>
        <w:trPr>
          <w:trHeight w:val="281"/>
        </w:trPr>
        <w:tc>
          <w:tcPr>
            <w:tcW w:w="59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3789680</wp:posOffset>
            </wp:positionH>
            <wp:positionV relativeFrom="paragraph">
              <wp:posOffset>-2276475</wp:posOffset>
            </wp:positionV>
            <wp:extent cx="3382010"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82010" cy="6985"/>
                    </a:xfrm>
                    <a:prstGeom prst="rect">
                      <a:avLst/>
                    </a:prstGeom>
                    <a:noFill/>
                  </pic:spPr>
                </pic:pic>
              </a:graphicData>
            </a:graphic>
          </wp:anchor>
        </w:drawing>
        <w:drawing>
          <wp:anchor simplePos="0" relativeHeight="251657728" behindDoc="1" locked="0" layoutInCell="0" allowOverlap="1">
            <wp:simplePos x="0" y="0"/>
            <wp:positionH relativeFrom="column">
              <wp:posOffset>6268720</wp:posOffset>
            </wp:positionH>
            <wp:positionV relativeFrom="paragraph">
              <wp:posOffset>-295910</wp:posOffset>
            </wp:positionV>
            <wp:extent cx="518795" cy="134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8795" cy="13462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10" w:name="page11"/>
    <w:bookmarkEnd w:id="10"/>
    <w:p>
      <w:pPr>
        <w:spacing w:after="0"/>
        <w:rPr>
          <w:sz w:val="20"/>
          <w:szCs w:val="20"/>
          <w:color w:val="auto"/>
        </w:rPr>
      </w:pPr>
      <w:r>
        <w:rPr>
          <w:rFonts w:ascii="Calibri" w:cs="Calibri" w:eastAsia="Calibri" w:hAnsi="Calibri"/>
          <w:sz w:val="11"/>
          <w:szCs w:val="11"/>
          <w:u w:val="single" w:color="auto"/>
          <w:color w:val="7A04DD"/>
        </w:rPr>
        <w:t>Table of Contents</w:t>
      </w:r>
    </w:p>
    <w:p>
      <w:pPr>
        <w:spacing w:after="0" w:line="196" w:lineRule="exact"/>
        <w:rPr>
          <w:sz w:val="20"/>
          <w:szCs w:val="20"/>
          <w:color w:val="auto"/>
        </w:rPr>
      </w:pPr>
    </w:p>
    <w:p>
      <w:pPr>
        <w:jc w:val="center"/>
        <w:ind w:right="20"/>
        <w:spacing w:after="0"/>
        <w:rPr>
          <w:sz w:val="20"/>
          <w:szCs w:val="20"/>
          <w:color w:val="auto"/>
        </w:rPr>
      </w:pPr>
      <w:r>
        <w:rPr>
          <w:rFonts w:ascii="Calibri" w:cs="Calibri" w:eastAsia="Calibri" w:hAnsi="Calibri"/>
          <w:sz w:val="14"/>
          <w:szCs w:val="14"/>
          <w:b w:val="1"/>
          <w:bCs w:val="1"/>
          <w:color w:val="51555C"/>
        </w:rPr>
        <w:t>Blackbaud, Inc.</w:t>
      </w:r>
    </w:p>
    <w:p>
      <w:pPr>
        <w:jc w:val="center"/>
        <w:ind w:right="20"/>
        <w:spacing w:after="0" w:line="238" w:lineRule="auto"/>
        <w:rPr>
          <w:sz w:val="20"/>
          <w:szCs w:val="20"/>
          <w:color w:val="auto"/>
        </w:rPr>
      </w:pPr>
      <w:r>
        <w:rPr>
          <w:rFonts w:ascii="Calibri" w:cs="Calibri" w:eastAsia="Calibri" w:hAnsi="Calibri"/>
          <w:sz w:val="14"/>
          <w:szCs w:val="14"/>
          <w:b w:val="1"/>
          <w:bCs w:val="1"/>
          <w:color w:val="51555C"/>
        </w:rPr>
        <w:t>Notes to Condensed Consolidated Financial Statements</w:t>
      </w:r>
    </w:p>
    <w:p>
      <w:pPr>
        <w:jc w:val="center"/>
        <w:ind w:right="20"/>
        <w:spacing w:after="0"/>
        <w:rPr>
          <w:sz w:val="20"/>
          <w:szCs w:val="20"/>
          <w:color w:val="auto"/>
        </w:rPr>
      </w:pPr>
      <w:r>
        <w:rPr>
          <w:rFonts w:ascii="Calibri" w:cs="Calibri" w:eastAsia="Calibri" w:hAnsi="Calibri"/>
          <w:sz w:val="14"/>
          <w:szCs w:val="14"/>
          <w:b w:val="1"/>
          <w:bCs w:val="1"/>
          <w:color w:val="51555C"/>
        </w:rPr>
        <w:t>(Unaudited)</w:t>
      </w: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Calibri" w:cs="Calibri" w:eastAsia="Calibri" w:hAnsi="Calibri"/>
          <w:sz w:val="17"/>
          <w:szCs w:val="17"/>
          <w:b w:val="1"/>
          <w:bCs w:val="1"/>
          <w:color w:val="006880"/>
        </w:rPr>
        <w:t>5. 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27305</wp:posOffset>
            </wp:positionV>
            <wp:extent cx="7161530" cy="6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Calibri" w:cs="Calibri" w:eastAsia="Calibri" w:hAnsi="Calibri"/>
          <w:sz w:val="14"/>
          <w:szCs w:val="14"/>
          <w:color w:val="51555C"/>
        </w:rPr>
        <w:t>We use a three-ter fair value hierarchy to measure fair value. This hierarchy prioritzes the inputs into three broad levels as follows:</w:t>
      </w:r>
    </w:p>
    <w:p>
      <w:pPr>
        <w:spacing w:after="0" w:line="126" w:lineRule="exact"/>
        <w:rPr>
          <w:sz w:val="20"/>
          <w:szCs w:val="20"/>
          <w:color w:val="auto"/>
        </w:rPr>
      </w:pPr>
    </w:p>
    <w:p>
      <w:pPr>
        <w:ind w:left="580" w:hanging="257"/>
        <w:spacing w:after="0"/>
        <w:tabs>
          <w:tab w:leader="none" w:pos="580" w:val="left"/>
        </w:tabs>
        <w:numPr>
          <w:ilvl w:val="0"/>
          <w:numId w:val="5"/>
        </w:numPr>
        <w:rPr>
          <w:rFonts w:ascii="Calibri" w:cs="Calibri" w:eastAsia="Calibri" w:hAnsi="Calibri"/>
          <w:sz w:val="14"/>
          <w:szCs w:val="14"/>
          <w:color w:val="51555C"/>
        </w:rPr>
      </w:pPr>
      <w:r>
        <w:rPr>
          <w:rFonts w:ascii="Calibri" w:cs="Calibri" w:eastAsia="Calibri" w:hAnsi="Calibri"/>
          <w:sz w:val="14"/>
          <w:szCs w:val="14"/>
          <w:color w:val="51555C"/>
        </w:rPr>
        <w:t>Level 1 - Quoted prices for identcal assets or liabilites in actve markets;</w:t>
      </w:r>
    </w:p>
    <w:p>
      <w:pPr>
        <w:spacing w:after="0" w:line="129" w:lineRule="exact"/>
        <w:rPr>
          <w:rFonts w:ascii="Calibri" w:cs="Calibri" w:eastAsia="Calibri" w:hAnsi="Calibri"/>
          <w:sz w:val="14"/>
          <w:szCs w:val="14"/>
          <w:color w:val="51555C"/>
        </w:rPr>
      </w:pPr>
    </w:p>
    <w:p>
      <w:pPr>
        <w:ind w:left="580" w:right="20" w:hanging="257"/>
        <w:spacing w:after="0" w:line="237" w:lineRule="auto"/>
        <w:tabs>
          <w:tab w:leader="none" w:pos="574" w:val="left"/>
        </w:tabs>
        <w:numPr>
          <w:ilvl w:val="0"/>
          <w:numId w:val="5"/>
        </w:numPr>
        <w:rPr>
          <w:rFonts w:ascii="Calibri" w:cs="Calibri" w:eastAsia="Calibri" w:hAnsi="Calibri"/>
          <w:sz w:val="14"/>
          <w:szCs w:val="14"/>
          <w:color w:val="51555C"/>
        </w:rPr>
      </w:pPr>
      <w:r>
        <w:rPr>
          <w:rFonts w:ascii="Calibri" w:cs="Calibri" w:eastAsia="Calibri" w:hAnsi="Calibri"/>
          <w:sz w:val="14"/>
          <w:szCs w:val="14"/>
          <w:color w:val="51555C"/>
        </w:rPr>
        <w:t>Level 2 - Quoted prices for similar assets and liabilites in actve markets, quoted prices for identcal or similar assets in markets that are not actve, and model-derived valuatons in which all signifcant inputs and signifcant value drivers are observable in actve markets; and</w:t>
      </w:r>
    </w:p>
    <w:p>
      <w:pPr>
        <w:spacing w:after="0" w:line="126" w:lineRule="exact"/>
        <w:rPr>
          <w:rFonts w:ascii="Calibri" w:cs="Calibri" w:eastAsia="Calibri" w:hAnsi="Calibri"/>
          <w:sz w:val="14"/>
          <w:szCs w:val="14"/>
          <w:color w:val="51555C"/>
        </w:rPr>
      </w:pPr>
    </w:p>
    <w:p>
      <w:pPr>
        <w:ind w:left="580" w:hanging="257"/>
        <w:spacing w:after="0"/>
        <w:tabs>
          <w:tab w:leader="none" w:pos="580" w:val="left"/>
        </w:tabs>
        <w:numPr>
          <w:ilvl w:val="0"/>
          <w:numId w:val="5"/>
        </w:numPr>
        <w:rPr>
          <w:rFonts w:ascii="Calibri" w:cs="Calibri" w:eastAsia="Calibri" w:hAnsi="Calibri"/>
          <w:sz w:val="14"/>
          <w:szCs w:val="14"/>
          <w:color w:val="51555C"/>
        </w:rPr>
      </w:pPr>
      <w:r>
        <w:rPr>
          <w:rFonts w:ascii="Calibri" w:cs="Calibri" w:eastAsia="Calibri" w:hAnsi="Calibri"/>
          <w:sz w:val="14"/>
          <w:szCs w:val="14"/>
          <w:color w:val="51555C"/>
        </w:rPr>
        <w:t>Level 3 - Valuatons derived from valuaton techniques in which one or more signifcant inputs are unobservable.</w:t>
      </w:r>
    </w:p>
    <w:p>
      <w:pPr>
        <w:spacing w:after="0" w:line="126"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51555C"/>
        </w:rPr>
        <w:t>Recurring fair value measurements</w:t>
      </w:r>
    </w:p>
    <w:p>
      <w:pPr>
        <w:spacing w:after="0" w:line="126" w:lineRule="exact"/>
        <w:rPr>
          <w:sz w:val="20"/>
          <w:szCs w:val="20"/>
          <w:color w:val="auto"/>
        </w:rPr>
      </w:pPr>
    </w:p>
    <w:p>
      <w:pPr>
        <w:spacing w:after="0"/>
        <w:rPr>
          <w:sz w:val="20"/>
          <w:szCs w:val="20"/>
          <w:color w:val="auto"/>
        </w:rPr>
      </w:pPr>
      <w:r>
        <w:rPr>
          <w:rFonts w:ascii="Calibri" w:cs="Calibri" w:eastAsia="Calibri" w:hAnsi="Calibri"/>
          <w:sz w:val="14"/>
          <w:szCs w:val="14"/>
          <w:color w:val="51555C"/>
        </w:rPr>
        <w:t>Financial assets and liabilites that are measured at fair value on a recurring basis consisted of the following, as of the dates indicated below:</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020" w:type="dxa"/>
            <w:vAlign w:val="bottom"/>
            <w:shd w:val="clear" w:color="auto" w:fill="004054"/>
          </w:tcPr>
          <w:p>
            <w:pPr>
              <w:spacing w:after="0"/>
              <w:rPr>
                <w:sz w:val="13"/>
                <w:szCs w:val="13"/>
                <w:color w:val="auto"/>
              </w:rPr>
            </w:pPr>
          </w:p>
        </w:tc>
        <w:tc>
          <w:tcPr>
            <w:tcW w:w="120" w:type="dxa"/>
            <w:vAlign w:val="bottom"/>
            <w:shd w:val="clear" w:color="auto" w:fill="004054"/>
          </w:tcPr>
          <w:p>
            <w:pPr>
              <w:spacing w:after="0"/>
              <w:rPr>
                <w:sz w:val="13"/>
                <w:szCs w:val="13"/>
                <w:color w:val="auto"/>
              </w:rPr>
            </w:pPr>
          </w:p>
        </w:tc>
        <w:tc>
          <w:tcPr>
            <w:tcW w:w="1360" w:type="dxa"/>
            <w:vAlign w:val="bottom"/>
            <w:shd w:val="clear" w:color="auto" w:fill="004054"/>
          </w:tcPr>
          <w:p>
            <w:pPr>
              <w:spacing w:after="0"/>
              <w:rPr>
                <w:sz w:val="13"/>
                <w:szCs w:val="13"/>
                <w:color w:val="auto"/>
              </w:rPr>
            </w:pPr>
          </w:p>
        </w:tc>
        <w:tc>
          <w:tcPr>
            <w:tcW w:w="100" w:type="dxa"/>
            <w:vAlign w:val="bottom"/>
            <w:shd w:val="clear" w:color="auto" w:fill="004054"/>
          </w:tcPr>
          <w:p>
            <w:pPr>
              <w:spacing w:after="0"/>
              <w:rPr>
                <w:sz w:val="13"/>
                <w:szCs w:val="13"/>
                <w:color w:val="auto"/>
              </w:rPr>
            </w:pPr>
          </w:p>
        </w:tc>
        <w:tc>
          <w:tcPr>
            <w:tcW w:w="120" w:type="dxa"/>
            <w:vAlign w:val="bottom"/>
            <w:shd w:val="clear" w:color="auto" w:fill="004054"/>
          </w:tcPr>
          <w:p>
            <w:pPr>
              <w:spacing w:after="0"/>
              <w:rPr>
                <w:sz w:val="13"/>
                <w:szCs w:val="13"/>
                <w:color w:val="auto"/>
              </w:rPr>
            </w:pPr>
          </w:p>
        </w:tc>
        <w:tc>
          <w:tcPr>
            <w:tcW w:w="1380" w:type="dxa"/>
            <w:vAlign w:val="bottom"/>
            <w:shd w:val="clear" w:color="auto" w:fill="004054"/>
          </w:tcPr>
          <w:p>
            <w:pPr>
              <w:spacing w:after="0"/>
              <w:rPr>
                <w:sz w:val="13"/>
                <w:szCs w:val="13"/>
                <w:color w:val="auto"/>
              </w:rPr>
            </w:pPr>
          </w:p>
        </w:tc>
        <w:tc>
          <w:tcPr>
            <w:tcW w:w="100" w:type="dxa"/>
            <w:vAlign w:val="bottom"/>
            <w:shd w:val="clear" w:color="auto" w:fill="004054"/>
          </w:tcPr>
          <w:p>
            <w:pPr>
              <w:spacing w:after="0"/>
              <w:rPr>
                <w:sz w:val="13"/>
                <w:szCs w:val="13"/>
                <w:color w:val="auto"/>
              </w:rPr>
            </w:pPr>
          </w:p>
        </w:tc>
        <w:tc>
          <w:tcPr>
            <w:tcW w:w="1500" w:type="dxa"/>
            <w:vAlign w:val="bottom"/>
            <w:gridSpan w:val="2"/>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Fair value measurement using</w:t>
            </w:r>
          </w:p>
        </w:tc>
        <w:tc>
          <w:tcPr>
            <w:tcW w:w="80" w:type="dxa"/>
            <w:vAlign w:val="bottom"/>
            <w:shd w:val="clear" w:color="auto" w:fill="004054"/>
          </w:tcPr>
          <w:p>
            <w:pPr>
              <w:spacing w:after="0"/>
              <w:rPr>
                <w:sz w:val="13"/>
                <w:szCs w:val="13"/>
                <w:color w:val="auto"/>
              </w:rPr>
            </w:pPr>
          </w:p>
        </w:tc>
        <w:tc>
          <w:tcPr>
            <w:tcW w:w="580" w:type="dxa"/>
            <w:vAlign w:val="bottom"/>
            <w:shd w:val="clear" w:color="auto" w:fill="004054"/>
          </w:tcPr>
          <w:p>
            <w:pPr>
              <w:spacing w:after="0"/>
              <w:rPr>
                <w:sz w:val="13"/>
                <w:szCs w:val="13"/>
                <w:color w:val="auto"/>
              </w:rPr>
            </w:pPr>
          </w:p>
        </w:tc>
        <w:tc>
          <w:tcPr>
            <w:tcW w:w="920" w:type="dxa"/>
            <w:vAlign w:val="bottom"/>
            <w:shd w:val="clear" w:color="auto" w:fill="004054"/>
          </w:tcPr>
          <w:p>
            <w:pPr>
              <w:spacing w:after="0"/>
              <w:rPr>
                <w:sz w:val="13"/>
                <w:szCs w:val="13"/>
                <w:color w:val="auto"/>
              </w:rPr>
            </w:pPr>
          </w:p>
        </w:tc>
        <w:tc>
          <w:tcPr>
            <w:tcW w:w="20" w:type="dxa"/>
            <w:vAlign w:val="bottom"/>
            <w:shd w:val="clear" w:color="auto" w:fill="004054"/>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5020" w:type="dxa"/>
            <w:vAlign w:val="bottom"/>
            <w:shd w:val="clear" w:color="auto" w:fill="004054"/>
          </w:tcPr>
          <w:p>
            <w:pPr>
              <w:spacing w:after="0"/>
              <w:rPr>
                <w:sz w:val="15"/>
                <w:szCs w:val="15"/>
                <w:color w:val="auto"/>
              </w:rPr>
            </w:pPr>
          </w:p>
        </w:tc>
        <w:tc>
          <w:tcPr>
            <w:tcW w:w="120" w:type="dxa"/>
            <w:vAlign w:val="bottom"/>
            <w:shd w:val="clear" w:color="auto" w:fill="004054"/>
          </w:tcPr>
          <w:p>
            <w:pPr>
              <w:spacing w:after="0"/>
              <w:rPr>
                <w:sz w:val="15"/>
                <w:szCs w:val="15"/>
                <w:color w:val="auto"/>
              </w:rPr>
            </w:pPr>
          </w:p>
        </w:tc>
        <w:tc>
          <w:tcPr>
            <w:tcW w:w="136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Quoted Prices in Actve</w:t>
            </w:r>
          </w:p>
        </w:tc>
        <w:tc>
          <w:tcPr>
            <w:tcW w:w="100" w:type="dxa"/>
            <w:vAlign w:val="bottom"/>
            <w:shd w:val="clear" w:color="auto" w:fill="004054"/>
          </w:tcPr>
          <w:p>
            <w:pPr>
              <w:spacing w:after="0"/>
              <w:rPr>
                <w:sz w:val="15"/>
                <w:szCs w:val="15"/>
                <w:color w:val="auto"/>
              </w:rPr>
            </w:pPr>
          </w:p>
        </w:tc>
        <w:tc>
          <w:tcPr>
            <w:tcW w:w="120" w:type="dxa"/>
            <w:vAlign w:val="bottom"/>
            <w:shd w:val="clear" w:color="auto" w:fill="004054"/>
          </w:tcPr>
          <w:p>
            <w:pPr>
              <w:spacing w:after="0"/>
              <w:rPr>
                <w:sz w:val="15"/>
                <w:szCs w:val="15"/>
                <w:color w:val="auto"/>
              </w:rPr>
            </w:pPr>
          </w:p>
        </w:tc>
        <w:tc>
          <w:tcPr>
            <w:tcW w:w="1380" w:type="dxa"/>
            <w:vAlign w:val="bottom"/>
            <w:shd w:val="clear" w:color="auto" w:fill="004054"/>
          </w:tcPr>
          <w:p>
            <w:pPr>
              <w:spacing w:after="0"/>
              <w:rPr>
                <w:sz w:val="15"/>
                <w:szCs w:val="15"/>
                <w:color w:val="auto"/>
              </w:rPr>
            </w:pPr>
          </w:p>
        </w:tc>
        <w:tc>
          <w:tcPr>
            <w:tcW w:w="100" w:type="dxa"/>
            <w:vAlign w:val="bottom"/>
            <w:shd w:val="clear" w:color="auto" w:fill="004054"/>
          </w:tcPr>
          <w:p>
            <w:pPr>
              <w:spacing w:after="0"/>
              <w:rPr>
                <w:sz w:val="15"/>
                <w:szCs w:val="15"/>
                <w:color w:val="auto"/>
              </w:rPr>
            </w:pPr>
          </w:p>
        </w:tc>
        <w:tc>
          <w:tcPr>
            <w:tcW w:w="200" w:type="dxa"/>
            <w:vAlign w:val="bottom"/>
            <w:shd w:val="clear" w:color="auto" w:fill="004054"/>
          </w:tcPr>
          <w:p>
            <w:pPr>
              <w:spacing w:after="0"/>
              <w:rPr>
                <w:sz w:val="15"/>
                <w:szCs w:val="15"/>
                <w:color w:val="auto"/>
              </w:rPr>
            </w:pPr>
          </w:p>
        </w:tc>
        <w:tc>
          <w:tcPr>
            <w:tcW w:w="1300" w:type="dxa"/>
            <w:vAlign w:val="bottom"/>
            <w:shd w:val="clear" w:color="auto" w:fill="004054"/>
          </w:tcPr>
          <w:p>
            <w:pPr>
              <w:spacing w:after="0"/>
              <w:rPr>
                <w:sz w:val="15"/>
                <w:szCs w:val="15"/>
                <w:color w:val="auto"/>
              </w:rPr>
            </w:pPr>
          </w:p>
        </w:tc>
        <w:tc>
          <w:tcPr>
            <w:tcW w:w="80" w:type="dxa"/>
            <w:vAlign w:val="bottom"/>
            <w:shd w:val="clear" w:color="auto" w:fill="004054"/>
          </w:tcPr>
          <w:p>
            <w:pPr>
              <w:spacing w:after="0"/>
              <w:rPr>
                <w:sz w:val="15"/>
                <w:szCs w:val="15"/>
                <w:color w:val="auto"/>
              </w:rPr>
            </w:pPr>
          </w:p>
        </w:tc>
        <w:tc>
          <w:tcPr>
            <w:tcW w:w="580" w:type="dxa"/>
            <w:vAlign w:val="bottom"/>
            <w:shd w:val="clear" w:color="auto" w:fill="004054"/>
          </w:tcPr>
          <w:p>
            <w:pPr>
              <w:spacing w:after="0"/>
              <w:rPr>
                <w:sz w:val="15"/>
                <w:szCs w:val="15"/>
                <w:color w:val="auto"/>
              </w:rPr>
            </w:pPr>
          </w:p>
        </w:tc>
        <w:tc>
          <w:tcPr>
            <w:tcW w:w="920" w:type="dxa"/>
            <w:vAlign w:val="bottom"/>
            <w:shd w:val="clear" w:color="auto" w:fill="004054"/>
          </w:tcPr>
          <w:p>
            <w:pPr>
              <w:spacing w:after="0"/>
              <w:rPr>
                <w:sz w:val="15"/>
                <w:szCs w:val="15"/>
                <w:color w:val="auto"/>
              </w:rPr>
            </w:pPr>
          </w:p>
        </w:tc>
        <w:tc>
          <w:tcPr>
            <w:tcW w:w="20" w:type="dxa"/>
            <w:vAlign w:val="bottom"/>
            <w:shd w:val="clear" w:color="auto" w:fill="004054"/>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5020" w:type="dxa"/>
            <w:vAlign w:val="bottom"/>
            <w:shd w:val="clear" w:color="auto" w:fill="004054"/>
          </w:tcPr>
          <w:p>
            <w:pPr>
              <w:spacing w:after="0"/>
              <w:rPr>
                <w:sz w:val="11"/>
                <w:szCs w:val="11"/>
                <w:color w:val="auto"/>
              </w:rPr>
            </w:pPr>
          </w:p>
        </w:tc>
        <w:tc>
          <w:tcPr>
            <w:tcW w:w="120" w:type="dxa"/>
            <w:vAlign w:val="bottom"/>
            <w:shd w:val="clear" w:color="auto" w:fill="004054"/>
          </w:tcPr>
          <w:p>
            <w:pPr>
              <w:spacing w:after="0"/>
              <w:rPr>
                <w:sz w:val="11"/>
                <w:szCs w:val="11"/>
                <w:color w:val="auto"/>
              </w:rPr>
            </w:pPr>
          </w:p>
        </w:tc>
        <w:tc>
          <w:tcPr>
            <w:tcW w:w="136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Markets for Identcal Assets</w:t>
            </w:r>
          </w:p>
        </w:tc>
        <w:tc>
          <w:tcPr>
            <w:tcW w:w="100" w:type="dxa"/>
            <w:vAlign w:val="bottom"/>
            <w:shd w:val="clear" w:color="auto" w:fill="004054"/>
          </w:tcPr>
          <w:p>
            <w:pPr>
              <w:spacing w:after="0"/>
              <w:rPr>
                <w:sz w:val="11"/>
                <w:szCs w:val="11"/>
                <w:color w:val="auto"/>
              </w:rPr>
            </w:pPr>
          </w:p>
        </w:tc>
        <w:tc>
          <w:tcPr>
            <w:tcW w:w="120" w:type="dxa"/>
            <w:vAlign w:val="bottom"/>
            <w:shd w:val="clear" w:color="auto" w:fill="004054"/>
          </w:tcPr>
          <w:p>
            <w:pPr>
              <w:spacing w:after="0"/>
              <w:rPr>
                <w:sz w:val="11"/>
                <w:szCs w:val="11"/>
                <w:color w:val="auto"/>
              </w:rPr>
            </w:pPr>
          </w:p>
        </w:tc>
        <w:tc>
          <w:tcPr>
            <w:tcW w:w="138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Signifcant Other Observable</w:t>
            </w:r>
          </w:p>
        </w:tc>
        <w:tc>
          <w:tcPr>
            <w:tcW w:w="100" w:type="dxa"/>
            <w:vAlign w:val="bottom"/>
            <w:shd w:val="clear" w:color="auto" w:fill="004054"/>
          </w:tcPr>
          <w:p>
            <w:pPr>
              <w:spacing w:after="0"/>
              <w:rPr>
                <w:sz w:val="11"/>
                <w:szCs w:val="11"/>
                <w:color w:val="auto"/>
              </w:rPr>
            </w:pPr>
          </w:p>
        </w:tc>
        <w:tc>
          <w:tcPr>
            <w:tcW w:w="200" w:type="dxa"/>
            <w:vAlign w:val="bottom"/>
            <w:shd w:val="clear" w:color="auto" w:fill="004054"/>
          </w:tcPr>
          <w:p>
            <w:pPr>
              <w:spacing w:after="0"/>
              <w:rPr>
                <w:sz w:val="11"/>
                <w:szCs w:val="11"/>
                <w:color w:val="auto"/>
              </w:rPr>
            </w:pPr>
          </w:p>
        </w:tc>
        <w:tc>
          <w:tcPr>
            <w:tcW w:w="130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Signifcant Unobservable</w:t>
            </w:r>
          </w:p>
        </w:tc>
        <w:tc>
          <w:tcPr>
            <w:tcW w:w="80" w:type="dxa"/>
            <w:vAlign w:val="bottom"/>
            <w:shd w:val="clear" w:color="auto" w:fill="004054"/>
          </w:tcPr>
          <w:p>
            <w:pPr>
              <w:spacing w:after="0"/>
              <w:rPr>
                <w:sz w:val="11"/>
                <w:szCs w:val="11"/>
                <w:color w:val="auto"/>
              </w:rPr>
            </w:pPr>
          </w:p>
        </w:tc>
        <w:tc>
          <w:tcPr>
            <w:tcW w:w="580" w:type="dxa"/>
            <w:vAlign w:val="bottom"/>
            <w:shd w:val="clear" w:color="auto" w:fill="004054"/>
          </w:tcPr>
          <w:p>
            <w:pPr>
              <w:spacing w:after="0"/>
              <w:rPr>
                <w:sz w:val="11"/>
                <w:szCs w:val="11"/>
                <w:color w:val="auto"/>
              </w:rPr>
            </w:pPr>
          </w:p>
        </w:tc>
        <w:tc>
          <w:tcPr>
            <w:tcW w:w="920" w:type="dxa"/>
            <w:vAlign w:val="bottom"/>
            <w:shd w:val="clear" w:color="auto" w:fill="004054"/>
          </w:tcPr>
          <w:p>
            <w:pPr>
              <w:spacing w:after="0"/>
              <w:rPr>
                <w:sz w:val="11"/>
                <w:szCs w:val="11"/>
                <w:color w:val="auto"/>
              </w:rPr>
            </w:pPr>
          </w:p>
        </w:tc>
        <w:tc>
          <w:tcPr>
            <w:tcW w:w="20" w:type="dxa"/>
            <w:vAlign w:val="bottom"/>
            <w:shd w:val="clear" w:color="auto" w:fill="004054"/>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5020" w:type="dxa"/>
            <w:vAlign w:val="bottom"/>
            <w:vMerge w:val="restart"/>
            <w:shd w:val="clear" w:color="auto" w:fill="004054"/>
          </w:tcPr>
          <w:p>
            <w:pPr>
              <w:ind w:left="20"/>
              <w:spacing w:after="0"/>
              <w:rPr>
                <w:sz w:val="20"/>
                <w:szCs w:val="20"/>
                <w:color w:val="auto"/>
              </w:rPr>
            </w:pPr>
            <w:r>
              <w:rPr>
                <w:rFonts w:ascii="Calibri" w:cs="Calibri" w:eastAsia="Calibri" w:hAnsi="Calibri"/>
                <w:sz w:val="11"/>
                <w:szCs w:val="11"/>
                <w:b w:val="1"/>
                <w:bCs w:val="1"/>
                <w:color w:val="FFFFFF"/>
              </w:rPr>
              <w:t>(dollars in thousands)</w:t>
            </w:r>
          </w:p>
        </w:tc>
        <w:tc>
          <w:tcPr>
            <w:tcW w:w="120" w:type="dxa"/>
            <w:vAlign w:val="bottom"/>
            <w:shd w:val="clear" w:color="auto" w:fill="004054"/>
          </w:tcPr>
          <w:p>
            <w:pPr>
              <w:spacing w:after="0"/>
              <w:rPr>
                <w:sz w:val="11"/>
                <w:szCs w:val="11"/>
                <w:color w:val="auto"/>
              </w:rPr>
            </w:pPr>
          </w:p>
        </w:tc>
        <w:tc>
          <w:tcPr>
            <w:tcW w:w="136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and Liabilites</w:t>
            </w:r>
          </w:p>
        </w:tc>
        <w:tc>
          <w:tcPr>
            <w:tcW w:w="100" w:type="dxa"/>
            <w:vAlign w:val="bottom"/>
            <w:shd w:val="clear" w:color="auto" w:fill="004054"/>
          </w:tcPr>
          <w:p>
            <w:pPr>
              <w:spacing w:after="0"/>
              <w:rPr>
                <w:sz w:val="11"/>
                <w:szCs w:val="11"/>
                <w:color w:val="auto"/>
              </w:rPr>
            </w:pPr>
          </w:p>
        </w:tc>
        <w:tc>
          <w:tcPr>
            <w:tcW w:w="120" w:type="dxa"/>
            <w:vAlign w:val="bottom"/>
            <w:shd w:val="clear" w:color="auto" w:fill="004054"/>
          </w:tcPr>
          <w:p>
            <w:pPr>
              <w:spacing w:after="0"/>
              <w:rPr>
                <w:sz w:val="11"/>
                <w:szCs w:val="11"/>
                <w:color w:val="auto"/>
              </w:rPr>
            </w:pPr>
          </w:p>
        </w:tc>
        <w:tc>
          <w:tcPr>
            <w:tcW w:w="138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Inputs</w:t>
            </w:r>
          </w:p>
        </w:tc>
        <w:tc>
          <w:tcPr>
            <w:tcW w:w="100" w:type="dxa"/>
            <w:vAlign w:val="bottom"/>
            <w:shd w:val="clear" w:color="auto" w:fill="004054"/>
          </w:tcPr>
          <w:p>
            <w:pPr>
              <w:spacing w:after="0"/>
              <w:rPr>
                <w:sz w:val="11"/>
                <w:szCs w:val="11"/>
                <w:color w:val="auto"/>
              </w:rPr>
            </w:pPr>
          </w:p>
        </w:tc>
        <w:tc>
          <w:tcPr>
            <w:tcW w:w="200" w:type="dxa"/>
            <w:vAlign w:val="bottom"/>
            <w:shd w:val="clear" w:color="auto" w:fill="004054"/>
          </w:tcPr>
          <w:p>
            <w:pPr>
              <w:spacing w:after="0"/>
              <w:rPr>
                <w:sz w:val="11"/>
                <w:szCs w:val="11"/>
                <w:color w:val="auto"/>
              </w:rPr>
            </w:pPr>
          </w:p>
        </w:tc>
        <w:tc>
          <w:tcPr>
            <w:tcW w:w="130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Inputs</w:t>
            </w:r>
          </w:p>
        </w:tc>
        <w:tc>
          <w:tcPr>
            <w:tcW w:w="80" w:type="dxa"/>
            <w:vAlign w:val="bottom"/>
            <w:shd w:val="clear" w:color="auto" w:fill="004054"/>
          </w:tcPr>
          <w:p>
            <w:pPr>
              <w:spacing w:after="0"/>
              <w:rPr>
                <w:sz w:val="11"/>
                <w:szCs w:val="11"/>
                <w:color w:val="auto"/>
              </w:rPr>
            </w:pPr>
          </w:p>
        </w:tc>
        <w:tc>
          <w:tcPr>
            <w:tcW w:w="580" w:type="dxa"/>
            <w:vAlign w:val="bottom"/>
            <w:shd w:val="clear" w:color="auto" w:fill="004054"/>
          </w:tcPr>
          <w:p>
            <w:pPr>
              <w:spacing w:after="0"/>
              <w:rPr>
                <w:sz w:val="11"/>
                <w:szCs w:val="11"/>
                <w:color w:val="auto"/>
              </w:rPr>
            </w:pPr>
          </w:p>
        </w:tc>
        <w:tc>
          <w:tcPr>
            <w:tcW w:w="920" w:type="dxa"/>
            <w:vAlign w:val="bottom"/>
            <w:vMerge w:val="restart"/>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Total</w:t>
            </w:r>
          </w:p>
        </w:tc>
        <w:tc>
          <w:tcPr>
            <w:tcW w:w="20" w:type="dxa"/>
            <w:vAlign w:val="bottom"/>
            <w:shd w:val="clear" w:color="auto" w:fill="004054"/>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5020" w:type="dxa"/>
            <w:vAlign w:val="bottom"/>
            <w:tcBorders>
              <w:bottom w:val="single" w:sz="8" w:color="004054"/>
            </w:tcBorders>
            <w:vMerge w:val="continue"/>
            <w:shd w:val="clear" w:color="auto" w:fill="004054"/>
          </w:tcPr>
          <w:p>
            <w:pPr>
              <w:spacing w:after="0"/>
              <w:rPr>
                <w:sz w:val="14"/>
                <w:szCs w:val="14"/>
                <w:color w:val="auto"/>
              </w:rPr>
            </w:pPr>
          </w:p>
        </w:tc>
        <w:tc>
          <w:tcPr>
            <w:tcW w:w="120" w:type="dxa"/>
            <w:vAlign w:val="bottom"/>
            <w:tcBorders>
              <w:bottom w:val="single" w:sz="8" w:color="004054"/>
            </w:tcBorders>
            <w:shd w:val="clear" w:color="auto" w:fill="004054"/>
          </w:tcPr>
          <w:p>
            <w:pPr>
              <w:spacing w:after="0"/>
              <w:rPr>
                <w:sz w:val="14"/>
                <w:szCs w:val="14"/>
                <w:color w:val="auto"/>
              </w:rPr>
            </w:pPr>
          </w:p>
        </w:tc>
        <w:tc>
          <w:tcPr>
            <w:tcW w:w="1360" w:type="dxa"/>
            <w:vAlign w:val="bottom"/>
            <w:tcBorders>
              <w:bottom w:val="single" w:sz="8" w:color="004054"/>
            </w:tcBorders>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(Level 1)</w:t>
            </w:r>
          </w:p>
        </w:tc>
        <w:tc>
          <w:tcPr>
            <w:tcW w:w="100" w:type="dxa"/>
            <w:vAlign w:val="bottom"/>
            <w:tcBorders>
              <w:bottom w:val="single" w:sz="8" w:color="004054"/>
            </w:tcBorders>
            <w:shd w:val="clear" w:color="auto" w:fill="004054"/>
          </w:tcPr>
          <w:p>
            <w:pPr>
              <w:spacing w:after="0"/>
              <w:rPr>
                <w:sz w:val="14"/>
                <w:szCs w:val="14"/>
                <w:color w:val="auto"/>
              </w:rPr>
            </w:pPr>
          </w:p>
        </w:tc>
        <w:tc>
          <w:tcPr>
            <w:tcW w:w="120" w:type="dxa"/>
            <w:vAlign w:val="bottom"/>
            <w:tcBorders>
              <w:bottom w:val="single" w:sz="8" w:color="004054"/>
            </w:tcBorders>
            <w:shd w:val="clear" w:color="auto" w:fill="004054"/>
          </w:tcPr>
          <w:p>
            <w:pPr>
              <w:spacing w:after="0"/>
              <w:rPr>
                <w:sz w:val="14"/>
                <w:szCs w:val="14"/>
                <w:color w:val="auto"/>
              </w:rPr>
            </w:pPr>
          </w:p>
        </w:tc>
        <w:tc>
          <w:tcPr>
            <w:tcW w:w="1380" w:type="dxa"/>
            <w:vAlign w:val="bottom"/>
            <w:tcBorders>
              <w:bottom w:val="single" w:sz="8" w:color="004054"/>
            </w:tcBorders>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(Level 2)</w:t>
            </w:r>
          </w:p>
        </w:tc>
        <w:tc>
          <w:tcPr>
            <w:tcW w:w="100" w:type="dxa"/>
            <w:vAlign w:val="bottom"/>
            <w:tcBorders>
              <w:bottom w:val="single" w:sz="8" w:color="004054"/>
            </w:tcBorders>
            <w:shd w:val="clear" w:color="auto" w:fill="004054"/>
          </w:tcPr>
          <w:p>
            <w:pPr>
              <w:spacing w:after="0"/>
              <w:rPr>
                <w:sz w:val="14"/>
                <w:szCs w:val="14"/>
                <w:color w:val="auto"/>
              </w:rPr>
            </w:pPr>
          </w:p>
        </w:tc>
        <w:tc>
          <w:tcPr>
            <w:tcW w:w="200" w:type="dxa"/>
            <w:vAlign w:val="bottom"/>
            <w:tcBorders>
              <w:bottom w:val="single" w:sz="8" w:color="004054"/>
            </w:tcBorders>
            <w:shd w:val="clear" w:color="auto" w:fill="004054"/>
          </w:tcPr>
          <w:p>
            <w:pPr>
              <w:spacing w:after="0"/>
              <w:rPr>
                <w:sz w:val="14"/>
                <w:szCs w:val="14"/>
                <w:color w:val="auto"/>
              </w:rPr>
            </w:pPr>
          </w:p>
        </w:tc>
        <w:tc>
          <w:tcPr>
            <w:tcW w:w="1300" w:type="dxa"/>
            <w:vAlign w:val="bottom"/>
            <w:tcBorders>
              <w:bottom w:val="single" w:sz="8" w:color="004054"/>
            </w:tcBorders>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(Level 3)</w:t>
            </w:r>
          </w:p>
        </w:tc>
        <w:tc>
          <w:tcPr>
            <w:tcW w:w="80" w:type="dxa"/>
            <w:vAlign w:val="bottom"/>
            <w:tcBorders>
              <w:bottom w:val="single" w:sz="8" w:color="004054"/>
            </w:tcBorders>
            <w:shd w:val="clear" w:color="auto" w:fill="004054"/>
          </w:tcPr>
          <w:p>
            <w:pPr>
              <w:spacing w:after="0"/>
              <w:rPr>
                <w:sz w:val="14"/>
                <w:szCs w:val="14"/>
                <w:color w:val="auto"/>
              </w:rPr>
            </w:pPr>
          </w:p>
        </w:tc>
        <w:tc>
          <w:tcPr>
            <w:tcW w:w="580" w:type="dxa"/>
            <w:vAlign w:val="bottom"/>
            <w:tcBorders>
              <w:bottom w:val="single" w:sz="8" w:color="004054"/>
            </w:tcBorders>
            <w:shd w:val="clear" w:color="auto" w:fill="004054"/>
          </w:tcPr>
          <w:p>
            <w:pPr>
              <w:spacing w:after="0"/>
              <w:rPr>
                <w:sz w:val="14"/>
                <w:szCs w:val="14"/>
                <w:color w:val="auto"/>
              </w:rPr>
            </w:pPr>
          </w:p>
        </w:tc>
        <w:tc>
          <w:tcPr>
            <w:tcW w:w="920" w:type="dxa"/>
            <w:vAlign w:val="bottom"/>
            <w:tcBorders>
              <w:bottom w:val="single" w:sz="8" w:color="004054"/>
            </w:tcBorders>
            <w:vMerge w:val="continue"/>
            <w:shd w:val="clear" w:color="auto" w:fill="004054"/>
          </w:tcPr>
          <w:p>
            <w:pPr>
              <w:spacing w:after="0"/>
              <w:rPr>
                <w:sz w:val="14"/>
                <w:szCs w:val="14"/>
                <w:color w:val="auto"/>
              </w:rPr>
            </w:pPr>
          </w:p>
        </w:tc>
        <w:tc>
          <w:tcPr>
            <w:tcW w:w="20" w:type="dxa"/>
            <w:vAlign w:val="bottom"/>
            <w:tcBorders>
              <w:bottom w:val="single" w:sz="8" w:color="004054"/>
            </w:tcBorders>
            <w:shd w:val="clear" w:color="auto" w:fill="004054"/>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02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4"/>
                <w:szCs w:val="14"/>
                <w:b w:val="1"/>
                <w:bCs w:val="1"/>
                <w:color w:val="51555C"/>
              </w:rPr>
              <w:t>Fair value as of June 30, 2024</w:t>
            </w:r>
          </w:p>
        </w:tc>
        <w:tc>
          <w:tcPr>
            <w:tcW w:w="120" w:type="dxa"/>
            <w:vAlign w:val="bottom"/>
            <w:tcBorders>
              <w:bottom w:val="single" w:sz="8" w:color="EBFBFF"/>
            </w:tcBorders>
            <w:shd w:val="clear" w:color="auto" w:fill="EBFBFF"/>
          </w:tcPr>
          <w:p>
            <w:pPr>
              <w:spacing w:after="0"/>
              <w:rPr>
                <w:sz w:val="16"/>
                <w:szCs w:val="16"/>
                <w:color w:val="auto"/>
              </w:rPr>
            </w:pPr>
          </w:p>
        </w:tc>
        <w:tc>
          <w:tcPr>
            <w:tcW w:w="1360" w:type="dxa"/>
            <w:vAlign w:val="bottom"/>
            <w:tcBorders>
              <w:bottom w:val="single" w:sz="8" w:color="EBFBFF"/>
            </w:tcBorders>
            <w:shd w:val="clear" w:color="auto" w:fill="EBFBFF"/>
          </w:tcPr>
          <w:p>
            <w:pPr>
              <w:spacing w:after="0"/>
              <w:rPr>
                <w:sz w:val="16"/>
                <w:szCs w:val="16"/>
                <w:color w:val="auto"/>
              </w:rPr>
            </w:pPr>
          </w:p>
        </w:tc>
        <w:tc>
          <w:tcPr>
            <w:tcW w:w="100" w:type="dxa"/>
            <w:vAlign w:val="bottom"/>
            <w:tcBorders>
              <w:bottom w:val="single" w:sz="8" w:color="EBFBFF"/>
            </w:tcBorders>
            <w:shd w:val="clear" w:color="auto" w:fill="EBFBFF"/>
          </w:tcPr>
          <w:p>
            <w:pPr>
              <w:spacing w:after="0"/>
              <w:rPr>
                <w:sz w:val="16"/>
                <w:szCs w:val="16"/>
                <w:color w:val="auto"/>
              </w:rPr>
            </w:pPr>
          </w:p>
        </w:tc>
        <w:tc>
          <w:tcPr>
            <w:tcW w:w="120" w:type="dxa"/>
            <w:vAlign w:val="bottom"/>
            <w:tcBorders>
              <w:bottom w:val="single" w:sz="8" w:color="EBFBFF"/>
            </w:tcBorders>
            <w:shd w:val="clear" w:color="auto" w:fill="EBFBFF"/>
          </w:tcPr>
          <w:p>
            <w:pPr>
              <w:spacing w:after="0"/>
              <w:rPr>
                <w:sz w:val="16"/>
                <w:szCs w:val="16"/>
                <w:color w:val="auto"/>
              </w:rPr>
            </w:pPr>
          </w:p>
        </w:tc>
        <w:tc>
          <w:tcPr>
            <w:tcW w:w="1380" w:type="dxa"/>
            <w:vAlign w:val="bottom"/>
            <w:tcBorders>
              <w:bottom w:val="single" w:sz="8" w:color="EBFBFF"/>
            </w:tcBorders>
            <w:shd w:val="clear" w:color="auto" w:fill="EBFBFF"/>
          </w:tcPr>
          <w:p>
            <w:pPr>
              <w:spacing w:after="0"/>
              <w:rPr>
                <w:sz w:val="16"/>
                <w:szCs w:val="16"/>
                <w:color w:val="auto"/>
              </w:rPr>
            </w:pPr>
          </w:p>
        </w:tc>
        <w:tc>
          <w:tcPr>
            <w:tcW w:w="100" w:type="dxa"/>
            <w:vAlign w:val="bottom"/>
            <w:tcBorders>
              <w:bottom w:val="single" w:sz="8" w:color="EBFBFF"/>
            </w:tcBorders>
            <w:shd w:val="clear" w:color="auto" w:fill="EBFBFF"/>
          </w:tcPr>
          <w:p>
            <w:pPr>
              <w:spacing w:after="0"/>
              <w:rPr>
                <w:sz w:val="16"/>
                <w:szCs w:val="16"/>
                <w:color w:val="auto"/>
              </w:rPr>
            </w:pPr>
          </w:p>
        </w:tc>
        <w:tc>
          <w:tcPr>
            <w:tcW w:w="200" w:type="dxa"/>
            <w:vAlign w:val="bottom"/>
            <w:tcBorders>
              <w:bottom w:val="single" w:sz="8" w:color="EBFBFF"/>
            </w:tcBorders>
            <w:shd w:val="clear" w:color="auto" w:fill="EBFBFF"/>
          </w:tcPr>
          <w:p>
            <w:pPr>
              <w:spacing w:after="0"/>
              <w:rPr>
                <w:sz w:val="16"/>
                <w:szCs w:val="16"/>
                <w:color w:val="auto"/>
              </w:rPr>
            </w:pPr>
          </w:p>
        </w:tc>
        <w:tc>
          <w:tcPr>
            <w:tcW w:w="1300" w:type="dxa"/>
            <w:vAlign w:val="bottom"/>
            <w:tcBorders>
              <w:bottom w:val="single" w:sz="8" w:color="EBFBFF"/>
            </w:tcBorders>
            <w:shd w:val="clear" w:color="auto" w:fill="EBFBFF"/>
          </w:tcPr>
          <w:p>
            <w:pPr>
              <w:spacing w:after="0"/>
              <w:rPr>
                <w:sz w:val="16"/>
                <w:szCs w:val="16"/>
                <w:color w:val="auto"/>
              </w:rPr>
            </w:pPr>
          </w:p>
        </w:tc>
        <w:tc>
          <w:tcPr>
            <w:tcW w:w="80" w:type="dxa"/>
            <w:vAlign w:val="bottom"/>
            <w:tcBorders>
              <w:bottom w:val="single" w:sz="8" w:color="EBFBFF"/>
            </w:tcBorders>
            <w:shd w:val="clear" w:color="auto" w:fill="EBFBFF"/>
          </w:tcPr>
          <w:p>
            <w:pPr>
              <w:spacing w:after="0"/>
              <w:rPr>
                <w:sz w:val="16"/>
                <w:szCs w:val="16"/>
                <w:color w:val="auto"/>
              </w:rPr>
            </w:pPr>
          </w:p>
        </w:tc>
        <w:tc>
          <w:tcPr>
            <w:tcW w:w="580" w:type="dxa"/>
            <w:vAlign w:val="bottom"/>
            <w:tcBorders>
              <w:bottom w:val="single" w:sz="8" w:color="EBFBFF"/>
            </w:tcBorders>
            <w:shd w:val="clear" w:color="auto" w:fill="EBFBFF"/>
          </w:tcPr>
          <w:p>
            <w:pPr>
              <w:spacing w:after="0"/>
              <w:rPr>
                <w:sz w:val="16"/>
                <w:szCs w:val="16"/>
                <w:color w:val="auto"/>
              </w:rPr>
            </w:pPr>
          </w:p>
        </w:tc>
        <w:tc>
          <w:tcPr>
            <w:tcW w:w="920" w:type="dxa"/>
            <w:vAlign w:val="bottom"/>
            <w:tcBorders>
              <w:bottom w:val="single" w:sz="8" w:color="EBFBFF"/>
            </w:tcBorders>
            <w:shd w:val="clear" w:color="auto" w:fill="EBFB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5020" w:type="dxa"/>
            <w:vAlign w:val="bottom"/>
          </w:tcPr>
          <w:p>
            <w:pPr>
              <w:ind w:left="20"/>
              <w:spacing w:after="0"/>
              <w:rPr>
                <w:sz w:val="20"/>
                <w:szCs w:val="20"/>
                <w:color w:val="auto"/>
              </w:rPr>
            </w:pPr>
            <w:r>
              <w:rPr>
                <w:rFonts w:ascii="Calibri" w:cs="Calibri" w:eastAsia="Calibri" w:hAnsi="Calibri"/>
                <w:sz w:val="14"/>
                <w:szCs w:val="14"/>
                <w:color w:val="51555C"/>
              </w:rPr>
              <w:t>Financial assets:</w:t>
            </w: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5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2"/>
        </w:trPr>
        <w:tc>
          <w:tcPr>
            <w:tcW w:w="5020" w:type="dxa"/>
            <w:vAlign w:val="bottom"/>
            <w:tcBorders>
              <w:bottom w:val="single" w:sz="8" w:color="EBFBFF"/>
            </w:tcBorders>
            <w:shd w:val="clear" w:color="auto" w:fill="EBFBFF"/>
          </w:tcPr>
          <w:p>
            <w:pPr>
              <w:ind w:left="100"/>
              <w:spacing w:after="0"/>
              <w:rPr>
                <w:sz w:val="20"/>
                <w:szCs w:val="20"/>
                <w:color w:val="auto"/>
              </w:rPr>
            </w:pPr>
            <w:r>
              <w:rPr>
                <w:rFonts w:ascii="Calibri" w:cs="Calibri" w:eastAsia="Calibri" w:hAnsi="Calibri"/>
                <w:sz w:val="14"/>
                <w:szCs w:val="14"/>
                <w:i w:val="1"/>
                <w:iCs w:val="1"/>
                <w:color w:val="51555C"/>
              </w:rPr>
              <w:t>Interest rate swaps</w:t>
            </w:r>
          </w:p>
        </w:tc>
        <w:tc>
          <w:tcPr>
            <w:tcW w:w="1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w w:val="83"/>
              </w:rPr>
              <w:t>$</w:t>
            </w:r>
          </w:p>
        </w:tc>
        <w:tc>
          <w:tcPr>
            <w:tcW w:w="1460" w:type="dxa"/>
            <w:vAlign w:val="bottom"/>
            <w:tcBorders>
              <w:bottom w:val="single" w:sz="8" w:color="EBFBFF"/>
            </w:tcBorders>
            <w:gridSpan w:val="2"/>
            <w:shd w:val="clear" w:color="auto" w:fill="EBFBFF"/>
          </w:tcPr>
          <w:p>
            <w:pPr>
              <w:ind w:left="1200"/>
              <w:spacing w:after="0"/>
              <w:rPr>
                <w:sz w:val="20"/>
                <w:szCs w:val="20"/>
                <w:color w:val="auto"/>
              </w:rPr>
            </w:pPr>
            <w:r>
              <w:rPr>
                <w:rFonts w:ascii="Calibri" w:cs="Calibri" w:eastAsia="Calibri" w:hAnsi="Calibri"/>
                <w:sz w:val="14"/>
                <w:szCs w:val="14"/>
                <w:color w:val="51555C"/>
              </w:rPr>
              <w:t>—</w:t>
            </w:r>
          </w:p>
        </w:tc>
        <w:tc>
          <w:tcPr>
            <w:tcW w:w="1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w:t>
            </w:r>
          </w:p>
        </w:tc>
        <w:tc>
          <w:tcPr>
            <w:tcW w:w="13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14,282</w:t>
            </w:r>
          </w:p>
        </w:tc>
        <w:tc>
          <w:tcPr>
            <w:tcW w:w="100" w:type="dxa"/>
            <w:vAlign w:val="bottom"/>
            <w:tcBorders>
              <w:bottom w:val="single" w:sz="8" w:color="EBFBFF"/>
            </w:tcBorders>
            <w:shd w:val="clear" w:color="auto" w:fill="EBFBFF"/>
          </w:tcPr>
          <w:p>
            <w:pPr>
              <w:spacing w:after="0"/>
              <w:rPr>
                <w:sz w:val="16"/>
                <w:szCs w:val="16"/>
                <w:color w:val="auto"/>
              </w:rPr>
            </w:pPr>
          </w:p>
        </w:tc>
        <w:tc>
          <w:tcPr>
            <w:tcW w:w="200" w:type="dxa"/>
            <w:vAlign w:val="bottom"/>
            <w:tcBorders>
              <w:bottom w:val="single" w:sz="8" w:color="EBFBFF"/>
            </w:tcBorders>
            <w:shd w:val="clear" w:color="auto" w:fill="EBFBFF"/>
          </w:tcPr>
          <w:p>
            <w:pPr>
              <w:jc w:val="right"/>
              <w:ind w:right="51"/>
              <w:spacing w:after="0"/>
              <w:rPr>
                <w:sz w:val="20"/>
                <w:szCs w:val="20"/>
                <w:color w:val="auto"/>
              </w:rPr>
            </w:pPr>
            <w:r>
              <w:rPr>
                <w:rFonts w:ascii="Calibri" w:cs="Calibri" w:eastAsia="Calibri" w:hAnsi="Calibri"/>
                <w:sz w:val="14"/>
                <w:szCs w:val="14"/>
                <w:color w:val="51555C"/>
                <w:w w:val="83"/>
              </w:rPr>
              <w:t>$</w:t>
            </w:r>
          </w:p>
        </w:tc>
        <w:tc>
          <w:tcPr>
            <w:tcW w:w="1380" w:type="dxa"/>
            <w:vAlign w:val="bottom"/>
            <w:tcBorders>
              <w:bottom w:val="single" w:sz="8" w:color="EBFBFF"/>
            </w:tcBorders>
            <w:gridSpan w:val="2"/>
            <w:shd w:val="clear" w:color="auto" w:fill="EBFBFF"/>
          </w:tcPr>
          <w:p>
            <w:pPr>
              <w:jc w:val="right"/>
              <w:ind w:right="140"/>
              <w:spacing w:after="0"/>
              <w:rPr>
                <w:sz w:val="20"/>
                <w:szCs w:val="20"/>
                <w:color w:val="auto"/>
              </w:rPr>
            </w:pPr>
            <w:r>
              <w:rPr>
                <w:rFonts w:ascii="Calibri" w:cs="Calibri" w:eastAsia="Calibri" w:hAnsi="Calibri"/>
                <w:sz w:val="14"/>
                <w:szCs w:val="14"/>
                <w:color w:val="51555C"/>
              </w:rPr>
              <w:t>—</w:t>
            </w:r>
          </w:p>
        </w:tc>
        <w:tc>
          <w:tcPr>
            <w:tcW w:w="580" w:type="dxa"/>
            <w:vAlign w:val="bottom"/>
            <w:tcBorders>
              <w:bottom w:val="single" w:sz="8" w:color="EBFBFF"/>
            </w:tcBorders>
            <w:shd w:val="clear" w:color="auto" w:fill="EBFBFF"/>
          </w:tcPr>
          <w:p>
            <w:pPr>
              <w:jc w:val="right"/>
              <w:ind w:right="409"/>
              <w:spacing w:after="0"/>
              <w:rPr>
                <w:sz w:val="20"/>
                <w:szCs w:val="20"/>
                <w:color w:val="auto"/>
              </w:rPr>
            </w:pPr>
            <w:r>
              <w:rPr>
                <w:rFonts w:ascii="Calibri" w:cs="Calibri" w:eastAsia="Calibri" w:hAnsi="Calibri"/>
                <w:sz w:val="14"/>
                <w:szCs w:val="14"/>
                <w:color w:val="51555C"/>
              </w:rPr>
              <w:t>$</w:t>
            </w:r>
          </w:p>
        </w:tc>
        <w:tc>
          <w:tcPr>
            <w:tcW w:w="9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14,282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5020" w:type="dxa"/>
            <w:vAlign w:val="bottom"/>
          </w:tcPr>
          <w:p>
            <w:pPr>
              <w:ind w:left="100"/>
              <w:spacing w:after="0"/>
              <w:rPr>
                <w:sz w:val="20"/>
                <w:szCs w:val="20"/>
                <w:color w:val="auto"/>
              </w:rPr>
            </w:pPr>
            <w:r>
              <w:rPr>
                <w:rFonts w:ascii="Calibri" w:cs="Calibri" w:eastAsia="Calibri" w:hAnsi="Calibri"/>
                <w:sz w:val="14"/>
                <w:szCs w:val="14"/>
                <w:i w:val="1"/>
                <w:iCs w:val="1"/>
                <w:color w:val="51555C"/>
              </w:rPr>
              <w:t>Foreign currency forward contracts</w:t>
            </w:r>
          </w:p>
        </w:tc>
        <w:tc>
          <w:tcPr>
            <w:tcW w:w="120" w:type="dxa"/>
            <w:vAlign w:val="bottom"/>
          </w:tcPr>
          <w:p>
            <w:pPr>
              <w:spacing w:after="0"/>
              <w:rPr>
                <w:sz w:val="14"/>
                <w:szCs w:val="14"/>
                <w:color w:val="auto"/>
              </w:rPr>
            </w:pPr>
          </w:p>
        </w:tc>
        <w:tc>
          <w:tcPr>
            <w:tcW w:w="1460" w:type="dxa"/>
            <w:vAlign w:val="bottom"/>
            <w:gridSpan w:val="2"/>
          </w:tcPr>
          <w:p>
            <w:pPr>
              <w:ind w:left="1200"/>
              <w:spacing w:after="0"/>
              <w:rPr>
                <w:sz w:val="20"/>
                <w:szCs w:val="20"/>
                <w:color w:val="auto"/>
              </w:rPr>
            </w:pPr>
            <w:r>
              <w:rPr>
                <w:rFonts w:ascii="Calibri" w:cs="Calibri" w:eastAsia="Calibri" w:hAnsi="Calibri"/>
                <w:sz w:val="14"/>
                <w:szCs w:val="14"/>
                <w:color w:val="51555C"/>
              </w:rPr>
              <w:t>—</w:t>
            </w:r>
          </w:p>
        </w:tc>
        <w:tc>
          <w:tcPr>
            <w:tcW w:w="1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alibri" w:cs="Calibri" w:eastAsia="Calibri" w:hAnsi="Calibri"/>
                <w:sz w:val="14"/>
                <w:szCs w:val="14"/>
                <w:color w:val="51555C"/>
              </w:rPr>
              <w:t>252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right"/>
              <w:ind w:right="140"/>
              <w:spacing w:after="0"/>
              <w:rPr>
                <w:sz w:val="20"/>
                <w:szCs w:val="20"/>
                <w:color w:val="auto"/>
              </w:rPr>
            </w:pPr>
            <w:r>
              <w:rPr>
                <w:rFonts w:ascii="Calibri" w:cs="Calibri" w:eastAsia="Calibri" w:hAnsi="Calibri"/>
                <w:sz w:val="14"/>
                <w:szCs w:val="14"/>
                <w:color w:val="51555C"/>
              </w:rPr>
              <w:t>—</w:t>
            </w:r>
          </w:p>
        </w:tc>
        <w:tc>
          <w:tcPr>
            <w:tcW w:w="5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alibri" w:cs="Calibri" w:eastAsia="Calibri" w:hAnsi="Calibri"/>
                <w:sz w:val="14"/>
                <w:szCs w:val="14"/>
                <w:color w:val="51555C"/>
              </w:rPr>
              <w:t>252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5020" w:type="dxa"/>
            <w:vAlign w:val="bottom"/>
            <w:tcBorders>
              <w:bottom w:val="single" w:sz="8" w:color="EBFBFF"/>
            </w:tcBorders>
          </w:tcPr>
          <w:p>
            <w:pPr>
              <w:spacing w:after="0"/>
              <w:rPr>
                <w:sz w:val="3"/>
                <w:szCs w:val="3"/>
                <w:color w:val="auto"/>
              </w:rPr>
            </w:pPr>
          </w:p>
        </w:tc>
        <w:tc>
          <w:tcPr>
            <w:tcW w:w="120" w:type="dxa"/>
            <w:vAlign w:val="bottom"/>
            <w:tcBorders>
              <w:bottom w:val="single" w:sz="8" w:color="51555C"/>
            </w:tcBorders>
          </w:tcPr>
          <w:p>
            <w:pPr>
              <w:spacing w:after="0"/>
              <w:rPr>
                <w:sz w:val="3"/>
                <w:szCs w:val="3"/>
                <w:color w:val="auto"/>
              </w:rPr>
            </w:pPr>
          </w:p>
        </w:tc>
        <w:tc>
          <w:tcPr>
            <w:tcW w:w="1360" w:type="dxa"/>
            <w:vAlign w:val="bottom"/>
            <w:tcBorders>
              <w:bottom w:val="single" w:sz="8" w:color="51555C"/>
            </w:tcBorders>
          </w:tcPr>
          <w:p>
            <w:pPr>
              <w:spacing w:after="0"/>
              <w:rPr>
                <w:sz w:val="3"/>
                <w:szCs w:val="3"/>
                <w:color w:val="auto"/>
              </w:rPr>
            </w:pPr>
          </w:p>
        </w:tc>
        <w:tc>
          <w:tcPr>
            <w:tcW w:w="100" w:type="dxa"/>
            <w:vAlign w:val="bottom"/>
            <w:tcBorders>
              <w:bottom w:val="single" w:sz="8" w:color="EBFBFF"/>
            </w:tcBorders>
          </w:tcPr>
          <w:p>
            <w:pPr>
              <w:spacing w:after="0"/>
              <w:rPr>
                <w:sz w:val="3"/>
                <w:szCs w:val="3"/>
                <w:color w:val="auto"/>
              </w:rPr>
            </w:pPr>
          </w:p>
        </w:tc>
        <w:tc>
          <w:tcPr>
            <w:tcW w:w="120" w:type="dxa"/>
            <w:vAlign w:val="bottom"/>
            <w:tcBorders>
              <w:bottom w:val="single" w:sz="8" w:color="51555C"/>
            </w:tcBorders>
          </w:tcPr>
          <w:p>
            <w:pPr>
              <w:spacing w:after="0"/>
              <w:rPr>
                <w:sz w:val="3"/>
                <w:szCs w:val="3"/>
                <w:color w:val="auto"/>
              </w:rPr>
            </w:pPr>
          </w:p>
        </w:tc>
        <w:tc>
          <w:tcPr>
            <w:tcW w:w="1380" w:type="dxa"/>
            <w:vAlign w:val="bottom"/>
            <w:tcBorders>
              <w:bottom w:val="single" w:sz="8" w:color="51555C"/>
            </w:tcBorders>
          </w:tcPr>
          <w:p>
            <w:pPr>
              <w:spacing w:after="0"/>
              <w:rPr>
                <w:sz w:val="3"/>
                <w:szCs w:val="3"/>
                <w:color w:val="auto"/>
              </w:rPr>
            </w:pPr>
          </w:p>
        </w:tc>
        <w:tc>
          <w:tcPr>
            <w:tcW w:w="100" w:type="dxa"/>
            <w:vAlign w:val="bottom"/>
            <w:tcBorders>
              <w:bottom w:val="single" w:sz="8" w:color="EBFBFF"/>
            </w:tcBorders>
          </w:tcPr>
          <w:p>
            <w:pPr>
              <w:spacing w:after="0"/>
              <w:rPr>
                <w:sz w:val="3"/>
                <w:szCs w:val="3"/>
                <w:color w:val="auto"/>
              </w:rPr>
            </w:pPr>
          </w:p>
        </w:tc>
        <w:tc>
          <w:tcPr>
            <w:tcW w:w="200" w:type="dxa"/>
            <w:vAlign w:val="bottom"/>
            <w:tcBorders>
              <w:bottom w:val="single" w:sz="8" w:color="51555C"/>
            </w:tcBorders>
          </w:tcPr>
          <w:p>
            <w:pPr>
              <w:spacing w:after="0"/>
              <w:rPr>
                <w:sz w:val="3"/>
                <w:szCs w:val="3"/>
                <w:color w:val="auto"/>
              </w:rPr>
            </w:pPr>
          </w:p>
        </w:tc>
        <w:tc>
          <w:tcPr>
            <w:tcW w:w="1300" w:type="dxa"/>
            <w:vAlign w:val="bottom"/>
            <w:tcBorders>
              <w:bottom w:val="single" w:sz="8" w:color="51555C"/>
            </w:tcBorders>
          </w:tcPr>
          <w:p>
            <w:pPr>
              <w:spacing w:after="0"/>
              <w:rPr>
                <w:sz w:val="3"/>
                <w:szCs w:val="3"/>
                <w:color w:val="auto"/>
              </w:rPr>
            </w:pPr>
          </w:p>
        </w:tc>
        <w:tc>
          <w:tcPr>
            <w:tcW w:w="80" w:type="dxa"/>
            <w:vAlign w:val="bottom"/>
            <w:tcBorders>
              <w:bottom w:val="single" w:sz="8" w:color="EBFBFF"/>
            </w:tcBorders>
          </w:tcPr>
          <w:p>
            <w:pPr>
              <w:spacing w:after="0"/>
              <w:rPr>
                <w:sz w:val="3"/>
                <w:szCs w:val="3"/>
                <w:color w:val="auto"/>
              </w:rPr>
            </w:pPr>
          </w:p>
        </w:tc>
        <w:tc>
          <w:tcPr>
            <w:tcW w:w="580" w:type="dxa"/>
            <w:vAlign w:val="bottom"/>
            <w:tcBorders>
              <w:bottom w:val="single" w:sz="8" w:color="51555C"/>
            </w:tcBorders>
          </w:tcPr>
          <w:p>
            <w:pPr>
              <w:spacing w:after="0"/>
              <w:rPr>
                <w:sz w:val="3"/>
                <w:szCs w:val="3"/>
                <w:color w:val="auto"/>
              </w:rPr>
            </w:pPr>
          </w:p>
        </w:tc>
        <w:tc>
          <w:tcPr>
            <w:tcW w:w="920" w:type="dxa"/>
            <w:vAlign w:val="bottom"/>
            <w:tcBorders>
              <w:bottom w:val="single" w:sz="8" w:color="51555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5020" w:type="dxa"/>
            <w:vAlign w:val="bottom"/>
            <w:tcBorders>
              <w:bottom w:val="single" w:sz="8" w:color="EBFBFF"/>
            </w:tcBorders>
            <w:shd w:val="clear" w:color="auto" w:fill="EBFBFF"/>
          </w:tcPr>
          <w:p>
            <w:pPr>
              <w:ind w:left="180"/>
              <w:spacing w:after="0" w:line="163" w:lineRule="exact"/>
              <w:rPr>
                <w:sz w:val="20"/>
                <w:szCs w:val="20"/>
                <w:color w:val="auto"/>
              </w:rPr>
            </w:pPr>
            <w:r>
              <w:rPr>
                <w:rFonts w:ascii="Calibri" w:cs="Calibri" w:eastAsia="Calibri" w:hAnsi="Calibri"/>
                <w:sz w:val="14"/>
                <w:szCs w:val="14"/>
                <w:color w:val="51555C"/>
              </w:rPr>
              <w:t>Total fnancial assets</w:t>
            </w:r>
          </w:p>
        </w:tc>
        <w:tc>
          <w:tcPr>
            <w:tcW w:w="120" w:type="dxa"/>
            <w:vAlign w:val="bottom"/>
            <w:tcBorders>
              <w:bottom w:val="single" w:sz="8" w:color="EBFBFF"/>
            </w:tcBorders>
            <w:shd w:val="clear" w:color="auto" w:fill="EBFBFF"/>
          </w:tcPr>
          <w:p>
            <w:pPr>
              <w:jc w:val="right"/>
              <w:spacing w:after="0" w:line="163" w:lineRule="exact"/>
              <w:rPr>
                <w:sz w:val="20"/>
                <w:szCs w:val="20"/>
                <w:color w:val="auto"/>
              </w:rPr>
            </w:pPr>
            <w:r>
              <w:rPr>
                <w:rFonts w:ascii="Calibri" w:cs="Calibri" w:eastAsia="Calibri" w:hAnsi="Calibri"/>
                <w:sz w:val="14"/>
                <w:szCs w:val="14"/>
                <w:color w:val="51555C"/>
                <w:w w:val="83"/>
              </w:rPr>
              <w:t>$</w:t>
            </w:r>
          </w:p>
        </w:tc>
        <w:tc>
          <w:tcPr>
            <w:tcW w:w="1460" w:type="dxa"/>
            <w:vAlign w:val="bottom"/>
            <w:tcBorders>
              <w:bottom w:val="single" w:sz="8" w:color="EBFBFF"/>
            </w:tcBorders>
            <w:gridSpan w:val="2"/>
            <w:shd w:val="clear" w:color="auto" w:fill="EBFBFF"/>
          </w:tcPr>
          <w:p>
            <w:pPr>
              <w:ind w:left="1200"/>
              <w:spacing w:after="0" w:line="163" w:lineRule="exact"/>
              <w:rPr>
                <w:sz w:val="20"/>
                <w:szCs w:val="20"/>
                <w:color w:val="auto"/>
              </w:rPr>
            </w:pPr>
            <w:r>
              <w:rPr>
                <w:rFonts w:ascii="Calibri" w:cs="Calibri" w:eastAsia="Calibri" w:hAnsi="Calibri"/>
                <w:sz w:val="14"/>
                <w:szCs w:val="14"/>
                <w:color w:val="51555C"/>
              </w:rPr>
              <w:t>—</w:t>
            </w:r>
          </w:p>
        </w:tc>
        <w:tc>
          <w:tcPr>
            <w:tcW w:w="120" w:type="dxa"/>
            <w:vAlign w:val="bottom"/>
            <w:tcBorders>
              <w:bottom w:val="single" w:sz="8" w:color="EBFBFF"/>
            </w:tcBorders>
            <w:shd w:val="clear" w:color="auto" w:fill="EBFBFF"/>
          </w:tcPr>
          <w:p>
            <w:pPr>
              <w:jc w:val="right"/>
              <w:spacing w:after="0" w:line="163" w:lineRule="exact"/>
              <w:rPr>
                <w:sz w:val="20"/>
                <w:szCs w:val="20"/>
                <w:color w:val="auto"/>
              </w:rPr>
            </w:pPr>
            <w:r>
              <w:rPr>
                <w:rFonts w:ascii="Calibri" w:cs="Calibri" w:eastAsia="Calibri" w:hAnsi="Calibri"/>
                <w:sz w:val="14"/>
                <w:szCs w:val="14"/>
                <w:color w:val="51555C"/>
              </w:rPr>
              <w:t>$</w:t>
            </w:r>
          </w:p>
        </w:tc>
        <w:tc>
          <w:tcPr>
            <w:tcW w:w="1380" w:type="dxa"/>
            <w:vAlign w:val="bottom"/>
            <w:tcBorders>
              <w:bottom w:val="single" w:sz="8" w:color="EBFBFF"/>
            </w:tcBorders>
            <w:shd w:val="clear" w:color="auto" w:fill="EBFBFF"/>
          </w:tcPr>
          <w:p>
            <w:pPr>
              <w:jc w:val="right"/>
              <w:spacing w:after="0" w:line="163" w:lineRule="exact"/>
              <w:rPr>
                <w:sz w:val="20"/>
                <w:szCs w:val="20"/>
                <w:color w:val="auto"/>
              </w:rPr>
            </w:pPr>
            <w:r>
              <w:rPr>
                <w:rFonts w:ascii="Calibri" w:cs="Calibri" w:eastAsia="Calibri" w:hAnsi="Calibri"/>
                <w:sz w:val="14"/>
                <w:szCs w:val="14"/>
                <w:color w:val="51555C"/>
              </w:rPr>
              <w:t>14,534</w:t>
            </w:r>
          </w:p>
        </w:tc>
        <w:tc>
          <w:tcPr>
            <w:tcW w:w="100" w:type="dxa"/>
            <w:vAlign w:val="bottom"/>
            <w:tcBorders>
              <w:bottom w:val="single" w:sz="8" w:color="EBFBFF"/>
            </w:tcBorders>
            <w:shd w:val="clear" w:color="auto" w:fill="EBFBFF"/>
          </w:tcPr>
          <w:p>
            <w:pPr>
              <w:spacing w:after="0"/>
              <w:rPr>
                <w:sz w:val="15"/>
                <w:szCs w:val="15"/>
                <w:color w:val="auto"/>
              </w:rPr>
            </w:pPr>
          </w:p>
        </w:tc>
        <w:tc>
          <w:tcPr>
            <w:tcW w:w="200" w:type="dxa"/>
            <w:vAlign w:val="bottom"/>
            <w:tcBorders>
              <w:bottom w:val="single" w:sz="8" w:color="EBFBFF"/>
            </w:tcBorders>
            <w:shd w:val="clear" w:color="auto" w:fill="EBFBFF"/>
          </w:tcPr>
          <w:p>
            <w:pPr>
              <w:jc w:val="right"/>
              <w:ind w:right="51"/>
              <w:spacing w:after="0" w:line="163" w:lineRule="exact"/>
              <w:rPr>
                <w:sz w:val="20"/>
                <w:szCs w:val="20"/>
                <w:color w:val="auto"/>
              </w:rPr>
            </w:pPr>
            <w:r>
              <w:rPr>
                <w:rFonts w:ascii="Calibri" w:cs="Calibri" w:eastAsia="Calibri" w:hAnsi="Calibri"/>
                <w:sz w:val="14"/>
                <w:szCs w:val="14"/>
                <w:color w:val="51555C"/>
                <w:w w:val="83"/>
              </w:rPr>
              <w:t>$</w:t>
            </w:r>
          </w:p>
        </w:tc>
        <w:tc>
          <w:tcPr>
            <w:tcW w:w="1380" w:type="dxa"/>
            <w:vAlign w:val="bottom"/>
            <w:tcBorders>
              <w:bottom w:val="single" w:sz="8" w:color="EBFBFF"/>
            </w:tcBorders>
            <w:gridSpan w:val="2"/>
            <w:shd w:val="clear" w:color="auto" w:fill="EBFBFF"/>
          </w:tcPr>
          <w:p>
            <w:pPr>
              <w:jc w:val="right"/>
              <w:ind w:right="140"/>
              <w:spacing w:after="0" w:line="163" w:lineRule="exact"/>
              <w:rPr>
                <w:sz w:val="20"/>
                <w:szCs w:val="20"/>
                <w:color w:val="auto"/>
              </w:rPr>
            </w:pPr>
            <w:r>
              <w:rPr>
                <w:rFonts w:ascii="Calibri" w:cs="Calibri" w:eastAsia="Calibri" w:hAnsi="Calibri"/>
                <w:sz w:val="14"/>
                <w:szCs w:val="14"/>
                <w:color w:val="51555C"/>
              </w:rPr>
              <w:t>—</w:t>
            </w:r>
          </w:p>
        </w:tc>
        <w:tc>
          <w:tcPr>
            <w:tcW w:w="580" w:type="dxa"/>
            <w:vAlign w:val="bottom"/>
            <w:tcBorders>
              <w:bottom w:val="single" w:sz="8" w:color="EBFBFF"/>
            </w:tcBorders>
            <w:shd w:val="clear" w:color="auto" w:fill="EBFBFF"/>
          </w:tcPr>
          <w:p>
            <w:pPr>
              <w:jc w:val="right"/>
              <w:ind w:right="409"/>
              <w:spacing w:after="0" w:line="163" w:lineRule="exact"/>
              <w:rPr>
                <w:sz w:val="20"/>
                <w:szCs w:val="20"/>
                <w:color w:val="auto"/>
              </w:rPr>
            </w:pPr>
            <w:r>
              <w:rPr>
                <w:rFonts w:ascii="Calibri" w:cs="Calibri" w:eastAsia="Calibri" w:hAnsi="Calibri"/>
                <w:sz w:val="14"/>
                <w:szCs w:val="14"/>
                <w:color w:val="51555C"/>
              </w:rPr>
              <w:t>$</w:t>
            </w:r>
          </w:p>
        </w:tc>
        <w:tc>
          <w:tcPr>
            <w:tcW w:w="920" w:type="dxa"/>
            <w:vAlign w:val="bottom"/>
            <w:tcBorders>
              <w:bottom w:val="single" w:sz="8" w:color="EBFBFF"/>
            </w:tcBorders>
            <w:shd w:val="clear" w:color="auto" w:fill="EBFBFF"/>
          </w:tcPr>
          <w:p>
            <w:pPr>
              <w:jc w:val="right"/>
              <w:spacing w:after="0" w:line="163" w:lineRule="exact"/>
              <w:rPr>
                <w:sz w:val="20"/>
                <w:szCs w:val="20"/>
                <w:color w:val="auto"/>
              </w:rPr>
            </w:pPr>
            <w:r>
              <w:rPr>
                <w:rFonts w:ascii="Calibri" w:cs="Calibri" w:eastAsia="Calibri" w:hAnsi="Calibri"/>
                <w:sz w:val="14"/>
                <w:szCs w:val="14"/>
                <w:color w:val="51555C"/>
              </w:rPr>
              <w:t>14,534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502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4"/>
                <w:szCs w:val="14"/>
                <w:b w:val="1"/>
                <w:bCs w:val="1"/>
                <w:color w:val="51555C"/>
              </w:rPr>
              <w:t>Fair value as of June 30, 2024</w:t>
            </w:r>
          </w:p>
        </w:tc>
        <w:tc>
          <w:tcPr>
            <w:tcW w:w="120" w:type="dxa"/>
            <w:vAlign w:val="bottom"/>
            <w:tcBorders>
              <w:bottom w:val="single" w:sz="8" w:color="EBFBFF"/>
            </w:tcBorders>
            <w:shd w:val="clear" w:color="auto" w:fill="EBFBFF"/>
          </w:tcPr>
          <w:p>
            <w:pPr>
              <w:spacing w:after="0"/>
              <w:rPr>
                <w:sz w:val="16"/>
                <w:szCs w:val="16"/>
                <w:color w:val="auto"/>
              </w:rPr>
            </w:pPr>
          </w:p>
        </w:tc>
        <w:tc>
          <w:tcPr>
            <w:tcW w:w="1360" w:type="dxa"/>
            <w:vAlign w:val="bottom"/>
            <w:tcBorders>
              <w:bottom w:val="single" w:sz="8" w:color="EBFBFF"/>
            </w:tcBorders>
            <w:shd w:val="clear" w:color="auto" w:fill="EBFBFF"/>
          </w:tcPr>
          <w:p>
            <w:pPr>
              <w:spacing w:after="0"/>
              <w:rPr>
                <w:sz w:val="16"/>
                <w:szCs w:val="16"/>
                <w:color w:val="auto"/>
              </w:rPr>
            </w:pPr>
          </w:p>
        </w:tc>
        <w:tc>
          <w:tcPr>
            <w:tcW w:w="100" w:type="dxa"/>
            <w:vAlign w:val="bottom"/>
            <w:tcBorders>
              <w:bottom w:val="single" w:sz="8" w:color="EBFBFF"/>
            </w:tcBorders>
            <w:shd w:val="clear" w:color="auto" w:fill="EBFBFF"/>
          </w:tcPr>
          <w:p>
            <w:pPr>
              <w:spacing w:after="0"/>
              <w:rPr>
                <w:sz w:val="16"/>
                <w:szCs w:val="16"/>
                <w:color w:val="auto"/>
              </w:rPr>
            </w:pPr>
          </w:p>
        </w:tc>
        <w:tc>
          <w:tcPr>
            <w:tcW w:w="120" w:type="dxa"/>
            <w:vAlign w:val="bottom"/>
            <w:tcBorders>
              <w:bottom w:val="single" w:sz="8" w:color="EBFBFF"/>
            </w:tcBorders>
            <w:shd w:val="clear" w:color="auto" w:fill="EBFBFF"/>
          </w:tcPr>
          <w:p>
            <w:pPr>
              <w:spacing w:after="0"/>
              <w:rPr>
                <w:sz w:val="16"/>
                <w:szCs w:val="16"/>
                <w:color w:val="auto"/>
              </w:rPr>
            </w:pPr>
          </w:p>
        </w:tc>
        <w:tc>
          <w:tcPr>
            <w:tcW w:w="1380" w:type="dxa"/>
            <w:vAlign w:val="bottom"/>
            <w:tcBorders>
              <w:bottom w:val="single" w:sz="8" w:color="EBFBFF"/>
            </w:tcBorders>
            <w:shd w:val="clear" w:color="auto" w:fill="EBFBFF"/>
          </w:tcPr>
          <w:p>
            <w:pPr>
              <w:spacing w:after="0"/>
              <w:rPr>
                <w:sz w:val="16"/>
                <w:szCs w:val="16"/>
                <w:color w:val="auto"/>
              </w:rPr>
            </w:pPr>
          </w:p>
        </w:tc>
        <w:tc>
          <w:tcPr>
            <w:tcW w:w="100" w:type="dxa"/>
            <w:vAlign w:val="bottom"/>
            <w:tcBorders>
              <w:bottom w:val="single" w:sz="8" w:color="EBFBFF"/>
            </w:tcBorders>
            <w:shd w:val="clear" w:color="auto" w:fill="EBFBFF"/>
          </w:tcPr>
          <w:p>
            <w:pPr>
              <w:spacing w:after="0"/>
              <w:rPr>
                <w:sz w:val="16"/>
                <w:szCs w:val="16"/>
                <w:color w:val="auto"/>
              </w:rPr>
            </w:pPr>
          </w:p>
        </w:tc>
        <w:tc>
          <w:tcPr>
            <w:tcW w:w="200" w:type="dxa"/>
            <w:vAlign w:val="bottom"/>
            <w:tcBorders>
              <w:bottom w:val="single" w:sz="8" w:color="EBFBFF"/>
            </w:tcBorders>
            <w:shd w:val="clear" w:color="auto" w:fill="EBFBFF"/>
          </w:tcPr>
          <w:p>
            <w:pPr>
              <w:spacing w:after="0"/>
              <w:rPr>
                <w:sz w:val="16"/>
                <w:szCs w:val="16"/>
                <w:color w:val="auto"/>
              </w:rPr>
            </w:pPr>
          </w:p>
        </w:tc>
        <w:tc>
          <w:tcPr>
            <w:tcW w:w="1300" w:type="dxa"/>
            <w:vAlign w:val="bottom"/>
            <w:tcBorders>
              <w:bottom w:val="single" w:sz="8" w:color="EBFBFF"/>
            </w:tcBorders>
            <w:shd w:val="clear" w:color="auto" w:fill="EBFBFF"/>
          </w:tcPr>
          <w:p>
            <w:pPr>
              <w:spacing w:after="0"/>
              <w:rPr>
                <w:sz w:val="16"/>
                <w:szCs w:val="16"/>
                <w:color w:val="auto"/>
              </w:rPr>
            </w:pPr>
          </w:p>
        </w:tc>
        <w:tc>
          <w:tcPr>
            <w:tcW w:w="80" w:type="dxa"/>
            <w:vAlign w:val="bottom"/>
            <w:tcBorders>
              <w:bottom w:val="single" w:sz="8" w:color="EBFBFF"/>
            </w:tcBorders>
            <w:shd w:val="clear" w:color="auto" w:fill="EBFBFF"/>
          </w:tcPr>
          <w:p>
            <w:pPr>
              <w:spacing w:after="0"/>
              <w:rPr>
                <w:sz w:val="16"/>
                <w:szCs w:val="16"/>
                <w:color w:val="auto"/>
              </w:rPr>
            </w:pPr>
          </w:p>
        </w:tc>
        <w:tc>
          <w:tcPr>
            <w:tcW w:w="580" w:type="dxa"/>
            <w:vAlign w:val="bottom"/>
            <w:tcBorders>
              <w:bottom w:val="single" w:sz="8" w:color="EBFBFF"/>
            </w:tcBorders>
            <w:shd w:val="clear" w:color="auto" w:fill="EBFBFF"/>
          </w:tcPr>
          <w:p>
            <w:pPr>
              <w:spacing w:after="0"/>
              <w:rPr>
                <w:sz w:val="16"/>
                <w:szCs w:val="16"/>
                <w:color w:val="auto"/>
              </w:rPr>
            </w:pPr>
          </w:p>
        </w:tc>
        <w:tc>
          <w:tcPr>
            <w:tcW w:w="920" w:type="dxa"/>
            <w:vAlign w:val="bottom"/>
            <w:tcBorders>
              <w:bottom w:val="single" w:sz="8" w:color="EBFBFF"/>
            </w:tcBorders>
            <w:shd w:val="clear" w:color="auto" w:fill="EBFB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5020" w:type="dxa"/>
            <w:vAlign w:val="bottom"/>
          </w:tcPr>
          <w:p>
            <w:pPr>
              <w:ind w:left="20"/>
              <w:spacing w:after="0"/>
              <w:rPr>
                <w:sz w:val="20"/>
                <w:szCs w:val="20"/>
                <w:color w:val="auto"/>
              </w:rPr>
            </w:pPr>
            <w:r>
              <w:rPr>
                <w:rFonts w:ascii="Calibri" w:cs="Calibri" w:eastAsia="Calibri" w:hAnsi="Calibri"/>
                <w:sz w:val="14"/>
                <w:szCs w:val="14"/>
                <w:color w:val="51555C"/>
              </w:rPr>
              <w:t>Financial liabilites:</w:t>
            </w: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5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2"/>
        </w:trPr>
        <w:tc>
          <w:tcPr>
            <w:tcW w:w="5020" w:type="dxa"/>
            <w:vAlign w:val="bottom"/>
            <w:tcBorders>
              <w:bottom w:val="single" w:sz="8" w:color="EBFBFF"/>
            </w:tcBorders>
            <w:shd w:val="clear" w:color="auto" w:fill="EBFBFF"/>
          </w:tcPr>
          <w:p>
            <w:pPr>
              <w:ind w:left="100"/>
              <w:spacing w:after="0"/>
              <w:rPr>
                <w:sz w:val="20"/>
                <w:szCs w:val="20"/>
                <w:color w:val="auto"/>
              </w:rPr>
            </w:pPr>
            <w:r>
              <w:rPr>
                <w:rFonts w:ascii="Calibri" w:cs="Calibri" w:eastAsia="Calibri" w:hAnsi="Calibri"/>
                <w:sz w:val="14"/>
                <w:szCs w:val="14"/>
                <w:i w:val="1"/>
                <w:iCs w:val="1"/>
                <w:color w:val="51555C"/>
              </w:rPr>
              <w:t>Foreign currency forward contracts</w:t>
            </w:r>
          </w:p>
        </w:tc>
        <w:tc>
          <w:tcPr>
            <w:tcW w:w="1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w w:val="83"/>
              </w:rPr>
              <w:t>$</w:t>
            </w:r>
          </w:p>
        </w:tc>
        <w:tc>
          <w:tcPr>
            <w:tcW w:w="1460" w:type="dxa"/>
            <w:vAlign w:val="bottom"/>
            <w:tcBorders>
              <w:bottom w:val="single" w:sz="8" w:color="EBFBFF"/>
            </w:tcBorders>
            <w:gridSpan w:val="2"/>
            <w:shd w:val="clear" w:color="auto" w:fill="EBFBFF"/>
          </w:tcPr>
          <w:p>
            <w:pPr>
              <w:ind w:left="1200"/>
              <w:spacing w:after="0"/>
              <w:rPr>
                <w:sz w:val="20"/>
                <w:szCs w:val="20"/>
                <w:color w:val="auto"/>
              </w:rPr>
            </w:pPr>
            <w:r>
              <w:rPr>
                <w:rFonts w:ascii="Calibri" w:cs="Calibri" w:eastAsia="Calibri" w:hAnsi="Calibri"/>
                <w:sz w:val="14"/>
                <w:szCs w:val="14"/>
                <w:color w:val="51555C"/>
              </w:rPr>
              <w:t>—</w:t>
            </w:r>
          </w:p>
        </w:tc>
        <w:tc>
          <w:tcPr>
            <w:tcW w:w="1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w:t>
            </w:r>
          </w:p>
        </w:tc>
        <w:tc>
          <w:tcPr>
            <w:tcW w:w="13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56</w:t>
            </w:r>
          </w:p>
        </w:tc>
        <w:tc>
          <w:tcPr>
            <w:tcW w:w="100" w:type="dxa"/>
            <w:vAlign w:val="bottom"/>
            <w:tcBorders>
              <w:bottom w:val="single" w:sz="8" w:color="EBFBFF"/>
            </w:tcBorders>
            <w:shd w:val="clear" w:color="auto" w:fill="EBFBFF"/>
          </w:tcPr>
          <w:p>
            <w:pPr>
              <w:spacing w:after="0"/>
              <w:rPr>
                <w:sz w:val="18"/>
                <w:szCs w:val="18"/>
                <w:color w:val="auto"/>
              </w:rPr>
            </w:pPr>
          </w:p>
        </w:tc>
        <w:tc>
          <w:tcPr>
            <w:tcW w:w="200" w:type="dxa"/>
            <w:vAlign w:val="bottom"/>
            <w:tcBorders>
              <w:bottom w:val="single" w:sz="8" w:color="EBFBFF"/>
            </w:tcBorders>
            <w:shd w:val="clear" w:color="auto" w:fill="EBFBFF"/>
          </w:tcPr>
          <w:p>
            <w:pPr>
              <w:jc w:val="right"/>
              <w:ind w:right="51"/>
              <w:spacing w:after="0"/>
              <w:rPr>
                <w:sz w:val="20"/>
                <w:szCs w:val="20"/>
                <w:color w:val="auto"/>
              </w:rPr>
            </w:pPr>
            <w:r>
              <w:rPr>
                <w:rFonts w:ascii="Calibri" w:cs="Calibri" w:eastAsia="Calibri" w:hAnsi="Calibri"/>
                <w:sz w:val="14"/>
                <w:szCs w:val="14"/>
                <w:color w:val="51555C"/>
                <w:w w:val="83"/>
              </w:rPr>
              <w:t>$</w:t>
            </w:r>
          </w:p>
        </w:tc>
        <w:tc>
          <w:tcPr>
            <w:tcW w:w="1380" w:type="dxa"/>
            <w:vAlign w:val="bottom"/>
            <w:tcBorders>
              <w:bottom w:val="single" w:sz="8" w:color="EBFBFF"/>
            </w:tcBorders>
            <w:gridSpan w:val="2"/>
            <w:shd w:val="clear" w:color="auto" w:fill="EBFBFF"/>
          </w:tcPr>
          <w:p>
            <w:pPr>
              <w:jc w:val="right"/>
              <w:ind w:right="140"/>
              <w:spacing w:after="0"/>
              <w:rPr>
                <w:sz w:val="20"/>
                <w:szCs w:val="20"/>
                <w:color w:val="auto"/>
              </w:rPr>
            </w:pPr>
            <w:r>
              <w:rPr>
                <w:rFonts w:ascii="Calibri" w:cs="Calibri" w:eastAsia="Calibri" w:hAnsi="Calibri"/>
                <w:sz w:val="14"/>
                <w:szCs w:val="14"/>
                <w:color w:val="51555C"/>
              </w:rPr>
              <w:t>—</w:t>
            </w:r>
          </w:p>
        </w:tc>
        <w:tc>
          <w:tcPr>
            <w:tcW w:w="580" w:type="dxa"/>
            <w:vAlign w:val="bottom"/>
            <w:tcBorders>
              <w:bottom w:val="single" w:sz="8" w:color="EBFBFF"/>
            </w:tcBorders>
            <w:shd w:val="clear" w:color="auto" w:fill="EBFBFF"/>
          </w:tcPr>
          <w:p>
            <w:pPr>
              <w:jc w:val="right"/>
              <w:ind w:right="409"/>
              <w:spacing w:after="0"/>
              <w:rPr>
                <w:sz w:val="20"/>
                <w:szCs w:val="20"/>
                <w:color w:val="auto"/>
              </w:rPr>
            </w:pPr>
            <w:r>
              <w:rPr>
                <w:rFonts w:ascii="Calibri" w:cs="Calibri" w:eastAsia="Calibri" w:hAnsi="Calibri"/>
                <w:sz w:val="14"/>
                <w:szCs w:val="14"/>
                <w:color w:val="51555C"/>
              </w:rPr>
              <w:t>$</w:t>
            </w:r>
          </w:p>
        </w:tc>
        <w:tc>
          <w:tcPr>
            <w:tcW w:w="9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5020" w:type="dxa"/>
            <w:vAlign w:val="bottom"/>
          </w:tcPr>
          <w:p>
            <w:pPr>
              <w:ind w:left="180"/>
              <w:spacing w:after="0" w:line="163" w:lineRule="exact"/>
              <w:rPr>
                <w:sz w:val="20"/>
                <w:szCs w:val="20"/>
                <w:color w:val="auto"/>
              </w:rPr>
            </w:pPr>
            <w:r>
              <w:rPr>
                <w:rFonts w:ascii="Calibri" w:cs="Calibri" w:eastAsia="Calibri" w:hAnsi="Calibri"/>
                <w:sz w:val="14"/>
                <w:szCs w:val="14"/>
                <w:color w:val="51555C"/>
              </w:rPr>
              <w:t>Total fnancial liabilites</w:t>
            </w:r>
          </w:p>
        </w:tc>
        <w:tc>
          <w:tcPr>
            <w:tcW w:w="120" w:type="dxa"/>
            <w:vAlign w:val="bottom"/>
            <w:tcBorders>
              <w:top w:val="single" w:sz="8" w:color="51555C"/>
            </w:tcBorders>
          </w:tcPr>
          <w:p>
            <w:pPr>
              <w:jc w:val="right"/>
              <w:spacing w:after="0" w:line="163" w:lineRule="exact"/>
              <w:rPr>
                <w:sz w:val="20"/>
                <w:szCs w:val="20"/>
                <w:color w:val="auto"/>
              </w:rPr>
            </w:pPr>
            <w:r>
              <w:rPr>
                <w:rFonts w:ascii="Calibri" w:cs="Calibri" w:eastAsia="Calibri" w:hAnsi="Calibri"/>
                <w:sz w:val="14"/>
                <w:szCs w:val="14"/>
                <w:color w:val="51555C"/>
                <w:w w:val="83"/>
              </w:rPr>
              <w:t>$</w:t>
            </w:r>
          </w:p>
        </w:tc>
        <w:tc>
          <w:tcPr>
            <w:tcW w:w="1360" w:type="dxa"/>
            <w:vAlign w:val="bottom"/>
            <w:tcBorders>
              <w:top w:val="single" w:sz="8" w:color="51555C"/>
            </w:tcBorders>
          </w:tcPr>
          <w:p>
            <w:pPr>
              <w:ind w:left="1200"/>
              <w:spacing w:after="0" w:line="163" w:lineRule="exact"/>
              <w:rPr>
                <w:sz w:val="20"/>
                <w:szCs w:val="20"/>
                <w:color w:val="auto"/>
              </w:rPr>
            </w:pPr>
            <w:r>
              <w:rPr>
                <w:rFonts w:ascii="Calibri" w:cs="Calibri" w:eastAsia="Calibri" w:hAnsi="Calibri"/>
                <w:sz w:val="14"/>
                <w:szCs w:val="14"/>
                <w:color w:val="51555C"/>
              </w:rPr>
              <w:t>—</w:t>
            </w:r>
          </w:p>
        </w:tc>
        <w:tc>
          <w:tcPr>
            <w:tcW w:w="100" w:type="dxa"/>
            <w:vAlign w:val="bottom"/>
          </w:tcPr>
          <w:p>
            <w:pPr>
              <w:spacing w:after="0"/>
              <w:rPr>
                <w:sz w:val="14"/>
                <w:szCs w:val="14"/>
                <w:color w:val="auto"/>
              </w:rPr>
            </w:pPr>
          </w:p>
        </w:tc>
        <w:tc>
          <w:tcPr>
            <w:tcW w:w="120" w:type="dxa"/>
            <w:vAlign w:val="bottom"/>
            <w:tcBorders>
              <w:top w:val="single" w:sz="8" w:color="51555C"/>
            </w:tcBorders>
          </w:tcPr>
          <w:p>
            <w:pPr>
              <w:jc w:val="right"/>
              <w:spacing w:after="0" w:line="163" w:lineRule="exact"/>
              <w:rPr>
                <w:sz w:val="20"/>
                <w:szCs w:val="20"/>
                <w:color w:val="auto"/>
              </w:rPr>
            </w:pPr>
            <w:r>
              <w:rPr>
                <w:rFonts w:ascii="Calibri" w:cs="Calibri" w:eastAsia="Calibri" w:hAnsi="Calibri"/>
                <w:sz w:val="14"/>
                <w:szCs w:val="14"/>
                <w:color w:val="51555C"/>
              </w:rPr>
              <w:t>$</w:t>
            </w:r>
          </w:p>
        </w:tc>
        <w:tc>
          <w:tcPr>
            <w:tcW w:w="1380" w:type="dxa"/>
            <w:vAlign w:val="bottom"/>
            <w:tcBorders>
              <w:top w:val="single" w:sz="8" w:color="51555C"/>
            </w:tcBorders>
          </w:tcPr>
          <w:p>
            <w:pPr>
              <w:jc w:val="right"/>
              <w:spacing w:after="0" w:line="163" w:lineRule="exact"/>
              <w:rPr>
                <w:sz w:val="20"/>
                <w:szCs w:val="20"/>
                <w:color w:val="auto"/>
              </w:rPr>
            </w:pPr>
            <w:r>
              <w:rPr>
                <w:rFonts w:ascii="Calibri" w:cs="Calibri" w:eastAsia="Calibri" w:hAnsi="Calibri"/>
                <w:sz w:val="14"/>
                <w:szCs w:val="14"/>
                <w:color w:val="51555C"/>
              </w:rPr>
              <w:t>56</w:t>
            </w:r>
          </w:p>
        </w:tc>
        <w:tc>
          <w:tcPr>
            <w:tcW w:w="100" w:type="dxa"/>
            <w:vAlign w:val="bottom"/>
          </w:tcPr>
          <w:p>
            <w:pPr>
              <w:spacing w:after="0"/>
              <w:rPr>
                <w:sz w:val="14"/>
                <w:szCs w:val="14"/>
                <w:color w:val="auto"/>
              </w:rPr>
            </w:pPr>
          </w:p>
        </w:tc>
        <w:tc>
          <w:tcPr>
            <w:tcW w:w="200" w:type="dxa"/>
            <w:vAlign w:val="bottom"/>
            <w:tcBorders>
              <w:top w:val="single" w:sz="8" w:color="51555C"/>
            </w:tcBorders>
          </w:tcPr>
          <w:p>
            <w:pPr>
              <w:jc w:val="right"/>
              <w:ind w:right="51"/>
              <w:spacing w:after="0" w:line="163" w:lineRule="exact"/>
              <w:rPr>
                <w:sz w:val="20"/>
                <w:szCs w:val="20"/>
                <w:color w:val="auto"/>
              </w:rPr>
            </w:pPr>
            <w:r>
              <w:rPr>
                <w:rFonts w:ascii="Calibri" w:cs="Calibri" w:eastAsia="Calibri" w:hAnsi="Calibri"/>
                <w:sz w:val="14"/>
                <w:szCs w:val="14"/>
                <w:color w:val="51555C"/>
                <w:w w:val="83"/>
              </w:rPr>
              <w:t>$</w:t>
            </w:r>
          </w:p>
        </w:tc>
        <w:tc>
          <w:tcPr>
            <w:tcW w:w="1300" w:type="dxa"/>
            <w:vAlign w:val="bottom"/>
            <w:tcBorders>
              <w:top w:val="single" w:sz="8" w:color="51555C"/>
            </w:tcBorders>
          </w:tcPr>
          <w:p>
            <w:pPr>
              <w:jc w:val="right"/>
              <w:spacing w:after="0" w:line="163" w:lineRule="exact"/>
              <w:rPr>
                <w:sz w:val="20"/>
                <w:szCs w:val="20"/>
                <w:color w:val="auto"/>
              </w:rPr>
            </w:pPr>
            <w:r>
              <w:rPr>
                <w:rFonts w:ascii="Calibri" w:cs="Calibri" w:eastAsia="Calibri" w:hAnsi="Calibri"/>
                <w:sz w:val="14"/>
                <w:szCs w:val="14"/>
                <w:color w:val="51555C"/>
              </w:rPr>
              <w:t>—</w:t>
            </w:r>
          </w:p>
        </w:tc>
        <w:tc>
          <w:tcPr>
            <w:tcW w:w="80" w:type="dxa"/>
            <w:vAlign w:val="bottom"/>
          </w:tcPr>
          <w:p>
            <w:pPr>
              <w:spacing w:after="0"/>
              <w:rPr>
                <w:sz w:val="14"/>
                <w:szCs w:val="14"/>
                <w:color w:val="auto"/>
              </w:rPr>
            </w:pPr>
          </w:p>
        </w:tc>
        <w:tc>
          <w:tcPr>
            <w:tcW w:w="580" w:type="dxa"/>
            <w:vAlign w:val="bottom"/>
            <w:tcBorders>
              <w:top w:val="single" w:sz="8" w:color="51555C"/>
            </w:tcBorders>
          </w:tcPr>
          <w:p>
            <w:pPr>
              <w:jc w:val="right"/>
              <w:ind w:right="409"/>
              <w:spacing w:after="0" w:line="163" w:lineRule="exact"/>
              <w:rPr>
                <w:sz w:val="20"/>
                <w:szCs w:val="20"/>
                <w:color w:val="auto"/>
              </w:rPr>
            </w:pPr>
            <w:r>
              <w:rPr>
                <w:rFonts w:ascii="Calibri" w:cs="Calibri" w:eastAsia="Calibri" w:hAnsi="Calibri"/>
                <w:sz w:val="14"/>
                <w:szCs w:val="14"/>
                <w:color w:val="51555C"/>
              </w:rPr>
              <w:t>$</w:t>
            </w:r>
          </w:p>
        </w:tc>
        <w:tc>
          <w:tcPr>
            <w:tcW w:w="920" w:type="dxa"/>
            <w:vAlign w:val="bottom"/>
            <w:tcBorders>
              <w:top w:val="single" w:sz="8" w:color="51555C"/>
            </w:tcBorders>
          </w:tcPr>
          <w:p>
            <w:pPr>
              <w:jc w:val="right"/>
              <w:spacing w:after="0" w:line="163" w:lineRule="exact"/>
              <w:rPr>
                <w:sz w:val="20"/>
                <w:szCs w:val="20"/>
                <w:color w:val="auto"/>
              </w:rPr>
            </w:pPr>
            <w:r>
              <w:rPr>
                <w:rFonts w:ascii="Calibri" w:cs="Calibri" w:eastAsia="Calibri" w:hAnsi="Calibri"/>
                <w:sz w:val="14"/>
                <w:szCs w:val="14"/>
                <w:color w:val="51555C"/>
              </w:rPr>
              <w:t>56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5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2"/>
        </w:trPr>
        <w:tc>
          <w:tcPr>
            <w:tcW w:w="5020" w:type="dxa"/>
            <w:vAlign w:val="bottom"/>
            <w:shd w:val="clear" w:color="auto" w:fill="EBFBFF"/>
          </w:tcPr>
          <w:p>
            <w:pPr>
              <w:spacing w:after="0"/>
              <w:rPr>
                <w:sz w:val="18"/>
                <w:szCs w:val="18"/>
                <w:color w:val="auto"/>
              </w:rPr>
            </w:pPr>
          </w:p>
        </w:tc>
        <w:tc>
          <w:tcPr>
            <w:tcW w:w="120" w:type="dxa"/>
            <w:vAlign w:val="bottom"/>
            <w:shd w:val="clear" w:color="auto" w:fill="EBFBFF"/>
          </w:tcPr>
          <w:p>
            <w:pPr>
              <w:spacing w:after="0"/>
              <w:rPr>
                <w:sz w:val="18"/>
                <w:szCs w:val="18"/>
                <w:color w:val="auto"/>
              </w:rPr>
            </w:pPr>
          </w:p>
        </w:tc>
        <w:tc>
          <w:tcPr>
            <w:tcW w:w="1360" w:type="dxa"/>
            <w:vAlign w:val="bottom"/>
            <w:shd w:val="clear" w:color="auto" w:fill="EBFBFF"/>
          </w:tcPr>
          <w:p>
            <w:pPr>
              <w:spacing w:after="0"/>
              <w:rPr>
                <w:sz w:val="18"/>
                <w:szCs w:val="18"/>
                <w:color w:val="auto"/>
              </w:rPr>
            </w:pPr>
          </w:p>
        </w:tc>
        <w:tc>
          <w:tcPr>
            <w:tcW w:w="100" w:type="dxa"/>
            <w:vAlign w:val="bottom"/>
            <w:shd w:val="clear" w:color="auto" w:fill="EBFBFF"/>
          </w:tcPr>
          <w:p>
            <w:pPr>
              <w:spacing w:after="0"/>
              <w:rPr>
                <w:sz w:val="18"/>
                <w:szCs w:val="18"/>
                <w:color w:val="auto"/>
              </w:rPr>
            </w:pPr>
          </w:p>
        </w:tc>
        <w:tc>
          <w:tcPr>
            <w:tcW w:w="120" w:type="dxa"/>
            <w:vAlign w:val="bottom"/>
            <w:shd w:val="clear" w:color="auto" w:fill="EBFBFF"/>
          </w:tcPr>
          <w:p>
            <w:pPr>
              <w:spacing w:after="0"/>
              <w:rPr>
                <w:sz w:val="18"/>
                <w:szCs w:val="18"/>
                <w:color w:val="auto"/>
              </w:rPr>
            </w:pPr>
          </w:p>
        </w:tc>
        <w:tc>
          <w:tcPr>
            <w:tcW w:w="1380" w:type="dxa"/>
            <w:vAlign w:val="bottom"/>
            <w:shd w:val="clear" w:color="auto" w:fill="EBFBFF"/>
          </w:tcPr>
          <w:p>
            <w:pPr>
              <w:spacing w:after="0"/>
              <w:rPr>
                <w:sz w:val="18"/>
                <w:szCs w:val="18"/>
                <w:color w:val="auto"/>
              </w:rPr>
            </w:pPr>
          </w:p>
        </w:tc>
        <w:tc>
          <w:tcPr>
            <w:tcW w:w="100" w:type="dxa"/>
            <w:vAlign w:val="bottom"/>
            <w:shd w:val="clear" w:color="auto" w:fill="EBFBFF"/>
          </w:tcPr>
          <w:p>
            <w:pPr>
              <w:spacing w:after="0"/>
              <w:rPr>
                <w:sz w:val="18"/>
                <w:szCs w:val="18"/>
                <w:color w:val="auto"/>
              </w:rPr>
            </w:pPr>
          </w:p>
        </w:tc>
        <w:tc>
          <w:tcPr>
            <w:tcW w:w="200" w:type="dxa"/>
            <w:vAlign w:val="bottom"/>
            <w:shd w:val="clear" w:color="auto" w:fill="EBFBFF"/>
          </w:tcPr>
          <w:p>
            <w:pPr>
              <w:spacing w:after="0"/>
              <w:rPr>
                <w:sz w:val="18"/>
                <w:szCs w:val="18"/>
                <w:color w:val="auto"/>
              </w:rPr>
            </w:pPr>
          </w:p>
        </w:tc>
        <w:tc>
          <w:tcPr>
            <w:tcW w:w="1300" w:type="dxa"/>
            <w:vAlign w:val="bottom"/>
            <w:shd w:val="clear" w:color="auto" w:fill="EBFBFF"/>
          </w:tcPr>
          <w:p>
            <w:pPr>
              <w:spacing w:after="0"/>
              <w:rPr>
                <w:sz w:val="18"/>
                <w:szCs w:val="18"/>
                <w:color w:val="auto"/>
              </w:rPr>
            </w:pPr>
          </w:p>
        </w:tc>
        <w:tc>
          <w:tcPr>
            <w:tcW w:w="80" w:type="dxa"/>
            <w:vAlign w:val="bottom"/>
            <w:shd w:val="clear" w:color="auto" w:fill="EBFBFF"/>
          </w:tcPr>
          <w:p>
            <w:pPr>
              <w:spacing w:after="0"/>
              <w:rPr>
                <w:sz w:val="18"/>
                <w:szCs w:val="18"/>
                <w:color w:val="auto"/>
              </w:rPr>
            </w:pPr>
          </w:p>
        </w:tc>
        <w:tc>
          <w:tcPr>
            <w:tcW w:w="580" w:type="dxa"/>
            <w:vAlign w:val="bottom"/>
            <w:shd w:val="clear" w:color="auto" w:fill="EBFBFF"/>
          </w:tcPr>
          <w:p>
            <w:pPr>
              <w:spacing w:after="0"/>
              <w:rPr>
                <w:sz w:val="18"/>
                <w:szCs w:val="18"/>
                <w:color w:val="auto"/>
              </w:rPr>
            </w:pPr>
          </w:p>
        </w:tc>
        <w:tc>
          <w:tcPr>
            <w:tcW w:w="920" w:type="dxa"/>
            <w:vAlign w:val="bottom"/>
            <w:shd w:val="clear" w:color="auto" w:fill="EBFB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5020" w:type="dxa"/>
            <w:vAlign w:val="bottom"/>
          </w:tcPr>
          <w:p>
            <w:pPr>
              <w:ind w:left="20"/>
              <w:spacing w:after="0"/>
              <w:rPr>
                <w:sz w:val="20"/>
                <w:szCs w:val="20"/>
                <w:color w:val="auto"/>
              </w:rPr>
            </w:pPr>
            <w:r>
              <w:rPr>
                <w:rFonts w:ascii="Calibri" w:cs="Calibri" w:eastAsia="Calibri" w:hAnsi="Calibri"/>
                <w:sz w:val="14"/>
                <w:szCs w:val="14"/>
                <w:b w:val="1"/>
                <w:bCs w:val="1"/>
                <w:color w:val="51555C"/>
              </w:rPr>
              <w:t>Fair value as of December 31, 2023</w:t>
            </w: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5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2"/>
        </w:trPr>
        <w:tc>
          <w:tcPr>
            <w:tcW w:w="502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4"/>
                <w:szCs w:val="14"/>
                <w:color w:val="51555C"/>
              </w:rPr>
              <w:t>Financial assets:</w:t>
            </w:r>
          </w:p>
        </w:tc>
        <w:tc>
          <w:tcPr>
            <w:tcW w:w="120" w:type="dxa"/>
            <w:vAlign w:val="bottom"/>
            <w:tcBorders>
              <w:bottom w:val="single" w:sz="8" w:color="EBFBFF"/>
            </w:tcBorders>
            <w:shd w:val="clear" w:color="auto" w:fill="EBFBFF"/>
          </w:tcPr>
          <w:p>
            <w:pPr>
              <w:spacing w:after="0"/>
              <w:rPr>
                <w:sz w:val="16"/>
                <w:szCs w:val="16"/>
                <w:color w:val="auto"/>
              </w:rPr>
            </w:pPr>
          </w:p>
        </w:tc>
        <w:tc>
          <w:tcPr>
            <w:tcW w:w="1360" w:type="dxa"/>
            <w:vAlign w:val="bottom"/>
            <w:tcBorders>
              <w:bottom w:val="single" w:sz="8" w:color="EBFBFF"/>
            </w:tcBorders>
            <w:shd w:val="clear" w:color="auto" w:fill="EBFBFF"/>
          </w:tcPr>
          <w:p>
            <w:pPr>
              <w:spacing w:after="0"/>
              <w:rPr>
                <w:sz w:val="16"/>
                <w:szCs w:val="16"/>
                <w:color w:val="auto"/>
              </w:rPr>
            </w:pPr>
          </w:p>
        </w:tc>
        <w:tc>
          <w:tcPr>
            <w:tcW w:w="100" w:type="dxa"/>
            <w:vAlign w:val="bottom"/>
            <w:tcBorders>
              <w:bottom w:val="single" w:sz="8" w:color="EBFBFF"/>
            </w:tcBorders>
            <w:shd w:val="clear" w:color="auto" w:fill="EBFBFF"/>
          </w:tcPr>
          <w:p>
            <w:pPr>
              <w:spacing w:after="0"/>
              <w:rPr>
                <w:sz w:val="16"/>
                <w:szCs w:val="16"/>
                <w:color w:val="auto"/>
              </w:rPr>
            </w:pPr>
          </w:p>
        </w:tc>
        <w:tc>
          <w:tcPr>
            <w:tcW w:w="120" w:type="dxa"/>
            <w:vAlign w:val="bottom"/>
            <w:tcBorders>
              <w:bottom w:val="single" w:sz="8" w:color="EBFBFF"/>
            </w:tcBorders>
            <w:shd w:val="clear" w:color="auto" w:fill="EBFBFF"/>
          </w:tcPr>
          <w:p>
            <w:pPr>
              <w:spacing w:after="0"/>
              <w:rPr>
                <w:sz w:val="16"/>
                <w:szCs w:val="16"/>
                <w:color w:val="auto"/>
              </w:rPr>
            </w:pPr>
          </w:p>
        </w:tc>
        <w:tc>
          <w:tcPr>
            <w:tcW w:w="1380" w:type="dxa"/>
            <w:vAlign w:val="bottom"/>
            <w:tcBorders>
              <w:bottom w:val="single" w:sz="8" w:color="EBFBFF"/>
            </w:tcBorders>
            <w:shd w:val="clear" w:color="auto" w:fill="EBFBFF"/>
          </w:tcPr>
          <w:p>
            <w:pPr>
              <w:spacing w:after="0"/>
              <w:rPr>
                <w:sz w:val="16"/>
                <w:szCs w:val="16"/>
                <w:color w:val="auto"/>
              </w:rPr>
            </w:pPr>
          </w:p>
        </w:tc>
        <w:tc>
          <w:tcPr>
            <w:tcW w:w="100" w:type="dxa"/>
            <w:vAlign w:val="bottom"/>
            <w:tcBorders>
              <w:bottom w:val="single" w:sz="8" w:color="EBFBFF"/>
            </w:tcBorders>
            <w:shd w:val="clear" w:color="auto" w:fill="EBFBFF"/>
          </w:tcPr>
          <w:p>
            <w:pPr>
              <w:spacing w:after="0"/>
              <w:rPr>
                <w:sz w:val="16"/>
                <w:szCs w:val="16"/>
                <w:color w:val="auto"/>
              </w:rPr>
            </w:pPr>
          </w:p>
        </w:tc>
        <w:tc>
          <w:tcPr>
            <w:tcW w:w="200" w:type="dxa"/>
            <w:vAlign w:val="bottom"/>
            <w:tcBorders>
              <w:bottom w:val="single" w:sz="8" w:color="EBFBFF"/>
            </w:tcBorders>
            <w:shd w:val="clear" w:color="auto" w:fill="EBFBFF"/>
          </w:tcPr>
          <w:p>
            <w:pPr>
              <w:spacing w:after="0"/>
              <w:rPr>
                <w:sz w:val="16"/>
                <w:szCs w:val="16"/>
                <w:color w:val="auto"/>
              </w:rPr>
            </w:pPr>
          </w:p>
        </w:tc>
        <w:tc>
          <w:tcPr>
            <w:tcW w:w="1300" w:type="dxa"/>
            <w:vAlign w:val="bottom"/>
            <w:tcBorders>
              <w:bottom w:val="single" w:sz="8" w:color="EBFBFF"/>
            </w:tcBorders>
            <w:shd w:val="clear" w:color="auto" w:fill="EBFBFF"/>
          </w:tcPr>
          <w:p>
            <w:pPr>
              <w:spacing w:after="0"/>
              <w:rPr>
                <w:sz w:val="16"/>
                <w:szCs w:val="16"/>
                <w:color w:val="auto"/>
              </w:rPr>
            </w:pPr>
          </w:p>
        </w:tc>
        <w:tc>
          <w:tcPr>
            <w:tcW w:w="80" w:type="dxa"/>
            <w:vAlign w:val="bottom"/>
            <w:tcBorders>
              <w:bottom w:val="single" w:sz="8" w:color="EBFBFF"/>
            </w:tcBorders>
            <w:shd w:val="clear" w:color="auto" w:fill="EBFBFF"/>
          </w:tcPr>
          <w:p>
            <w:pPr>
              <w:spacing w:after="0"/>
              <w:rPr>
                <w:sz w:val="16"/>
                <w:szCs w:val="16"/>
                <w:color w:val="auto"/>
              </w:rPr>
            </w:pPr>
          </w:p>
        </w:tc>
        <w:tc>
          <w:tcPr>
            <w:tcW w:w="580" w:type="dxa"/>
            <w:vAlign w:val="bottom"/>
            <w:tcBorders>
              <w:bottom w:val="single" w:sz="8" w:color="EBFBFF"/>
            </w:tcBorders>
            <w:shd w:val="clear" w:color="auto" w:fill="EBFBFF"/>
          </w:tcPr>
          <w:p>
            <w:pPr>
              <w:spacing w:after="0"/>
              <w:rPr>
                <w:sz w:val="16"/>
                <w:szCs w:val="16"/>
                <w:color w:val="auto"/>
              </w:rPr>
            </w:pPr>
          </w:p>
        </w:tc>
        <w:tc>
          <w:tcPr>
            <w:tcW w:w="920" w:type="dxa"/>
            <w:vAlign w:val="bottom"/>
            <w:tcBorders>
              <w:bottom w:val="single" w:sz="8" w:color="EBFBFF"/>
            </w:tcBorders>
            <w:shd w:val="clear" w:color="auto" w:fill="EBFB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5020" w:type="dxa"/>
            <w:vAlign w:val="bottom"/>
          </w:tcPr>
          <w:p>
            <w:pPr>
              <w:ind w:left="100"/>
              <w:spacing w:after="0"/>
              <w:rPr>
                <w:sz w:val="20"/>
                <w:szCs w:val="20"/>
                <w:color w:val="auto"/>
              </w:rPr>
            </w:pPr>
            <w:r>
              <w:rPr>
                <w:rFonts w:ascii="Calibri" w:cs="Calibri" w:eastAsia="Calibri" w:hAnsi="Calibri"/>
                <w:sz w:val="14"/>
                <w:szCs w:val="14"/>
                <w:i w:val="1"/>
                <w:iCs w:val="1"/>
                <w:color w:val="51555C"/>
              </w:rPr>
              <w:t>Interest rate swaps</w:t>
            </w:r>
          </w:p>
        </w:tc>
        <w:tc>
          <w:tcPr>
            <w:tcW w:w="120" w:type="dxa"/>
            <w:vAlign w:val="bottom"/>
          </w:tcPr>
          <w:p>
            <w:pPr>
              <w:jc w:val="right"/>
              <w:spacing w:after="0"/>
              <w:rPr>
                <w:sz w:val="20"/>
                <w:szCs w:val="20"/>
                <w:color w:val="auto"/>
              </w:rPr>
            </w:pPr>
            <w:r>
              <w:rPr>
                <w:rFonts w:ascii="Calibri" w:cs="Calibri" w:eastAsia="Calibri" w:hAnsi="Calibri"/>
                <w:sz w:val="14"/>
                <w:szCs w:val="14"/>
                <w:color w:val="51555C"/>
                <w:w w:val="83"/>
              </w:rPr>
              <w:t>$</w:t>
            </w:r>
          </w:p>
        </w:tc>
        <w:tc>
          <w:tcPr>
            <w:tcW w:w="1460" w:type="dxa"/>
            <w:vAlign w:val="bottom"/>
            <w:gridSpan w:val="2"/>
          </w:tcPr>
          <w:p>
            <w:pPr>
              <w:ind w:left="1200"/>
              <w:spacing w:after="0"/>
              <w:rPr>
                <w:sz w:val="20"/>
                <w:szCs w:val="20"/>
                <w:color w:val="auto"/>
              </w:rPr>
            </w:pPr>
            <w:r>
              <w:rPr>
                <w:rFonts w:ascii="Calibri" w:cs="Calibri" w:eastAsia="Calibri" w:hAnsi="Calibri"/>
                <w:sz w:val="14"/>
                <w:szCs w:val="14"/>
                <w:color w:val="51555C"/>
              </w:rPr>
              <w:t>—</w:t>
            </w:r>
          </w:p>
        </w:tc>
        <w:tc>
          <w:tcPr>
            <w:tcW w:w="120" w:type="dxa"/>
            <w:vAlign w:val="bottom"/>
          </w:tcPr>
          <w:p>
            <w:pPr>
              <w:jc w:val="right"/>
              <w:spacing w:after="0"/>
              <w:rPr>
                <w:sz w:val="20"/>
                <w:szCs w:val="20"/>
                <w:color w:val="auto"/>
              </w:rPr>
            </w:pPr>
            <w:r>
              <w:rPr>
                <w:rFonts w:ascii="Calibri" w:cs="Calibri" w:eastAsia="Calibri" w:hAnsi="Calibri"/>
                <w:sz w:val="14"/>
                <w:szCs w:val="14"/>
                <w:color w:val="51555C"/>
              </w:rPr>
              <w:t>$</w:t>
            </w:r>
          </w:p>
        </w:tc>
        <w:tc>
          <w:tcPr>
            <w:tcW w:w="1380" w:type="dxa"/>
            <w:vAlign w:val="bottom"/>
          </w:tcPr>
          <w:p>
            <w:pPr>
              <w:jc w:val="right"/>
              <w:spacing w:after="0"/>
              <w:rPr>
                <w:sz w:val="20"/>
                <w:szCs w:val="20"/>
                <w:color w:val="auto"/>
              </w:rPr>
            </w:pPr>
            <w:r>
              <w:rPr>
                <w:rFonts w:ascii="Calibri" w:cs="Calibri" w:eastAsia="Calibri" w:hAnsi="Calibri"/>
                <w:sz w:val="14"/>
                <w:szCs w:val="14"/>
                <w:color w:val="51555C"/>
              </w:rPr>
              <w:t>16,198</w:t>
            </w:r>
          </w:p>
        </w:tc>
        <w:tc>
          <w:tcPr>
            <w:tcW w:w="100" w:type="dxa"/>
            <w:vAlign w:val="bottom"/>
          </w:tcPr>
          <w:p>
            <w:pPr>
              <w:spacing w:after="0"/>
              <w:rPr>
                <w:sz w:val="14"/>
                <w:szCs w:val="14"/>
                <w:color w:val="auto"/>
              </w:rPr>
            </w:pPr>
          </w:p>
        </w:tc>
        <w:tc>
          <w:tcPr>
            <w:tcW w:w="200" w:type="dxa"/>
            <w:vAlign w:val="bottom"/>
          </w:tcPr>
          <w:p>
            <w:pPr>
              <w:jc w:val="right"/>
              <w:ind w:right="51"/>
              <w:spacing w:after="0"/>
              <w:rPr>
                <w:sz w:val="20"/>
                <w:szCs w:val="20"/>
                <w:color w:val="auto"/>
              </w:rPr>
            </w:pPr>
            <w:r>
              <w:rPr>
                <w:rFonts w:ascii="Calibri" w:cs="Calibri" w:eastAsia="Calibri" w:hAnsi="Calibri"/>
                <w:sz w:val="14"/>
                <w:szCs w:val="14"/>
                <w:color w:val="51555C"/>
                <w:w w:val="83"/>
              </w:rPr>
              <w:t>$</w:t>
            </w:r>
          </w:p>
        </w:tc>
        <w:tc>
          <w:tcPr>
            <w:tcW w:w="1380" w:type="dxa"/>
            <w:vAlign w:val="bottom"/>
            <w:gridSpan w:val="2"/>
          </w:tcPr>
          <w:p>
            <w:pPr>
              <w:jc w:val="right"/>
              <w:ind w:right="140"/>
              <w:spacing w:after="0"/>
              <w:rPr>
                <w:sz w:val="20"/>
                <w:szCs w:val="20"/>
                <w:color w:val="auto"/>
              </w:rPr>
            </w:pPr>
            <w:r>
              <w:rPr>
                <w:rFonts w:ascii="Calibri" w:cs="Calibri" w:eastAsia="Calibri" w:hAnsi="Calibri"/>
                <w:sz w:val="14"/>
                <w:szCs w:val="14"/>
                <w:color w:val="51555C"/>
              </w:rPr>
              <w:t>—</w:t>
            </w:r>
          </w:p>
        </w:tc>
        <w:tc>
          <w:tcPr>
            <w:tcW w:w="580" w:type="dxa"/>
            <w:vAlign w:val="bottom"/>
          </w:tcPr>
          <w:p>
            <w:pPr>
              <w:jc w:val="right"/>
              <w:ind w:right="409"/>
              <w:spacing w:after="0"/>
              <w:rPr>
                <w:sz w:val="20"/>
                <w:szCs w:val="20"/>
                <w:color w:val="auto"/>
              </w:rPr>
            </w:pPr>
            <w:r>
              <w:rPr>
                <w:rFonts w:ascii="Calibri" w:cs="Calibri" w:eastAsia="Calibri" w:hAnsi="Calibri"/>
                <w:sz w:val="14"/>
                <w:szCs w:val="14"/>
                <w:color w:val="51555C"/>
              </w:rPr>
              <w:t>$</w:t>
            </w:r>
          </w:p>
        </w:tc>
        <w:tc>
          <w:tcPr>
            <w:tcW w:w="920" w:type="dxa"/>
            <w:vAlign w:val="bottom"/>
          </w:tcPr>
          <w:p>
            <w:pPr>
              <w:jc w:val="right"/>
              <w:spacing w:after="0"/>
              <w:rPr>
                <w:sz w:val="20"/>
                <w:szCs w:val="20"/>
                <w:color w:val="auto"/>
              </w:rPr>
            </w:pPr>
            <w:r>
              <w:rPr>
                <w:rFonts w:ascii="Calibri" w:cs="Calibri" w:eastAsia="Calibri" w:hAnsi="Calibri"/>
                <w:sz w:val="14"/>
                <w:szCs w:val="14"/>
                <w:color w:val="51555C"/>
              </w:rPr>
              <w:t>16,198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5020" w:type="dxa"/>
            <w:vAlign w:val="bottom"/>
            <w:tcBorders>
              <w:bottom w:val="single" w:sz="8" w:color="EBFBFF"/>
            </w:tcBorders>
          </w:tcPr>
          <w:p>
            <w:pPr>
              <w:spacing w:after="0"/>
              <w:rPr>
                <w:sz w:val="3"/>
                <w:szCs w:val="3"/>
                <w:color w:val="auto"/>
              </w:rPr>
            </w:pPr>
          </w:p>
        </w:tc>
        <w:tc>
          <w:tcPr>
            <w:tcW w:w="120" w:type="dxa"/>
            <w:vAlign w:val="bottom"/>
            <w:tcBorders>
              <w:bottom w:val="single" w:sz="8" w:color="51555C"/>
            </w:tcBorders>
          </w:tcPr>
          <w:p>
            <w:pPr>
              <w:spacing w:after="0"/>
              <w:rPr>
                <w:sz w:val="3"/>
                <w:szCs w:val="3"/>
                <w:color w:val="auto"/>
              </w:rPr>
            </w:pPr>
          </w:p>
        </w:tc>
        <w:tc>
          <w:tcPr>
            <w:tcW w:w="1360" w:type="dxa"/>
            <w:vAlign w:val="bottom"/>
            <w:tcBorders>
              <w:bottom w:val="single" w:sz="8" w:color="51555C"/>
            </w:tcBorders>
          </w:tcPr>
          <w:p>
            <w:pPr>
              <w:spacing w:after="0"/>
              <w:rPr>
                <w:sz w:val="3"/>
                <w:szCs w:val="3"/>
                <w:color w:val="auto"/>
              </w:rPr>
            </w:pPr>
          </w:p>
        </w:tc>
        <w:tc>
          <w:tcPr>
            <w:tcW w:w="100" w:type="dxa"/>
            <w:vAlign w:val="bottom"/>
            <w:tcBorders>
              <w:bottom w:val="single" w:sz="8" w:color="EBFBFF"/>
            </w:tcBorders>
          </w:tcPr>
          <w:p>
            <w:pPr>
              <w:spacing w:after="0"/>
              <w:rPr>
                <w:sz w:val="3"/>
                <w:szCs w:val="3"/>
                <w:color w:val="auto"/>
              </w:rPr>
            </w:pPr>
          </w:p>
        </w:tc>
        <w:tc>
          <w:tcPr>
            <w:tcW w:w="120" w:type="dxa"/>
            <w:vAlign w:val="bottom"/>
            <w:tcBorders>
              <w:bottom w:val="single" w:sz="8" w:color="51555C"/>
            </w:tcBorders>
          </w:tcPr>
          <w:p>
            <w:pPr>
              <w:spacing w:after="0"/>
              <w:rPr>
                <w:sz w:val="3"/>
                <w:szCs w:val="3"/>
                <w:color w:val="auto"/>
              </w:rPr>
            </w:pPr>
          </w:p>
        </w:tc>
        <w:tc>
          <w:tcPr>
            <w:tcW w:w="1380" w:type="dxa"/>
            <w:vAlign w:val="bottom"/>
            <w:tcBorders>
              <w:bottom w:val="single" w:sz="8" w:color="51555C"/>
            </w:tcBorders>
          </w:tcPr>
          <w:p>
            <w:pPr>
              <w:spacing w:after="0"/>
              <w:rPr>
                <w:sz w:val="3"/>
                <w:szCs w:val="3"/>
                <w:color w:val="auto"/>
              </w:rPr>
            </w:pPr>
          </w:p>
        </w:tc>
        <w:tc>
          <w:tcPr>
            <w:tcW w:w="100" w:type="dxa"/>
            <w:vAlign w:val="bottom"/>
            <w:tcBorders>
              <w:bottom w:val="single" w:sz="8" w:color="EBFBFF"/>
            </w:tcBorders>
          </w:tcPr>
          <w:p>
            <w:pPr>
              <w:spacing w:after="0"/>
              <w:rPr>
                <w:sz w:val="3"/>
                <w:szCs w:val="3"/>
                <w:color w:val="auto"/>
              </w:rPr>
            </w:pPr>
          </w:p>
        </w:tc>
        <w:tc>
          <w:tcPr>
            <w:tcW w:w="200" w:type="dxa"/>
            <w:vAlign w:val="bottom"/>
            <w:tcBorders>
              <w:bottom w:val="single" w:sz="8" w:color="51555C"/>
            </w:tcBorders>
          </w:tcPr>
          <w:p>
            <w:pPr>
              <w:spacing w:after="0"/>
              <w:rPr>
                <w:sz w:val="3"/>
                <w:szCs w:val="3"/>
                <w:color w:val="auto"/>
              </w:rPr>
            </w:pPr>
          </w:p>
        </w:tc>
        <w:tc>
          <w:tcPr>
            <w:tcW w:w="1300" w:type="dxa"/>
            <w:vAlign w:val="bottom"/>
            <w:tcBorders>
              <w:bottom w:val="single" w:sz="8" w:color="51555C"/>
            </w:tcBorders>
          </w:tcPr>
          <w:p>
            <w:pPr>
              <w:spacing w:after="0"/>
              <w:rPr>
                <w:sz w:val="3"/>
                <w:szCs w:val="3"/>
                <w:color w:val="auto"/>
              </w:rPr>
            </w:pPr>
          </w:p>
        </w:tc>
        <w:tc>
          <w:tcPr>
            <w:tcW w:w="80" w:type="dxa"/>
            <w:vAlign w:val="bottom"/>
            <w:tcBorders>
              <w:bottom w:val="single" w:sz="8" w:color="EBFBFF"/>
            </w:tcBorders>
          </w:tcPr>
          <w:p>
            <w:pPr>
              <w:spacing w:after="0"/>
              <w:rPr>
                <w:sz w:val="3"/>
                <w:szCs w:val="3"/>
                <w:color w:val="auto"/>
              </w:rPr>
            </w:pPr>
          </w:p>
        </w:tc>
        <w:tc>
          <w:tcPr>
            <w:tcW w:w="580" w:type="dxa"/>
            <w:vAlign w:val="bottom"/>
            <w:tcBorders>
              <w:bottom w:val="single" w:sz="8" w:color="51555C"/>
            </w:tcBorders>
          </w:tcPr>
          <w:p>
            <w:pPr>
              <w:spacing w:after="0"/>
              <w:rPr>
                <w:sz w:val="3"/>
                <w:szCs w:val="3"/>
                <w:color w:val="auto"/>
              </w:rPr>
            </w:pPr>
          </w:p>
        </w:tc>
        <w:tc>
          <w:tcPr>
            <w:tcW w:w="920" w:type="dxa"/>
            <w:vAlign w:val="bottom"/>
            <w:tcBorders>
              <w:bottom w:val="single" w:sz="8" w:color="51555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5020" w:type="dxa"/>
            <w:vAlign w:val="bottom"/>
            <w:tcBorders>
              <w:bottom w:val="single" w:sz="8" w:color="EBFBFF"/>
            </w:tcBorders>
            <w:shd w:val="clear" w:color="auto" w:fill="EBFBFF"/>
          </w:tcPr>
          <w:p>
            <w:pPr>
              <w:ind w:left="180"/>
              <w:spacing w:after="0" w:line="163" w:lineRule="exact"/>
              <w:rPr>
                <w:sz w:val="20"/>
                <w:szCs w:val="20"/>
                <w:color w:val="auto"/>
              </w:rPr>
            </w:pPr>
            <w:r>
              <w:rPr>
                <w:rFonts w:ascii="Calibri" w:cs="Calibri" w:eastAsia="Calibri" w:hAnsi="Calibri"/>
                <w:sz w:val="14"/>
                <w:szCs w:val="14"/>
                <w:color w:val="51555C"/>
              </w:rPr>
              <w:t>Total fnancial assets</w:t>
            </w:r>
          </w:p>
        </w:tc>
        <w:tc>
          <w:tcPr>
            <w:tcW w:w="120" w:type="dxa"/>
            <w:vAlign w:val="bottom"/>
            <w:tcBorders>
              <w:bottom w:val="single" w:sz="8" w:color="EBFBFF"/>
            </w:tcBorders>
            <w:shd w:val="clear" w:color="auto" w:fill="EBFBFF"/>
          </w:tcPr>
          <w:p>
            <w:pPr>
              <w:jc w:val="right"/>
              <w:spacing w:after="0" w:line="163" w:lineRule="exact"/>
              <w:rPr>
                <w:sz w:val="20"/>
                <w:szCs w:val="20"/>
                <w:color w:val="auto"/>
              </w:rPr>
            </w:pPr>
            <w:r>
              <w:rPr>
                <w:rFonts w:ascii="Calibri" w:cs="Calibri" w:eastAsia="Calibri" w:hAnsi="Calibri"/>
                <w:sz w:val="14"/>
                <w:szCs w:val="14"/>
                <w:color w:val="51555C"/>
                <w:w w:val="83"/>
              </w:rPr>
              <w:t>$</w:t>
            </w:r>
          </w:p>
        </w:tc>
        <w:tc>
          <w:tcPr>
            <w:tcW w:w="1460" w:type="dxa"/>
            <w:vAlign w:val="bottom"/>
            <w:tcBorders>
              <w:bottom w:val="single" w:sz="8" w:color="EBFBFF"/>
            </w:tcBorders>
            <w:gridSpan w:val="2"/>
            <w:shd w:val="clear" w:color="auto" w:fill="EBFBFF"/>
          </w:tcPr>
          <w:p>
            <w:pPr>
              <w:ind w:left="1200"/>
              <w:spacing w:after="0" w:line="163" w:lineRule="exact"/>
              <w:rPr>
                <w:sz w:val="20"/>
                <w:szCs w:val="20"/>
                <w:color w:val="auto"/>
              </w:rPr>
            </w:pPr>
            <w:r>
              <w:rPr>
                <w:rFonts w:ascii="Calibri" w:cs="Calibri" w:eastAsia="Calibri" w:hAnsi="Calibri"/>
                <w:sz w:val="14"/>
                <w:szCs w:val="14"/>
                <w:color w:val="51555C"/>
              </w:rPr>
              <w:t>—</w:t>
            </w:r>
          </w:p>
        </w:tc>
        <w:tc>
          <w:tcPr>
            <w:tcW w:w="120" w:type="dxa"/>
            <w:vAlign w:val="bottom"/>
            <w:tcBorders>
              <w:bottom w:val="single" w:sz="8" w:color="EBFBFF"/>
            </w:tcBorders>
            <w:shd w:val="clear" w:color="auto" w:fill="EBFBFF"/>
          </w:tcPr>
          <w:p>
            <w:pPr>
              <w:jc w:val="right"/>
              <w:spacing w:after="0" w:line="163" w:lineRule="exact"/>
              <w:rPr>
                <w:sz w:val="20"/>
                <w:szCs w:val="20"/>
                <w:color w:val="auto"/>
              </w:rPr>
            </w:pPr>
            <w:r>
              <w:rPr>
                <w:rFonts w:ascii="Calibri" w:cs="Calibri" w:eastAsia="Calibri" w:hAnsi="Calibri"/>
                <w:sz w:val="14"/>
                <w:szCs w:val="14"/>
                <w:color w:val="51555C"/>
              </w:rPr>
              <w:t>$</w:t>
            </w:r>
          </w:p>
        </w:tc>
        <w:tc>
          <w:tcPr>
            <w:tcW w:w="1380" w:type="dxa"/>
            <w:vAlign w:val="bottom"/>
            <w:tcBorders>
              <w:bottom w:val="single" w:sz="8" w:color="EBFBFF"/>
            </w:tcBorders>
            <w:shd w:val="clear" w:color="auto" w:fill="EBFBFF"/>
          </w:tcPr>
          <w:p>
            <w:pPr>
              <w:jc w:val="right"/>
              <w:spacing w:after="0" w:line="163" w:lineRule="exact"/>
              <w:rPr>
                <w:sz w:val="20"/>
                <w:szCs w:val="20"/>
                <w:color w:val="auto"/>
              </w:rPr>
            </w:pPr>
            <w:r>
              <w:rPr>
                <w:rFonts w:ascii="Calibri" w:cs="Calibri" w:eastAsia="Calibri" w:hAnsi="Calibri"/>
                <w:sz w:val="14"/>
                <w:szCs w:val="14"/>
                <w:color w:val="51555C"/>
              </w:rPr>
              <w:t>16,198</w:t>
            </w:r>
          </w:p>
        </w:tc>
        <w:tc>
          <w:tcPr>
            <w:tcW w:w="100" w:type="dxa"/>
            <w:vAlign w:val="bottom"/>
            <w:tcBorders>
              <w:bottom w:val="single" w:sz="8" w:color="EBFBFF"/>
            </w:tcBorders>
            <w:shd w:val="clear" w:color="auto" w:fill="EBFBFF"/>
          </w:tcPr>
          <w:p>
            <w:pPr>
              <w:spacing w:after="0"/>
              <w:rPr>
                <w:sz w:val="15"/>
                <w:szCs w:val="15"/>
                <w:color w:val="auto"/>
              </w:rPr>
            </w:pPr>
          </w:p>
        </w:tc>
        <w:tc>
          <w:tcPr>
            <w:tcW w:w="200" w:type="dxa"/>
            <w:vAlign w:val="bottom"/>
            <w:tcBorders>
              <w:bottom w:val="single" w:sz="8" w:color="EBFBFF"/>
            </w:tcBorders>
            <w:shd w:val="clear" w:color="auto" w:fill="EBFBFF"/>
          </w:tcPr>
          <w:p>
            <w:pPr>
              <w:jc w:val="right"/>
              <w:ind w:right="51"/>
              <w:spacing w:after="0" w:line="163" w:lineRule="exact"/>
              <w:rPr>
                <w:sz w:val="20"/>
                <w:szCs w:val="20"/>
                <w:color w:val="auto"/>
              </w:rPr>
            </w:pPr>
            <w:r>
              <w:rPr>
                <w:rFonts w:ascii="Calibri" w:cs="Calibri" w:eastAsia="Calibri" w:hAnsi="Calibri"/>
                <w:sz w:val="14"/>
                <w:szCs w:val="14"/>
                <w:color w:val="51555C"/>
                <w:w w:val="83"/>
              </w:rPr>
              <w:t>$</w:t>
            </w:r>
          </w:p>
        </w:tc>
        <w:tc>
          <w:tcPr>
            <w:tcW w:w="1380" w:type="dxa"/>
            <w:vAlign w:val="bottom"/>
            <w:tcBorders>
              <w:bottom w:val="single" w:sz="8" w:color="EBFBFF"/>
            </w:tcBorders>
            <w:gridSpan w:val="2"/>
            <w:shd w:val="clear" w:color="auto" w:fill="EBFBFF"/>
          </w:tcPr>
          <w:p>
            <w:pPr>
              <w:jc w:val="right"/>
              <w:ind w:right="140"/>
              <w:spacing w:after="0" w:line="163" w:lineRule="exact"/>
              <w:rPr>
                <w:sz w:val="20"/>
                <w:szCs w:val="20"/>
                <w:color w:val="auto"/>
              </w:rPr>
            </w:pPr>
            <w:r>
              <w:rPr>
                <w:rFonts w:ascii="Calibri" w:cs="Calibri" w:eastAsia="Calibri" w:hAnsi="Calibri"/>
                <w:sz w:val="14"/>
                <w:szCs w:val="14"/>
                <w:color w:val="51555C"/>
              </w:rPr>
              <w:t>—</w:t>
            </w:r>
          </w:p>
        </w:tc>
        <w:tc>
          <w:tcPr>
            <w:tcW w:w="580" w:type="dxa"/>
            <w:vAlign w:val="bottom"/>
            <w:tcBorders>
              <w:bottom w:val="single" w:sz="8" w:color="EBFBFF"/>
            </w:tcBorders>
            <w:shd w:val="clear" w:color="auto" w:fill="EBFBFF"/>
          </w:tcPr>
          <w:p>
            <w:pPr>
              <w:jc w:val="right"/>
              <w:ind w:right="409"/>
              <w:spacing w:after="0" w:line="163" w:lineRule="exact"/>
              <w:rPr>
                <w:sz w:val="20"/>
                <w:szCs w:val="20"/>
                <w:color w:val="auto"/>
              </w:rPr>
            </w:pPr>
            <w:r>
              <w:rPr>
                <w:rFonts w:ascii="Calibri" w:cs="Calibri" w:eastAsia="Calibri" w:hAnsi="Calibri"/>
                <w:sz w:val="14"/>
                <w:szCs w:val="14"/>
                <w:color w:val="51555C"/>
              </w:rPr>
              <w:t>$</w:t>
            </w:r>
          </w:p>
        </w:tc>
        <w:tc>
          <w:tcPr>
            <w:tcW w:w="920" w:type="dxa"/>
            <w:vAlign w:val="bottom"/>
            <w:tcBorders>
              <w:bottom w:val="single" w:sz="8" w:color="EBFBFF"/>
            </w:tcBorders>
            <w:shd w:val="clear" w:color="auto" w:fill="EBFBFF"/>
          </w:tcPr>
          <w:p>
            <w:pPr>
              <w:jc w:val="right"/>
              <w:spacing w:after="0" w:line="163" w:lineRule="exact"/>
              <w:rPr>
                <w:sz w:val="20"/>
                <w:szCs w:val="20"/>
                <w:color w:val="auto"/>
              </w:rPr>
            </w:pPr>
            <w:r>
              <w:rPr>
                <w:rFonts w:ascii="Calibri" w:cs="Calibri" w:eastAsia="Calibri" w:hAnsi="Calibri"/>
                <w:sz w:val="14"/>
                <w:szCs w:val="14"/>
                <w:color w:val="51555C"/>
              </w:rPr>
              <w:t>16,198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502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4"/>
                <w:szCs w:val="14"/>
                <w:b w:val="1"/>
                <w:bCs w:val="1"/>
                <w:color w:val="51555C"/>
              </w:rPr>
              <w:t>Fair value as of December 31, 2023</w:t>
            </w:r>
          </w:p>
        </w:tc>
        <w:tc>
          <w:tcPr>
            <w:tcW w:w="120" w:type="dxa"/>
            <w:vAlign w:val="bottom"/>
            <w:tcBorders>
              <w:bottom w:val="single" w:sz="8" w:color="EBFBFF"/>
            </w:tcBorders>
            <w:shd w:val="clear" w:color="auto" w:fill="EBFBFF"/>
          </w:tcPr>
          <w:p>
            <w:pPr>
              <w:spacing w:after="0"/>
              <w:rPr>
                <w:sz w:val="16"/>
                <w:szCs w:val="16"/>
                <w:color w:val="auto"/>
              </w:rPr>
            </w:pPr>
          </w:p>
        </w:tc>
        <w:tc>
          <w:tcPr>
            <w:tcW w:w="1360" w:type="dxa"/>
            <w:vAlign w:val="bottom"/>
            <w:tcBorders>
              <w:bottom w:val="single" w:sz="8" w:color="EBFBFF"/>
            </w:tcBorders>
            <w:shd w:val="clear" w:color="auto" w:fill="EBFBFF"/>
          </w:tcPr>
          <w:p>
            <w:pPr>
              <w:spacing w:after="0"/>
              <w:rPr>
                <w:sz w:val="16"/>
                <w:szCs w:val="16"/>
                <w:color w:val="auto"/>
              </w:rPr>
            </w:pPr>
          </w:p>
        </w:tc>
        <w:tc>
          <w:tcPr>
            <w:tcW w:w="100" w:type="dxa"/>
            <w:vAlign w:val="bottom"/>
            <w:tcBorders>
              <w:bottom w:val="single" w:sz="8" w:color="EBFBFF"/>
            </w:tcBorders>
            <w:shd w:val="clear" w:color="auto" w:fill="EBFBFF"/>
          </w:tcPr>
          <w:p>
            <w:pPr>
              <w:spacing w:after="0"/>
              <w:rPr>
                <w:sz w:val="16"/>
                <w:szCs w:val="16"/>
                <w:color w:val="auto"/>
              </w:rPr>
            </w:pPr>
          </w:p>
        </w:tc>
        <w:tc>
          <w:tcPr>
            <w:tcW w:w="120" w:type="dxa"/>
            <w:vAlign w:val="bottom"/>
            <w:tcBorders>
              <w:bottom w:val="single" w:sz="8" w:color="EBFBFF"/>
            </w:tcBorders>
            <w:shd w:val="clear" w:color="auto" w:fill="EBFBFF"/>
          </w:tcPr>
          <w:p>
            <w:pPr>
              <w:spacing w:after="0"/>
              <w:rPr>
                <w:sz w:val="16"/>
                <w:szCs w:val="16"/>
                <w:color w:val="auto"/>
              </w:rPr>
            </w:pPr>
          </w:p>
        </w:tc>
        <w:tc>
          <w:tcPr>
            <w:tcW w:w="1380" w:type="dxa"/>
            <w:vAlign w:val="bottom"/>
            <w:tcBorders>
              <w:bottom w:val="single" w:sz="8" w:color="EBFBFF"/>
            </w:tcBorders>
            <w:shd w:val="clear" w:color="auto" w:fill="EBFBFF"/>
          </w:tcPr>
          <w:p>
            <w:pPr>
              <w:spacing w:after="0"/>
              <w:rPr>
                <w:sz w:val="16"/>
                <w:szCs w:val="16"/>
                <w:color w:val="auto"/>
              </w:rPr>
            </w:pPr>
          </w:p>
        </w:tc>
        <w:tc>
          <w:tcPr>
            <w:tcW w:w="100" w:type="dxa"/>
            <w:vAlign w:val="bottom"/>
            <w:tcBorders>
              <w:bottom w:val="single" w:sz="8" w:color="EBFBFF"/>
            </w:tcBorders>
            <w:shd w:val="clear" w:color="auto" w:fill="EBFBFF"/>
          </w:tcPr>
          <w:p>
            <w:pPr>
              <w:spacing w:after="0"/>
              <w:rPr>
                <w:sz w:val="16"/>
                <w:szCs w:val="16"/>
                <w:color w:val="auto"/>
              </w:rPr>
            </w:pPr>
          </w:p>
        </w:tc>
        <w:tc>
          <w:tcPr>
            <w:tcW w:w="200" w:type="dxa"/>
            <w:vAlign w:val="bottom"/>
            <w:tcBorders>
              <w:bottom w:val="single" w:sz="8" w:color="EBFBFF"/>
            </w:tcBorders>
            <w:shd w:val="clear" w:color="auto" w:fill="EBFBFF"/>
          </w:tcPr>
          <w:p>
            <w:pPr>
              <w:spacing w:after="0"/>
              <w:rPr>
                <w:sz w:val="16"/>
                <w:szCs w:val="16"/>
                <w:color w:val="auto"/>
              </w:rPr>
            </w:pPr>
          </w:p>
        </w:tc>
        <w:tc>
          <w:tcPr>
            <w:tcW w:w="1300" w:type="dxa"/>
            <w:vAlign w:val="bottom"/>
            <w:tcBorders>
              <w:bottom w:val="single" w:sz="8" w:color="EBFBFF"/>
            </w:tcBorders>
            <w:shd w:val="clear" w:color="auto" w:fill="EBFBFF"/>
          </w:tcPr>
          <w:p>
            <w:pPr>
              <w:spacing w:after="0"/>
              <w:rPr>
                <w:sz w:val="16"/>
                <w:szCs w:val="16"/>
                <w:color w:val="auto"/>
              </w:rPr>
            </w:pPr>
          </w:p>
        </w:tc>
        <w:tc>
          <w:tcPr>
            <w:tcW w:w="80" w:type="dxa"/>
            <w:vAlign w:val="bottom"/>
            <w:tcBorders>
              <w:bottom w:val="single" w:sz="8" w:color="EBFBFF"/>
            </w:tcBorders>
            <w:shd w:val="clear" w:color="auto" w:fill="EBFBFF"/>
          </w:tcPr>
          <w:p>
            <w:pPr>
              <w:spacing w:after="0"/>
              <w:rPr>
                <w:sz w:val="16"/>
                <w:szCs w:val="16"/>
                <w:color w:val="auto"/>
              </w:rPr>
            </w:pPr>
          </w:p>
        </w:tc>
        <w:tc>
          <w:tcPr>
            <w:tcW w:w="580" w:type="dxa"/>
            <w:vAlign w:val="bottom"/>
            <w:tcBorders>
              <w:bottom w:val="single" w:sz="8" w:color="EBFBFF"/>
            </w:tcBorders>
            <w:shd w:val="clear" w:color="auto" w:fill="EBFBFF"/>
          </w:tcPr>
          <w:p>
            <w:pPr>
              <w:spacing w:after="0"/>
              <w:rPr>
                <w:sz w:val="16"/>
                <w:szCs w:val="16"/>
                <w:color w:val="auto"/>
              </w:rPr>
            </w:pPr>
          </w:p>
        </w:tc>
        <w:tc>
          <w:tcPr>
            <w:tcW w:w="920" w:type="dxa"/>
            <w:vAlign w:val="bottom"/>
            <w:tcBorders>
              <w:bottom w:val="single" w:sz="8" w:color="EBFBFF"/>
            </w:tcBorders>
            <w:shd w:val="clear" w:color="auto" w:fill="EBFB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5020" w:type="dxa"/>
            <w:vAlign w:val="bottom"/>
          </w:tcPr>
          <w:p>
            <w:pPr>
              <w:ind w:left="20"/>
              <w:spacing w:after="0"/>
              <w:rPr>
                <w:sz w:val="20"/>
                <w:szCs w:val="20"/>
                <w:color w:val="auto"/>
              </w:rPr>
            </w:pPr>
            <w:r>
              <w:rPr>
                <w:rFonts w:ascii="Calibri" w:cs="Calibri" w:eastAsia="Calibri" w:hAnsi="Calibri"/>
                <w:sz w:val="14"/>
                <w:szCs w:val="14"/>
                <w:color w:val="51555C"/>
              </w:rPr>
              <w:t>Financial liabilites:</w:t>
            </w: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5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2"/>
        </w:trPr>
        <w:tc>
          <w:tcPr>
            <w:tcW w:w="5020" w:type="dxa"/>
            <w:vAlign w:val="bottom"/>
            <w:tcBorders>
              <w:bottom w:val="single" w:sz="8" w:color="EBFBFF"/>
            </w:tcBorders>
            <w:shd w:val="clear" w:color="auto" w:fill="EBFBFF"/>
          </w:tcPr>
          <w:p>
            <w:pPr>
              <w:ind w:left="100"/>
              <w:spacing w:after="0"/>
              <w:rPr>
                <w:sz w:val="20"/>
                <w:szCs w:val="20"/>
                <w:color w:val="auto"/>
              </w:rPr>
            </w:pPr>
            <w:r>
              <w:rPr>
                <w:rFonts w:ascii="Calibri" w:cs="Calibri" w:eastAsia="Calibri" w:hAnsi="Calibri"/>
                <w:sz w:val="14"/>
                <w:szCs w:val="14"/>
                <w:i w:val="1"/>
                <w:iCs w:val="1"/>
                <w:color w:val="51555C"/>
              </w:rPr>
              <w:t>Interest rate swaps</w:t>
            </w:r>
          </w:p>
        </w:tc>
        <w:tc>
          <w:tcPr>
            <w:tcW w:w="1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w w:val="83"/>
              </w:rPr>
              <w:t>$</w:t>
            </w:r>
          </w:p>
        </w:tc>
        <w:tc>
          <w:tcPr>
            <w:tcW w:w="1460" w:type="dxa"/>
            <w:vAlign w:val="bottom"/>
            <w:tcBorders>
              <w:bottom w:val="single" w:sz="8" w:color="EBFBFF"/>
            </w:tcBorders>
            <w:gridSpan w:val="2"/>
            <w:shd w:val="clear" w:color="auto" w:fill="EBFBFF"/>
          </w:tcPr>
          <w:p>
            <w:pPr>
              <w:ind w:left="1200"/>
              <w:spacing w:after="0"/>
              <w:rPr>
                <w:sz w:val="20"/>
                <w:szCs w:val="20"/>
                <w:color w:val="auto"/>
              </w:rPr>
            </w:pPr>
            <w:r>
              <w:rPr>
                <w:rFonts w:ascii="Calibri" w:cs="Calibri" w:eastAsia="Calibri" w:hAnsi="Calibri"/>
                <w:sz w:val="14"/>
                <w:szCs w:val="14"/>
                <w:color w:val="51555C"/>
              </w:rPr>
              <w:t>—</w:t>
            </w:r>
          </w:p>
        </w:tc>
        <w:tc>
          <w:tcPr>
            <w:tcW w:w="1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w:t>
            </w:r>
          </w:p>
        </w:tc>
        <w:tc>
          <w:tcPr>
            <w:tcW w:w="13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5,004</w:t>
            </w:r>
          </w:p>
        </w:tc>
        <w:tc>
          <w:tcPr>
            <w:tcW w:w="100" w:type="dxa"/>
            <w:vAlign w:val="bottom"/>
            <w:tcBorders>
              <w:bottom w:val="single" w:sz="8" w:color="EBFBFF"/>
            </w:tcBorders>
            <w:shd w:val="clear" w:color="auto" w:fill="EBFBFF"/>
          </w:tcPr>
          <w:p>
            <w:pPr>
              <w:spacing w:after="0"/>
              <w:rPr>
                <w:sz w:val="16"/>
                <w:szCs w:val="16"/>
                <w:color w:val="auto"/>
              </w:rPr>
            </w:pPr>
          </w:p>
        </w:tc>
        <w:tc>
          <w:tcPr>
            <w:tcW w:w="200" w:type="dxa"/>
            <w:vAlign w:val="bottom"/>
            <w:tcBorders>
              <w:bottom w:val="single" w:sz="8" w:color="EBFBFF"/>
            </w:tcBorders>
            <w:shd w:val="clear" w:color="auto" w:fill="EBFBFF"/>
          </w:tcPr>
          <w:p>
            <w:pPr>
              <w:jc w:val="right"/>
              <w:ind w:right="51"/>
              <w:spacing w:after="0"/>
              <w:rPr>
                <w:sz w:val="20"/>
                <w:szCs w:val="20"/>
                <w:color w:val="auto"/>
              </w:rPr>
            </w:pPr>
            <w:r>
              <w:rPr>
                <w:rFonts w:ascii="Calibri" w:cs="Calibri" w:eastAsia="Calibri" w:hAnsi="Calibri"/>
                <w:sz w:val="14"/>
                <w:szCs w:val="14"/>
                <w:color w:val="51555C"/>
                <w:w w:val="83"/>
              </w:rPr>
              <w:t>$</w:t>
            </w:r>
          </w:p>
        </w:tc>
        <w:tc>
          <w:tcPr>
            <w:tcW w:w="1380" w:type="dxa"/>
            <w:vAlign w:val="bottom"/>
            <w:tcBorders>
              <w:bottom w:val="single" w:sz="8" w:color="EBFBFF"/>
            </w:tcBorders>
            <w:gridSpan w:val="2"/>
            <w:shd w:val="clear" w:color="auto" w:fill="EBFBFF"/>
          </w:tcPr>
          <w:p>
            <w:pPr>
              <w:jc w:val="right"/>
              <w:ind w:right="140"/>
              <w:spacing w:after="0"/>
              <w:rPr>
                <w:sz w:val="20"/>
                <w:szCs w:val="20"/>
                <w:color w:val="auto"/>
              </w:rPr>
            </w:pPr>
            <w:r>
              <w:rPr>
                <w:rFonts w:ascii="Calibri" w:cs="Calibri" w:eastAsia="Calibri" w:hAnsi="Calibri"/>
                <w:sz w:val="14"/>
                <w:szCs w:val="14"/>
                <w:color w:val="51555C"/>
              </w:rPr>
              <w:t>—</w:t>
            </w:r>
          </w:p>
        </w:tc>
        <w:tc>
          <w:tcPr>
            <w:tcW w:w="580" w:type="dxa"/>
            <w:vAlign w:val="bottom"/>
            <w:tcBorders>
              <w:bottom w:val="single" w:sz="8" w:color="EBFBFF"/>
            </w:tcBorders>
            <w:shd w:val="clear" w:color="auto" w:fill="EBFBFF"/>
          </w:tcPr>
          <w:p>
            <w:pPr>
              <w:jc w:val="right"/>
              <w:ind w:right="409"/>
              <w:spacing w:after="0"/>
              <w:rPr>
                <w:sz w:val="20"/>
                <w:szCs w:val="20"/>
                <w:color w:val="auto"/>
              </w:rPr>
            </w:pPr>
            <w:r>
              <w:rPr>
                <w:rFonts w:ascii="Calibri" w:cs="Calibri" w:eastAsia="Calibri" w:hAnsi="Calibri"/>
                <w:sz w:val="14"/>
                <w:szCs w:val="14"/>
                <w:color w:val="51555C"/>
              </w:rPr>
              <w:t>$</w:t>
            </w:r>
          </w:p>
        </w:tc>
        <w:tc>
          <w:tcPr>
            <w:tcW w:w="9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5,004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5020" w:type="dxa"/>
            <w:vAlign w:val="bottom"/>
          </w:tcPr>
          <w:p>
            <w:pPr>
              <w:ind w:left="100"/>
              <w:spacing w:after="0"/>
              <w:rPr>
                <w:sz w:val="20"/>
                <w:szCs w:val="20"/>
                <w:color w:val="auto"/>
              </w:rPr>
            </w:pPr>
            <w:r>
              <w:rPr>
                <w:rFonts w:ascii="Calibri" w:cs="Calibri" w:eastAsia="Calibri" w:hAnsi="Calibri"/>
                <w:sz w:val="14"/>
                <w:szCs w:val="14"/>
                <w:i w:val="1"/>
                <w:iCs w:val="1"/>
                <w:color w:val="51555C"/>
              </w:rPr>
              <w:t>Foreign currency forward contracts</w:t>
            </w:r>
          </w:p>
        </w:tc>
        <w:tc>
          <w:tcPr>
            <w:tcW w:w="120" w:type="dxa"/>
            <w:vAlign w:val="bottom"/>
          </w:tcPr>
          <w:p>
            <w:pPr>
              <w:spacing w:after="0"/>
              <w:rPr>
                <w:sz w:val="14"/>
                <w:szCs w:val="14"/>
                <w:color w:val="auto"/>
              </w:rPr>
            </w:pPr>
          </w:p>
        </w:tc>
        <w:tc>
          <w:tcPr>
            <w:tcW w:w="1460" w:type="dxa"/>
            <w:vAlign w:val="bottom"/>
            <w:gridSpan w:val="2"/>
          </w:tcPr>
          <w:p>
            <w:pPr>
              <w:ind w:left="1200"/>
              <w:spacing w:after="0"/>
              <w:rPr>
                <w:sz w:val="20"/>
                <w:szCs w:val="20"/>
                <w:color w:val="auto"/>
              </w:rPr>
            </w:pPr>
            <w:r>
              <w:rPr>
                <w:rFonts w:ascii="Calibri" w:cs="Calibri" w:eastAsia="Calibri" w:hAnsi="Calibri"/>
                <w:sz w:val="14"/>
                <w:szCs w:val="14"/>
                <w:color w:val="51555C"/>
              </w:rPr>
              <w:t>—</w:t>
            </w:r>
          </w:p>
        </w:tc>
        <w:tc>
          <w:tcPr>
            <w:tcW w:w="1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alibri" w:cs="Calibri" w:eastAsia="Calibri" w:hAnsi="Calibri"/>
                <w:sz w:val="14"/>
                <w:szCs w:val="14"/>
                <w:color w:val="51555C"/>
              </w:rPr>
              <w:t>536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right"/>
              <w:ind w:right="140"/>
              <w:spacing w:after="0"/>
              <w:rPr>
                <w:sz w:val="20"/>
                <w:szCs w:val="20"/>
                <w:color w:val="auto"/>
              </w:rPr>
            </w:pPr>
            <w:r>
              <w:rPr>
                <w:rFonts w:ascii="Calibri" w:cs="Calibri" w:eastAsia="Calibri" w:hAnsi="Calibri"/>
                <w:sz w:val="14"/>
                <w:szCs w:val="14"/>
                <w:color w:val="51555C"/>
              </w:rPr>
              <w:t>—</w:t>
            </w:r>
          </w:p>
        </w:tc>
        <w:tc>
          <w:tcPr>
            <w:tcW w:w="5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alibri" w:cs="Calibri" w:eastAsia="Calibri" w:hAnsi="Calibri"/>
                <w:sz w:val="14"/>
                <w:szCs w:val="14"/>
                <w:color w:val="51555C"/>
              </w:rPr>
              <w:t>536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5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2"/>
        </w:trPr>
        <w:tc>
          <w:tcPr>
            <w:tcW w:w="502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4"/>
                <w:szCs w:val="14"/>
                <w:color w:val="51555C"/>
              </w:rPr>
              <w:t>Contngent consideraton obligatons</w:t>
            </w:r>
          </w:p>
        </w:tc>
        <w:tc>
          <w:tcPr>
            <w:tcW w:w="120" w:type="dxa"/>
            <w:vAlign w:val="bottom"/>
            <w:tcBorders>
              <w:bottom w:val="single" w:sz="8" w:color="EBFBFF"/>
            </w:tcBorders>
            <w:shd w:val="clear" w:color="auto" w:fill="EBFBFF"/>
          </w:tcPr>
          <w:p>
            <w:pPr>
              <w:spacing w:after="0"/>
              <w:rPr>
                <w:sz w:val="18"/>
                <w:szCs w:val="18"/>
                <w:color w:val="auto"/>
              </w:rPr>
            </w:pPr>
          </w:p>
        </w:tc>
        <w:tc>
          <w:tcPr>
            <w:tcW w:w="1460" w:type="dxa"/>
            <w:vAlign w:val="bottom"/>
            <w:tcBorders>
              <w:bottom w:val="single" w:sz="8" w:color="EBFBFF"/>
            </w:tcBorders>
            <w:gridSpan w:val="2"/>
            <w:shd w:val="clear" w:color="auto" w:fill="EBFBFF"/>
          </w:tcPr>
          <w:p>
            <w:pPr>
              <w:ind w:left="1200"/>
              <w:spacing w:after="0"/>
              <w:rPr>
                <w:sz w:val="20"/>
                <w:szCs w:val="20"/>
                <w:color w:val="auto"/>
              </w:rPr>
            </w:pPr>
            <w:r>
              <w:rPr>
                <w:rFonts w:ascii="Calibri" w:cs="Calibri" w:eastAsia="Calibri" w:hAnsi="Calibri"/>
                <w:sz w:val="14"/>
                <w:szCs w:val="14"/>
                <w:color w:val="51555C"/>
              </w:rPr>
              <w:t>—</w:t>
            </w:r>
          </w:p>
        </w:tc>
        <w:tc>
          <w:tcPr>
            <w:tcW w:w="120" w:type="dxa"/>
            <w:vAlign w:val="bottom"/>
            <w:tcBorders>
              <w:bottom w:val="single" w:sz="8" w:color="EBFBFF"/>
            </w:tcBorders>
            <w:shd w:val="clear" w:color="auto" w:fill="EBFBFF"/>
          </w:tcPr>
          <w:p>
            <w:pPr>
              <w:spacing w:after="0"/>
              <w:rPr>
                <w:sz w:val="18"/>
                <w:szCs w:val="18"/>
                <w:color w:val="auto"/>
              </w:rPr>
            </w:pPr>
          </w:p>
        </w:tc>
        <w:tc>
          <w:tcPr>
            <w:tcW w:w="1480" w:type="dxa"/>
            <w:vAlign w:val="bottom"/>
            <w:tcBorders>
              <w:bottom w:val="single" w:sz="8" w:color="EBFBFF"/>
            </w:tcBorders>
            <w:gridSpan w:val="2"/>
            <w:shd w:val="clear" w:color="auto" w:fill="EBFBFF"/>
          </w:tcPr>
          <w:p>
            <w:pPr>
              <w:jc w:val="right"/>
              <w:ind w:right="140"/>
              <w:spacing w:after="0"/>
              <w:rPr>
                <w:sz w:val="20"/>
                <w:szCs w:val="20"/>
                <w:color w:val="auto"/>
              </w:rPr>
            </w:pPr>
            <w:r>
              <w:rPr>
                <w:rFonts w:ascii="Calibri" w:cs="Calibri" w:eastAsia="Calibri" w:hAnsi="Calibri"/>
                <w:sz w:val="14"/>
                <w:szCs w:val="14"/>
                <w:color w:val="51555C"/>
              </w:rPr>
              <w:t>—</w:t>
            </w:r>
          </w:p>
        </w:tc>
        <w:tc>
          <w:tcPr>
            <w:tcW w:w="200" w:type="dxa"/>
            <w:vAlign w:val="bottom"/>
            <w:tcBorders>
              <w:bottom w:val="single" w:sz="8" w:color="EBFBFF"/>
            </w:tcBorders>
            <w:shd w:val="clear" w:color="auto" w:fill="EBFBFF"/>
          </w:tcPr>
          <w:p>
            <w:pPr>
              <w:spacing w:after="0"/>
              <w:rPr>
                <w:sz w:val="18"/>
                <w:szCs w:val="18"/>
                <w:color w:val="auto"/>
              </w:rPr>
            </w:pPr>
          </w:p>
        </w:tc>
        <w:tc>
          <w:tcPr>
            <w:tcW w:w="13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1,403</w:t>
            </w:r>
          </w:p>
        </w:tc>
        <w:tc>
          <w:tcPr>
            <w:tcW w:w="80" w:type="dxa"/>
            <w:vAlign w:val="bottom"/>
            <w:tcBorders>
              <w:bottom w:val="single" w:sz="8" w:color="EBFBFF"/>
            </w:tcBorders>
            <w:shd w:val="clear" w:color="auto" w:fill="EBFBFF"/>
          </w:tcPr>
          <w:p>
            <w:pPr>
              <w:spacing w:after="0"/>
              <w:rPr>
                <w:sz w:val="18"/>
                <w:szCs w:val="18"/>
                <w:color w:val="auto"/>
              </w:rPr>
            </w:pPr>
          </w:p>
        </w:tc>
        <w:tc>
          <w:tcPr>
            <w:tcW w:w="580" w:type="dxa"/>
            <w:vAlign w:val="bottom"/>
            <w:tcBorders>
              <w:bottom w:val="single" w:sz="8" w:color="EBFBFF"/>
            </w:tcBorders>
            <w:shd w:val="clear" w:color="auto" w:fill="EBFBFF"/>
          </w:tcPr>
          <w:p>
            <w:pPr>
              <w:spacing w:after="0"/>
              <w:rPr>
                <w:sz w:val="18"/>
                <w:szCs w:val="18"/>
                <w:color w:val="auto"/>
              </w:rPr>
            </w:pPr>
          </w:p>
        </w:tc>
        <w:tc>
          <w:tcPr>
            <w:tcW w:w="9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1,403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5020" w:type="dxa"/>
            <w:vAlign w:val="bottom"/>
          </w:tcPr>
          <w:p>
            <w:pPr>
              <w:ind w:left="180"/>
              <w:spacing w:after="0" w:line="163" w:lineRule="exact"/>
              <w:rPr>
                <w:sz w:val="20"/>
                <w:szCs w:val="20"/>
                <w:color w:val="auto"/>
              </w:rPr>
            </w:pPr>
            <w:r>
              <w:rPr>
                <w:rFonts w:ascii="Calibri" w:cs="Calibri" w:eastAsia="Calibri" w:hAnsi="Calibri"/>
                <w:sz w:val="14"/>
                <w:szCs w:val="14"/>
                <w:color w:val="51555C"/>
              </w:rPr>
              <w:t>Total fnancial liabilites</w:t>
            </w:r>
          </w:p>
        </w:tc>
        <w:tc>
          <w:tcPr>
            <w:tcW w:w="120" w:type="dxa"/>
            <w:vAlign w:val="bottom"/>
            <w:tcBorders>
              <w:top w:val="single" w:sz="8" w:color="51555C"/>
            </w:tcBorders>
          </w:tcPr>
          <w:p>
            <w:pPr>
              <w:jc w:val="right"/>
              <w:spacing w:after="0" w:line="163" w:lineRule="exact"/>
              <w:rPr>
                <w:sz w:val="20"/>
                <w:szCs w:val="20"/>
                <w:color w:val="auto"/>
              </w:rPr>
            </w:pPr>
            <w:r>
              <w:rPr>
                <w:rFonts w:ascii="Calibri" w:cs="Calibri" w:eastAsia="Calibri" w:hAnsi="Calibri"/>
                <w:sz w:val="14"/>
                <w:szCs w:val="14"/>
                <w:color w:val="51555C"/>
                <w:w w:val="83"/>
              </w:rPr>
              <w:t>$</w:t>
            </w:r>
          </w:p>
        </w:tc>
        <w:tc>
          <w:tcPr>
            <w:tcW w:w="1360" w:type="dxa"/>
            <w:vAlign w:val="bottom"/>
            <w:tcBorders>
              <w:top w:val="single" w:sz="8" w:color="51555C"/>
            </w:tcBorders>
          </w:tcPr>
          <w:p>
            <w:pPr>
              <w:ind w:left="1200"/>
              <w:spacing w:after="0" w:line="163" w:lineRule="exact"/>
              <w:rPr>
                <w:sz w:val="20"/>
                <w:szCs w:val="20"/>
                <w:color w:val="auto"/>
              </w:rPr>
            </w:pPr>
            <w:r>
              <w:rPr>
                <w:rFonts w:ascii="Calibri" w:cs="Calibri" w:eastAsia="Calibri" w:hAnsi="Calibri"/>
                <w:sz w:val="14"/>
                <w:szCs w:val="14"/>
                <w:color w:val="51555C"/>
              </w:rPr>
              <w:t>—</w:t>
            </w:r>
          </w:p>
        </w:tc>
        <w:tc>
          <w:tcPr>
            <w:tcW w:w="100" w:type="dxa"/>
            <w:vAlign w:val="bottom"/>
          </w:tcPr>
          <w:p>
            <w:pPr>
              <w:spacing w:after="0"/>
              <w:rPr>
                <w:sz w:val="14"/>
                <w:szCs w:val="14"/>
                <w:color w:val="auto"/>
              </w:rPr>
            </w:pPr>
          </w:p>
        </w:tc>
        <w:tc>
          <w:tcPr>
            <w:tcW w:w="120" w:type="dxa"/>
            <w:vAlign w:val="bottom"/>
            <w:tcBorders>
              <w:top w:val="single" w:sz="8" w:color="51555C"/>
            </w:tcBorders>
          </w:tcPr>
          <w:p>
            <w:pPr>
              <w:jc w:val="right"/>
              <w:spacing w:after="0" w:line="163" w:lineRule="exact"/>
              <w:rPr>
                <w:sz w:val="20"/>
                <w:szCs w:val="20"/>
                <w:color w:val="auto"/>
              </w:rPr>
            </w:pPr>
            <w:r>
              <w:rPr>
                <w:rFonts w:ascii="Calibri" w:cs="Calibri" w:eastAsia="Calibri" w:hAnsi="Calibri"/>
                <w:sz w:val="14"/>
                <w:szCs w:val="14"/>
                <w:color w:val="51555C"/>
              </w:rPr>
              <w:t>$</w:t>
            </w:r>
          </w:p>
        </w:tc>
        <w:tc>
          <w:tcPr>
            <w:tcW w:w="1380" w:type="dxa"/>
            <w:vAlign w:val="bottom"/>
            <w:tcBorders>
              <w:top w:val="single" w:sz="8" w:color="51555C"/>
            </w:tcBorders>
          </w:tcPr>
          <w:p>
            <w:pPr>
              <w:jc w:val="right"/>
              <w:spacing w:after="0" w:line="163" w:lineRule="exact"/>
              <w:rPr>
                <w:sz w:val="20"/>
                <w:szCs w:val="20"/>
                <w:color w:val="auto"/>
              </w:rPr>
            </w:pPr>
            <w:r>
              <w:rPr>
                <w:rFonts w:ascii="Calibri" w:cs="Calibri" w:eastAsia="Calibri" w:hAnsi="Calibri"/>
                <w:sz w:val="14"/>
                <w:szCs w:val="14"/>
                <w:color w:val="51555C"/>
              </w:rPr>
              <w:t>5,540</w:t>
            </w:r>
          </w:p>
        </w:tc>
        <w:tc>
          <w:tcPr>
            <w:tcW w:w="100" w:type="dxa"/>
            <w:vAlign w:val="bottom"/>
          </w:tcPr>
          <w:p>
            <w:pPr>
              <w:spacing w:after="0"/>
              <w:rPr>
                <w:sz w:val="14"/>
                <w:szCs w:val="14"/>
                <w:color w:val="auto"/>
              </w:rPr>
            </w:pPr>
          </w:p>
        </w:tc>
        <w:tc>
          <w:tcPr>
            <w:tcW w:w="200" w:type="dxa"/>
            <w:vAlign w:val="bottom"/>
            <w:tcBorders>
              <w:top w:val="single" w:sz="8" w:color="51555C"/>
            </w:tcBorders>
          </w:tcPr>
          <w:p>
            <w:pPr>
              <w:jc w:val="right"/>
              <w:ind w:right="51"/>
              <w:spacing w:after="0" w:line="163" w:lineRule="exact"/>
              <w:rPr>
                <w:sz w:val="20"/>
                <w:szCs w:val="20"/>
                <w:color w:val="auto"/>
              </w:rPr>
            </w:pPr>
            <w:r>
              <w:rPr>
                <w:rFonts w:ascii="Calibri" w:cs="Calibri" w:eastAsia="Calibri" w:hAnsi="Calibri"/>
                <w:sz w:val="14"/>
                <w:szCs w:val="14"/>
                <w:color w:val="51555C"/>
                <w:w w:val="83"/>
              </w:rPr>
              <w:t>$</w:t>
            </w:r>
          </w:p>
        </w:tc>
        <w:tc>
          <w:tcPr>
            <w:tcW w:w="1300" w:type="dxa"/>
            <w:vAlign w:val="bottom"/>
            <w:tcBorders>
              <w:top w:val="single" w:sz="8" w:color="51555C"/>
            </w:tcBorders>
          </w:tcPr>
          <w:p>
            <w:pPr>
              <w:jc w:val="right"/>
              <w:spacing w:after="0" w:line="163" w:lineRule="exact"/>
              <w:rPr>
                <w:sz w:val="20"/>
                <w:szCs w:val="20"/>
                <w:color w:val="auto"/>
              </w:rPr>
            </w:pPr>
            <w:r>
              <w:rPr>
                <w:rFonts w:ascii="Calibri" w:cs="Calibri" w:eastAsia="Calibri" w:hAnsi="Calibri"/>
                <w:sz w:val="14"/>
                <w:szCs w:val="14"/>
                <w:color w:val="51555C"/>
              </w:rPr>
              <w:t>1,403</w:t>
            </w:r>
          </w:p>
        </w:tc>
        <w:tc>
          <w:tcPr>
            <w:tcW w:w="80" w:type="dxa"/>
            <w:vAlign w:val="bottom"/>
          </w:tcPr>
          <w:p>
            <w:pPr>
              <w:spacing w:after="0"/>
              <w:rPr>
                <w:sz w:val="14"/>
                <w:szCs w:val="14"/>
                <w:color w:val="auto"/>
              </w:rPr>
            </w:pPr>
          </w:p>
        </w:tc>
        <w:tc>
          <w:tcPr>
            <w:tcW w:w="580" w:type="dxa"/>
            <w:vAlign w:val="bottom"/>
            <w:tcBorders>
              <w:top w:val="single" w:sz="8" w:color="51555C"/>
            </w:tcBorders>
          </w:tcPr>
          <w:p>
            <w:pPr>
              <w:jc w:val="right"/>
              <w:ind w:right="409"/>
              <w:spacing w:after="0" w:line="163" w:lineRule="exact"/>
              <w:rPr>
                <w:sz w:val="20"/>
                <w:szCs w:val="20"/>
                <w:color w:val="auto"/>
              </w:rPr>
            </w:pPr>
            <w:r>
              <w:rPr>
                <w:rFonts w:ascii="Calibri" w:cs="Calibri" w:eastAsia="Calibri" w:hAnsi="Calibri"/>
                <w:sz w:val="14"/>
                <w:szCs w:val="14"/>
                <w:color w:val="51555C"/>
              </w:rPr>
              <w:t>$</w:t>
            </w:r>
          </w:p>
        </w:tc>
        <w:tc>
          <w:tcPr>
            <w:tcW w:w="920" w:type="dxa"/>
            <w:vAlign w:val="bottom"/>
            <w:tcBorders>
              <w:top w:val="single" w:sz="8" w:color="51555C"/>
            </w:tcBorders>
          </w:tcPr>
          <w:p>
            <w:pPr>
              <w:jc w:val="right"/>
              <w:spacing w:after="0" w:line="163" w:lineRule="exact"/>
              <w:rPr>
                <w:sz w:val="20"/>
                <w:szCs w:val="20"/>
                <w:color w:val="auto"/>
              </w:rPr>
            </w:pPr>
            <w:r>
              <w:rPr>
                <w:rFonts w:ascii="Calibri" w:cs="Calibri" w:eastAsia="Calibri" w:hAnsi="Calibri"/>
                <w:sz w:val="14"/>
                <w:szCs w:val="14"/>
                <w:color w:val="51555C"/>
              </w:rPr>
              <w:t>6,943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5020" w:type="dxa"/>
            <w:vAlign w:val="bottom"/>
            <w:tcBorders>
              <w:bottom w:val="single" w:sz="8" w:color="0CD973"/>
            </w:tcBorders>
          </w:tcPr>
          <w:p>
            <w:pPr>
              <w:spacing w:after="0"/>
              <w:rPr>
                <w:sz w:val="3"/>
                <w:szCs w:val="3"/>
                <w:color w:val="auto"/>
              </w:rPr>
            </w:pPr>
          </w:p>
        </w:tc>
        <w:tc>
          <w:tcPr>
            <w:tcW w:w="120" w:type="dxa"/>
            <w:vAlign w:val="bottom"/>
            <w:tcBorders>
              <w:bottom w:val="single" w:sz="8" w:color="0CD973"/>
            </w:tcBorders>
          </w:tcPr>
          <w:p>
            <w:pPr>
              <w:spacing w:after="0"/>
              <w:rPr>
                <w:sz w:val="3"/>
                <w:szCs w:val="3"/>
                <w:color w:val="auto"/>
              </w:rPr>
            </w:pPr>
          </w:p>
        </w:tc>
        <w:tc>
          <w:tcPr>
            <w:tcW w:w="1360" w:type="dxa"/>
            <w:vAlign w:val="bottom"/>
            <w:tcBorders>
              <w:bottom w:val="single" w:sz="8" w:color="0CD973"/>
            </w:tcBorders>
          </w:tcPr>
          <w:p>
            <w:pPr>
              <w:spacing w:after="0"/>
              <w:rPr>
                <w:sz w:val="3"/>
                <w:szCs w:val="3"/>
                <w:color w:val="auto"/>
              </w:rPr>
            </w:pPr>
          </w:p>
        </w:tc>
        <w:tc>
          <w:tcPr>
            <w:tcW w:w="100" w:type="dxa"/>
            <w:vAlign w:val="bottom"/>
            <w:tcBorders>
              <w:bottom w:val="single" w:sz="8" w:color="0CD973"/>
            </w:tcBorders>
          </w:tcPr>
          <w:p>
            <w:pPr>
              <w:spacing w:after="0"/>
              <w:rPr>
                <w:sz w:val="3"/>
                <w:szCs w:val="3"/>
                <w:color w:val="auto"/>
              </w:rPr>
            </w:pPr>
          </w:p>
        </w:tc>
        <w:tc>
          <w:tcPr>
            <w:tcW w:w="120" w:type="dxa"/>
            <w:vAlign w:val="bottom"/>
            <w:tcBorders>
              <w:bottom w:val="single" w:sz="8" w:color="0CD973"/>
            </w:tcBorders>
          </w:tcPr>
          <w:p>
            <w:pPr>
              <w:spacing w:after="0"/>
              <w:rPr>
                <w:sz w:val="3"/>
                <w:szCs w:val="3"/>
                <w:color w:val="auto"/>
              </w:rPr>
            </w:pPr>
          </w:p>
        </w:tc>
        <w:tc>
          <w:tcPr>
            <w:tcW w:w="1380" w:type="dxa"/>
            <w:vAlign w:val="bottom"/>
            <w:tcBorders>
              <w:bottom w:val="single" w:sz="8" w:color="0CD973"/>
            </w:tcBorders>
          </w:tcPr>
          <w:p>
            <w:pPr>
              <w:spacing w:after="0"/>
              <w:rPr>
                <w:sz w:val="3"/>
                <w:szCs w:val="3"/>
                <w:color w:val="auto"/>
              </w:rPr>
            </w:pPr>
          </w:p>
        </w:tc>
        <w:tc>
          <w:tcPr>
            <w:tcW w:w="100" w:type="dxa"/>
            <w:vAlign w:val="bottom"/>
            <w:tcBorders>
              <w:bottom w:val="single" w:sz="8" w:color="0CD973"/>
            </w:tcBorders>
          </w:tcPr>
          <w:p>
            <w:pPr>
              <w:spacing w:after="0"/>
              <w:rPr>
                <w:sz w:val="3"/>
                <w:szCs w:val="3"/>
                <w:color w:val="auto"/>
              </w:rPr>
            </w:pPr>
          </w:p>
        </w:tc>
        <w:tc>
          <w:tcPr>
            <w:tcW w:w="200" w:type="dxa"/>
            <w:vAlign w:val="bottom"/>
            <w:tcBorders>
              <w:bottom w:val="single" w:sz="8" w:color="0CD973"/>
            </w:tcBorders>
          </w:tcPr>
          <w:p>
            <w:pPr>
              <w:spacing w:after="0"/>
              <w:rPr>
                <w:sz w:val="3"/>
                <w:szCs w:val="3"/>
                <w:color w:val="auto"/>
              </w:rPr>
            </w:pPr>
          </w:p>
        </w:tc>
        <w:tc>
          <w:tcPr>
            <w:tcW w:w="1300" w:type="dxa"/>
            <w:vAlign w:val="bottom"/>
            <w:tcBorders>
              <w:bottom w:val="single" w:sz="8" w:color="0CD973"/>
            </w:tcBorders>
          </w:tcPr>
          <w:p>
            <w:pPr>
              <w:spacing w:after="0"/>
              <w:rPr>
                <w:sz w:val="3"/>
                <w:szCs w:val="3"/>
                <w:color w:val="auto"/>
              </w:rPr>
            </w:pPr>
          </w:p>
        </w:tc>
        <w:tc>
          <w:tcPr>
            <w:tcW w:w="80" w:type="dxa"/>
            <w:vAlign w:val="bottom"/>
            <w:tcBorders>
              <w:bottom w:val="single" w:sz="8" w:color="0CD973"/>
            </w:tcBorders>
          </w:tcPr>
          <w:p>
            <w:pPr>
              <w:spacing w:after="0"/>
              <w:rPr>
                <w:sz w:val="3"/>
                <w:szCs w:val="3"/>
                <w:color w:val="auto"/>
              </w:rPr>
            </w:pPr>
          </w:p>
        </w:tc>
        <w:tc>
          <w:tcPr>
            <w:tcW w:w="580" w:type="dxa"/>
            <w:vAlign w:val="bottom"/>
            <w:tcBorders>
              <w:bottom w:val="single" w:sz="8" w:color="0CD973"/>
            </w:tcBorders>
          </w:tcPr>
          <w:p>
            <w:pPr>
              <w:spacing w:after="0"/>
              <w:rPr>
                <w:sz w:val="3"/>
                <w:szCs w:val="3"/>
                <w:color w:val="auto"/>
              </w:rPr>
            </w:pPr>
          </w:p>
        </w:tc>
        <w:tc>
          <w:tcPr>
            <w:tcW w:w="920" w:type="dxa"/>
            <w:vAlign w:val="bottom"/>
            <w:tcBorders>
              <w:bottom w:val="single" w:sz="8" w:color="0CD973"/>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3183255</wp:posOffset>
            </wp:positionH>
            <wp:positionV relativeFrom="paragraph">
              <wp:posOffset>-3381375</wp:posOffset>
            </wp:positionV>
            <wp:extent cx="2978150"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978150" cy="6985"/>
                    </a:xfrm>
                    <a:prstGeom prst="rect">
                      <a:avLst/>
                    </a:prstGeom>
                    <a:noFill/>
                  </pic:spPr>
                </pic:pic>
              </a:graphicData>
            </a:graphic>
          </wp:anchor>
        </w:drawing>
      </w:r>
    </w:p>
    <w:p>
      <w:pPr>
        <w:spacing w:after="0" w:line="164" w:lineRule="exact"/>
        <w:rPr>
          <w:sz w:val="20"/>
          <w:szCs w:val="20"/>
          <w:color w:val="auto"/>
        </w:rPr>
      </w:pPr>
    </w:p>
    <w:p>
      <w:pPr>
        <w:jc w:val="both"/>
        <w:ind w:right="20"/>
        <w:spacing w:after="0" w:line="237" w:lineRule="auto"/>
        <w:rPr>
          <w:sz w:val="20"/>
          <w:szCs w:val="20"/>
          <w:color w:val="auto"/>
        </w:rPr>
      </w:pPr>
      <w:r>
        <w:rPr>
          <w:rFonts w:ascii="Calibri" w:cs="Calibri" w:eastAsia="Calibri" w:hAnsi="Calibri"/>
          <w:sz w:val="14"/>
          <w:szCs w:val="14"/>
          <w:color w:val="51555C"/>
        </w:rPr>
        <w:t xml:space="preserve">Our derivatve instruments within the scope of Accountng Standards Codifcaton ("ASC") 815, </w:t>
      </w:r>
      <w:r>
        <w:rPr>
          <w:rFonts w:ascii="Calibri" w:cs="Calibri" w:eastAsia="Calibri" w:hAnsi="Calibri"/>
          <w:sz w:val="14"/>
          <w:szCs w:val="14"/>
          <w:i w:val="1"/>
          <w:iCs w:val="1"/>
          <w:color w:val="51555C"/>
        </w:rPr>
        <w:t>Derivatves and Hedging</w:t>
      </w:r>
      <w:r>
        <w:rPr>
          <w:rFonts w:ascii="Calibri" w:cs="Calibri" w:eastAsia="Calibri" w:hAnsi="Calibri"/>
          <w:sz w:val="14"/>
          <w:szCs w:val="14"/>
          <w:color w:val="51555C"/>
        </w:rPr>
        <w:t>, are required to be recorded at fair value. Our derivatve instruments that are recorded at fair value include interest rate swaps and foreign currency forward contracts. See Note 8 to these unaudited, condensed consolidated fnancial statements for additonal informaton about our derivatve instruments.</w:t>
      </w:r>
    </w:p>
    <w:p>
      <w:pPr>
        <w:spacing w:after="0" w:line="267" w:lineRule="exact"/>
        <w:rPr>
          <w:sz w:val="20"/>
          <w:szCs w:val="20"/>
          <w:color w:val="auto"/>
        </w:rPr>
      </w:pPr>
    </w:p>
    <w:p>
      <w:pPr>
        <w:ind w:left="20"/>
        <w:spacing w:after="0"/>
        <w:tabs>
          <w:tab w:leader="none" w:pos="589" w:val="left"/>
        </w:tabs>
        <w:rPr>
          <w:sz w:val="20"/>
          <w:szCs w:val="20"/>
          <w:color w:val="auto"/>
        </w:rPr>
      </w:pPr>
      <w:r>
        <w:rPr>
          <w:rFonts w:ascii="Calibri" w:cs="Calibri" w:eastAsia="Calibri" w:hAnsi="Calibri"/>
          <w:sz w:val="11"/>
          <w:szCs w:val="11"/>
          <w:color w:val="51555C"/>
        </w:rPr>
        <w:t>10</w:t>
      </w:r>
      <w:r>
        <w:rPr>
          <w:sz w:val="20"/>
          <w:szCs w:val="20"/>
          <w:color w:val="auto"/>
        </w:rPr>
        <w:tab/>
      </w:r>
      <w:r>
        <w:rPr>
          <w:sz w:val="1"/>
          <w:szCs w:val="1"/>
          <w:color w:val="auto"/>
        </w:rPr>
        <w:drawing>
          <wp:inline distT="0" distB="0" distL="0" distR="0">
            <wp:extent cx="511810" cy="134620"/>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1810" cy="134620"/>
                    </a:xfrm>
                    <a:prstGeom prst="rect">
                      <a:avLst/>
                    </a:prstGeom>
                    <a:noFill/>
                    <a:ln>
                      <a:noFill/>
                    </a:ln>
                  </pic:spPr>
                </pic:pic>
              </a:graphicData>
            </a:graphic>
          </wp:inline>
        </w:drawing>
      </w:r>
      <w:r>
        <w:rPr>
          <w:rFonts w:ascii="Calibri" w:cs="Calibri" w:eastAsia="Calibri" w:hAnsi="Calibri"/>
          <w:sz w:val="11"/>
          <w:szCs w:val="11"/>
          <w:color w:val="51555C"/>
        </w:rPr>
        <w:t xml:space="preserve">    Second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135255</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11" w:name="page12"/>
    <w:bookmarkEnd w:id="11"/>
    <w:p>
      <w:pPr>
        <w:spacing w:after="0"/>
        <w:rPr>
          <w:sz w:val="20"/>
          <w:szCs w:val="20"/>
          <w:color w:val="auto"/>
        </w:rPr>
      </w:pPr>
      <w:r>
        <w:rPr>
          <w:rFonts w:ascii="Calibri" w:cs="Calibri" w:eastAsia="Calibri" w:hAnsi="Calibri"/>
          <w:sz w:val="11"/>
          <w:szCs w:val="11"/>
          <w:u w:val="single" w:color="auto"/>
          <w:color w:val="7A04DD"/>
        </w:rPr>
        <w:t>Table of Contents</w:t>
      </w:r>
    </w:p>
    <w:p>
      <w:pPr>
        <w:spacing w:after="0" w:line="196" w:lineRule="exact"/>
        <w:rPr>
          <w:sz w:val="20"/>
          <w:szCs w:val="20"/>
          <w:color w:val="auto"/>
        </w:rPr>
      </w:pPr>
    </w:p>
    <w:p>
      <w:pPr>
        <w:jc w:val="center"/>
        <w:ind w:right="20"/>
        <w:spacing w:after="0"/>
        <w:rPr>
          <w:sz w:val="20"/>
          <w:szCs w:val="20"/>
          <w:color w:val="auto"/>
        </w:rPr>
      </w:pPr>
      <w:r>
        <w:rPr>
          <w:rFonts w:ascii="Calibri" w:cs="Calibri" w:eastAsia="Calibri" w:hAnsi="Calibri"/>
          <w:sz w:val="14"/>
          <w:szCs w:val="14"/>
          <w:b w:val="1"/>
          <w:bCs w:val="1"/>
          <w:color w:val="51555C"/>
        </w:rPr>
        <w:t>Blackbaud, Inc.</w:t>
      </w:r>
    </w:p>
    <w:p>
      <w:pPr>
        <w:jc w:val="center"/>
        <w:ind w:right="20"/>
        <w:spacing w:after="0" w:line="238" w:lineRule="auto"/>
        <w:rPr>
          <w:sz w:val="20"/>
          <w:szCs w:val="20"/>
          <w:color w:val="auto"/>
        </w:rPr>
      </w:pPr>
      <w:r>
        <w:rPr>
          <w:rFonts w:ascii="Calibri" w:cs="Calibri" w:eastAsia="Calibri" w:hAnsi="Calibri"/>
          <w:sz w:val="14"/>
          <w:szCs w:val="14"/>
          <w:b w:val="1"/>
          <w:bCs w:val="1"/>
          <w:color w:val="51555C"/>
        </w:rPr>
        <w:t>Notes to Condensed Consolidated Financial Statements</w:t>
      </w:r>
    </w:p>
    <w:p>
      <w:pPr>
        <w:jc w:val="center"/>
        <w:ind w:right="20"/>
        <w:spacing w:after="0"/>
        <w:rPr>
          <w:sz w:val="20"/>
          <w:szCs w:val="20"/>
          <w:color w:val="auto"/>
        </w:rPr>
      </w:pPr>
      <w:r>
        <w:rPr>
          <w:rFonts w:ascii="Calibri" w:cs="Calibri" w:eastAsia="Calibri" w:hAnsi="Calibri"/>
          <w:sz w:val="14"/>
          <w:szCs w:val="14"/>
          <w:b w:val="1"/>
          <w:bCs w:val="1"/>
          <w:color w:val="51555C"/>
        </w:rPr>
        <w:t>(Unaudited)</w:t>
      </w:r>
    </w:p>
    <w:p>
      <w:pPr>
        <w:spacing w:after="0" w:line="200" w:lineRule="exact"/>
        <w:rPr>
          <w:sz w:val="20"/>
          <w:szCs w:val="20"/>
          <w:color w:val="auto"/>
        </w:rPr>
      </w:pPr>
    </w:p>
    <w:p>
      <w:pPr>
        <w:spacing w:after="0" w:line="246" w:lineRule="exact"/>
        <w:rPr>
          <w:sz w:val="20"/>
          <w:szCs w:val="20"/>
          <w:color w:val="auto"/>
        </w:rPr>
      </w:pPr>
    </w:p>
    <w:p>
      <w:pPr>
        <w:jc w:val="both"/>
        <w:ind w:right="20"/>
        <w:spacing w:after="0" w:line="237" w:lineRule="auto"/>
        <w:rPr>
          <w:sz w:val="20"/>
          <w:szCs w:val="20"/>
          <w:color w:val="auto"/>
        </w:rPr>
      </w:pPr>
      <w:r>
        <w:rPr>
          <w:rFonts w:ascii="Calibri" w:cs="Calibri" w:eastAsia="Calibri" w:hAnsi="Calibri"/>
          <w:sz w:val="14"/>
          <w:szCs w:val="14"/>
          <w:color w:val="51555C"/>
        </w:rPr>
        <w:t>The fair value of our interest rate swaps and foreign currency forward contracts are based on model-driven valuatons using Secured Overnight Financing Rate ("SOFR") rates and foreign currency forward rates, respectvely, which are observable at commonly quoted intervals. Accordingly, our interest rate swaps and foreign currency forward contracts are classifed within Level 2 of the fair value hierarchy.</w:t>
      </w:r>
    </w:p>
    <w:p>
      <w:pPr>
        <w:spacing w:after="0" w:line="130" w:lineRule="exact"/>
        <w:rPr>
          <w:sz w:val="20"/>
          <w:szCs w:val="20"/>
          <w:color w:val="auto"/>
        </w:rPr>
      </w:pPr>
    </w:p>
    <w:p>
      <w:pPr>
        <w:jc w:val="both"/>
        <w:ind w:right="20"/>
        <w:spacing w:after="0" w:line="237" w:lineRule="auto"/>
        <w:rPr>
          <w:sz w:val="20"/>
          <w:szCs w:val="20"/>
          <w:color w:val="auto"/>
        </w:rPr>
      </w:pPr>
      <w:r>
        <w:rPr>
          <w:rFonts w:ascii="Calibri" w:cs="Calibri" w:eastAsia="Calibri" w:hAnsi="Calibri"/>
          <w:sz w:val="14"/>
          <w:szCs w:val="14"/>
          <w:color w:val="51555C"/>
        </w:rPr>
        <w:t>Contngent consideraton obligatons arise from business acquisitons. The fair values are based on discounted cash fow analyses refectng a probability-weighted assessment approach derived from the likelihood of possible achievement of specifed performance measures or events and captures the contractual nature of the contngencies, commercial risk, and the tme value of money. As the fair value measurements for our contngent consideraton obligatons contain signifcant unobservable inputs, they are classifed within Level 3 of the fair value hierarchy.</w:t>
      </w:r>
    </w:p>
    <w:p>
      <w:pPr>
        <w:spacing w:after="0" w:line="130" w:lineRule="exact"/>
        <w:rPr>
          <w:sz w:val="20"/>
          <w:szCs w:val="20"/>
          <w:color w:val="auto"/>
        </w:rPr>
      </w:pPr>
    </w:p>
    <w:p>
      <w:pPr>
        <w:jc w:val="both"/>
        <w:ind w:right="20"/>
        <w:spacing w:after="0" w:line="237" w:lineRule="auto"/>
        <w:rPr>
          <w:sz w:val="20"/>
          <w:szCs w:val="20"/>
          <w:color w:val="auto"/>
        </w:rPr>
      </w:pPr>
      <w:r>
        <w:rPr>
          <w:rFonts w:ascii="Calibri" w:cs="Calibri" w:eastAsia="Calibri" w:hAnsi="Calibri"/>
          <w:sz w:val="14"/>
          <w:szCs w:val="14"/>
          <w:color w:val="51555C"/>
        </w:rPr>
        <w:t>We believe the carrying amounts of our cash and cash equivalents, restricted cash, accounts receivable, trade accounts payable, accrued expenses and other current liabilites and due to customers approximate their fair values at June 30, 2024 and December 31, 2023, due to the immediate or short-term maturity of these instruments.</w:t>
      </w:r>
    </w:p>
    <w:p>
      <w:pPr>
        <w:spacing w:after="0" w:line="129" w:lineRule="exact"/>
        <w:rPr>
          <w:sz w:val="20"/>
          <w:szCs w:val="20"/>
          <w:color w:val="auto"/>
        </w:rPr>
      </w:pPr>
    </w:p>
    <w:p>
      <w:pPr>
        <w:jc w:val="both"/>
        <w:ind w:right="20"/>
        <w:spacing w:after="0" w:line="237" w:lineRule="auto"/>
        <w:rPr>
          <w:sz w:val="20"/>
          <w:szCs w:val="20"/>
          <w:color w:val="auto"/>
        </w:rPr>
      </w:pPr>
      <w:r>
        <w:rPr>
          <w:rFonts w:ascii="Calibri" w:cs="Calibri" w:eastAsia="Calibri" w:hAnsi="Calibri"/>
          <w:sz w:val="14"/>
          <w:szCs w:val="14"/>
          <w:color w:val="51555C"/>
        </w:rPr>
        <w:t>We believe the carrying amount of our debt approximates its fair value at June 30, 2024 and December 31, 2023, as the debt bears interest rates that approximate market value. As SOFR rates are observable at commonly quoted intervals, our debt under the 2024 Credit Facilites (as defned below) is classifed within Level 2 of the fair value hierarchy. The fair value of our fxed rate debt does not exceed the carrying amount.</w:t>
      </w:r>
    </w:p>
    <w:p>
      <w:pPr>
        <w:spacing w:after="0" w:line="127" w:lineRule="exact"/>
        <w:rPr>
          <w:sz w:val="20"/>
          <w:szCs w:val="20"/>
          <w:color w:val="auto"/>
        </w:rPr>
      </w:pPr>
    </w:p>
    <w:p>
      <w:pPr>
        <w:spacing w:after="0"/>
        <w:rPr>
          <w:sz w:val="20"/>
          <w:szCs w:val="20"/>
          <w:color w:val="auto"/>
        </w:rPr>
      </w:pPr>
      <w:r>
        <w:rPr>
          <w:rFonts w:ascii="Calibri" w:cs="Calibri" w:eastAsia="Calibri" w:hAnsi="Calibri"/>
          <w:sz w:val="14"/>
          <w:szCs w:val="14"/>
          <w:color w:val="51555C"/>
        </w:rPr>
        <w:t>We did not transfer any assets or liabilites among the levels within the fair value hierarchy during the six months ended June 30, 2024.</w:t>
      </w:r>
    </w:p>
    <w:p>
      <w:pPr>
        <w:spacing w:after="0" w:line="126"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51555C"/>
        </w:rPr>
        <w:t>Non-recurring fair value measurements</w:t>
      </w:r>
    </w:p>
    <w:p>
      <w:pPr>
        <w:spacing w:after="0" w:line="129" w:lineRule="exact"/>
        <w:rPr>
          <w:sz w:val="20"/>
          <w:szCs w:val="20"/>
          <w:color w:val="auto"/>
        </w:rPr>
      </w:pPr>
    </w:p>
    <w:p>
      <w:pPr>
        <w:jc w:val="both"/>
        <w:ind w:right="20"/>
        <w:spacing w:after="0" w:line="238" w:lineRule="auto"/>
        <w:rPr>
          <w:sz w:val="20"/>
          <w:szCs w:val="20"/>
          <w:color w:val="auto"/>
        </w:rPr>
      </w:pPr>
      <w:r>
        <w:rPr>
          <w:rFonts w:ascii="Calibri" w:cs="Calibri" w:eastAsia="Calibri" w:hAnsi="Calibri"/>
          <w:sz w:val="14"/>
          <w:szCs w:val="14"/>
          <w:color w:val="51555C"/>
        </w:rPr>
        <w:t>Assets and liabilites that are measured at fair value on a non-recurring basis include long-lived assets, intangible assets, goodwill and operatng lease right-of-use ("ROU") assets. These assets are recognized at fair value during the period in which an acquisiton is completed or at lease commencement, from updated estmates and assumptons during the measurement period, or when they are considered to be impaired. These non-recurring fair value measurements, primarily for long-lived assets, intangible assets acquired and operatng lease ROU assets, are based on Level 3 unobservable inputs. In the event of an impairment, we determine the fair value of these assets other than goodwill using a discounted cash fow approach, which contains signifcant unobservable inputs and, therefore, is considered a Level 3 fair value measurement. The unobservable inputs in the analysis generally include future cash fow projectons and a discount rate. For goodwill impairment testng, we estmate fair value using market-based methods including the use of market capitalizaton and consideraton of a control premium.</w:t>
      </w:r>
    </w:p>
    <w:p>
      <w:pPr>
        <w:spacing w:after="0" w:line="129" w:lineRule="exact"/>
        <w:rPr>
          <w:sz w:val="20"/>
          <w:szCs w:val="20"/>
          <w:color w:val="auto"/>
        </w:rPr>
      </w:pPr>
    </w:p>
    <w:p>
      <w:pPr>
        <w:jc w:val="both"/>
        <w:ind w:right="20"/>
        <w:spacing w:after="0" w:line="237" w:lineRule="auto"/>
        <w:rPr>
          <w:sz w:val="20"/>
          <w:szCs w:val="20"/>
          <w:color w:val="auto"/>
        </w:rPr>
      </w:pPr>
      <w:r>
        <w:rPr>
          <w:rFonts w:ascii="Calibri" w:cs="Calibri" w:eastAsia="Calibri" w:hAnsi="Calibri"/>
          <w:sz w:val="14"/>
          <w:szCs w:val="14"/>
          <w:color w:val="51555C"/>
        </w:rPr>
        <w:t>In June 2024, we entered into a sublease for an additonal porton of our Washington, DC ofce locaton, which we previously closed for our own use in February 2023 to align with our remote-frst workforce strategy. We considered our entry into the sublease an impairment indicator. As a result, during the three and six months ended June 30, 2024, we recorded noncash impairment charges of $3.1 million against certain operatng lease ROU assets and noncash impairment charges against certain property and equipment assets which were insignifcant. We present these impairment charges in general and administratve expense on our unaudited, condensed consolidated statements of comprehensive income (loss) and as other non-cash adjustments within operatng actvites on our unaudited condensed consolidated statements of cash fows.</w:t>
      </w:r>
    </w:p>
    <w:p>
      <w:pPr>
        <w:spacing w:after="0" w:line="129" w:lineRule="exact"/>
        <w:rPr>
          <w:sz w:val="20"/>
          <w:szCs w:val="20"/>
          <w:color w:val="auto"/>
        </w:rPr>
      </w:pPr>
    </w:p>
    <w:p>
      <w:pPr>
        <w:spacing w:after="0"/>
        <w:rPr>
          <w:sz w:val="20"/>
          <w:szCs w:val="20"/>
          <w:color w:val="auto"/>
        </w:rPr>
      </w:pPr>
      <w:r>
        <w:rPr>
          <w:rFonts w:ascii="Calibri" w:cs="Calibri" w:eastAsia="Calibri" w:hAnsi="Calibri"/>
          <w:sz w:val="14"/>
          <w:szCs w:val="14"/>
          <w:color w:val="51555C"/>
        </w:rPr>
        <w:t>There were no other signifcant non-recurring fair value adjustments to our long-lived assets, intangible assets, goodwill or operatng lease ROU assets during the six months ended June 30, 2024.</w:t>
      </w:r>
    </w:p>
    <w:p>
      <w:pPr>
        <w:spacing w:after="0" w:line="204" w:lineRule="exact"/>
        <w:rPr>
          <w:sz w:val="20"/>
          <w:szCs w:val="20"/>
          <w:color w:val="auto"/>
        </w:rPr>
      </w:pPr>
    </w:p>
    <w:p>
      <w:pPr>
        <w:ind w:left="20"/>
        <w:spacing w:after="0"/>
        <w:rPr>
          <w:sz w:val="20"/>
          <w:szCs w:val="20"/>
          <w:color w:val="auto"/>
        </w:rPr>
      </w:pPr>
      <w:r>
        <w:rPr>
          <w:rFonts w:ascii="Calibri" w:cs="Calibri" w:eastAsia="Calibri" w:hAnsi="Calibri"/>
          <w:sz w:val="17"/>
          <w:szCs w:val="17"/>
          <w:b w:val="1"/>
          <w:bCs w:val="1"/>
          <w:color w:val="006880"/>
        </w:rPr>
        <w:t>6. Consolidated Financial Statement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27305</wp:posOffset>
            </wp:positionV>
            <wp:extent cx="7161530"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51555C"/>
        </w:rPr>
        <w:t>Restricted cash</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5160" w:type="dxa"/>
            <w:vAlign w:val="bottom"/>
            <w:shd w:val="clear" w:color="auto" w:fill="004054"/>
          </w:tcPr>
          <w:p>
            <w:pPr>
              <w:spacing w:after="0"/>
              <w:rPr>
                <w:sz w:val="12"/>
                <w:szCs w:val="12"/>
                <w:color w:val="auto"/>
              </w:rPr>
            </w:pPr>
          </w:p>
        </w:tc>
        <w:tc>
          <w:tcPr>
            <w:tcW w:w="3060" w:type="dxa"/>
            <w:vAlign w:val="bottom"/>
            <w:shd w:val="clear" w:color="auto" w:fill="004054"/>
          </w:tcPr>
          <w:p>
            <w:pPr>
              <w:spacing w:after="0"/>
              <w:rPr>
                <w:sz w:val="12"/>
                <w:szCs w:val="12"/>
                <w:color w:val="auto"/>
              </w:rPr>
            </w:pPr>
          </w:p>
        </w:tc>
        <w:tc>
          <w:tcPr>
            <w:tcW w:w="560" w:type="dxa"/>
            <w:vAlign w:val="bottom"/>
            <w:shd w:val="clear" w:color="auto" w:fill="004054"/>
          </w:tcPr>
          <w:p>
            <w:pPr>
              <w:spacing w:after="0"/>
              <w:rPr>
                <w:sz w:val="12"/>
                <w:szCs w:val="12"/>
                <w:color w:val="auto"/>
              </w:rPr>
            </w:pPr>
          </w:p>
        </w:tc>
        <w:tc>
          <w:tcPr>
            <w:tcW w:w="98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June 30,</w:t>
            </w:r>
          </w:p>
        </w:tc>
        <w:tc>
          <w:tcPr>
            <w:tcW w:w="460" w:type="dxa"/>
            <w:vAlign w:val="bottom"/>
            <w:shd w:val="clear" w:color="auto" w:fill="004054"/>
          </w:tcPr>
          <w:p>
            <w:pPr>
              <w:spacing w:after="0"/>
              <w:rPr>
                <w:sz w:val="12"/>
                <w:szCs w:val="12"/>
                <w:color w:val="auto"/>
              </w:rPr>
            </w:pPr>
          </w:p>
        </w:tc>
        <w:tc>
          <w:tcPr>
            <w:tcW w:w="106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December 31,</w:t>
            </w:r>
          </w:p>
        </w:tc>
        <w:tc>
          <w:tcPr>
            <w:tcW w:w="20" w:type="dxa"/>
            <w:vAlign w:val="bottom"/>
            <w:shd w:val="clear" w:color="auto" w:fill="004054"/>
          </w:tcPr>
          <w:p>
            <w:pPr>
              <w:spacing w:after="0"/>
              <w:rPr>
                <w:sz w:val="12"/>
                <w:szCs w:val="12"/>
                <w:color w:val="auto"/>
              </w:rPr>
            </w:pPr>
          </w:p>
        </w:tc>
      </w:tr>
      <w:tr>
        <w:trPr>
          <w:trHeight w:val="172"/>
        </w:trPr>
        <w:tc>
          <w:tcPr>
            <w:tcW w:w="5160" w:type="dxa"/>
            <w:vAlign w:val="bottom"/>
            <w:tcBorders>
              <w:bottom w:val="single" w:sz="8" w:color="004054"/>
            </w:tcBorders>
            <w:shd w:val="clear" w:color="auto" w:fill="004054"/>
          </w:tcPr>
          <w:p>
            <w:pPr>
              <w:ind w:left="20"/>
              <w:spacing w:after="0"/>
              <w:rPr>
                <w:sz w:val="20"/>
                <w:szCs w:val="20"/>
                <w:color w:val="auto"/>
              </w:rPr>
            </w:pPr>
            <w:r>
              <w:rPr>
                <w:rFonts w:ascii="Calibri" w:cs="Calibri" w:eastAsia="Calibri" w:hAnsi="Calibri"/>
                <w:sz w:val="11"/>
                <w:szCs w:val="11"/>
                <w:b w:val="1"/>
                <w:bCs w:val="1"/>
                <w:color w:val="FFFFFF"/>
              </w:rPr>
              <w:t>(dollars in thousands)</w:t>
            </w:r>
          </w:p>
        </w:tc>
        <w:tc>
          <w:tcPr>
            <w:tcW w:w="3060" w:type="dxa"/>
            <w:vAlign w:val="bottom"/>
            <w:tcBorders>
              <w:bottom w:val="single" w:sz="8" w:color="004054"/>
            </w:tcBorders>
            <w:shd w:val="clear" w:color="auto" w:fill="004054"/>
          </w:tcPr>
          <w:p>
            <w:pPr>
              <w:spacing w:after="0"/>
              <w:rPr>
                <w:sz w:val="14"/>
                <w:szCs w:val="14"/>
                <w:color w:val="auto"/>
              </w:rPr>
            </w:pPr>
          </w:p>
        </w:tc>
        <w:tc>
          <w:tcPr>
            <w:tcW w:w="560" w:type="dxa"/>
            <w:vAlign w:val="bottom"/>
            <w:tcBorders>
              <w:bottom w:val="single" w:sz="8" w:color="004054"/>
            </w:tcBorders>
            <w:shd w:val="clear" w:color="auto" w:fill="004054"/>
          </w:tcPr>
          <w:p>
            <w:pPr>
              <w:spacing w:after="0"/>
              <w:rPr>
                <w:sz w:val="14"/>
                <w:szCs w:val="14"/>
                <w:color w:val="auto"/>
              </w:rPr>
            </w:pPr>
          </w:p>
        </w:tc>
        <w:tc>
          <w:tcPr>
            <w:tcW w:w="980" w:type="dxa"/>
            <w:vAlign w:val="bottom"/>
            <w:tcBorders>
              <w:bottom w:val="single" w:sz="8" w:color="004054"/>
            </w:tcBorders>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2024</w:t>
            </w:r>
          </w:p>
        </w:tc>
        <w:tc>
          <w:tcPr>
            <w:tcW w:w="460" w:type="dxa"/>
            <w:vAlign w:val="bottom"/>
            <w:tcBorders>
              <w:bottom w:val="single" w:sz="8" w:color="004054"/>
            </w:tcBorders>
            <w:shd w:val="clear" w:color="auto" w:fill="004054"/>
          </w:tcPr>
          <w:p>
            <w:pPr>
              <w:spacing w:after="0"/>
              <w:rPr>
                <w:sz w:val="14"/>
                <w:szCs w:val="14"/>
                <w:color w:val="auto"/>
              </w:rPr>
            </w:pPr>
          </w:p>
        </w:tc>
        <w:tc>
          <w:tcPr>
            <w:tcW w:w="1060" w:type="dxa"/>
            <w:vAlign w:val="bottom"/>
            <w:tcBorders>
              <w:bottom w:val="single" w:sz="8" w:color="004054"/>
            </w:tcBorders>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2023</w:t>
            </w:r>
          </w:p>
        </w:tc>
        <w:tc>
          <w:tcPr>
            <w:tcW w:w="20" w:type="dxa"/>
            <w:vAlign w:val="bottom"/>
            <w:tcBorders>
              <w:bottom w:val="single" w:sz="8" w:color="004054"/>
            </w:tcBorders>
            <w:shd w:val="clear" w:color="auto" w:fill="004054"/>
          </w:tcPr>
          <w:p>
            <w:pPr>
              <w:spacing w:after="0"/>
              <w:rPr>
                <w:sz w:val="14"/>
                <w:szCs w:val="14"/>
                <w:color w:val="auto"/>
              </w:rPr>
            </w:pPr>
          </w:p>
        </w:tc>
      </w:tr>
      <w:tr>
        <w:trPr>
          <w:trHeight w:val="192"/>
        </w:trPr>
        <w:tc>
          <w:tcPr>
            <w:tcW w:w="516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4"/>
                <w:szCs w:val="14"/>
                <w:color w:val="51555C"/>
              </w:rPr>
              <w:t>Restricted cash due to customers</w:t>
            </w:r>
          </w:p>
        </w:tc>
        <w:tc>
          <w:tcPr>
            <w:tcW w:w="3620" w:type="dxa"/>
            <w:vAlign w:val="bottom"/>
            <w:tcBorders>
              <w:bottom w:val="single" w:sz="8" w:color="EBFBFF"/>
            </w:tcBorders>
            <w:gridSpan w:val="2"/>
            <w:shd w:val="clear" w:color="auto" w:fill="EBFBFF"/>
          </w:tcPr>
          <w:p>
            <w:pPr>
              <w:jc w:val="right"/>
              <w:ind w:right="460"/>
              <w:spacing w:after="0"/>
              <w:rPr>
                <w:sz w:val="20"/>
                <w:szCs w:val="20"/>
                <w:color w:val="auto"/>
              </w:rPr>
            </w:pPr>
            <w:r>
              <w:rPr>
                <w:rFonts w:ascii="Calibri" w:cs="Calibri" w:eastAsia="Calibri" w:hAnsi="Calibri"/>
                <w:sz w:val="14"/>
                <w:szCs w:val="14"/>
                <w:color w:val="51555C"/>
              </w:rPr>
              <w:t>$</w:t>
            </w:r>
          </w:p>
        </w:tc>
        <w:tc>
          <w:tcPr>
            <w:tcW w:w="9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799,429</w:t>
            </w:r>
          </w:p>
        </w:tc>
        <w:tc>
          <w:tcPr>
            <w:tcW w:w="460" w:type="dxa"/>
            <w:vAlign w:val="bottom"/>
            <w:tcBorders>
              <w:bottom w:val="single" w:sz="8" w:color="EBFBFF"/>
            </w:tcBorders>
            <w:shd w:val="clear" w:color="auto" w:fill="EBFBFF"/>
          </w:tcPr>
          <w:p>
            <w:pPr>
              <w:jc w:val="right"/>
              <w:ind w:right="309"/>
              <w:spacing w:after="0"/>
              <w:rPr>
                <w:sz w:val="20"/>
                <w:szCs w:val="20"/>
                <w:color w:val="auto"/>
              </w:rPr>
            </w:pPr>
            <w:r>
              <w:rPr>
                <w:rFonts w:ascii="Calibri" w:cs="Calibri" w:eastAsia="Calibri" w:hAnsi="Calibri"/>
                <w:sz w:val="14"/>
                <w:szCs w:val="14"/>
                <w:color w:val="51555C"/>
                <w:w w:val="83"/>
              </w:rPr>
              <w:t>$</w:t>
            </w:r>
          </w:p>
        </w:tc>
        <w:tc>
          <w:tcPr>
            <w:tcW w:w="10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695,489</w:t>
            </w:r>
          </w:p>
        </w:tc>
        <w:tc>
          <w:tcPr>
            <w:tcW w:w="20" w:type="dxa"/>
            <w:vAlign w:val="bottom"/>
          </w:tcPr>
          <w:p>
            <w:pPr>
              <w:spacing w:after="0"/>
              <w:rPr>
                <w:sz w:val="16"/>
                <w:szCs w:val="16"/>
                <w:color w:val="auto"/>
              </w:rPr>
            </w:pPr>
          </w:p>
        </w:tc>
      </w:tr>
      <w:tr>
        <w:trPr>
          <w:trHeight w:val="214"/>
        </w:trPr>
        <w:tc>
          <w:tcPr>
            <w:tcW w:w="5160" w:type="dxa"/>
            <w:vAlign w:val="bottom"/>
          </w:tcPr>
          <w:p>
            <w:pPr>
              <w:ind w:left="20"/>
              <w:spacing w:after="0"/>
              <w:rPr>
                <w:sz w:val="20"/>
                <w:szCs w:val="20"/>
                <w:color w:val="auto"/>
              </w:rPr>
            </w:pPr>
            <w:r>
              <w:rPr>
                <w:rFonts w:ascii="Calibri" w:cs="Calibri" w:eastAsia="Calibri" w:hAnsi="Calibri"/>
                <w:sz w:val="14"/>
                <w:szCs w:val="14"/>
                <w:color w:val="51555C"/>
              </w:rPr>
              <w:t>Real estate escrow balances and other</w:t>
            </w:r>
          </w:p>
        </w:tc>
        <w:tc>
          <w:tcPr>
            <w:tcW w:w="3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Calibri" w:cs="Calibri" w:eastAsia="Calibri" w:hAnsi="Calibri"/>
                <w:sz w:val="14"/>
                <w:szCs w:val="14"/>
                <w:color w:val="51555C"/>
              </w:rPr>
              <w:t>1,241</w:t>
            </w:r>
          </w:p>
        </w:tc>
        <w:tc>
          <w:tcPr>
            <w:tcW w:w="4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Calibri" w:cs="Calibri" w:eastAsia="Calibri" w:hAnsi="Calibri"/>
                <w:sz w:val="14"/>
                <w:szCs w:val="14"/>
                <w:color w:val="51555C"/>
              </w:rPr>
              <w:t>1,517</w:t>
            </w:r>
          </w:p>
        </w:tc>
        <w:tc>
          <w:tcPr>
            <w:tcW w:w="20" w:type="dxa"/>
            <w:vAlign w:val="bottom"/>
          </w:tcPr>
          <w:p>
            <w:pPr>
              <w:spacing w:after="0"/>
              <w:rPr>
                <w:sz w:val="18"/>
                <w:szCs w:val="18"/>
                <w:color w:val="auto"/>
              </w:rPr>
            </w:pPr>
          </w:p>
        </w:tc>
      </w:tr>
      <w:tr>
        <w:trPr>
          <w:trHeight w:val="40"/>
        </w:trPr>
        <w:tc>
          <w:tcPr>
            <w:tcW w:w="5160" w:type="dxa"/>
            <w:vAlign w:val="bottom"/>
            <w:tcBorders>
              <w:bottom w:val="single" w:sz="8" w:color="EBFBFF"/>
            </w:tcBorders>
          </w:tcPr>
          <w:p>
            <w:pPr>
              <w:spacing w:after="0"/>
              <w:rPr>
                <w:sz w:val="3"/>
                <w:szCs w:val="3"/>
                <w:color w:val="auto"/>
              </w:rPr>
            </w:pPr>
          </w:p>
        </w:tc>
        <w:tc>
          <w:tcPr>
            <w:tcW w:w="3060" w:type="dxa"/>
            <w:vAlign w:val="bottom"/>
            <w:tcBorders>
              <w:bottom w:val="single" w:sz="8" w:color="EBFBFF"/>
            </w:tcBorders>
          </w:tcPr>
          <w:p>
            <w:pPr>
              <w:spacing w:after="0"/>
              <w:rPr>
                <w:sz w:val="3"/>
                <w:szCs w:val="3"/>
                <w:color w:val="auto"/>
              </w:rPr>
            </w:pPr>
          </w:p>
        </w:tc>
        <w:tc>
          <w:tcPr>
            <w:tcW w:w="560" w:type="dxa"/>
            <w:vAlign w:val="bottom"/>
            <w:tcBorders>
              <w:bottom w:val="single" w:sz="8" w:color="51555C"/>
            </w:tcBorders>
          </w:tcPr>
          <w:p>
            <w:pPr>
              <w:spacing w:after="0"/>
              <w:rPr>
                <w:sz w:val="3"/>
                <w:szCs w:val="3"/>
                <w:color w:val="auto"/>
              </w:rPr>
            </w:pPr>
          </w:p>
        </w:tc>
        <w:tc>
          <w:tcPr>
            <w:tcW w:w="980" w:type="dxa"/>
            <w:vAlign w:val="bottom"/>
            <w:tcBorders>
              <w:bottom w:val="single" w:sz="8" w:color="51555C"/>
            </w:tcBorders>
          </w:tcPr>
          <w:p>
            <w:pPr>
              <w:spacing w:after="0"/>
              <w:rPr>
                <w:sz w:val="3"/>
                <w:szCs w:val="3"/>
                <w:color w:val="auto"/>
              </w:rPr>
            </w:pPr>
          </w:p>
        </w:tc>
        <w:tc>
          <w:tcPr>
            <w:tcW w:w="460" w:type="dxa"/>
            <w:vAlign w:val="bottom"/>
            <w:tcBorders>
              <w:bottom w:val="single" w:sz="8" w:color="51555C"/>
            </w:tcBorders>
          </w:tcPr>
          <w:p>
            <w:pPr>
              <w:spacing w:after="0"/>
              <w:rPr>
                <w:sz w:val="3"/>
                <w:szCs w:val="3"/>
                <w:color w:val="auto"/>
              </w:rPr>
            </w:pPr>
          </w:p>
        </w:tc>
        <w:tc>
          <w:tcPr>
            <w:tcW w:w="1060" w:type="dxa"/>
            <w:vAlign w:val="bottom"/>
            <w:tcBorders>
              <w:bottom w:val="single" w:sz="8" w:color="51555C"/>
            </w:tcBorders>
          </w:tcPr>
          <w:p>
            <w:pPr>
              <w:spacing w:after="0"/>
              <w:rPr>
                <w:sz w:val="3"/>
                <w:szCs w:val="3"/>
                <w:color w:val="auto"/>
              </w:rPr>
            </w:pPr>
          </w:p>
        </w:tc>
        <w:tc>
          <w:tcPr>
            <w:tcW w:w="20" w:type="dxa"/>
            <w:vAlign w:val="bottom"/>
          </w:tcPr>
          <w:p>
            <w:pPr>
              <w:spacing w:after="0"/>
              <w:rPr>
                <w:sz w:val="3"/>
                <w:szCs w:val="3"/>
                <w:color w:val="auto"/>
              </w:rPr>
            </w:pPr>
          </w:p>
        </w:tc>
      </w:tr>
      <w:tr>
        <w:trPr>
          <w:trHeight w:val="208"/>
        </w:trPr>
        <w:tc>
          <w:tcPr>
            <w:tcW w:w="5160" w:type="dxa"/>
            <w:vAlign w:val="bottom"/>
            <w:tcBorders>
              <w:bottom w:val="single" w:sz="8" w:color="EBFBFF"/>
            </w:tcBorders>
            <w:shd w:val="clear" w:color="auto" w:fill="EBFBFF"/>
          </w:tcPr>
          <w:p>
            <w:pPr>
              <w:ind w:left="100"/>
              <w:spacing w:after="0" w:line="152" w:lineRule="exact"/>
              <w:rPr>
                <w:sz w:val="20"/>
                <w:szCs w:val="20"/>
                <w:color w:val="auto"/>
              </w:rPr>
            </w:pPr>
            <w:r>
              <w:rPr>
                <w:rFonts w:ascii="Calibri" w:cs="Calibri" w:eastAsia="Calibri" w:hAnsi="Calibri"/>
                <w:sz w:val="14"/>
                <w:szCs w:val="14"/>
                <w:color w:val="51555C"/>
              </w:rPr>
              <w:t>Total restricted cash</w:t>
            </w:r>
          </w:p>
        </w:tc>
        <w:tc>
          <w:tcPr>
            <w:tcW w:w="3620" w:type="dxa"/>
            <w:vAlign w:val="bottom"/>
            <w:tcBorders>
              <w:bottom w:val="single" w:sz="8" w:color="EBFBFF"/>
            </w:tcBorders>
            <w:gridSpan w:val="2"/>
            <w:shd w:val="clear" w:color="auto" w:fill="EBFBFF"/>
          </w:tcPr>
          <w:p>
            <w:pPr>
              <w:jc w:val="right"/>
              <w:ind w:right="460"/>
              <w:spacing w:after="0" w:line="163" w:lineRule="exact"/>
              <w:rPr>
                <w:sz w:val="20"/>
                <w:szCs w:val="20"/>
                <w:color w:val="auto"/>
              </w:rPr>
            </w:pPr>
            <w:r>
              <w:rPr>
                <w:rFonts w:ascii="Calibri" w:cs="Calibri" w:eastAsia="Calibri" w:hAnsi="Calibri"/>
                <w:sz w:val="14"/>
                <w:szCs w:val="14"/>
                <w:color w:val="51555C"/>
              </w:rPr>
              <w:t>$</w:t>
            </w:r>
          </w:p>
        </w:tc>
        <w:tc>
          <w:tcPr>
            <w:tcW w:w="980" w:type="dxa"/>
            <w:vAlign w:val="bottom"/>
            <w:tcBorders>
              <w:bottom w:val="single" w:sz="8" w:color="EBFBFF"/>
            </w:tcBorders>
            <w:shd w:val="clear" w:color="auto" w:fill="EBFBFF"/>
          </w:tcPr>
          <w:p>
            <w:pPr>
              <w:jc w:val="right"/>
              <w:spacing w:after="0" w:line="163" w:lineRule="exact"/>
              <w:rPr>
                <w:sz w:val="20"/>
                <w:szCs w:val="20"/>
                <w:color w:val="auto"/>
              </w:rPr>
            </w:pPr>
            <w:r>
              <w:rPr>
                <w:rFonts w:ascii="Calibri" w:cs="Calibri" w:eastAsia="Calibri" w:hAnsi="Calibri"/>
                <w:sz w:val="14"/>
                <w:szCs w:val="14"/>
                <w:color w:val="51555C"/>
              </w:rPr>
              <w:t>800,670</w:t>
            </w:r>
          </w:p>
        </w:tc>
        <w:tc>
          <w:tcPr>
            <w:tcW w:w="460" w:type="dxa"/>
            <w:vAlign w:val="bottom"/>
            <w:tcBorders>
              <w:bottom w:val="single" w:sz="8" w:color="EBFBFF"/>
            </w:tcBorders>
            <w:shd w:val="clear" w:color="auto" w:fill="EBFBFF"/>
          </w:tcPr>
          <w:p>
            <w:pPr>
              <w:jc w:val="right"/>
              <w:ind w:right="309"/>
              <w:spacing w:after="0" w:line="163" w:lineRule="exact"/>
              <w:rPr>
                <w:sz w:val="20"/>
                <w:szCs w:val="20"/>
                <w:color w:val="auto"/>
              </w:rPr>
            </w:pPr>
            <w:r>
              <w:rPr>
                <w:rFonts w:ascii="Calibri" w:cs="Calibri" w:eastAsia="Calibri" w:hAnsi="Calibri"/>
                <w:sz w:val="14"/>
                <w:szCs w:val="14"/>
                <w:color w:val="51555C"/>
                <w:w w:val="83"/>
              </w:rPr>
              <w:t>$</w:t>
            </w:r>
          </w:p>
        </w:tc>
        <w:tc>
          <w:tcPr>
            <w:tcW w:w="1060" w:type="dxa"/>
            <w:vAlign w:val="bottom"/>
            <w:tcBorders>
              <w:bottom w:val="single" w:sz="8" w:color="EBFBFF"/>
            </w:tcBorders>
            <w:shd w:val="clear" w:color="auto" w:fill="EBFBFF"/>
          </w:tcPr>
          <w:p>
            <w:pPr>
              <w:jc w:val="right"/>
              <w:spacing w:after="0" w:line="163" w:lineRule="exact"/>
              <w:rPr>
                <w:sz w:val="20"/>
                <w:szCs w:val="20"/>
                <w:color w:val="auto"/>
              </w:rPr>
            </w:pPr>
            <w:r>
              <w:rPr>
                <w:rFonts w:ascii="Calibri" w:cs="Calibri" w:eastAsia="Calibri" w:hAnsi="Calibri"/>
                <w:sz w:val="14"/>
                <w:szCs w:val="14"/>
                <w:color w:val="51555C"/>
              </w:rPr>
              <w:t>697,006</w:t>
            </w:r>
          </w:p>
        </w:tc>
        <w:tc>
          <w:tcPr>
            <w:tcW w:w="20" w:type="dxa"/>
            <w:vAlign w:val="bottom"/>
          </w:tcPr>
          <w:p>
            <w:pPr>
              <w:spacing w:after="0"/>
              <w:rPr>
                <w:sz w:val="17"/>
                <w:szCs w:val="17"/>
                <w:color w:val="auto"/>
              </w:rPr>
            </w:pPr>
          </w:p>
        </w:tc>
      </w:tr>
      <w:tr>
        <w:trPr>
          <w:trHeight w:val="507"/>
        </w:trPr>
        <w:tc>
          <w:tcPr>
            <w:tcW w:w="5160" w:type="dxa"/>
            <w:vAlign w:val="bottom"/>
            <w:tcBorders>
              <w:top w:val="single" w:sz="8" w:color="0CD973"/>
            </w:tcBorders>
          </w:tcPr>
          <w:p>
            <w:pPr>
              <w:spacing w:after="0"/>
              <w:rPr>
                <w:sz w:val="24"/>
                <w:szCs w:val="24"/>
                <w:color w:val="auto"/>
              </w:rPr>
            </w:pPr>
          </w:p>
        </w:tc>
        <w:tc>
          <w:tcPr>
            <w:tcW w:w="4600" w:type="dxa"/>
            <w:vAlign w:val="bottom"/>
            <w:tcBorders>
              <w:top w:val="single" w:sz="8" w:color="0CD973"/>
            </w:tcBorders>
            <w:gridSpan w:val="3"/>
          </w:tcPr>
          <w:p>
            <w:pPr>
              <w:jc w:val="right"/>
              <w:ind w:right="55"/>
              <w:spacing w:after="0"/>
              <w:rPr>
                <w:sz w:val="20"/>
                <w:szCs w:val="20"/>
                <w:color w:val="auto"/>
              </w:rPr>
            </w:pPr>
            <w:r>
              <w:rPr>
                <w:rFonts w:ascii="Calibri" w:cs="Calibri" w:eastAsia="Calibri" w:hAnsi="Calibri"/>
                <w:sz w:val="11"/>
                <w:szCs w:val="11"/>
                <w:color w:val="51555C"/>
              </w:rPr>
              <w:t>Second Quarter 2024 Form 10-Q</w:t>
            </w:r>
          </w:p>
        </w:tc>
        <w:tc>
          <w:tcPr>
            <w:tcW w:w="460" w:type="dxa"/>
            <w:vAlign w:val="bottom"/>
            <w:tcBorders>
              <w:top w:val="single" w:sz="8" w:color="0CD973"/>
            </w:tcBorders>
          </w:tcPr>
          <w:p>
            <w:pPr>
              <w:spacing w:after="0"/>
              <w:rPr>
                <w:sz w:val="24"/>
                <w:szCs w:val="24"/>
                <w:color w:val="auto"/>
              </w:rPr>
            </w:pPr>
          </w:p>
        </w:tc>
        <w:tc>
          <w:tcPr>
            <w:tcW w:w="1060" w:type="dxa"/>
            <w:vAlign w:val="bottom"/>
            <w:tcBorders>
              <w:top w:val="single" w:sz="8" w:color="0CD973"/>
            </w:tcBorders>
          </w:tcPr>
          <w:p>
            <w:pPr>
              <w:jc w:val="right"/>
              <w:spacing w:after="0"/>
              <w:rPr>
                <w:sz w:val="20"/>
                <w:szCs w:val="20"/>
                <w:color w:val="auto"/>
              </w:rPr>
            </w:pPr>
            <w:r>
              <w:rPr>
                <w:rFonts w:ascii="Calibri" w:cs="Calibri" w:eastAsia="Calibri" w:hAnsi="Calibri"/>
                <w:sz w:val="11"/>
                <w:szCs w:val="11"/>
                <w:color w:val="51555C"/>
              </w:rPr>
              <w:t>11</w:t>
            </w:r>
          </w:p>
        </w:tc>
        <w:tc>
          <w:tcPr>
            <w:tcW w:w="20" w:type="dxa"/>
            <w:vAlign w:val="bottom"/>
          </w:tcPr>
          <w:p>
            <w:pPr>
              <w:spacing w:after="0"/>
              <w:rPr>
                <w:sz w:val="24"/>
                <w:szCs w:val="24"/>
                <w:color w:val="auto"/>
              </w:rPr>
            </w:pPr>
          </w:p>
        </w:tc>
      </w:tr>
      <w:tr>
        <w:trPr>
          <w:trHeight w:val="281"/>
        </w:trPr>
        <w:tc>
          <w:tcPr>
            <w:tcW w:w="516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6268720</wp:posOffset>
            </wp:positionH>
            <wp:positionV relativeFrom="paragraph">
              <wp:posOffset>-295910</wp:posOffset>
            </wp:positionV>
            <wp:extent cx="518795" cy="134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8795" cy="13462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12" w:name="page13"/>
    <w:bookmarkEnd w:id="12"/>
    <w:p>
      <w:pPr>
        <w:spacing w:after="0"/>
        <w:rPr>
          <w:sz w:val="20"/>
          <w:szCs w:val="20"/>
          <w:color w:val="auto"/>
        </w:rPr>
      </w:pPr>
      <w:r>
        <w:rPr>
          <w:rFonts w:ascii="Calibri" w:cs="Calibri" w:eastAsia="Calibri" w:hAnsi="Calibri"/>
          <w:sz w:val="11"/>
          <w:szCs w:val="11"/>
          <w:u w:val="single" w:color="auto"/>
          <w:color w:val="7A04DD"/>
        </w:rPr>
        <w:t>Table of Contents</w:t>
      </w:r>
    </w:p>
    <w:p>
      <w:pPr>
        <w:spacing w:after="0" w:line="196" w:lineRule="exact"/>
        <w:rPr>
          <w:sz w:val="20"/>
          <w:szCs w:val="20"/>
          <w:color w:val="auto"/>
        </w:rPr>
      </w:pPr>
    </w:p>
    <w:p>
      <w:pPr>
        <w:jc w:val="center"/>
        <w:ind w:right="20"/>
        <w:spacing w:after="0"/>
        <w:rPr>
          <w:sz w:val="20"/>
          <w:szCs w:val="20"/>
          <w:color w:val="auto"/>
        </w:rPr>
      </w:pPr>
      <w:r>
        <w:rPr>
          <w:rFonts w:ascii="Calibri" w:cs="Calibri" w:eastAsia="Calibri" w:hAnsi="Calibri"/>
          <w:sz w:val="14"/>
          <w:szCs w:val="14"/>
          <w:b w:val="1"/>
          <w:bCs w:val="1"/>
          <w:color w:val="51555C"/>
        </w:rPr>
        <w:t>Blackbaud, Inc.</w:t>
      </w:r>
    </w:p>
    <w:p>
      <w:pPr>
        <w:jc w:val="center"/>
        <w:ind w:right="20"/>
        <w:spacing w:after="0" w:line="238" w:lineRule="auto"/>
        <w:rPr>
          <w:sz w:val="20"/>
          <w:szCs w:val="20"/>
          <w:color w:val="auto"/>
        </w:rPr>
      </w:pPr>
      <w:r>
        <w:rPr>
          <w:rFonts w:ascii="Calibri" w:cs="Calibri" w:eastAsia="Calibri" w:hAnsi="Calibri"/>
          <w:sz w:val="14"/>
          <w:szCs w:val="14"/>
          <w:b w:val="1"/>
          <w:bCs w:val="1"/>
          <w:color w:val="51555C"/>
        </w:rPr>
        <w:t>Notes to Condensed Consolidated Financial Statements</w:t>
      </w:r>
    </w:p>
    <w:p>
      <w:pPr>
        <w:jc w:val="center"/>
        <w:ind w:right="20"/>
        <w:spacing w:after="0"/>
        <w:rPr>
          <w:sz w:val="20"/>
          <w:szCs w:val="20"/>
          <w:color w:val="auto"/>
        </w:rPr>
      </w:pPr>
      <w:r>
        <w:rPr>
          <w:rFonts w:ascii="Calibri" w:cs="Calibri" w:eastAsia="Calibri" w:hAnsi="Calibri"/>
          <w:sz w:val="14"/>
          <w:szCs w:val="14"/>
          <w:b w:val="1"/>
          <w:bCs w:val="1"/>
          <w:color w:val="51555C"/>
        </w:rPr>
        <w:t>(Unaudited)</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51555C"/>
        </w:rPr>
        <w:t>Prepaid expenses and other assets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8220" w:type="dxa"/>
            <w:vAlign w:val="bottom"/>
            <w:shd w:val="clear" w:color="auto" w:fill="004054"/>
          </w:tcPr>
          <w:p>
            <w:pPr>
              <w:spacing w:after="0"/>
              <w:rPr>
                <w:sz w:val="12"/>
                <w:szCs w:val="12"/>
                <w:color w:val="auto"/>
              </w:rPr>
            </w:pPr>
          </w:p>
        </w:tc>
        <w:tc>
          <w:tcPr>
            <w:tcW w:w="560" w:type="dxa"/>
            <w:vAlign w:val="bottom"/>
            <w:shd w:val="clear" w:color="auto" w:fill="004054"/>
          </w:tcPr>
          <w:p>
            <w:pPr>
              <w:spacing w:after="0"/>
              <w:rPr>
                <w:sz w:val="12"/>
                <w:szCs w:val="12"/>
                <w:color w:val="auto"/>
              </w:rPr>
            </w:pPr>
          </w:p>
        </w:tc>
        <w:tc>
          <w:tcPr>
            <w:tcW w:w="98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June 30,</w:t>
            </w:r>
          </w:p>
        </w:tc>
        <w:tc>
          <w:tcPr>
            <w:tcW w:w="460" w:type="dxa"/>
            <w:vAlign w:val="bottom"/>
            <w:shd w:val="clear" w:color="auto" w:fill="004054"/>
          </w:tcPr>
          <w:p>
            <w:pPr>
              <w:spacing w:after="0"/>
              <w:rPr>
                <w:sz w:val="12"/>
                <w:szCs w:val="12"/>
                <w:color w:val="auto"/>
              </w:rPr>
            </w:pPr>
          </w:p>
        </w:tc>
        <w:tc>
          <w:tcPr>
            <w:tcW w:w="106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December 31,</w:t>
            </w:r>
          </w:p>
        </w:tc>
        <w:tc>
          <w:tcPr>
            <w:tcW w:w="20" w:type="dxa"/>
            <w:vAlign w:val="bottom"/>
            <w:shd w:val="clear" w:color="auto" w:fill="004054"/>
          </w:tcPr>
          <w:p>
            <w:pPr>
              <w:spacing w:after="0"/>
              <w:rPr>
                <w:sz w:val="12"/>
                <w:szCs w:val="12"/>
                <w:color w:val="auto"/>
              </w:rPr>
            </w:pPr>
          </w:p>
        </w:tc>
      </w:tr>
      <w:tr>
        <w:trPr>
          <w:trHeight w:val="172"/>
        </w:trPr>
        <w:tc>
          <w:tcPr>
            <w:tcW w:w="8220" w:type="dxa"/>
            <w:vAlign w:val="bottom"/>
            <w:tcBorders>
              <w:bottom w:val="single" w:sz="8" w:color="004054"/>
            </w:tcBorders>
            <w:shd w:val="clear" w:color="auto" w:fill="004054"/>
          </w:tcPr>
          <w:p>
            <w:pPr>
              <w:ind w:left="20"/>
              <w:spacing w:after="0"/>
              <w:rPr>
                <w:sz w:val="20"/>
                <w:szCs w:val="20"/>
                <w:color w:val="auto"/>
              </w:rPr>
            </w:pPr>
            <w:r>
              <w:rPr>
                <w:rFonts w:ascii="Calibri" w:cs="Calibri" w:eastAsia="Calibri" w:hAnsi="Calibri"/>
                <w:sz w:val="11"/>
                <w:szCs w:val="11"/>
                <w:b w:val="1"/>
                <w:bCs w:val="1"/>
                <w:color w:val="FFFFFF"/>
              </w:rPr>
              <w:t>(dollars in thousands)</w:t>
            </w:r>
          </w:p>
        </w:tc>
        <w:tc>
          <w:tcPr>
            <w:tcW w:w="560" w:type="dxa"/>
            <w:vAlign w:val="bottom"/>
            <w:tcBorders>
              <w:bottom w:val="single" w:sz="8" w:color="004054"/>
            </w:tcBorders>
            <w:shd w:val="clear" w:color="auto" w:fill="004054"/>
          </w:tcPr>
          <w:p>
            <w:pPr>
              <w:spacing w:after="0"/>
              <w:rPr>
                <w:sz w:val="14"/>
                <w:szCs w:val="14"/>
                <w:color w:val="auto"/>
              </w:rPr>
            </w:pPr>
          </w:p>
        </w:tc>
        <w:tc>
          <w:tcPr>
            <w:tcW w:w="980" w:type="dxa"/>
            <w:vAlign w:val="bottom"/>
            <w:tcBorders>
              <w:bottom w:val="single" w:sz="8" w:color="004054"/>
            </w:tcBorders>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2024</w:t>
            </w:r>
          </w:p>
        </w:tc>
        <w:tc>
          <w:tcPr>
            <w:tcW w:w="460" w:type="dxa"/>
            <w:vAlign w:val="bottom"/>
            <w:tcBorders>
              <w:bottom w:val="single" w:sz="8" w:color="004054"/>
            </w:tcBorders>
            <w:shd w:val="clear" w:color="auto" w:fill="004054"/>
          </w:tcPr>
          <w:p>
            <w:pPr>
              <w:spacing w:after="0"/>
              <w:rPr>
                <w:sz w:val="14"/>
                <w:szCs w:val="14"/>
                <w:color w:val="auto"/>
              </w:rPr>
            </w:pPr>
          </w:p>
        </w:tc>
        <w:tc>
          <w:tcPr>
            <w:tcW w:w="1060" w:type="dxa"/>
            <w:vAlign w:val="bottom"/>
            <w:tcBorders>
              <w:bottom w:val="single" w:sz="8" w:color="004054"/>
            </w:tcBorders>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2023</w:t>
            </w:r>
          </w:p>
        </w:tc>
        <w:tc>
          <w:tcPr>
            <w:tcW w:w="20" w:type="dxa"/>
            <w:vAlign w:val="bottom"/>
            <w:tcBorders>
              <w:bottom w:val="single" w:sz="8" w:color="004054"/>
            </w:tcBorders>
            <w:shd w:val="clear" w:color="auto" w:fill="004054"/>
          </w:tcPr>
          <w:p>
            <w:pPr>
              <w:spacing w:after="0"/>
              <w:rPr>
                <w:sz w:val="14"/>
                <w:szCs w:val="14"/>
                <w:color w:val="auto"/>
              </w:rPr>
            </w:pPr>
          </w:p>
        </w:tc>
      </w:tr>
      <w:tr>
        <w:trPr>
          <w:trHeight w:val="255"/>
        </w:trPr>
        <w:tc>
          <w:tcPr>
            <w:tcW w:w="8220" w:type="dxa"/>
            <w:vAlign w:val="bottom"/>
            <w:shd w:val="clear" w:color="auto" w:fill="EBFBFF"/>
          </w:tcPr>
          <w:p>
            <w:pPr>
              <w:ind w:left="20"/>
              <w:spacing w:after="0"/>
              <w:rPr>
                <w:sz w:val="20"/>
                <w:szCs w:val="20"/>
                <w:color w:val="auto"/>
              </w:rPr>
            </w:pPr>
            <w:r>
              <w:rPr>
                <w:rFonts w:ascii="Calibri" w:cs="Calibri" w:eastAsia="Calibri" w:hAnsi="Calibri"/>
                <w:sz w:val="14"/>
                <w:szCs w:val="14"/>
                <w:color w:val="51555C"/>
              </w:rPr>
              <w:t>Costs of obtaining contracts</w:t>
            </w:r>
            <w:r>
              <w:rPr>
                <w:rFonts w:ascii="Calibri" w:cs="Calibri" w:eastAsia="Calibri" w:hAnsi="Calibri"/>
                <w:sz w:val="18"/>
                <w:szCs w:val="18"/>
                <w:color w:val="51555C"/>
                <w:vertAlign w:val="superscript"/>
              </w:rPr>
              <w:t>(1)(2)</w:t>
            </w:r>
          </w:p>
        </w:tc>
        <w:tc>
          <w:tcPr>
            <w:tcW w:w="560" w:type="dxa"/>
            <w:vAlign w:val="bottom"/>
            <w:shd w:val="clear" w:color="auto" w:fill="EBFBFF"/>
          </w:tcPr>
          <w:p>
            <w:pPr>
              <w:jc w:val="right"/>
              <w:ind w:right="389"/>
              <w:spacing w:after="0"/>
              <w:rPr>
                <w:sz w:val="20"/>
                <w:szCs w:val="20"/>
                <w:color w:val="auto"/>
              </w:rPr>
            </w:pPr>
            <w:r>
              <w:rPr>
                <w:rFonts w:ascii="Calibri" w:cs="Calibri" w:eastAsia="Calibri" w:hAnsi="Calibri"/>
                <w:sz w:val="14"/>
                <w:szCs w:val="14"/>
                <w:color w:val="51555C"/>
              </w:rPr>
              <w:t>$</w:t>
            </w:r>
          </w:p>
        </w:tc>
        <w:tc>
          <w:tcPr>
            <w:tcW w:w="980" w:type="dxa"/>
            <w:vAlign w:val="bottom"/>
            <w:shd w:val="clear" w:color="auto" w:fill="EBFBFF"/>
          </w:tcPr>
          <w:p>
            <w:pPr>
              <w:jc w:val="right"/>
              <w:spacing w:after="0"/>
              <w:rPr>
                <w:sz w:val="20"/>
                <w:szCs w:val="20"/>
                <w:color w:val="auto"/>
              </w:rPr>
            </w:pPr>
            <w:r>
              <w:rPr>
                <w:rFonts w:ascii="Calibri" w:cs="Calibri" w:eastAsia="Calibri" w:hAnsi="Calibri"/>
                <w:sz w:val="14"/>
                <w:szCs w:val="14"/>
                <w:color w:val="51555C"/>
              </w:rPr>
              <w:t>60,680</w:t>
            </w:r>
          </w:p>
        </w:tc>
        <w:tc>
          <w:tcPr>
            <w:tcW w:w="460" w:type="dxa"/>
            <w:vAlign w:val="bottom"/>
            <w:shd w:val="clear" w:color="auto" w:fill="EBFBFF"/>
          </w:tcPr>
          <w:p>
            <w:pPr>
              <w:jc w:val="right"/>
              <w:ind w:right="309"/>
              <w:spacing w:after="0"/>
              <w:rPr>
                <w:sz w:val="20"/>
                <w:szCs w:val="20"/>
                <w:color w:val="auto"/>
              </w:rPr>
            </w:pPr>
            <w:r>
              <w:rPr>
                <w:rFonts w:ascii="Calibri" w:cs="Calibri" w:eastAsia="Calibri" w:hAnsi="Calibri"/>
                <w:sz w:val="14"/>
                <w:szCs w:val="14"/>
                <w:color w:val="51555C"/>
                <w:w w:val="83"/>
              </w:rPr>
              <w:t>$</w:t>
            </w:r>
          </w:p>
        </w:tc>
        <w:tc>
          <w:tcPr>
            <w:tcW w:w="1060" w:type="dxa"/>
            <w:vAlign w:val="bottom"/>
            <w:shd w:val="clear" w:color="auto" w:fill="EBFBFF"/>
          </w:tcPr>
          <w:p>
            <w:pPr>
              <w:jc w:val="right"/>
              <w:spacing w:after="0"/>
              <w:rPr>
                <w:sz w:val="20"/>
                <w:szCs w:val="20"/>
                <w:color w:val="auto"/>
              </w:rPr>
            </w:pPr>
            <w:r>
              <w:rPr>
                <w:rFonts w:ascii="Calibri" w:cs="Calibri" w:eastAsia="Calibri" w:hAnsi="Calibri"/>
                <w:sz w:val="14"/>
                <w:szCs w:val="14"/>
                <w:color w:val="51555C"/>
              </w:rPr>
              <w:t>62,377</w:t>
            </w:r>
          </w:p>
        </w:tc>
        <w:tc>
          <w:tcPr>
            <w:tcW w:w="20" w:type="dxa"/>
            <w:vAlign w:val="bottom"/>
          </w:tcPr>
          <w:p>
            <w:pPr>
              <w:spacing w:after="0"/>
              <w:rPr>
                <w:sz w:val="22"/>
                <w:szCs w:val="22"/>
                <w:color w:val="auto"/>
              </w:rPr>
            </w:pPr>
          </w:p>
        </w:tc>
      </w:tr>
      <w:tr>
        <w:trPr>
          <w:trHeight w:val="254"/>
        </w:trPr>
        <w:tc>
          <w:tcPr>
            <w:tcW w:w="8220" w:type="dxa"/>
            <w:vAlign w:val="bottom"/>
          </w:tcPr>
          <w:p>
            <w:pPr>
              <w:ind w:left="20"/>
              <w:spacing w:after="0"/>
              <w:rPr>
                <w:sz w:val="20"/>
                <w:szCs w:val="20"/>
                <w:color w:val="auto"/>
              </w:rPr>
            </w:pPr>
            <w:r>
              <w:rPr>
                <w:rFonts w:ascii="Calibri" w:cs="Calibri" w:eastAsia="Calibri" w:hAnsi="Calibri"/>
                <w:sz w:val="14"/>
                <w:szCs w:val="14"/>
                <w:color w:val="51555C"/>
              </w:rPr>
              <w:t>Prepaid sofware maintenance and subscriptons</w:t>
            </w:r>
            <w:r>
              <w:rPr>
                <w:rFonts w:ascii="Calibri" w:cs="Calibri" w:eastAsia="Calibri" w:hAnsi="Calibri"/>
                <w:sz w:val="18"/>
                <w:szCs w:val="18"/>
                <w:color w:val="51555C"/>
                <w:vertAlign w:val="superscript"/>
              </w:rPr>
              <w:t>(3)</w:t>
            </w:r>
          </w:p>
        </w:tc>
        <w:tc>
          <w:tcPr>
            <w:tcW w:w="5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Calibri" w:cs="Calibri" w:eastAsia="Calibri" w:hAnsi="Calibri"/>
                <w:sz w:val="14"/>
                <w:szCs w:val="14"/>
                <w:color w:val="51555C"/>
              </w:rPr>
              <w:t>35,600</w:t>
            </w:r>
          </w:p>
        </w:tc>
        <w:tc>
          <w:tcPr>
            <w:tcW w:w="4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Calibri" w:cs="Calibri" w:eastAsia="Calibri" w:hAnsi="Calibri"/>
                <w:sz w:val="14"/>
                <w:szCs w:val="14"/>
                <w:color w:val="51555C"/>
              </w:rPr>
              <w:t>35,169</w:t>
            </w:r>
          </w:p>
        </w:tc>
        <w:tc>
          <w:tcPr>
            <w:tcW w:w="20" w:type="dxa"/>
            <w:vAlign w:val="bottom"/>
          </w:tcPr>
          <w:p>
            <w:pPr>
              <w:spacing w:after="0"/>
              <w:rPr>
                <w:sz w:val="22"/>
                <w:szCs w:val="22"/>
                <w:color w:val="auto"/>
              </w:rPr>
            </w:pPr>
          </w:p>
        </w:tc>
      </w:tr>
      <w:tr>
        <w:trPr>
          <w:trHeight w:val="193"/>
        </w:trPr>
        <w:tc>
          <w:tcPr>
            <w:tcW w:w="822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4"/>
                <w:szCs w:val="14"/>
                <w:color w:val="51555C"/>
              </w:rPr>
              <w:t>Derivatve instruments</w:t>
            </w:r>
          </w:p>
        </w:tc>
        <w:tc>
          <w:tcPr>
            <w:tcW w:w="560" w:type="dxa"/>
            <w:vAlign w:val="bottom"/>
            <w:tcBorders>
              <w:bottom w:val="single" w:sz="8" w:color="EBFBFF"/>
            </w:tcBorders>
            <w:shd w:val="clear" w:color="auto" w:fill="EBFBFF"/>
          </w:tcPr>
          <w:p>
            <w:pPr>
              <w:spacing w:after="0"/>
              <w:rPr>
                <w:sz w:val="16"/>
                <w:szCs w:val="16"/>
                <w:color w:val="auto"/>
              </w:rPr>
            </w:pPr>
          </w:p>
        </w:tc>
        <w:tc>
          <w:tcPr>
            <w:tcW w:w="9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14,534</w:t>
            </w:r>
          </w:p>
        </w:tc>
        <w:tc>
          <w:tcPr>
            <w:tcW w:w="460" w:type="dxa"/>
            <w:vAlign w:val="bottom"/>
            <w:tcBorders>
              <w:bottom w:val="single" w:sz="8" w:color="EBFBFF"/>
            </w:tcBorders>
            <w:shd w:val="clear" w:color="auto" w:fill="EBFBFF"/>
          </w:tcPr>
          <w:p>
            <w:pPr>
              <w:spacing w:after="0"/>
              <w:rPr>
                <w:sz w:val="16"/>
                <w:szCs w:val="16"/>
                <w:color w:val="auto"/>
              </w:rPr>
            </w:pPr>
          </w:p>
        </w:tc>
        <w:tc>
          <w:tcPr>
            <w:tcW w:w="10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16,198</w:t>
            </w:r>
          </w:p>
        </w:tc>
        <w:tc>
          <w:tcPr>
            <w:tcW w:w="20" w:type="dxa"/>
            <w:vAlign w:val="bottom"/>
          </w:tcPr>
          <w:p>
            <w:pPr>
              <w:spacing w:after="0"/>
              <w:rPr>
                <w:sz w:val="16"/>
                <w:szCs w:val="16"/>
                <w:color w:val="auto"/>
              </w:rPr>
            </w:pPr>
          </w:p>
        </w:tc>
      </w:tr>
      <w:tr>
        <w:trPr>
          <w:trHeight w:val="254"/>
        </w:trPr>
        <w:tc>
          <w:tcPr>
            <w:tcW w:w="8220" w:type="dxa"/>
            <w:vAlign w:val="bottom"/>
          </w:tcPr>
          <w:p>
            <w:pPr>
              <w:ind w:left="20"/>
              <w:spacing w:after="0"/>
              <w:rPr>
                <w:sz w:val="20"/>
                <w:szCs w:val="20"/>
                <w:color w:val="auto"/>
              </w:rPr>
            </w:pPr>
            <w:r>
              <w:rPr>
                <w:rFonts w:ascii="Calibri" w:cs="Calibri" w:eastAsia="Calibri" w:hAnsi="Calibri"/>
                <w:sz w:val="14"/>
                <w:szCs w:val="14"/>
                <w:color w:val="51555C"/>
              </w:rPr>
              <w:t>Implementaton costs for cloud computng arrangements, net</w:t>
            </w:r>
            <w:r>
              <w:rPr>
                <w:rFonts w:ascii="Calibri" w:cs="Calibri" w:eastAsia="Calibri" w:hAnsi="Calibri"/>
                <w:sz w:val="18"/>
                <w:szCs w:val="18"/>
                <w:color w:val="51555C"/>
                <w:vertAlign w:val="superscript"/>
              </w:rPr>
              <w:t>(4)(5)</w:t>
            </w:r>
          </w:p>
        </w:tc>
        <w:tc>
          <w:tcPr>
            <w:tcW w:w="5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Calibri" w:cs="Calibri" w:eastAsia="Calibri" w:hAnsi="Calibri"/>
                <w:sz w:val="14"/>
                <w:szCs w:val="14"/>
                <w:color w:val="51555C"/>
              </w:rPr>
              <w:t>10,262</w:t>
            </w:r>
          </w:p>
        </w:tc>
        <w:tc>
          <w:tcPr>
            <w:tcW w:w="4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Calibri" w:cs="Calibri" w:eastAsia="Calibri" w:hAnsi="Calibri"/>
                <w:sz w:val="14"/>
                <w:szCs w:val="14"/>
                <w:color w:val="51555C"/>
              </w:rPr>
              <w:t>9,259</w:t>
            </w:r>
          </w:p>
        </w:tc>
        <w:tc>
          <w:tcPr>
            <w:tcW w:w="20" w:type="dxa"/>
            <w:vAlign w:val="bottom"/>
          </w:tcPr>
          <w:p>
            <w:pPr>
              <w:spacing w:after="0"/>
              <w:rPr>
                <w:sz w:val="22"/>
                <w:szCs w:val="22"/>
                <w:color w:val="auto"/>
              </w:rPr>
            </w:pPr>
          </w:p>
        </w:tc>
      </w:tr>
      <w:tr>
        <w:trPr>
          <w:trHeight w:val="193"/>
        </w:trPr>
        <w:tc>
          <w:tcPr>
            <w:tcW w:w="822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4"/>
                <w:szCs w:val="14"/>
                <w:color w:val="51555C"/>
              </w:rPr>
              <w:t>Prepaid insurance</w:t>
            </w:r>
          </w:p>
        </w:tc>
        <w:tc>
          <w:tcPr>
            <w:tcW w:w="560" w:type="dxa"/>
            <w:vAlign w:val="bottom"/>
            <w:tcBorders>
              <w:bottom w:val="single" w:sz="8" w:color="EBFBFF"/>
            </w:tcBorders>
            <w:shd w:val="clear" w:color="auto" w:fill="EBFBFF"/>
          </w:tcPr>
          <w:p>
            <w:pPr>
              <w:spacing w:after="0"/>
              <w:rPr>
                <w:sz w:val="16"/>
                <w:szCs w:val="16"/>
                <w:color w:val="auto"/>
              </w:rPr>
            </w:pPr>
          </w:p>
        </w:tc>
        <w:tc>
          <w:tcPr>
            <w:tcW w:w="9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7,078</w:t>
            </w:r>
          </w:p>
        </w:tc>
        <w:tc>
          <w:tcPr>
            <w:tcW w:w="460" w:type="dxa"/>
            <w:vAlign w:val="bottom"/>
            <w:tcBorders>
              <w:bottom w:val="single" w:sz="8" w:color="EBFBFF"/>
            </w:tcBorders>
            <w:shd w:val="clear" w:color="auto" w:fill="EBFBFF"/>
          </w:tcPr>
          <w:p>
            <w:pPr>
              <w:spacing w:after="0"/>
              <w:rPr>
                <w:sz w:val="16"/>
                <w:szCs w:val="16"/>
                <w:color w:val="auto"/>
              </w:rPr>
            </w:pPr>
          </w:p>
        </w:tc>
        <w:tc>
          <w:tcPr>
            <w:tcW w:w="10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3,940</w:t>
            </w:r>
          </w:p>
        </w:tc>
        <w:tc>
          <w:tcPr>
            <w:tcW w:w="20" w:type="dxa"/>
            <w:vAlign w:val="bottom"/>
          </w:tcPr>
          <w:p>
            <w:pPr>
              <w:spacing w:after="0"/>
              <w:rPr>
                <w:sz w:val="16"/>
                <w:szCs w:val="16"/>
                <w:color w:val="auto"/>
              </w:rPr>
            </w:pPr>
          </w:p>
        </w:tc>
      </w:tr>
      <w:tr>
        <w:trPr>
          <w:trHeight w:val="172"/>
        </w:trPr>
        <w:tc>
          <w:tcPr>
            <w:tcW w:w="8220" w:type="dxa"/>
            <w:vAlign w:val="bottom"/>
          </w:tcPr>
          <w:p>
            <w:pPr>
              <w:ind w:left="20"/>
              <w:spacing w:after="0"/>
              <w:rPr>
                <w:sz w:val="20"/>
                <w:szCs w:val="20"/>
                <w:color w:val="auto"/>
              </w:rPr>
            </w:pPr>
            <w:r>
              <w:rPr>
                <w:rFonts w:ascii="Calibri" w:cs="Calibri" w:eastAsia="Calibri" w:hAnsi="Calibri"/>
                <w:sz w:val="14"/>
                <w:szCs w:val="14"/>
                <w:color w:val="51555C"/>
              </w:rPr>
              <w:t>Unbilled accounts receivable</w:t>
            </w:r>
          </w:p>
        </w:tc>
        <w:tc>
          <w:tcPr>
            <w:tcW w:w="5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alibri" w:cs="Calibri" w:eastAsia="Calibri" w:hAnsi="Calibri"/>
                <w:sz w:val="14"/>
                <w:szCs w:val="14"/>
                <w:color w:val="51555C"/>
              </w:rPr>
              <w:t>5,789</w:t>
            </w:r>
          </w:p>
        </w:tc>
        <w:tc>
          <w:tcPr>
            <w:tcW w:w="4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alibri" w:cs="Calibri" w:eastAsia="Calibri" w:hAnsi="Calibri"/>
                <w:sz w:val="14"/>
                <w:szCs w:val="14"/>
                <w:color w:val="51555C"/>
              </w:rPr>
              <w:t>5,615</w:t>
            </w:r>
          </w:p>
        </w:tc>
        <w:tc>
          <w:tcPr>
            <w:tcW w:w="20" w:type="dxa"/>
            <w:vAlign w:val="bottom"/>
          </w:tcPr>
          <w:p>
            <w:pPr>
              <w:spacing w:after="0"/>
              <w:rPr>
                <w:sz w:val="14"/>
                <w:szCs w:val="14"/>
                <w:color w:val="auto"/>
              </w:rPr>
            </w:pPr>
          </w:p>
        </w:tc>
      </w:tr>
      <w:tr>
        <w:trPr>
          <w:trHeight w:val="40"/>
        </w:trPr>
        <w:tc>
          <w:tcPr>
            <w:tcW w:w="8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9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55"/>
        </w:trPr>
        <w:tc>
          <w:tcPr>
            <w:tcW w:w="8220" w:type="dxa"/>
            <w:vAlign w:val="bottom"/>
            <w:shd w:val="clear" w:color="auto" w:fill="EBFBFF"/>
          </w:tcPr>
          <w:p>
            <w:pPr>
              <w:ind w:left="20"/>
              <w:spacing w:after="0"/>
              <w:rPr>
                <w:sz w:val="20"/>
                <w:szCs w:val="20"/>
                <w:color w:val="auto"/>
              </w:rPr>
            </w:pPr>
            <w:r>
              <w:rPr>
                <w:rFonts w:ascii="Calibri" w:cs="Calibri" w:eastAsia="Calibri" w:hAnsi="Calibri"/>
                <w:sz w:val="14"/>
                <w:szCs w:val="14"/>
                <w:color w:val="51555C"/>
              </w:rPr>
              <w:t>Equity method investment</w:t>
            </w:r>
            <w:r>
              <w:rPr>
                <w:rFonts w:ascii="Calibri" w:cs="Calibri" w:eastAsia="Calibri" w:hAnsi="Calibri"/>
                <w:sz w:val="18"/>
                <w:szCs w:val="18"/>
                <w:color w:val="51555C"/>
                <w:vertAlign w:val="superscript"/>
              </w:rPr>
              <w:t>(6)</w:t>
            </w:r>
          </w:p>
        </w:tc>
        <w:tc>
          <w:tcPr>
            <w:tcW w:w="560" w:type="dxa"/>
            <w:vAlign w:val="bottom"/>
            <w:shd w:val="clear" w:color="auto" w:fill="EBFBFF"/>
          </w:tcPr>
          <w:p>
            <w:pPr>
              <w:spacing w:after="0"/>
              <w:rPr>
                <w:sz w:val="22"/>
                <w:szCs w:val="22"/>
                <w:color w:val="auto"/>
              </w:rPr>
            </w:pPr>
          </w:p>
        </w:tc>
        <w:tc>
          <w:tcPr>
            <w:tcW w:w="980" w:type="dxa"/>
            <w:vAlign w:val="bottom"/>
            <w:shd w:val="clear" w:color="auto" w:fill="EBFBFF"/>
          </w:tcPr>
          <w:p>
            <w:pPr>
              <w:jc w:val="right"/>
              <w:spacing w:after="0"/>
              <w:rPr>
                <w:sz w:val="20"/>
                <w:szCs w:val="20"/>
                <w:color w:val="auto"/>
              </w:rPr>
            </w:pPr>
            <w:r>
              <w:rPr>
                <w:rFonts w:ascii="Calibri" w:cs="Calibri" w:eastAsia="Calibri" w:hAnsi="Calibri"/>
                <w:sz w:val="14"/>
                <w:szCs w:val="14"/>
                <w:color w:val="51555C"/>
              </w:rPr>
              <w:t>5,029</w:t>
            </w:r>
          </w:p>
        </w:tc>
        <w:tc>
          <w:tcPr>
            <w:tcW w:w="460" w:type="dxa"/>
            <w:vAlign w:val="bottom"/>
            <w:shd w:val="clear" w:color="auto" w:fill="EBFBFF"/>
          </w:tcPr>
          <w:p>
            <w:pPr>
              <w:spacing w:after="0"/>
              <w:rPr>
                <w:sz w:val="22"/>
                <w:szCs w:val="22"/>
                <w:color w:val="auto"/>
              </w:rPr>
            </w:pPr>
          </w:p>
        </w:tc>
        <w:tc>
          <w:tcPr>
            <w:tcW w:w="1060" w:type="dxa"/>
            <w:vAlign w:val="bottom"/>
            <w:shd w:val="clear" w:color="auto" w:fill="EBFBFF"/>
          </w:tcPr>
          <w:p>
            <w:pPr>
              <w:jc w:val="right"/>
              <w:spacing w:after="0"/>
              <w:rPr>
                <w:sz w:val="20"/>
                <w:szCs w:val="20"/>
                <w:color w:val="auto"/>
              </w:rPr>
            </w:pPr>
            <w:r>
              <w:rPr>
                <w:rFonts w:ascii="Calibri" w:cs="Calibri" w:eastAsia="Calibri" w:hAnsi="Calibri"/>
                <w:sz w:val="14"/>
                <w:szCs w:val="14"/>
                <w:color w:val="51555C"/>
              </w:rPr>
              <w:t>—</w:t>
            </w:r>
          </w:p>
        </w:tc>
        <w:tc>
          <w:tcPr>
            <w:tcW w:w="20" w:type="dxa"/>
            <w:vAlign w:val="bottom"/>
          </w:tcPr>
          <w:p>
            <w:pPr>
              <w:spacing w:after="0"/>
              <w:rPr>
                <w:sz w:val="22"/>
                <w:szCs w:val="22"/>
                <w:color w:val="auto"/>
              </w:rPr>
            </w:pPr>
          </w:p>
        </w:tc>
      </w:tr>
      <w:tr>
        <w:trPr>
          <w:trHeight w:val="172"/>
        </w:trPr>
        <w:tc>
          <w:tcPr>
            <w:tcW w:w="8220" w:type="dxa"/>
            <w:vAlign w:val="bottom"/>
          </w:tcPr>
          <w:p>
            <w:pPr>
              <w:ind w:left="20"/>
              <w:spacing w:after="0"/>
              <w:rPr>
                <w:sz w:val="20"/>
                <w:szCs w:val="20"/>
                <w:color w:val="auto"/>
              </w:rPr>
            </w:pPr>
            <w:r>
              <w:rPr>
                <w:rFonts w:ascii="Calibri" w:cs="Calibri" w:eastAsia="Calibri" w:hAnsi="Calibri"/>
                <w:sz w:val="14"/>
                <w:szCs w:val="14"/>
                <w:color w:val="51555C"/>
              </w:rPr>
              <w:t>Taxes, prepaid and receivable</w:t>
            </w:r>
          </w:p>
        </w:tc>
        <w:tc>
          <w:tcPr>
            <w:tcW w:w="5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alibri" w:cs="Calibri" w:eastAsia="Calibri" w:hAnsi="Calibri"/>
                <w:sz w:val="14"/>
                <w:szCs w:val="14"/>
                <w:color w:val="51555C"/>
              </w:rPr>
              <w:t>5,549</w:t>
            </w:r>
          </w:p>
        </w:tc>
        <w:tc>
          <w:tcPr>
            <w:tcW w:w="4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alibri" w:cs="Calibri" w:eastAsia="Calibri" w:hAnsi="Calibri"/>
                <w:sz w:val="14"/>
                <w:szCs w:val="14"/>
                <w:color w:val="51555C"/>
              </w:rPr>
              <w:t>3,418</w:t>
            </w:r>
          </w:p>
        </w:tc>
        <w:tc>
          <w:tcPr>
            <w:tcW w:w="20" w:type="dxa"/>
            <w:vAlign w:val="bottom"/>
          </w:tcPr>
          <w:p>
            <w:pPr>
              <w:spacing w:after="0"/>
              <w:rPr>
                <w:sz w:val="14"/>
                <w:szCs w:val="14"/>
                <w:color w:val="auto"/>
              </w:rPr>
            </w:pPr>
          </w:p>
        </w:tc>
      </w:tr>
      <w:tr>
        <w:trPr>
          <w:trHeight w:val="40"/>
        </w:trPr>
        <w:tc>
          <w:tcPr>
            <w:tcW w:w="8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9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12"/>
        </w:trPr>
        <w:tc>
          <w:tcPr>
            <w:tcW w:w="822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4"/>
                <w:szCs w:val="14"/>
                <w:color w:val="51555C"/>
              </w:rPr>
              <w:t>Other assets</w:t>
            </w:r>
          </w:p>
        </w:tc>
        <w:tc>
          <w:tcPr>
            <w:tcW w:w="560" w:type="dxa"/>
            <w:vAlign w:val="bottom"/>
            <w:tcBorders>
              <w:bottom w:val="single" w:sz="8" w:color="EBFBFF"/>
            </w:tcBorders>
            <w:shd w:val="clear" w:color="auto" w:fill="EBFBFF"/>
          </w:tcPr>
          <w:p>
            <w:pPr>
              <w:spacing w:after="0"/>
              <w:rPr>
                <w:sz w:val="18"/>
                <w:szCs w:val="18"/>
                <w:color w:val="auto"/>
              </w:rPr>
            </w:pPr>
          </w:p>
        </w:tc>
        <w:tc>
          <w:tcPr>
            <w:tcW w:w="9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16,554</w:t>
            </w:r>
          </w:p>
        </w:tc>
        <w:tc>
          <w:tcPr>
            <w:tcW w:w="460" w:type="dxa"/>
            <w:vAlign w:val="bottom"/>
            <w:tcBorders>
              <w:bottom w:val="single" w:sz="8" w:color="EBFBFF"/>
            </w:tcBorders>
            <w:shd w:val="clear" w:color="auto" w:fill="EBFBFF"/>
          </w:tcPr>
          <w:p>
            <w:pPr>
              <w:spacing w:after="0"/>
              <w:rPr>
                <w:sz w:val="18"/>
                <w:szCs w:val="18"/>
                <w:color w:val="auto"/>
              </w:rPr>
            </w:pPr>
          </w:p>
        </w:tc>
        <w:tc>
          <w:tcPr>
            <w:tcW w:w="10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14,346</w:t>
            </w:r>
          </w:p>
        </w:tc>
        <w:tc>
          <w:tcPr>
            <w:tcW w:w="20" w:type="dxa"/>
            <w:vAlign w:val="bottom"/>
          </w:tcPr>
          <w:p>
            <w:pPr>
              <w:spacing w:after="0"/>
              <w:rPr>
                <w:sz w:val="18"/>
                <w:szCs w:val="18"/>
                <w:color w:val="auto"/>
              </w:rPr>
            </w:pPr>
          </w:p>
        </w:tc>
      </w:tr>
      <w:tr>
        <w:trPr>
          <w:trHeight w:val="163"/>
        </w:trPr>
        <w:tc>
          <w:tcPr>
            <w:tcW w:w="8220" w:type="dxa"/>
            <w:vAlign w:val="bottom"/>
          </w:tcPr>
          <w:p>
            <w:pPr>
              <w:ind w:left="120"/>
              <w:spacing w:after="0" w:line="152" w:lineRule="exact"/>
              <w:rPr>
                <w:sz w:val="20"/>
                <w:szCs w:val="20"/>
                <w:color w:val="auto"/>
              </w:rPr>
            </w:pPr>
            <w:r>
              <w:rPr>
                <w:rFonts w:ascii="Calibri" w:cs="Calibri" w:eastAsia="Calibri" w:hAnsi="Calibri"/>
                <w:sz w:val="14"/>
                <w:szCs w:val="14"/>
                <w:color w:val="51555C"/>
              </w:rPr>
              <w:t>Total prepaid expenses and other assets</w:t>
            </w:r>
          </w:p>
        </w:tc>
        <w:tc>
          <w:tcPr>
            <w:tcW w:w="560" w:type="dxa"/>
            <w:vAlign w:val="bottom"/>
            <w:tcBorders>
              <w:top w:val="single" w:sz="8" w:color="51555C"/>
            </w:tcBorders>
          </w:tcPr>
          <w:p>
            <w:pPr>
              <w:spacing w:after="0"/>
              <w:rPr>
                <w:sz w:val="14"/>
                <w:szCs w:val="14"/>
                <w:color w:val="auto"/>
              </w:rPr>
            </w:pPr>
          </w:p>
        </w:tc>
        <w:tc>
          <w:tcPr>
            <w:tcW w:w="980" w:type="dxa"/>
            <w:vAlign w:val="bottom"/>
            <w:tcBorders>
              <w:top w:val="single" w:sz="8" w:color="51555C"/>
            </w:tcBorders>
          </w:tcPr>
          <w:p>
            <w:pPr>
              <w:jc w:val="right"/>
              <w:spacing w:after="0" w:line="163" w:lineRule="exact"/>
              <w:rPr>
                <w:sz w:val="20"/>
                <w:szCs w:val="20"/>
                <w:color w:val="auto"/>
              </w:rPr>
            </w:pPr>
            <w:r>
              <w:rPr>
                <w:rFonts w:ascii="Calibri" w:cs="Calibri" w:eastAsia="Calibri" w:hAnsi="Calibri"/>
                <w:sz w:val="14"/>
                <w:szCs w:val="14"/>
                <w:color w:val="51555C"/>
              </w:rPr>
              <w:t>161,075</w:t>
            </w:r>
          </w:p>
        </w:tc>
        <w:tc>
          <w:tcPr>
            <w:tcW w:w="460" w:type="dxa"/>
            <w:vAlign w:val="bottom"/>
            <w:tcBorders>
              <w:top w:val="single" w:sz="8" w:color="51555C"/>
            </w:tcBorders>
          </w:tcPr>
          <w:p>
            <w:pPr>
              <w:spacing w:after="0"/>
              <w:rPr>
                <w:sz w:val="14"/>
                <w:szCs w:val="14"/>
                <w:color w:val="auto"/>
              </w:rPr>
            </w:pPr>
          </w:p>
        </w:tc>
        <w:tc>
          <w:tcPr>
            <w:tcW w:w="1060" w:type="dxa"/>
            <w:vAlign w:val="bottom"/>
            <w:tcBorders>
              <w:top w:val="single" w:sz="8" w:color="51555C"/>
            </w:tcBorders>
          </w:tcPr>
          <w:p>
            <w:pPr>
              <w:jc w:val="right"/>
              <w:spacing w:after="0" w:line="163" w:lineRule="exact"/>
              <w:rPr>
                <w:sz w:val="20"/>
                <w:szCs w:val="20"/>
                <w:color w:val="auto"/>
              </w:rPr>
            </w:pPr>
            <w:r>
              <w:rPr>
                <w:rFonts w:ascii="Calibri" w:cs="Calibri" w:eastAsia="Calibri" w:hAnsi="Calibri"/>
                <w:sz w:val="14"/>
                <w:szCs w:val="14"/>
                <w:color w:val="51555C"/>
              </w:rPr>
              <w:t>150,322</w:t>
            </w:r>
          </w:p>
        </w:tc>
        <w:tc>
          <w:tcPr>
            <w:tcW w:w="20" w:type="dxa"/>
            <w:vAlign w:val="bottom"/>
          </w:tcPr>
          <w:p>
            <w:pPr>
              <w:spacing w:after="0"/>
              <w:rPr>
                <w:sz w:val="14"/>
                <w:szCs w:val="14"/>
                <w:color w:val="auto"/>
              </w:rPr>
            </w:pPr>
          </w:p>
        </w:tc>
      </w:tr>
      <w:tr>
        <w:trPr>
          <w:trHeight w:val="40"/>
        </w:trPr>
        <w:tc>
          <w:tcPr>
            <w:tcW w:w="8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9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12"/>
        </w:trPr>
        <w:tc>
          <w:tcPr>
            <w:tcW w:w="822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4"/>
                <w:szCs w:val="14"/>
                <w:color w:val="51555C"/>
              </w:rPr>
              <w:t>Less: Long-term porton</w:t>
            </w:r>
          </w:p>
        </w:tc>
        <w:tc>
          <w:tcPr>
            <w:tcW w:w="560" w:type="dxa"/>
            <w:vAlign w:val="bottom"/>
            <w:tcBorders>
              <w:bottom w:val="single" w:sz="8" w:color="EBFBFF"/>
            </w:tcBorders>
            <w:shd w:val="clear" w:color="auto" w:fill="EBFBFF"/>
          </w:tcPr>
          <w:p>
            <w:pPr>
              <w:spacing w:after="0"/>
              <w:rPr>
                <w:sz w:val="18"/>
                <w:szCs w:val="18"/>
                <w:color w:val="auto"/>
              </w:rPr>
            </w:pPr>
          </w:p>
        </w:tc>
        <w:tc>
          <w:tcPr>
            <w:tcW w:w="9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68,785</w:t>
            </w:r>
          </w:p>
        </w:tc>
        <w:tc>
          <w:tcPr>
            <w:tcW w:w="460" w:type="dxa"/>
            <w:vAlign w:val="bottom"/>
            <w:tcBorders>
              <w:bottom w:val="single" w:sz="8" w:color="EBFBFF"/>
            </w:tcBorders>
            <w:shd w:val="clear" w:color="auto" w:fill="EBFBFF"/>
          </w:tcPr>
          <w:p>
            <w:pPr>
              <w:spacing w:after="0"/>
              <w:rPr>
                <w:sz w:val="18"/>
                <w:szCs w:val="18"/>
                <w:color w:val="auto"/>
              </w:rPr>
            </w:pPr>
          </w:p>
        </w:tc>
        <w:tc>
          <w:tcPr>
            <w:tcW w:w="10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51,037</w:t>
            </w:r>
          </w:p>
        </w:tc>
        <w:tc>
          <w:tcPr>
            <w:tcW w:w="20" w:type="dxa"/>
            <w:vAlign w:val="bottom"/>
          </w:tcPr>
          <w:p>
            <w:pPr>
              <w:spacing w:after="0"/>
              <w:rPr>
                <w:sz w:val="18"/>
                <w:szCs w:val="18"/>
                <w:color w:val="auto"/>
              </w:rPr>
            </w:pPr>
          </w:p>
        </w:tc>
      </w:tr>
      <w:tr>
        <w:trPr>
          <w:trHeight w:val="163"/>
        </w:trPr>
        <w:tc>
          <w:tcPr>
            <w:tcW w:w="8220" w:type="dxa"/>
            <w:vAlign w:val="bottom"/>
          </w:tcPr>
          <w:p>
            <w:pPr>
              <w:ind w:left="20"/>
              <w:spacing w:after="0" w:line="152" w:lineRule="exact"/>
              <w:rPr>
                <w:sz w:val="20"/>
                <w:szCs w:val="20"/>
                <w:color w:val="auto"/>
              </w:rPr>
            </w:pPr>
            <w:r>
              <w:rPr>
                <w:rFonts w:ascii="Calibri" w:cs="Calibri" w:eastAsia="Calibri" w:hAnsi="Calibri"/>
                <w:sz w:val="14"/>
                <w:szCs w:val="14"/>
                <w:color w:val="51555C"/>
              </w:rPr>
              <w:t>Prepaid expenses and other current assets</w:t>
            </w:r>
          </w:p>
        </w:tc>
        <w:tc>
          <w:tcPr>
            <w:tcW w:w="560" w:type="dxa"/>
            <w:vAlign w:val="bottom"/>
            <w:tcBorders>
              <w:top w:val="single" w:sz="8" w:color="51555C"/>
            </w:tcBorders>
          </w:tcPr>
          <w:p>
            <w:pPr>
              <w:jc w:val="right"/>
              <w:ind w:right="389"/>
              <w:spacing w:after="0" w:line="163" w:lineRule="exact"/>
              <w:rPr>
                <w:sz w:val="20"/>
                <w:szCs w:val="20"/>
                <w:color w:val="auto"/>
              </w:rPr>
            </w:pPr>
            <w:r>
              <w:rPr>
                <w:rFonts w:ascii="Calibri" w:cs="Calibri" w:eastAsia="Calibri" w:hAnsi="Calibri"/>
                <w:sz w:val="14"/>
                <w:szCs w:val="14"/>
                <w:color w:val="51555C"/>
              </w:rPr>
              <w:t>$</w:t>
            </w:r>
          </w:p>
        </w:tc>
        <w:tc>
          <w:tcPr>
            <w:tcW w:w="980" w:type="dxa"/>
            <w:vAlign w:val="bottom"/>
            <w:tcBorders>
              <w:top w:val="single" w:sz="8" w:color="51555C"/>
            </w:tcBorders>
          </w:tcPr>
          <w:p>
            <w:pPr>
              <w:jc w:val="right"/>
              <w:spacing w:after="0" w:line="163" w:lineRule="exact"/>
              <w:rPr>
                <w:sz w:val="20"/>
                <w:szCs w:val="20"/>
                <w:color w:val="auto"/>
              </w:rPr>
            </w:pPr>
            <w:r>
              <w:rPr>
                <w:rFonts w:ascii="Calibri" w:cs="Calibri" w:eastAsia="Calibri" w:hAnsi="Calibri"/>
                <w:sz w:val="14"/>
                <w:szCs w:val="14"/>
                <w:color w:val="51555C"/>
              </w:rPr>
              <w:t>92,290</w:t>
            </w:r>
          </w:p>
        </w:tc>
        <w:tc>
          <w:tcPr>
            <w:tcW w:w="460" w:type="dxa"/>
            <w:vAlign w:val="bottom"/>
            <w:tcBorders>
              <w:top w:val="single" w:sz="8" w:color="51555C"/>
            </w:tcBorders>
          </w:tcPr>
          <w:p>
            <w:pPr>
              <w:jc w:val="right"/>
              <w:ind w:right="309"/>
              <w:spacing w:after="0" w:line="163" w:lineRule="exact"/>
              <w:rPr>
                <w:sz w:val="20"/>
                <w:szCs w:val="20"/>
                <w:color w:val="auto"/>
              </w:rPr>
            </w:pPr>
            <w:r>
              <w:rPr>
                <w:rFonts w:ascii="Calibri" w:cs="Calibri" w:eastAsia="Calibri" w:hAnsi="Calibri"/>
                <w:sz w:val="14"/>
                <w:szCs w:val="14"/>
                <w:color w:val="51555C"/>
                <w:w w:val="83"/>
              </w:rPr>
              <w:t>$</w:t>
            </w:r>
          </w:p>
        </w:tc>
        <w:tc>
          <w:tcPr>
            <w:tcW w:w="1060" w:type="dxa"/>
            <w:vAlign w:val="bottom"/>
            <w:tcBorders>
              <w:top w:val="single" w:sz="8" w:color="51555C"/>
            </w:tcBorders>
          </w:tcPr>
          <w:p>
            <w:pPr>
              <w:jc w:val="right"/>
              <w:spacing w:after="0" w:line="163" w:lineRule="exact"/>
              <w:rPr>
                <w:sz w:val="20"/>
                <w:szCs w:val="20"/>
                <w:color w:val="auto"/>
              </w:rPr>
            </w:pPr>
            <w:r>
              <w:rPr>
                <w:rFonts w:ascii="Calibri" w:cs="Calibri" w:eastAsia="Calibri" w:hAnsi="Calibri"/>
                <w:sz w:val="14"/>
                <w:szCs w:val="14"/>
                <w:color w:val="51555C"/>
              </w:rPr>
              <w:t>99,285</w:t>
            </w:r>
          </w:p>
        </w:tc>
        <w:tc>
          <w:tcPr>
            <w:tcW w:w="20" w:type="dxa"/>
            <w:vAlign w:val="bottom"/>
          </w:tcPr>
          <w:p>
            <w:pPr>
              <w:spacing w:after="0"/>
              <w:rPr>
                <w:sz w:val="14"/>
                <w:szCs w:val="14"/>
                <w:color w:val="auto"/>
              </w:rPr>
            </w:pPr>
          </w:p>
        </w:tc>
      </w:tr>
      <w:tr>
        <w:trPr>
          <w:trHeight w:val="40"/>
        </w:trPr>
        <w:tc>
          <w:tcPr>
            <w:tcW w:w="8220" w:type="dxa"/>
            <w:vAlign w:val="bottom"/>
            <w:tcBorders>
              <w:bottom w:val="single" w:sz="8" w:color="0CD973"/>
            </w:tcBorders>
          </w:tcPr>
          <w:p>
            <w:pPr>
              <w:spacing w:after="0"/>
              <w:rPr>
                <w:sz w:val="3"/>
                <w:szCs w:val="3"/>
                <w:color w:val="auto"/>
              </w:rPr>
            </w:pPr>
          </w:p>
        </w:tc>
        <w:tc>
          <w:tcPr>
            <w:tcW w:w="560" w:type="dxa"/>
            <w:vAlign w:val="bottom"/>
            <w:tcBorders>
              <w:bottom w:val="single" w:sz="8" w:color="0CD973"/>
            </w:tcBorders>
          </w:tcPr>
          <w:p>
            <w:pPr>
              <w:spacing w:after="0"/>
              <w:rPr>
                <w:sz w:val="3"/>
                <w:szCs w:val="3"/>
                <w:color w:val="auto"/>
              </w:rPr>
            </w:pPr>
          </w:p>
        </w:tc>
        <w:tc>
          <w:tcPr>
            <w:tcW w:w="980" w:type="dxa"/>
            <w:vAlign w:val="bottom"/>
            <w:tcBorders>
              <w:bottom w:val="single" w:sz="8" w:color="0CD973"/>
            </w:tcBorders>
          </w:tcPr>
          <w:p>
            <w:pPr>
              <w:spacing w:after="0"/>
              <w:rPr>
                <w:sz w:val="3"/>
                <w:szCs w:val="3"/>
                <w:color w:val="auto"/>
              </w:rPr>
            </w:pPr>
          </w:p>
        </w:tc>
        <w:tc>
          <w:tcPr>
            <w:tcW w:w="460" w:type="dxa"/>
            <w:vAlign w:val="bottom"/>
            <w:tcBorders>
              <w:bottom w:val="single" w:sz="8" w:color="0CD973"/>
            </w:tcBorders>
          </w:tcPr>
          <w:p>
            <w:pPr>
              <w:spacing w:after="0"/>
              <w:rPr>
                <w:sz w:val="3"/>
                <w:szCs w:val="3"/>
                <w:color w:val="auto"/>
              </w:rPr>
            </w:pPr>
          </w:p>
        </w:tc>
        <w:tc>
          <w:tcPr>
            <w:tcW w:w="1060" w:type="dxa"/>
            <w:vAlign w:val="bottom"/>
            <w:tcBorders>
              <w:bottom w:val="single" w:sz="8" w:color="0CD973"/>
            </w:tcBorders>
          </w:tcPr>
          <w:p>
            <w:pPr>
              <w:spacing w:after="0"/>
              <w:rPr>
                <w:sz w:val="3"/>
                <w:szCs w:val="3"/>
                <w:color w:val="auto"/>
              </w:rPr>
            </w:pPr>
          </w:p>
        </w:tc>
        <w:tc>
          <w:tcPr>
            <w:tcW w:w="20" w:type="dxa"/>
            <w:vAlign w:val="bottom"/>
          </w:tcPr>
          <w:p>
            <w:pPr>
              <w:spacing w:after="0"/>
              <w:rPr>
                <w:sz w:val="3"/>
                <w:szCs w:val="3"/>
                <w:color w:val="auto"/>
              </w:rPr>
            </w:pPr>
          </w:p>
        </w:tc>
      </w:tr>
    </w:tbl>
    <w:p>
      <w:pPr>
        <w:spacing w:after="0" w:line="46" w:lineRule="exact"/>
        <w:rPr>
          <w:sz w:val="20"/>
          <w:szCs w:val="20"/>
          <w:color w:val="auto"/>
        </w:rPr>
      </w:pPr>
    </w:p>
    <w:p>
      <w:pPr>
        <w:ind w:left="260" w:right="20" w:hanging="255"/>
        <w:spacing w:after="0" w:line="235" w:lineRule="auto"/>
        <w:tabs>
          <w:tab w:leader="none" w:pos="258" w:val="left"/>
        </w:tabs>
        <w:numPr>
          <w:ilvl w:val="0"/>
          <w:numId w:val="6"/>
        </w:numPr>
        <w:rPr>
          <w:rFonts w:ascii="Calibri" w:cs="Calibri" w:eastAsia="Calibri" w:hAnsi="Calibri"/>
          <w:sz w:val="11"/>
          <w:szCs w:val="11"/>
          <w:color w:val="51555C"/>
        </w:rPr>
      </w:pPr>
      <w:r>
        <w:rPr>
          <w:rFonts w:ascii="Calibri" w:cs="Calibri" w:eastAsia="Calibri" w:hAnsi="Calibri"/>
          <w:sz w:val="11"/>
          <w:szCs w:val="11"/>
          <w:color w:val="51555C"/>
        </w:rPr>
        <w:t xml:space="preserve">Amortzaton expense from costs of obtaining contracts was $4.9 million </w:t>
      </w:r>
      <w:r>
        <w:rPr>
          <w:rFonts w:ascii="Calibri" w:cs="Calibri" w:eastAsia="Calibri" w:hAnsi="Calibri"/>
          <w:sz w:val="14"/>
          <w:szCs w:val="14"/>
          <w:color w:val="51555C"/>
        </w:rPr>
        <w:t>and</w:t>
      </w:r>
      <w:r>
        <w:rPr>
          <w:rFonts w:ascii="Calibri" w:cs="Calibri" w:eastAsia="Calibri" w:hAnsi="Calibri"/>
          <w:sz w:val="11"/>
          <w:szCs w:val="11"/>
          <w:color w:val="51555C"/>
        </w:rPr>
        <w:t xml:space="preserve"> $9.7 million for the three and six months ended June 30, 2024, respectvely, and $8.1 million </w:t>
      </w:r>
      <w:r>
        <w:rPr>
          <w:rFonts w:ascii="Calibri" w:cs="Calibri" w:eastAsia="Calibri" w:hAnsi="Calibri"/>
          <w:sz w:val="14"/>
          <w:szCs w:val="14"/>
          <w:color w:val="51555C"/>
        </w:rPr>
        <w:t>and</w:t>
      </w:r>
      <w:r>
        <w:rPr>
          <w:rFonts w:ascii="Calibri" w:cs="Calibri" w:eastAsia="Calibri" w:hAnsi="Calibri"/>
          <w:sz w:val="11"/>
          <w:szCs w:val="11"/>
          <w:color w:val="51555C"/>
        </w:rPr>
        <w:t xml:space="preserve"> $16.4 million for the three and six months ended June 30, 2023, respectvely.</w:t>
      </w:r>
    </w:p>
    <w:p>
      <w:pPr>
        <w:spacing w:after="0" w:line="4" w:lineRule="exact"/>
        <w:rPr>
          <w:rFonts w:ascii="Calibri" w:cs="Calibri" w:eastAsia="Calibri" w:hAnsi="Calibri"/>
          <w:sz w:val="11"/>
          <w:szCs w:val="11"/>
          <w:color w:val="51555C"/>
        </w:rPr>
      </w:pPr>
    </w:p>
    <w:p>
      <w:pPr>
        <w:ind w:left="260" w:hanging="255"/>
        <w:spacing w:after="0"/>
        <w:tabs>
          <w:tab w:leader="none" w:pos="260" w:val="left"/>
        </w:tabs>
        <w:numPr>
          <w:ilvl w:val="0"/>
          <w:numId w:val="6"/>
        </w:numPr>
        <w:rPr>
          <w:rFonts w:ascii="Calibri" w:cs="Calibri" w:eastAsia="Calibri" w:hAnsi="Calibri"/>
          <w:sz w:val="11"/>
          <w:szCs w:val="11"/>
          <w:color w:val="51555C"/>
        </w:rPr>
      </w:pPr>
      <w:r>
        <w:rPr>
          <w:rFonts w:ascii="Calibri" w:cs="Calibri" w:eastAsia="Calibri" w:hAnsi="Calibri"/>
          <w:sz w:val="11"/>
          <w:szCs w:val="11"/>
          <w:color w:val="51555C"/>
        </w:rPr>
        <w:t>The current porton of costs of obtaining contracts as of June 30, 2024 and December 31, 2023 was $19.6 million and $25.3 million, respectvely.</w:t>
      </w:r>
    </w:p>
    <w:p>
      <w:pPr>
        <w:spacing w:after="0" w:line="3" w:lineRule="exact"/>
        <w:rPr>
          <w:rFonts w:ascii="Calibri" w:cs="Calibri" w:eastAsia="Calibri" w:hAnsi="Calibri"/>
          <w:sz w:val="11"/>
          <w:szCs w:val="11"/>
          <w:color w:val="51555C"/>
        </w:rPr>
      </w:pPr>
    </w:p>
    <w:p>
      <w:pPr>
        <w:ind w:left="260" w:hanging="255"/>
        <w:spacing w:after="0"/>
        <w:tabs>
          <w:tab w:leader="none" w:pos="260" w:val="left"/>
        </w:tabs>
        <w:numPr>
          <w:ilvl w:val="0"/>
          <w:numId w:val="6"/>
        </w:numPr>
        <w:rPr>
          <w:rFonts w:ascii="Calibri" w:cs="Calibri" w:eastAsia="Calibri" w:hAnsi="Calibri"/>
          <w:sz w:val="11"/>
          <w:szCs w:val="11"/>
          <w:color w:val="51555C"/>
        </w:rPr>
      </w:pPr>
      <w:r>
        <w:rPr>
          <w:rFonts w:ascii="Calibri" w:cs="Calibri" w:eastAsia="Calibri" w:hAnsi="Calibri"/>
          <w:sz w:val="11"/>
          <w:szCs w:val="11"/>
          <w:color w:val="51555C"/>
        </w:rPr>
        <w:t>The current porton of prepaid sofware maintenance and subscriptons as of June 30, 2024 and December 31, 2023 was $32.1 million and $32.4 million, respectvely.</w:t>
      </w:r>
    </w:p>
    <w:p>
      <w:pPr>
        <w:spacing w:after="0" w:line="3" w:lineRule="exact"/>
        <w:rPr>
          <w:rFonts w:ascii="Calibri" w:cs="Calibri" w:eastAsia="Calibri" w:hAnsi="Calibri"/>
          <w:sz w:val="11"/>
          <w:szCs w:val="11"/>
          <w:color w:val="51555C"/>
        </w:rPr>
      </w:pPr>
    </w:p>
    <w:p>
      <w:pPr>
        <w:ind w:left="260" w:hanging="255"/>
        <w:spacing w:after="0"/>
        <w:tabs>
          <w:tab w:leader="none" w:pos="260" w:val="left"/>
        </w:tabs>
        <w:numPr>
          <w:ilvl w:val="0"/>
          <w:numId w:val="6"/>
        </w:numPr>
        <w:rPr>
          <w:rFonts w:ascii="Calibri" w:cs="Calibri" w:eastAsia="Calibri" w:hAnsi="Calibri"/>
          <w:sz w:val="11"/>
          <w:szCs w:val="11"/>
          <w:color w:val="51555C"/>
        </w:rPr>
      </w:pPr>
      <w:r>
        <w:rPr>
          <w:rFonts w:ascii="Calibri" w:cs="Calibri" w:eastAsia="Calibri" w:hAnsi="Calibri"/>
          <w:sz w:val="11"/>
          <w:szCs w:val="11"/>
          <w:color w:val="51555C"/>
        </w:rPr>
        <w:t>These costs primarily relate to the mult-year implementatons of our new global enterprise resource planning, customer relatonship management systems and other cloud-based systems.</w:t>
      </w:r>
    </w:p>
    <w:p>
      <w:pPr>
        <w:spacing w:after="0" w:line="35" w:lineRule="exact"/>
        <w:rPr>
          <w:rFonts w:ascii="Calibri" w:cs="Calibri" w:eastAsia="Calibri" w:hAnsi="Calibri"/>
          <w:sz w:val="11"/>
          <w:szCs w:val="11"/>
          <w:color w:val="51555C"/>
        </w:rPr>
      </w:pPr>
    </w:p>
    <w:p>
      <w:pPr>
        <w:ind w:left="260" w:right="20" w:hanging="255"/>
        <w:spacing w:after="0" w:line="243" w:lineRule="auto"/>
        <w:tabs>
          <w:tab w:leader="none" w:pos="258" w:val="left"/>
        </w:tabs>
        <w:numPr>
          <w:ilvl w:val="0"/>
          <w:numId w:val="6"/>
        </w:numPr>
        <w:rPr>
          <w:rFonts w:ascii="Calibri" w:cs="Calibri" w:eastAsia="Calibri" w:hAnsi="Calibri"/>
          <w:sz w:val="11"/>
          <w:szCs w:val="11"/>
          <w:color w:val="51555C"/>
        </w:rPr>
      </w:pPr>
      <w:r>
        <w:rPr>
          <w:rFonts w:ascii="Calibri" w:cs="Calibri" w:eastAsia="Calibri" w:hAnsi="Calibri"/>
          <w:sz w:val="11"/>
          <w:szCs w:val="11"/>
          <w:color w:val="51555C"/>
        </w:rPr>
        <w:t>Amortzaton expense from capitalized cloud computng implementaton costs was $0.7 million and insignifcant for the three months ended June 30, 2024 and 2023, respectvely, and $1.4 million and $1.1 million for the six months ended June 30, 2024 and 2023, respectvely. Accumulated amortzaton for these costs was $9.1 million and $7.7 million as of June 30, 2024 and December 31, 2023, respectvely.</w:t>
      </w:r>
    </w:p>
    <w:p>
      <w:pPr>
        <w:ind w:left="260" w:hanging="255"/>
        <w:spacing w:after="0" w:line="227" w:lineRule="auto"/>
        <w:tabs>
          <w:tab w:leader="none" w:pos="260" w:val="left"/>
        </w:tabs>
        <w:numPr>
          <w:ilvl w:val="0"/>
          <w:numId w:val="6"/>
        </w:numPr>
        <w:rPr>
          <w:rFonts w:ascii="Calibri" w:cs="Calibri" w:eastAsia="Calibri" w:hAnsi="Calibri"/>
          <w:sz w:val="11"/>
          <w:szCs w:val="11"/>
          <w:color w:val="51555C"/>
        </w:rPr>
      </w:pPr>
      <w:r>
        <w:rPr>
          <w:rFonts w:ascii="Calibri" w:cs="Calibri" w:eastAsia="Calibri" w:hAnsi="Calibri"/>
          <w:sz w:val="11"/>
          <w:szCs w:val="11"/>
          <w:color w:val="51555C"/>
        </w:rPr>
        <w:t>Represents a strategic investment that did not result in Blackbaud having signifcant infuence over the investee.</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51555C"/>
        </w:rPr>
        <w:t>Accrued expenses and other liabilites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8220" w:type="dxa"/>
            <w:vAlign w:val="bottom"/>
            <w:shd w:val="clear" w:color="auto" w:fill="004054"/>
          </w:tcPr>
          <w:p>
            <w:pPr>
              <w:spacing w:after="0"/>
              <w:rPr>
                <w:sz w:val="12"/>
                <w:szCs w:val="12"/>
                <w:color w:val="auto"/>
              </w:rPr>
            </w:pPr>
          </w:p>
        </w:tc>
        <w:tc>
          <w:tcPr>
            <w:tcW w:w="600" w:type="dxa"/>
            <w:vAlign w:val="bottom"/>
            <w:shd w:val="clear" w:color="auto" w:fill="004054"/>
          </w:tcPr>
          <w:p>
            <w:pPr>
              <w:spacing w:after="0"/>
              <w:rPr>
                <w:sz w:val="12"/>
                <w:szCs w:val="12"/>
                <w:color w:val="auto"/>
              </w:rPr>
            </w:pPr>
          </w:p>
        </w:tc>
        <w:tc>
          <w:tcPr>
            <w:tcW w:w="94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June 30,</w:t>
            </w:r>
          </w:p>
        </w:tc>
        <w:tc>
          <w:tcPr>
            <w:tcW w:w="460" w:type="dxa"/>
            <w:vAlign w:val="bottom"/>
            <w:shd w:val="clear" w:color="auto" w:fill="004054"/>
          </w:tcPr>
          <w:p>
            <w:pPr>
              <w:spacing w:after="0"/>
              <w:rPr>
                <w:sz w:val="12"/>
                <w:szCs w:val="12"/>
                <w:color w:val="auto"/>
              </w:rPr>
            </w:pPr>
          </w:p>
        </w:tc>
        <w:tc>
          <w:tcPr>
            <w:tcW w:w="106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December 31,</w:t>
            </w:r>
          </w:p>
        </w:tc>
        <w:tc>
          <w:tcPr>
            <w:tcW w:w="20" w:type="dxa"/>
            <w:vAlign w:val="bottom"/>
            <w:shd w:val="clear" w:color="auto" w:fill="004054"/>
          </w:tcPr>
          <w:p>
            <w:pPr>
              <w:spacing w:after="0"/>
              <w:rPr>
                <w:sz w:val="12"/>
                <w:szCs w:val="12"/>
                <w:color w:val="auto"/>
              </w:rPr>
            </w:pPr>
          </w:p>
        </w:tc>
      </w:tr>
      <w:tr>
        <w:trPr>
          <w:trHeight w:val="172"/>
        </w:trPr>
        <w:tc>
          <w:tcPr>
            <w:tcW w:w="8220" w:type="dxa"/>
            <w:vAlign w:val="bottom"/>
            <w:tcBorders>
              <w:bottom w:val="single" w:sz="8" w:color="004054"/>
            </w:tcBorders>
            <w:shd w:val="clear" w:color="auto" w:fill="004054"/>
          </w:tcPr>
          <w:p>
            <w:pPr>
              <w:ind w:left="20"/>
              <w:spacing w:after="0"/>
              <w:rPr>
                <w:sz w:val="20"/>
                <w:szCs w:val="20"/>
                <w:color w:val="auto"/>
              </w:rPr>
            </w:pPr>
            <w:r>
              <w:rPr>
                <w:rFonts w:ascii="Calibri" w:cs="Calibri" w:eastAsia="Calibri" w:hAnsi="Calibri"/>
                <w:sz w:val="11"/>
                <w:szCs w:val="11"/>
                <w:b w:val="1"/>
                <w:bCs w:val="1"/>
                <w:color w:val="FFFFFF"/>
              </w:rPr>
              <w:t>(dollars in thousands)</w:t>
            </w:r>
          </w:p>
        </w:tc>
        <w:tc>
          <w:tcPr>
            <w:tcW w:w="600" w:type="dxa"/>
            <w:vAlign w:val="bottom"/>
            <w:tcBorders>
              <w:bottom w:val="single" w:sz="8" w:color="004054"/>
            </w:tcBorders>
            <w:shd w:val="clear" w:color="auto" w:fill="004054"/>
          </w:tcPr>
          <w:p>
            <w:pPr>
              <w:spacing w:after="0"/>
              <w:rPr>
                <w:sz w:val="14"/>
                <w:szCs w:val="14"/>
                <w:color w:val="auto"/>
              </w:rPr>
            </w:pPr>
          </w:p>
        </w:tc>
        <w:tc>
          <w:tcPr>
            <w:tcW w:w="940" w:type="dxa"/>
            <w:vAlign w:val="bottom"/>
            <w:tcBorders>
              <w:bottom w:val="single" w:sz="8" w:color="004054"/>
            </w:tcBorders>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2024</w:t>
            </w:r>
          </w:p>
        </w:tc>
        <w:tc>
          <w:tcPr>
            <w:tcW w:w="460" w:type="dxa"/>
            <w:vAlign w:val="bottom"/>
            <w:tcBorders>
              <w:bottom w:val="single" w:sz="8" w:color="004054"/>
            </w:tcBorders>
            <w:shd w:val="clear" w:color="auto" w:fill="004054"/>
          </w:tcPr>
          <w:p>
            <w:pPr>
              <w:spacing w:after="0"/>
              <w:rPr>
                <w:sz w:val="14"/>
                <w:szCs w:val="14"/>
                <w:color w:val="auto"/>
              </w:rPr>
            </w:pPr>
          </w:p>
        </w:tc>
        <w:tc>
          <w:tcPr>
            <w:tcW w:w="1060" w:type="dxa"/>
            <w:vAlign w:val="bottom"/>
            <w:tcBorders>
              <w:bottom w:val="single" w:sz="8" w:color="004054"/>
            </w:tcBorders>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2023</w:t>
            </w:r>
          </w:p>
        </w:tc>
        <w:tc>
          <w:tcPr>
            <w:tcW w:w="20" w:type="dxa"/>
            <w:vAlign w:val="bottom"/>
            <w:tcBorders>
              <w:bottom w:val="single" w:sz="8" w:color="004054"/>
            </w:tcBorders>
            <w:shd w:val="clear" w:color="auto" w:fill="004054"/>
          </w:tcPr>
          <w:p>
            <w:pPr>
              <w:spacing w:after="0"/>
              <w:rPr>
                <w:sz w:val="14"/>
                <w:szCs w:val="14"/>
                <w:color w:val="auto"/>
              </w:rPr>
            </w:pPr>
          </w:p>
        </w:tc>
      </w:tr>
      <w:tr>
        <w:trPr>
          <w:trHeight w:val="255"/>
        </w:trPr>
        <w:tc>
          <w:tcPr>
            <w:tcW w:w="8220" w:type="dxa"/>
            <w:vAlign w:val="bottom"/>
            <w:shd w:val="clear" w:color="auto" w:fill="EBFBFF"/>
          </w:tcPr>
          <w:p>
            <w:pPr>
              <w:ind w:left="20"/>
              <w:spacing w:after="0"/>
              <w:rPr>
                <w:sz w:val="20"/>
                <w:szCs w:val="20"/>
                <w:color w:val="auto"/>
              </w:rPr>
            </w:pPr>
            <w:r>
              <w:rPr>
                <w:rFonts w:ascii="Calibri" w:cs="Calibri" w:eastAsia="Calibri" w:hAnsi="Calibri"/>
                <w:sz w:val="14"/>
                <w:szCs w:val="14"/>
                <w:color w:val="51555C"/>
              </w:rPr>
              <w:t>Accrued legal costs</w:t>
            </w:r>
            <w:r>
              <w:rPr>
                <w:rFonts w:ascii="Calibri" w:cs="Calibri" w:eastAsia="Calibri" w:hAnsi="Calibri"/>
                <w:sz w:val="18"/>
                <w:szCs w:val="18"/>
                <w:color w:val="51555C"/>
                <w:vertAlign w:val="superscript"/>
              </w:rPr>
              <w:t>(1)</w:t>
            </w:r>
          </w:p>
        </w:tc>
        <w:tc>
          <w:tcPr>
            <w:tcW w:w="600" w:type="dxa"/>
            <w:vAlign w:val="bottom"/>
            <w:shd w:val="clear" w:color="auto" w:fill="EBFBFF"/>
          </w:tcPr>
          <w:p>
            <w:pPr>
              <w:jc w:val="right"/>
              <w:ind w:right="429"/>
              <w:spacing w:after="0"/>
              <w:rPr>
                <w:sz w:val="20"/>
                <w:szCs w:val="20"/>
                <w:color w:val="auto"/>
              </w:rPr>
            </w:pPr>
            <w:r>
              <w:rPr>
                <w:rFonts w:ascii="Calibri" w:cs="Calibri" w:eastAsia="Calibri" w:hAnsi="Calibri"/>
                <w:sz w:val="14"/>
                <w:szCs w:val="14"/>
                <w:color w:val="51555C"/>
              </w:rPr>
              <w:t>$</w:t>
            </w:r>
          </w:p>
        </w:tc>
        <w:tc>
          <w:tcPr>
            <w:tcW w:w="940" w:type="dxa"/>
            <w:vAlign w:val="bottom"/>
            <w:shd w:val="clear" w:color="auto" w:fill="EBFBFF"/>
          </w:tcPr>
          <w:p>
            <w:pPr>
              <w:jc w:val="right"/>
              <w:spacing w:after="0"/>
              <w:rPr>
                <w:sz w:val="20"/>
                <w:szCs w:val="20"/>
                <w:color w:val="auto"/>
              </w:rPr>
            </w:pPr>
            <w:r>
              <w:rPr>
                <w:rFonts w:ascii="Calibri" w:cs="Calibri" w:eastAsia="Calibri" w:hAnsi="Calibri"/>
                <w:sz w:val="14"/>
                <w:szCs w:val="14"/>
                <w:color w:val="51555C"/>
              </w:rPr>
              <w:t>10,473</w:t>
            </w:r>
          </w:p>
        </w:tc>
        <w:tc>
          <w:tcPr>
            <w:tcW w:w="460" w:type="dxa"/>
            <w:vAlign w:val="bottom"/>
            <w:shd w:val="clear" w:color="auto" w:fill="EBFBFF"/>
          </w:tcPr>
          <w:p>
            <w:pPr>
              <w:jc w:val="right"/>
              <w:ind w:right="309"/>
              <w:spacing w:after="0"/>
              <w:rPr>
                <w:sz w:val="20"/>
                <w:szCs w:val="20"/>
                <w:color w:val="auto"/>
              </w:rPr>
            </w:pPr>
            <w:r>
              <w:rPr>
                <w:rFonts w:ascii="Calibri" w:cs="Calibri" w:eastAsia="Calibri" w:hAnsi="Calibri"/>
                <w:sz w:val="14"/>
                <w:szCs w:val="14"/>
                <w:color w:val="51555C"/>
                <w:w w:val="83"/>
              </w:rPr>
              <w:t>$</w:t>
            </w:r>
          </w:p>
        </w:tc>
        <w:tc>
          <w:tcPr>
            <w:tcW w:w="1060" w:type="dxa"/>
            <w:vAlign w:val="bottom"/>
            <w:shd w:val="clear" w:color="auto" w:fill="EBFBFF"/>
          </w:tcPr>
          <w:p>
            <w:pPr>
              <w:jc w:val="right"/>
              <w:spacing w:after="0"/>
              <w:rPr>
                <w:sz w:val="20"/>
                <w:szCs w:val="20"/>
                <w:color w:val="auto"/>
              </w:rPr>
            </w:pPr>
            <w:r>
              <w:rPr>
                <w:rFonts w:ascii="Calibri" w:cs="Calibri" w:eastAsia="Calibri" w:hAnsi="Calibri"/>
                <w:sz w:val="14"/>
                <w:szCs w:val="14"/>
                <w:color w:val="51555C"/>
              </w:rPr>
              <w:t>3,659</w:t>
            </w:r>
          </w:p>
        </w:tc>
        <w:tc>
          <w:tcPr>
            <w:tcW w:w="20" w:type="dxa"/>
            <w:vAlign w:val="bottom"/>
          </w:tcPr>
          <w:p>
            <w:pPr>
              <w:spacing w:after="0"/>
              <w:rPr>
                <w:sz w:val="22"/>
                <w:szCs w:val="22"/>
                <w:color w:val="auto"/>
              </w:rPr>
            </w:pPr>
          </w:p>
        </w:tc>
      </w:tr>
      <w:tr>
        <w:trPr>
          <w:trHeight w:val="214"/>
        </w:trPr>
        <w:tc>
          <w:tcPr>
            <w:tcW w:w="8220" w:type="dxa"/>
            <w:vAlign w:val="bottom"/>
          </w:tcPr>
          <w:p>
            <w:pPr>
              <w:ind w:left="20"/>
              <w:spacing w:after="0"/>
              <w:rPr>
                <w:sz w:val="20"/>
                <w:szCs w:val="20"/>
                <w:color w:val="auto"/>
              </w:rPr>
            </w:pPr>
            <w:r>
              <w:rPr>
                <w:rFonts w:ascii="Calibri" w:cs="Calibri" w:eastAsia="Calibri" w:hAnsi="Calibri"/>
                <w:sz w:val="14"/>
                <w:szCs w:val="14"/>
                <w:color w:val="51555C"/>
              </w:rPr>
              <w:t>Taxes payable</w:t>
            </w:r>
          </w:p>
        </w:tc>
        <w:tc>
          <w:tcPr>
            <w:tcW w:w="6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Calibri" w:cs="Calibri" w:eastAsia="Calibri" w:hAnsi="Calibri"/>
                <w:sz w:val="14"/>
                <w:szCs w:val="14"/>
                <w:color w:val="51555C"/>
              </w:rPr>
              <w:t>10,428</w:t>
            </w:r>
          </w:p>
        </w:tc>
        <w:tc>
          <w:tcPr>
            <w:tcW w:w="4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Calibri" w:cs="Calibri" w:eastAsia="Calibri" w:hAnsi="Calibri"/>
                <w:sz w:val="14"/>
                <w:szCs w:val="14"/>
                <w:color w:val="51555C"/>
              </w:rPr>
              <w:t>21,282</w:t>
            </w:r>
          </w:p>
        </w:tc>
        <w:tc>
          <w:tcPr>
            <w:tcW w:w="20" w:type="dxa"/>
            <w:vAlign w:val="bottom"/>
          </w:tcPr>
          <w:p>
            <w:pPr>
              <w:spacing w:after="0"/>
              <w:rPr>
                <w:sz w:val="18"/>
                <w:szCs w:val="18"/>
                <w:color w:val="auto"/>
              </w:rPr>
            </w:pPr>
          </w:p>
        </w:tc>
      </w:tr>
      <w:tr>
        <w:trPr>
          <w:trHeight w:val="40"/>
        </w:trPr>
        <w:tc>
          <w:tcPr>
            <w:tcW w:w="8220" w:type="dxa"/>
            <w:vAlign w:val="bottom"/>
          </w:tcPr>
          <w:p>
            <w:pPr>
              <w:spacing w:after="0"/>
              <w:rPr>
                <w:sz w:val="3"/>
                <w:szCs w:val="3"/>
                <w:color w:val="auto"/>
              </w:rPr>
            </w:pPr>
          </w:p>
        </w:tc>
        <w:tc>
          <w:tcPr>
            <w:tcW w:w="600" w:type="dxa"/>
            <w:vAlign w:val="bottom"/>
          </w:tcPr>
          <w:p>
            <w:pPr>
              <w:spacing w:after="0"/>
              <w:rPr>
                <w:sz w:val="3"/>
                <w:szCs w:val="3"/>
                <w:color w:val="auto"/>
              </w:rPr>
            </w:pPr>
          </w:p>
        </w:tc>
        <w:tc>
          <w:tcPr>
            <w:tcW w:w="9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92"/>
        </w:trPr>
        <w:tc>
          <w:tcPr>
            <w:tcW w:w="822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4"/>
                <w:szCs w:val="14"/>
                <w:color w:val="51555C"/>
              </w:rPr>
              <w:t>Customer credit balances</w:t>
            </w:r>
          </w:p>
        </w:tc>
        <w:tc>
          <w:tcPr>
            <w:tcW w:w="600" w:type="dxa"/>
            <w:vAlign w:val="bottom"/>
            <w:tcBorders>
              <w:bottom w:val="single" w:sz="8" w:color="EBFBFF"/>
            </w:tcBorders>
            <w:shd w:val="clear" w:color="auto" w:fill="EBFBFF"/>
          </w:tcPr>
          <w:p>
            <w:pPr>
              <w:spacing w:after="0"/>
              <w:rPr>
                <w:sz w:val="16"/>
                <w:szCs w:val="16"/>
                <w:color w:val="auto"/>
              </w:rPr>
            </w:pPr>
          </w:p>
        </w:tc>
        <w:tc>
          <w:tcPr>
            <w:tcW w:w="9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7,631</w:t>
            </w:r>
          </w:p>
        </w:tc>
        <w:tc>
          <w:tcPr>
            <w:tcW w:w="460" w:type="dxa"/>
            <w:vAlign w:val="bottom"/>
            <w:tcBorders>
              <w:bottom w:val="single" w:sz="8" w:color="EBFBFF"/>
            </w:tcBorders>
            <w:shd w:val="clear" w:color="auto" w:fill="EBFBFF"/>
          </w:tcPr>
          <w:p>
            <w:pPr>
              <w:spacing w:after="0"/>
              <w:rPr>
                <w:sz w:val="16"/>
                <w:szCs w:val="16"/>
                <w:color w:val="auto"/>
              </w:rPr>
            </w:pPr>
          </w:p>
        </w:tc>
        <w:tc>
          <w:tcPr>
            <w:tcW w:w="10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10,238</w:t>
            </w:r>
          </w:p>
        </w:tc>
        <w:tc>
          <w:tcPr>
            <w:tcW w:w="20" w:type="dxa"/>
            <w:vAlign w:val="bottom"/>
          </w:tcPr>
          <w:p>
            <w:pPr>
              <w:spacing w:after="0"/>
              <w:rPr>
                <w:sz w:val="16"/>
                <w:szCs w:val="16"/>
                <w:color w:val="auto"/>
              </w:rPr>
            </w:pPr>
          </w:p>
        </w:tc>
      </w:tr>
      <w:tr>
        <w:trPr>
          <w:trHeight w:val="172"/>
        </w:trPr>
        <w:tc>
          <w:tcPr>
            <w:tcW w:w="8220" w:type="dxa"/>
            <w:vAlign w:val="bottom"/>
          </w:tcPr>
          <w:p>
            <w:pPr>
              <w:ind w:left="20"/>
              <w:spacing w:after="0"/>
              <w:rPr>
                <w:sz w:val="20"/>
                <w:szCs w:val="20"/>
                <w:color w:val="auto"/>
              </w:rPr>
            </w:pPr>
            <w:r>
              <w:rPr>
                <w:rFonts w:ascii="Calibri" w:cs="Calibri" w:eastAsia="Calibri" w:hAnsi="Calibri"/>
                <w:sz w:val="14"/>
                <w:szCs w:val="14"/>
                <w:color w:val="51555C"/>
              </w:rPr>
              <w:t>Operatng lease liabilites, current porton</w:t>
            </w:r>
          </w:p>
        </w:tc>
        <w:tc>
          <w:tcPr>
            <w:tcW w:w="6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alibri" w:cs="Calibri" w:eastAsia="Calibri" w:hAnsi="Calibri"/>
                <w:sz w:val="14"/>
                <w:szCs w:val="14"/>
                <w:color w:val="51555C"/>
              </w:rPr>
              <w:t>4,887</w:t>
            </w:r>
          </w:p>
        </w:tc>
        <w:tc>
          <w:tcPr>
            <w:tcW w:w="4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alibri" w:cs="Calibri" w:eastAsia="Calibri" w:hAnsi="Calibri"/>
                <w:sz w:val="14"/>
                <w:szCs w:val="14"/>
                <w:color w:val="51555C"/>
              </w:rPr>
              <w:t>6,701</w:t>
            </w:r>
          </w:p>
        </w:tc>
        <w:tc>
          <w:tcPr>
            <w:tcW w:w="20" w:type="dxa"/>
            <w:vAlign w:val="bottom"/>
          </w:tcPr>
          <w:p>
            <w:pPr>
              <w:spacing w:after="0"/>
              <w:rPr>
                <w:sz w:val="14"/>
                <w:szCs w:val="14"/>
                <w:color w:val="auto"/>
              </w:rPr>
            </w:pPr>
          </w:p>
        </w:tc>
      </w:tr>
      <w:tr>
        <w:trPr>
          <w:trHeight w:val="40"/>
        </w:trPr>
        <w:tc>
          <w:tcPr>
            <w:tcW w:w="8220" w:type="dxa"/>
            <w:vAlign w:val="bottom"/>
          </w:tcPr>
          <w:p>
            <w:pPr>
              <w:spacing w:after="0"/>
              <w:rPr>
                <w:sz w:val="3"/>
                <w:szCs w:val="3"/>
                <w:color w:val="auto"/>
              </w:rPr>
            </w:pPr>
          </w:p>
        </w:tc>
        <w:tc>
          <w:tcPr>
            <w:tcW w:w="600" w:type="dxa"/>
            <w:vAlign w:val="bottom"/>
          </w:tcPr>
          <w:p>
            <w:pPr>
              <w:spacing w:after="0"/>
              <w:rPr>
                <w:sz w:val="3"/>
                <w:szCs w:val="3"/>
                <w:color w:val="auto"/>
              </w:rPr>
            </w:pPr>
          </w:p>
        </w:tc>
        <w:tc>
          <w:tcPr>
            <w:tcW w:w="9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92"/>
        </w:trPr>
        <w:tc>
          <w:tcPr>
            <w:tcW w:w="822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4"/>
                <w:szCs w:val="14"/>
                <w:color w:val="51555C"/>
              </w:rPr>
              <w:t>Accrued commissions and salaries</w:t>
            </w:r>
          </w:p>
        </w:tc>
        <w:tc>
          <w:tcPr>
            <w:tcW w:w="600" w:type="dxa"/>
            <w:vAlign w:val="bottom"/>
            <w:tcBorders>
              <w:bottom w:val="single" w:sz="8" w:color="EBFBFF"/>
            </w:tcBorders>
            <w:shd w:val="clear" w:color="auto" w:fill="EBFBFF"/>
          </w:tcPr>
          <w:p>
            <w:pPr>
              <w:spacing w:after="0"/>
              <w:rPr>
                <w:sz w:val="16"/>
                <w:szCs w:val="16"/>
                <w:color w:val="auto"/>
              </w:rPr>
            </w:pPr>
          </w:p>
        </w:tc>
        <w:tc>
          <w:tcPr>
            <w:tcW w:w="9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2,995</w:t>
            </w:r>
          </w:p>
        </w:tc>
        <w:tc>
          <w:tcPr>
            <w:tcW w:w="460" w:type="dxa"/>
            <w:vAlign w:val="bottom"/>
            <w:tcBorders>
              <w:bottom w:val="single" w:sz="8" w:color="EBFBFF"/>
            </w:tcBorders>
            <w:shd w:val="clear" w:color="auto" w:fill="EBFBFF"/>
          </w:tcPr>
          <w:p>
            <w:pPr>
              <w:spacing w:after="0"/>
              <w:rPr>
                <w:sz w:val="16"/>
                <w:szCs w:val="16"/>
                <w:color w:val="auto"/>
              </w:rPr>
            </w:pPr>
          </w:p>
        </w:tc>
        <w:tc>
          <w:tcPr>
            <w:tcW w:w="10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4,413</w:t>
            </w:r>
          </w:p>
        </w:tc>
        <w:tc>
          <w:tcPr>
            <w:tcW w:w="20" w:type="dxa"/>
            <w:vAlign w:val="bottom"/>
          </w:tcPr>
          <w:p>
            <w:pPr>
              <w:spacing w:after="0"/>
              <w:rPr>
                <w:sz w:val="16"/>
                <w:szCs w:val="16"/>
                <w:color w:val="auto"/>
              </w:rPr>
            </w:pPr>
          </w:p>
        </w:tc>
      </w:tr>
      <w:tr>
        <w:trPr>
          <w:trHeight w:val="172"/>
        </w:trPr>
        <w:tc>
          <w:tcPr>
            <w:tcW w:w="8220" w:type="dxa"/>
            <w:vAlign w:val="bottom"/>
          </w:tcPr>
          <w:p>
            <w:pPr>
              <w:ind w:left="20"/>
              <w:spacing w:after="0"/>
              <w:rPr>
                <w:sz w:val="20"/>
                <w:szCs w:val="20"/>
                <w:color w:val="auto"/>
              </w:rPr>
            </w:pPr>
            <w:r>
              <w:rPr>
                <w:rFonts w:ascii="Calibri" w:cs="Calibri" w:eastAsia="Calibri" w:hAnsi="Calibri"/>
                <w:sz w:val="14"/>
                <w:szCs w:val="14"/>
                <w:color w:val="51555C"/>
              </w:rPr>
              <w:t>Accrued vacaton costs</w:t>
            </w:r>
          </w:p>
        </w:tc>
        <w:tc>
          <w:tcPr>
            <w:tcW w:w="6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alibri" w:cs="Calibri" w:eastAsia="Calibri" w:hAnsi="Calibri"/>
                <w:sz w:val="14"/>
                <w:szCs w:val="14"/>
                <w:color w:val="51555C"/>
              </w:rPr>
              <w:t>2,594</w:t>
            </w:r>
          </w:p>
        </w:tc>
        <w:tc>
          <w:tcPr>
            <w:tcW w:w="4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alibri" w:cs="Calibri" w:eastAsia="Calibri" w:hAnsi="Calibri"/>
                <w:sz w:val="14"/>
                <w:szCs w:val="14"/>
                <w:color w:val="51555C"/>
              </w:rPr>
              <w:t>2,452</w:t>
            </w:r>
          </w:p>
        </w:tc>
        <w:tc>
          <w:tcPr>
            <w:tcW w:w="20" w:type="dxa"/>
            <w:vAlign w:val="bottom"/>
          </w:tcPr>
          <w:p>
            <w:pPr>
              <w:spacing w:after="0"/>
              <w:rPr>
                <w:sz w:val="14"/>
                <w:szCs w:val="14"/>
                <w:color w:val="auto"/>
              </w:rPr>
            </w:pPr>
          </w:p>
        </w:tc>
      </w:tr>
      <w:tr>
        <w:trPr>
          <w:trHeight w:val="40"/>
        </w:trPr>
        <w:tc>
          <w:tcPr>
            <w:tcW w:w="8220" w:type="dxa"/>
            <w:vAlign w:val="bottom"/>
          </w:tcPr>
          <w:p>
            <w:pPr>
              <w:spacing w:after="0"/>
              <w:rPr>
                <w:sz w:val="3"/>
                <w:szCs w:val="3"/>
                <w:color w:val="auto"/>
              </w:rPr>
            </w:pPr>
          </w:p>
        </w:tc>
        <w:tc>
          <w:tcPr>
            <w:tcW w:w="600" w:type="dxa"/>
            <w:vAlign w:val="bottom"/>
          </w:tcPr>
          <w:p>
            <w:pPr>
              <w:spacing w:after="0"/>
              <w:rPr>
                <w:sz w:val="3"/>
                <w:szCs w:val="3"/>
                <w:color w:val="auto"/>
              </w:rPr>
            </w:pPr>
          </w:p>
        </w:tc>
        <w:tc>
          <w:tcPr>
            <w:tcW w:w="9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92"/>
        </w:trPr>
        <w:tc>
          <w:tcPr>
            <w:tcW w:w="822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4"/>
                <w:szCs w:val="14"/>
                <w:color w:val="51555C"/>
              </w:rPr>
              <w:t>Accrued health care costs</w:t>
            </w:r>
          </w:p>
        </w:tc>
        <w:tc>
          <w:tcPr>
            <w:tcW w:w="600" w:type="dxa"/>
            <w:vAlign w:val="bottom"/>
            <w:tcBorders>
              <w:bottom w:val="single" w:sz="8" w:color="EBFBFF"/>
            </w:tcBorders>
            <w:shd w:val="clear" w:color="auto" w:fill="EBFBFF"/>
          </w:tcPr>
          <w:p>
            <w:pPr>
              <w:spacing w:after="0"/>
              <w:rPr>
                <w:sz w:val="16"/>
                <w:szCs w:val="16"/>
                <w:color w:val="auto"/>
              </w:rPr>
            </w:pPr>
          </w:p>
        </w:tc>
        <w:tc>
          <w:tcPr>
            <w:tcW w:w="9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2,230</w:t>
            </w:r>
          </w:p>
        </w:tc>
        <w:tc>
          <w:tcPr>
            <w:tcW w:w="460" w:type="dxa"/>
            <w:vAlign w:val="bottom"/>
            <w:tcBorders>
              <w:bottom w:val="single" w:sz="8" w:color="EBFBFF"/>
            </w:tcBorders>
            <w:shd w:val="clear" w:color="auto" w:fill="EBFBFF"/>
          </w:tcPr>
          <w:p>
            <w:pPr>
              <w:spacing w:after="0"/>
              <w:rPr>
                <w:sz w:val="16"/>
                <w:szCs w:val="16"/>
                <w:color w:val="auto"/>
              </w:rPr>
            </w:pPr>
          </w:p>
        </w:tc>
        <w:tc>
          <w:tcPr>
            <w:tcW w:w="10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3,865</w:t>
            </w:r>
          </w:p>
        </w:tc>
        <w:tc>
          <w:tcPr>
            <w:tcW w:w="20" w:type="dxa"/>
            <w:vAlign w:val="bottom"/>
          </w:tcPr>
          <w:p>
            <w:pPr>
              <w:spacing w:after="0"/>
              <w:rPr>
                <w:sz w:val="16"/>
                <w:szCs w:val="16"/>
                <w:color w:val="auto"/>
              </w:rPr>
            </w:pPr>
          </w:p>
        </w:tc>
      </w:tr>
      <w:tr>
        <w:trPr>
          <w:trHeight w:val="172"/>
        </w:trPr>
        <w:tc>
          <w:tcPr>
            <w:tcW w:w="8220" w:type="dxa"/>
            <w:vAlign w:val="bottom"/>
          </w:tcPr>
          <w:p>
            <w:pPr>
              <w:ind w:left="20"/>
              <w:spacing w:after="0"/>
              <w:rPr>
                <w:sz w:val="20"/>
                <w:szCs w:val="20"/>
                <w:color w:val="auto"/>
              </w:rPr>
            </w:pPr>
            <w:r>
              <w:rPr>
                <w:rFonts w:ascii="Calibri" w:cs="Calibri" w:eastAsia="Calibri" w:hAnsi="Calibri"/>
                <w:sz w:val="14"/>
                <w:szCs w:val="14"/>
                <w:color w:val="51555C"/>
              </w:rPr>
              <w:t>Accrued transacton-based costs related to payments services</w:t>
            </w:r>
          </w:p>
        </w:tc>
        <w:tc>
          <w:tcPr>
            <w:tcW w:w="6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alibri" w:cs="Calibri" w:eastAsia="Calibri" w:hAnsi="Calibri"/>
                <w:sz w:val="14"/>
                <w:szCs w:val="14"/>
                <w:color w:val="51555C"/>
              </w:rPr>
              <w:t>1,934</w:t>
            </w:r>
          </w:p>
        </w:tc>
        <w:tc>
          <w:tcPr>
            <w:tcW w:w="4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alibri" w:cs="Calibri" w:eastAsia="Calibri" w:hAnsi="Calibri"/>
                <w:sz w:val="14"/>
                <w:szCs w:val="14"/>
                <w:color w:val="51555C"/>
              </w:rPr>
              <w:t>4,323</w:t>
            </w:r>
          </w:p>
        </w:tc>
        <w:tc>
          <w:tcPr>
            <w:tcW w:w="20" w:type="dxa"/>
            <w:vAlign w:val="bottom"/>
          </w:tcPr>
          <w:p>
            <w:pPr>
              <w:spacing w:after="0"/>
              <w:rPr>
                <w:sz w:val="14"/>
                <w:szCs w:val="14"/>
                <w:color w:val="auto"/>
              </w:rPr>
            </w:pPr>
          </w:p>
        </w:tc>
      </w:tr>
      <w:tr>
        <w:trPr>
          <w:trHeight w:val="40"/>
        </w:trPr>
        <w:tc>
          <w:tcPr>
            <w:tcW w:w="8220" w:type="dxa"/>
            <w:vAlign w:val="bottom"/>
          </w:tcPr>
          <w:p>
            <w:pPr>
              <w:spacing w:after="0"/>
              <w:rPr>
                <w:sz w:val="3"/>
                <w:szCs w:val="3"/>
                <w:color w:val="auto"/>
              </w:rPr>
            </w:pPr>
          </w:p>
        </w:tc>
        <w:tc>
          <w:tcPr>
            <w:tcW w:w="600" w:type="dxa"/>
            <w:vAlign w:val="bottom"/>
          </w:tcPr>
          <w:p>
            <w:pPr>
              <w:spacing w:after="0"/>
              <w:rPr>
                <w:sz w:val="3"/>
                <w:szCs w:val="3"/>
                <w:color w:val="auto"/>
              </w:rPr>
            </w:pPr>
          </w:p>
        </w:tc>
        <w:tc>
          <w:tcPr>
            <w:tcW w:w="9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92"/>
        </w:trPr>
        <w:tc>
          <w:tcPr>
            <w:tcW w:w="822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4"/>
                <w:szCs w:val="14"/>
                <w:color w:val="51555C"/>
              </w:rPr>
              <w:t>Derivatve instruments</w:t>
            </w:r>
          </w:p>
        </w:tc>
        <w:tc>
          <w:tcPr>
            <w:tcW w:w="600" w:type="dxa"/>
            <w:vAlign w:val="bottom"/>
            <w:tcBorders>
              <w:bottom w:val="single" w:sz="8" w:color="EBFBFF"/>
            </w:tcBorders>
            <w:shd w:val="clear" w:color="auto" w:fill="EBFBFF"/>
          </w:tcPr>
          <w:p>
            <w:pPr>
              <w:spacing w:after="0"/>
              <w:rPr>
                <w:sz w:val="16"/>
                <w:szCs w:val="16"/>
                <w:color w:val="auto"/>
              </w:rPr>
            </w:pPr>
          </w:p>
        </w:tc>
        <w:tc>
          <w:tcPr>
            <w:tcW w:w="9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56</w:t>
            </w:r>
          </w:p>
        </w:tc>
        <w:tc>
          <w:tcPr>
            <w:tcW w:w="460" w:type="dxa"/>
            <w:vAlign w:val="bottom"/>
            <w:tcBorders>
              <w:bottom w:val="single" w:sz="8" w:color="EBFBFF"/>
            </w:tcBorders>
            <w:shd w:val="clear" w:color="auto" w:fill="EBFBFF"/>
          </w:tcPr>
          <w:p>
            <w:pPr>
              <w:spacing w:after="0"/>
              <w:rPr>
                <w:sz w:val="16"/>
                <w:szCs w:val="16"/>
                <w:color w:val="auto"/>
              </w:rPr>
            </w:pPr>
          </w:p>
        </w:tc>
        <w:tc>
          <w:tcPr>
            <w:tcW w:w="10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5,540</w:t>
            </w:r>
          </w:p>
        </w:tc>
        <w:tc>
          <w:tcPr>
            <w:tcW w:w="20" w:type="dxa"/>
            <w:vAlign w:val="bottom"/>
          </w:tcPr>
          <w:p>
            <w:pPr>
              <w:spacing w:after="0"/>
              <w:rPr>
                <w:sz w:val="16"/>
                <w:szCs w:val="16"/>
                <w:color w:val="auto"/>
              </w:rPr>
            </w:pPr>
          </w:p>
        </w:tc>
      </w:tr>
      <w:tr>
        <w:trPr>
          <w:trHeight w:val="214"/>
        </w:trPr>
        <w:tc>
          <w:tcPr>
            <w:tcW w:w="8220" w:type="dxa"/>
            <w:vAlign w:val="bottom"/>
          </w:tcPr>
          <w:p>
            <w:pPr>
              <w:ind w:left="20"/>
              <w:spacing w:after="0"/>
              <w:rPr>
                <w:sz w:val="20"/>
                <w:szCs w:val="20"/>
                <w:color w:val="auto"/>
              </w:rPr>
            </w:pPr>
            <w:r>
              <w:rPr>
                <w:rFonts w:ascii="Calibri" w:cs="Calibri" w:eastAsia="Calibri" w:hAnsi="Calibri"/>
                <w:sz w:val="14"/>
                <w:szCs w:val="14"/>
                <w:color w:val="51555C"/>
              </w:rPr>
              <w:t>Contngent consideraton liability</w:t>
            </w:r>
          </w:p>
        </w:tc>
        <w:tc>
          <w:tcPr>
            <w:tcW w:w="6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Calibri" w:cs="Calibri" w:eastAsia="Calibri" w:hAnsi="Calibri"/>
                <w:sz w:val="14"/>
                <w:szCs w:val="14"/>
                <w:color w:val="51555C"/>
              </w:rPr>
              <w:t>—</w:t>
            </w:r>
          </w:p>
        </w:tc>
        <w:tc>
          <w:tcPr>
            <w:tcW w:w="4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Calibri" w:cs="Calibri" w:eastAsia="Calibri" w:hAnsi="Calibri"/>
                <w:sz w:val="14"/>
                <w:szCs w:val="14"/>
                <w:color w:val="51555C"/>
              </w:rPr>
              <w:t>1,403</w:t>
            </w:r>
          </w:p>
        </w:tc>
        <w:tc>
          <w:tcPr>
            <w:tcW w:w="20" w:type="dxa"/>
            <w:vAlign w:val="bottom"/>
          </w:tcPr>
          <w:p>
            <w:pPr>
              <w:spacing w:after="0"/>
              <w:rPr>
                <w:sz w:val="18"/>
                <w:szCs w:val="18"/>
                <w:color w:val="auto"/>
              </w:rPr>
            </w:pPr>
          </w:p>
        </w:tc>
      </w:tr>
      <w:tr>
        <w:trPr>
          <w:trHeight w:val="40"/>
        </w:trPr>
        <w:tc>
          <w:tcPr>
            <w:tcW w:w="8220" w:type="dxa"/>
            <w:vAlign w:val="bottom"/>
          </w:tcPr>
          <w:p>
            <w:pPr>
              <w:spacing w:after="0"/>
              <w:rPr>
                <w:sz w:val="3"/>
                <w:szCs w:val="3"/>
                <w:color w:val="auto"/>
              </w:rPr>
            </w:pPr>
          </w:p>
        </w:tc>
        <w:tc>
          <w:tcPr>
            <w:tcW w:w="600" w:type="dxa"/>
            <w:vAlign w:val="bottom"/>
          </w:tcPr>
          <w:p>
            <w:pPr>
              <w:spacing w:after="0"/>
              <w:rPr>
                <w:sz w:val="3"/>
                <w:szCs w:val="3"/>
                <w:color w:val="auto"/>
              </w:rPr>
            </w:pPr>
          </w:p>
        </w:tc>
        <w:tc>
          <w:tcPr>
            <w:tcW w:w="9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12"/>
        </w:trPr>
        <w:tc>
          <w:tcPr>
            <w:tcW w:w="822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4"/>
                <w:szCs w:val="14"/>
                <w:color w:val="51555C"/>
              </w:rPr>
              <w:t>Other liabilites</w:t>
            </w:r>
          </w:p>
        </w:tc>
        <w:tc>
          <w:tcPr>
            <w:tcW w:w="600" w:type="dxa"/>
            <w:vAlign w:val="bottom"/>
            <w:tcBorders>
              <w:bottom w:val="single" w:sz="8" w:color="EBFBFF"/>
            </w:tcBorders>
            <w:shd w:val="clear" w:color="auto" w:fill="EBFBFF"/>
          </w:tcPr>
          <w:p>
            <w:pPr>
              <w:spacing w:after="0"/>
              <w:rPr>
                <w:sz w:val="18"/>
                <w:szCs w:val="18"/>
                <w:color w:val="auto"/>
              </w:rPr>
            </w:pPr>
          </w:p>
        </w:tc>
        <w:tc>
          <w:tcPr>
            <w:tcW w:w="9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12,816</w:t>
            </w:r>
          </w:p>
        </w:tc>
        <w:tc>
          <w:tcPr>
            <w:tcW w:w="460" w:type="dxa"/>
            <w:vAlign w:val="bottom"/>
            <w:tcBorders>
              <w:bottom w:val="single" w:sz="8" w:color="EBFBFF"/>
            </w:tcBorders>
            <w:shd w:val="clear" w:color="auto" w:fill="EBFBFF"/>
          </w:tcPr>
          <w:p>
            <w:pPr>
              <w:spacing w:after="0"/>
              <w:rPr>
                <w:sz w:val="18"/>
                <w:szCs w:val="18"/>
                <w:color w:val="auto"/>
              </w:rPr>
            </w:pPr>
          </w:p>
        </w:tc>
        <w:tc>
          <w:tcPr>
            <w:tcW w:w="10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10,704</w:t>
            </w:r>
          </w:p>
        </w:tc>
        <w:tc>
          <w:tcPr>
            <w:tcW w:w="20" w:type="dxa"/>
            <w:vAlign w:val="bottom"/>
          </w:tcPr>
          <w:p>
            <w:pPr>
              <w:spacing w:after="0"/>
              <w:rPr>
                <w:sz w:val="18"/>
                <w:szCs w:val="18"/>
                <w:color w:val="auto"/>
              </w:rPr>
            </w:pPr>
          </w:p>
        </w:tc>
      </w:tr>
      <w:tr>
        <w:trPr>
          <w:trHeight w:val="163"/>
        </w:trPr>
        <w:tc>
          <w:tcPr>
            <w:tcW w:w="8220" w:type="dxa"/>
            <w:vAlign w:val="bottom"/>
          </w:tcPr>
          <w:p>
            <w:pPr>
              <w:ind w:left="120"/>
              <w:spacing w:after="0" w:line="152" w:lineRule="exact"/>
              <w:rPr>
                <w:sz w:val="20"/>
                <w:szCs w:val="20"/>
                <w:color w:val="auto"/>
              </w:rPr>
            </w:pPr>
            <w:r>
              <w:rPr>
                <w:rFonts w:ascii="Calibri" w:cs="Calibri" w:eastAsia="Calibri" w:hAnsi="Calibri"/>
                <w:sz w:val="14"/>
                <w:szCs w:val="14"/>
                <w:color w:val="51555C"/>
              </w:rPr>
              <w:t>Total accrued expenses and other liabilites</w:t>
            </w:r>
          </w:p>
        </w:tc>
        <w:tc>
          <w:tcPr>
            <w:tcW w:w="600" w:type="dxa"/>
            <w:vAlign w:val="bottom"/>
            <w:tcBorders>
              <w:top w:val="single" w:sz="8" w:color="51555C"/>
            </w:tcBorders>
          </w:tcPr>
          <w:p>
            <w:pPr>
              <w:spacing w:after="0"/>
              <w:rPr>
                <w:sz w:val="14"/>
                <w:szCs w:val="14"/>
                <w:color w:val="auto"/>
              </w:rPr>
            </w:pPr>
          </w:p>
        </w:tc>
        <w:tc>
          <w:tcPr>
            <w:tcW w:w="940" w:type="dxa"/>
            <w:vAlign w:val="bottom"/>
            <w:tcBorders>
              <w:top w:val="single" w:sz="8" w:color="51555C"/>
            </w:tcBorders>
          </w:tcPr>
          <w:p>
            <w:pPr>
              <w:jc w:val="right"/>
              <w:spacing w:after="0" w:line="163" w:lineRule="exact"/>
              <w:rPr>
                <w:sz w:val="20"/>
                <w:szCs w:val="20"/>
                <w:color w:val="auto"/>
              </w:rPr>
            </w:pPr>
            <w:r>
              <w:rPr>
                <w:rFonts w:ascii="Calibri" w:cs="Calibri" w:eastAsia="Calibri" w:hAnsi="Calibri"/>
                <w:sz w:val="14"/>
                <w:szCs w:val="14"/>
                <w:color w:val="51555C"/>
              </w:rPr>
              <w:t>56,044</w:t>
            </w:r>
          </w:p>
        </w:tc>
        <w:tc>
          <w:tcPr>
            <w:tcW w:w="460" w:type="dxa"/>
            <w:vAlign w:val="bottom"/>
            <w:tcBorders>
              <w:top w:val="single" w:sz="8" w:color="51555C"/>
            </w:tcBorders>
          </w:tcPr>
          <w:p>
            <w:pPr>
              <w:spacing w:after="0"/>
              <w:rPr>
                <w:sz w:val="14"/>
                <w:szCs w:val="14"/>
                <w:color w:val="auto"/>
              </w:rPr>
            </w:pPr>
          </w:p>
        </w:tc>
        <w:tc>
          <w:tcPr>
            <w:tcW w:w="1060" w:type="dxa"/>
            <w:vAlign w:val="bottom"/>
            <w:tcBorders>
              <w:top w:val="single" w:sz="8" w:color="51555C"/>
            </w:tcBorders>
          </w:tcPr>
          <w:p>
            <w:pPr>
              <w:jc w:val="right"/>
              <w:spacing w:after="0" w:line="163" w:lineRule="exact"/>
              <w:rPr>
                <w:sz w:val="20"/>
                <w:szCs w:val="20"/>
                <w:color w:val="auto"/>
              </w:rPr>
            </w:pPr>
            <w:r>
              <w:rPr>
                <w:rFonts w:ascii="Calibri" w:cs="Calibri" w:eastAsia="Calibri" w:hAnsi="Calibri"/>
                <w:sz w:val="14"/>
                <w:szCs w:val="14"/>
                <w:color w:val="51555C"/>
              </w:rPr>
              <w:t>74,580</w:t>
            </w:r>
          </w:p>
        </w:tc>
        <w:tc>
          <w:tcPr>
            <w:tcW w:w="20" w:type="dxa"/>
            <w:vAlign w:val="bottom"/>
          </w:tcPr>
          <w:p>
            <w:pPr>
              <w:spacing w:after="0"/>
              <w:rPr>
                <w:sz w:val="14"/>
                <w:szCs w:val="14"/>
                <w:color w:val="auto"/>
              </w:rPr>
            </w:pPr>
          </w:p>
        </w:tc>
      </w:tr>
      <w:tr>
        <w:trPr>
          <w:trHeight w:val="40"/>
        </w:trPr>
        <w:tc>
          <w:tcPr>
            <w:tcW w:w="8220" w:type="dxa"/>
            <w:vAlign w:val="bottom"/>
          </w:tcPr>
          <w:p>
            <w:pPr>
              <w:spacing w:after="0"/>
              <w:rPr>
                <w:sz w:val="3"/>
                <w:szCs w:val="3"/>
                <w:color w:val="auto"/>
              </w:rPr>
            </w:pPr>
          </w:p>
        </w:tc>
        <w:tc>
          <w:tcPr>
            <w:tcW w:w="600" w:type="dxa"/>
            <w:vAlign w:val="bottom"/>
          </w:tcPr>
          <w:p>
            <w:pPr>
              <w:spacing w:after="0"/>
              <w:rPr>
                <w:sz w:val="3"/>
                <w:szCs w:val="3"/>
                <w:color w:val="auto"/>
              </w:rPr>
            </w:pPr>
          </w:p>
        </w:tc>
        <w:tc>
          <w:tcPr>
            <w:tcW w:w="9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12"/>
        </w:trPr>
        <w:tc>
          <w:tcPr>
            <w:tcW w:w="822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4"/>
                <w:szCs w:val="14"/>
                <w:color w:val="51555C"/>
              </w:rPr>
              <w:t>Less: Long-term porton</w:t>
            </w:r>
          </w:p>
        </w:tc>
        <w:tc>
          <w:tcPr>
            <w:tcW w:w="600" w:type="dxa"/>
            <w:vAlign w:val="bottom"/>
            <w:tcBorders>
              <w:bottom w:val="single" w:sz="8" w:color="EBFBFF"/>
            </w:tcBorders>
            <w:shd w:val="clear" w:color="auto" w:fill="EBFBFF"/>
          </w:tcPr>
          <w:p>
            <w:pPr>
              <w:spacing w:after="0"/>
              <w:rPr>
                <w:sz w:val="18"/>
                <w:szCs w:val="18"/>
                <w:color w:val="auto"/>
              </w:rPr>
            </w:pPr>
          </w:p>
        </w:tc>
        <w:tc>
          <w:tcPr>
            <w:tcW w:w="9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4,362</w:t>
            </w:r>
          </w:p>
        </w:tc>
        <w:tc>
          <w:tcPr>
            <w:tcW w:w="460" w:type="dxa"/>
            <w:vAlign w:val="bottom"/>
            <w:tcBorders>
              <w:bottom w:val="single" w:sz="8" w:color="EBFBFF"/>
            </w:tcBorders>
            <w:shd w:val="clear" w:color="auto" w:fill="EBFBFF"/>
          </w:tcPr>
          <w:p>
            <w:pPr>
              <w:spacing w:after="0"/>
              <w:rPr>
                <w:sz w:val="18"/>
                <w:szCs w:val="18"/>
                <w:color w:val="auto"/>
              </w:rPr>
            </w:pPr>
          </w:p>
        </w:tc>
        <w:tc>
          <w:tcPr>
            <w:tcW w:w="10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10,258</w:t>
            </w:r>
          </w:p>
        </w:tc>
        <w:tc>
          <w:tcPr>
            <w:tcW w:w="20" w:type="dxa"/>
            <w:vAlign w:val="bottom"/>
          </w:tcPr>
          <w:p>
            <w:pPr>
              <w:spacing w:after="0"/>
              <w:rPr>
                <w:sz w:val="18"/>
                <w:szCs w:val="18"/>
                <w:color w:val="auto"/>
              </w:rPr>
            </w:pPr>
          </w:p>
        </w:tc>
      </w:tr>
      <w:tr>
        <w:trPr>
          <w:trHeight w:val="163"/>
        </w:trPr>
        <w:tc>
          <w:tcPr>
            <w:tcW w:w="8220" w:type="dxa"/>
            <w:vAlign w:val="bottom"/>
          </w:tcPr>
          <w:p>
            <w:pPr>
              <w:ind w:left="20"/>
              <w:spacing w:after="0" w:line="152" w:lineRule="exact"/>
              <w:rPr>
                <w:sz w:val="20"/>
                <w:szCs w:val="20"/>
                <w:color w:val="auto"/>
              </w:rPr>
            </w:pPr>
            <w:r>
              <w:rPr>
                <w:rFonts w:ascii="Calibri" w:cs="Calibri" w:eastAsia="Calibri" w:hAnsi="Calibri"/>
                <w:sz w:val="14"/>
                <w:szCs w:val="14"/>
                <w:color w:val="51555C"/>
              </w:rPr>
              <w:t>Accrued expenses and other current liabilites</w:t>
            </w:r>
          </w:p>
        </w:tc>
        <w:tc>
          <w:tcPr>
            <w:tcW w:w="600" w:type="dxa"/>
            <w:vAlign w:val="bottom"/>
            <w:tcBorders>
              <w:top w:val="single" w:sz="8" w:color="51555C"/>
            </w:tcBorders>
          </w:tcPr>
          <w:p>
            <w:pPr>
              <w:jc w:val="right"/>
              <w:ind w:right="429"/>
              <w:spacing w:after="0" w:line="163" w:lineRule="exact"/>
              <w:rPr>
                <w:sz w:val="20"/>
                <w:szCs w:val="20"/>
                <w:color w:val="auto"/>
              </w:rPr>
            </w:pPr>
            <w:r>
              <w:rPr>
                <w:rFonts w:ascii="Calibri" w:cs="Calibri" w:eastAsia="Calibri" w:hAnsi="Calibri"/>
                <w:sz w:val="14"/>
                <w:szCs w:val="14"/>
                <w:color w:val="51555C"/>
              </w:rPr>
              <w:t>$</w:t>
            </w:r>
          </w:p>
        </w:tc>
        <w:tc>
          <w:tcPr>
            <w:tcW w:w="940" w:type="dxa"/>
            <w:vAlign w:val="bottom"/>
            <w:tcBorders>
              <w:top w:val="single" w:sz="8" w:color="51555C"/>
            </w:tcBorders>
          </w:tcPr>
          <w:p>
            <w:pPr>
              <w:jc w:val="right"/>
              <w:spacing w:after="0" w:line="163" w:lineRule="exact"/>
              <w:rPr>
                <w:sz w:val="20"/>
                <w:szCs w:val="20"/>
                <w:color w:val="auto"/>
              </w:rPr>
            </w:pPr>
            <w:r>
              <w:rPr>
                <w:rFonts w:ascii="Calibri" w:cs="Calibri" w:eastAsia="Calibri" w:hAnsi="Calibri"/>
                <w:sz w:val="14"/>
                <w:szCs w:val="14"/>
                <w:color w:val="51555C"/>
              </w:rPr>
              <w:t>51,682</w:t>
            </w:r>
          </w:p>
        </w:tc>
        <w:tc>
          <w:tcPr>
            <w:tcW w:w="460" w:type="dxa"/>
            <w:vAlign w:val="bottom"/>
            <w:tcBorders>
              <w:top w:val="single" w:sz="8" w:color="51555C"/>
            </w:tcBorders>
          </w:tcPr>
          <w:p>
            <w:pPr>
              <w:jc w:val="right"/>
              <w:ind w:right="309"/>
              <w:spacing w:after="0" w:line="163" w:lineRule="exact"/>
              <w:rPr>
                <w:sz w:val="20"/>
                <w:szCs w:val="20"/>
                <w:color w:val="auto"/>
              </w:rPr>
            </w:pPr>
            <w:r>
              <w:rPr>
                <w:rFonts w:ascii="Calibri" w:cs="Calibri" w:eastAsia="Calibri" w:hAnsi="Calibri"/>
                <w:sz w:val="14"/>
                <w:szCs w:val="14"/>
                <w:color w:val="51555C"/>
                <w:w w:val="83"/>
              </w:rPr>
              <w:t>$</w:t>
            </w:r>
          </w:p>
        </w:tc>
        <w:tc>
          <w:tcPr>
            <w:tcW w:w="1060" w:type="dxa"/>
            <w:vAlign w:val="bottom"/>
            <w:tcBorders>
              <w:top w:val="single" w:sz="8" w:color="51555C"/>
            </w:tcBorders>
          </w:tcPr>
          <w:p>
            <w:pPr>
              <w:jc w:val="right"/>
              <w:spacing w:after="0" w:line="163" w:lineRule="exact"/>
              <w:rPr>
                <w:sz w:val="20"/>
                <w:szCs w:val="20"/>
                <w:color w:val="auto"/>
              </w:rPr>
            </w:pPr>
            <w:r>
              <w:rPr>
                <w:rFonts w:ascii="Calibri" w:cs="Calibri" w:eastAsia="Calibri" w:hAnsi="Calibri"/>
                <w:sz w:val="14"/>
                <w:szCs w:val="14"/>
                <w:color w:val="51555C"/>
              </w:rPr>
              <w:t>64,322</w:t>
            </w:r>
          </w:p>
        </w:tc>
        <w:tc>
          <w:tcPr>
            <w:tcW w:w="20" w:type="dxa"/>
            <w:vAlign w:val="bottom"/>
          </w:tcPr>
          <w:p>
            <w:pPr>
              <w:spacing w:after="0"/>
              <w:rPr>
                <w:sz w:val="14"/>
                <w:szCs w:val="14"/>
                <w:color w:val="auto"/>
              </w:rPr>
            </w:pPr>
          </w:p>
        </w:tc>
      </w:tr>
      <w:tr>
        <w:trPr>
          <w:trHeight w:val="40"/>
        </w:trPr>
        <w:tc>
          <w:tcPr>
            <w:tcW w:w="8220" w:type="dxa"/>
            <w:vAlign w:val="bottom"/>
            <w:tcBorders>
              <w:bottom w:val="single" w:sz="8" w:color="0CD973"/>
            </w:tcBorders>
          </w:tcPr>
          <w:p>
            <w:pPr>
              <w:spacing w:after="0"/>
              <w:rPr>
                <w:sz w:val="3"/>
                <w:szCs w:val="3"/>
                <w:color w:val="auto"/>
              </w:rPr>
            </w:pPr>
          </w:p>
        </w:tc>
        <w:tc>
          <w:tcPr>
            <w:tcW w:w="600" w:type="dxa"/>
            <w:vAlign w:val="bottom"/>
            <w:tcBorders>
              <w:bottom w:val="single" w:sz="8" w:color="0CD973"/>
            </w:tcBorders>
          </w:tcPr>
          <w:p>
            <w:pPr>
              <w:spacing w:after="0"/>
              <w:rPr>
                <w:sz w:val="3"/>
                <w:szCs w:val="3"/>
                <w:color w:val="auto"/>
              </w:rPr>
            </w:pPr>
          </w:p>
        </w:tc>
        <w:tc>
          <w:tcPr>
            <w:tcW w:w="940" w:type="dxa"/>
            <w:vAlign w:val="bottom"/>
            <w:tcBorders>
              <w:bottom w:val="single" w:sz="8" w:color="0CD973"/>
            </w:tcBorders>
          </w:tcPr>
          <w:p>
            <w:pPr>
              <w:spacing w:after="0"/>
              <w:rPr>
                <w:sz w:val="3"/>
                <w:szCs w:val="3"/>
                <w:color w:val="auto"/>
              </w:rPr>
            </w:pPr>
          </w:p>
        </w:tc>
        <w:tc>
          <w:tcPr>
            <w:tcW w:w="460" w:type="dxa"/>
            <w:vAlign w:val="bottom"/>
            <w:tcBorders>
              <w:bottom w:val="single" w:sz="8" w:color="0CD973"/>
            </w:tcBorders>
          </w:tcPr>
          <w:p>
            <w:pPr>
              <w:spacing w:after="0"/>
              <w:rPr>
                <w:sz w:val="3"/>
                <w:szCs w:val="3"/>
                <w:color w:val="auto"/>
              </w:rPr>
            </w:pPr>
          </w:p>
        </w:tc>
        <w:tc>
          <w:tcPr>
            <w:tcW w:w="1060" w:type="dxa"/>
            <w:vAlign w:val="bottom"/>
            <w:tcBorders>
              <w:bottom w:val="single" w:sz="8" w:color="0CD973"/>
            </w:tcBorders>
          </w:tcPr>
          <w:p>
            <w:pPr>
              <w:spacing w:after="0"/>
              <w:rPr>
                <w:sz w:val="3"/>
                <w:szCs w:val="3"/>
                <w:color w:val="auto"/>
              </w:rPr>
            </w:pPr>
          </w:p>
        </w:tc>
        <w:tc>
          <w:tcPr>
            <w:tcW w:w="20" w:type="dxa"/>
            <w:vAlign w:val="bottom"/>
          </w:tcPr>
          <w:p>
            <w:pPr>
              <w:spacing w:after="0"/>
              <w:rPr>
                <w:sz w:val="3"/>
                <w:szCs w:val="3"/>
                <w:color w:val="auto"/>
              </w:rPr>
            </w:pPr>
          </w:p>
        </w:tc>
      </w:tr>
    </w:tbl>
    <w:p>
      <w:pPr>
        <w:spacing w:after="0" w:line="52" w:lineRule="exact"/>
        <w:rPr>
          <w:sz w:val="20"/>
          <w:szCs w:val="20"/>
          <w:color w:val="auto"/>
        </w:rPr>
      </w:pPr>
    </w:p>
    <w:p>
      <w:pPr>
        <w:ind w:left="260" w:hanging="255"/>
        <w:spacing w:after="0"/>
        <w:tabs>
          <w:tab w:leader="none" w:pos="260" w:val="left"/>
        </w:tabs>
        <w:numPr>
          <w:ilvl w:val="0"/>
          <w:numId w:val="7"/>
        </w:numPr>
        <w:rPr>
          <w:rFonts w:ascii="Calibri" w:cs="Calibri" w:eastAsia="Calibri" w:hAnsi="Calibri"/>
          <w:sz w:val="11"/>
          <w:szCs w:val="11"/>
          <w:color w:val="51555C"/>
        </w:rPr>
      </w:pPr>
      <w:r>
        <w:rPr>
          <w:rFonts w:ascii="Calibri" w:cs="Calibri" w:eastAsia="Calibri" w:hAnsi="Calibri"/>
          <w:sz w:val="11"/>
          <w:szCs w:val="11"/>
          <w:color w:val="51555C"/>
        </w:rPr>
        <w:t>All accrued legal costs are classifed as current. See Note 9 to these unaudited, condensed consolidated fnancial statements for additonal informaton about our loss contngency accruals and other legal expenses.</w:t>
      </w:r>
    </w:p>
    <w:p>
      <w:pPr>
        <w:spacing w:after="0" w:line="272" w:lineRule="exact"/>
        <w:rPr>
          <w:sz w:val="20"/>
          <w:szCs w:val="20"/>
          <w:color w:val="auto"/>
        </w:rPr>
      </w:pPr>
    </w:p>
    <w:p>
      <w:pPr>
        <w:ind w:left="20"/>
        <w:spacing w:after="0"/>
        <w:tabs>
          <w:tab w:leader="none" w:pos="589" w:val="left"/>
        </w:tabs>
        <w:rPr>
          <w:sz w:val="20"/>
          <w:szCs w:val="20"/>
          <w:color w:val="auto"/>
        </w:rPr>
      </w:pPr>
      <w:r>
        <w:rPr>
          <w:rFonts w:ascii="Calibri" w:cs="Calibri" w:eastAsia="Calibri" w:hAnsi="Calibri"/>
          <w:sz w:val="11"/>
          <w:szCs w:val="11"/>
          <w:color w:val="51555C"/>
        </w:rPr>
        <w:t>12</w:t>
      </w:r>
      <w:r>
        <w:rPr>
          <w:sz w:val="20"/>
          <w:szCs w:val="20"/>
          <w:color w:val="auto"/>
        </w:rPr>
        <w:tab/>
      </w:r>
      <w:r>
        <w:rPr>
          <w:sz w:val="1"/>
          <w:szCs w:val="1"/>
          <w:color w:val="auto"/>
        </w:rPr>
        <w:drawing>
          <wp:inline distT="0" distB="0" distL="0" distR="0">
            <wp:extent cx="511810" cy="134620"/>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1810" cy="134620"/>
                    </a:xfrm>
                    <a:prstGeom prst="rect">
                      <a:avLst/>
                    </a:prstGeom>
                    <a:noFill/>
                    <a:ln>
                      <a:noFill/>
                    </a:ln>
                  </pic:spPr>
                </pic:pic>
              </a:graphicData>
            </a:graphic>
          </wp:inline>
        </w:drawing>
      </w:r>
      <w:r>
        <w:rPr>
          <w:rFonts w:ascii="Calibri" w:cs="Calibri" w:eastAsia="Calibri" w:hAnsi="Calibri"/>
          <w:sz w:val="11"/>
          <w:szCs w:val="11"/>
          <w:color w:val="51555C"/>
        </w:rPr>
        <w:t xml:space="preserve">    Second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135255</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13" w:name="page14"/>
    <w:bookmarkEnd w:id="13"/>
    <w:p>
      <w:pPr>
        <w:spacing w:after="0"/>
        <w:rPr>
          <w:sz w:val="20"/>
          <w:szCs w:val="20"/>
          <w:color w:val="auto"/>
        </w:rPr>
      </w:pPr>
      <w:r>
        <w:rPr>
          <w:rFonts w:ascii="Calibri" w:cs="Calibri" w:eastAsia="Calibri" w:hAnsi="Calibri"/>
          <w:sz w:val="11"/>
          <w:szCs w:val="11"/>
          <w:u w:val="single" w:color="auto"/>
          <w:color w:val="7A04DD"/>
        </w:rPr>
        <w:t>Table of Contents</w:t>
      </w:r>
    </w:p>
    <w:p>
      <w:pPr>
        <w:spacing w:after="0" w:line="196" w:lineRule="exact"/>
        <w:rPr>
          <w:sz w:val="20"/>
          <w:szCs w:val="20"/>
          <w:color w:val="auto"/>
        </w:rPr>
      </w:pPr>
    </w:p>
    <w:p>
      <w:pPr>
        <w:jc w:val="center"/>
        <w:ind w:right="20"/>
        <w:spacing w:after="0"/>
        <w:rPr>
          <w:sz w:val="20"/>
          <w:szCs w:val="20"/>
          <w:color w:val="auto"/>
        </w:rPr>
      </w:pPr>
      <w:r>
        <w:rPr>
          <w:rFonts w:ascii="Calibri" w:cs="Calibri" w:eastAsia="Calibri" w:hAnsi="Calibri"/>
          <w:sz w:val="14"/>
          <w:szCs w:val="14"/>
          <w:b w:val="1"/>
          <w:bCs w:val="1"/>
          <w:color w:val="51555C"/>
        </w:rPr>
        <w:t>Blackbaud, Inc.</w:t>
      </w:r>
    </w:p>
    <w:p>
      <w:pPr>
        <w:jc w:val="center"/>
        <w:ind w:right="20"/>
        <w:spacing w:after="0" w:line="238" w:lineRule="auto"/>
        <w:rPr>
          <w:sz w:val="20"/>
          <w:szCs w:val="20"/>
          <w:color w:val="auto"/>
        </w:rPr>
      </w:pPr>
      <w:r>
        <w:rPr>
          <w:rFonts w:ascii="Calibri" w:cs="Calibri" w:eastAsia="Calibri" w:hAnsi="Calibri"/>
          <w:sz w:val="14"/>
          <w:szCs w:val="14"/>
          <w:b w:val="1"/>
          <w:bCs w:val="1"/>
          <w:color w:val="51555C"/>
        </w:rPr>
        <w:t>Notes to Condensed Consolidated Financial Statements</w:t>
      </w:r>
    </w:p>
    <w:p>
      <w:pPr>
        <w:jc w:val="center"/>
        <w:ind w:right="20"/>
        <w:spacing w:after="0"/>
        <w:rPr>
          <w:sz w:val="20"/>
          <w:szCs w:val="20"/>
          <w:color w:val="auto"/>
        </w:rPr>
      </w:pPr>
      <w:r>
        <w:rPr>
          <w:rFonts w:ascii="Calibri" w:cs="Calibri" w:eastAsia="Calibri" w:hAnsi="Calibri"/>
          <w:sz w:val="14"/>
          <w:szCs w:val="14"/>
          <w:b w:val="1"/>
          <w:bCs w:val="1"/>
          <w:color w:val="51555C"/>
        </w:rPr>
        <w:t>(Unaudited)</w:t>
      </w:r>
    </w:p>
    <w:p>
      <w:pPr>
        <w:spacing w:after="0" w:line="200" w:lineRule="exact"/>
        <w:rPr>
          <w:sz w:val="20"/>
          <w:szCs w:val="20"/>
          <w:color w:val="auto"/>
        </w:rPr>
      </w:pPr>
    </w:p>
    <w:p>
      <w:pPr>
        <w:spacing w:after="0" w:line="244" w:lineRule="exact"/>
        <w:rPr>
          <w:sz w:val="20"/>
          <w:szCs w:val="20"/>
          <w:color w:val="auto"/>
        </w:rPr>
      </w:pPr>
    </w:p>
    <w:p>
      <w:pPr>
        <w:ind w:left="520"/>
        <w:spacing w:after="0"/>
        <w:rPr>
          <w:sz w:val="20"/>
          <w:szCs w:val="20"/>
          <w:color w:val="auto"/>
        </w:rPr>
      </w:pPr>
      <w:r>
        <w:rPr>
          <w:rFonts w:ascii="Calibri" w:cs="Calibri" w:eastAsia="Calibri" w:hAnsi="Calibri"/>
          <w:sz w:val="14"/>
          <w:szCs w:val="14"/>
          <w:b w:val="1"/>
          <w:bCs w:val="1"/>
          <w:color w:val="51555C"/>
        </w:rPr>
        <w:t>Other income, net</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5060" w:type="dxa"/>
            <w:vAlign w:val="bottom"/>
            <w:shd w:val="clear" w:color="auto" w:fill="004054"/>
          </w:tcPr>
          <w:p>
            <w:pPr>
              <w:spacing w:after="0"/>
              <w:rPr>
                <w:sz w:val="12"/>
                <w:szCs w:val="12"/>
                <w:color w:val="auto"/>
              </w:rPr>
            </w:pPr>
          </w:p>
        </w:tc>
        <w:tc>
          <w:tcPr>
            <w:tcW w:w="620" w:type="dxa"/>
            <w:vAlign w:val="bottom"/>
            <w:shd w:val="clear" w:color="auto" w:fill="004054"/>
          </w:tcPr>
          <w:p>
            <w:pPr>
              <w:spacing w:after="0"/>
              <w:rPr>
                <w:sz w:val="12"/>
                <w:szCs w:val="12"/>
                <w:color w:val="auto"/>
              </w:rPr>
            </w:pPr>
          </w:p>
        </w:tc>
        <w:tc>
          <w:tcPr>
            <w:tcW w:w="920" w:type="dxa"/>
            <w:vAlign w:val="bottom"/>
            <w:shd w:val="clear" w:color="auto" w:fill="004054"/>
          </w:tcPr>
          <w:p>
            <w:pPr>
              <w:spacing w:after="0"/>
              <w:rPr>
                <w:sz w:val="12"/>
                <w:szCs w:val="12"/>
                <w:color w:val="auto"/>
              </w:rPr>
            </w:pPr>
          </w:p>
        </w:tc>
        <w:tc>
          <w:tcPr>
            <w:tcW w:w="300" w:type="dxa"/>
            <w:vAlign w:val="bottom"/>
            <w:shd w:val="clear" w:color="auto" w:fill="004054"/>
          </w:tcPr>
          <w:p>
            <w:pPr>
              <w:spacing w:after="0"/>
              <w:rPr>
                <w:sz w:val="12"/>
                <w:szCs w:val="12"/>
                <w:color w:val="auto"/>
              </w:rPr>
            </w:pPr>
          </w:p>
        </w:tc>
        <w:tc>
          <w:tcPr>
            <w:tcW w:w="1240" w:type="dxa"/>
            <w:vAlign w:val="bottom"/>
            <w:tcBorders>
              <w:right w:val="single" w:sz="8" w:color="004054"/>
            </w:tcBorders>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Three months ended</w:t>
            </w:r>
          </w:p>
        </w:tc>
        <w:tc>
          <w:tcPr>
            <w:tcW w:w="80" w:type="dxa"/>
            <w:vAlign w:val="bottom"/>
          </w:tcPr>
          <w:p>
            <w:pPr>
              <w:spacing w:after="0"/>
              <w:rPr>
                <w:sz w:val="12"/>
                <w:szCs w:val="12"/>
                <w:color w:val="auto"/>
              </w:rPr>
            </w:pPr>
          </w:p>
        </w:tc>
        <w:tc>
          <w:tcPr>
            <w:tcW w:w="620" w:type="dxa"/>
            <w:vAlign w:val="bottom"/>
            <w:shd w:val="clear" w:color="auto" w:fill="004054"/>
          </w:tcPr>
          <w:p>
            <w:pPr>
              <w:spacing w:after="0"/>
              <w:rPr>
                <w:sz w:val="12"/>
                <w:szCs w:val="12"/>
                <w:color w:val="auto"/>
              </w:rPr>
            </w:pPr>
          </w:p>
        </w:tc>
        <w:tc>
          <w:tcPr>
            <w:tcW w:w="900" w:type="dxa"/>
            <w:vAlign w:val="bottom"/>
            <w:shd w:val="clear" w:color="auto" w:fill="004054"/>
          </w:tcPr>
          <w:p>
            <w:pPr>
              <w:spacing w:after="0"/>
              <w:rPr>
                <w:sz w:val="12"/>
                <w:szCs w:val="12"/>
                <w:color w:val="auto"/>
              </w:rPr>
            </w:pPr>
          </w:p>
        </w:tc>
        <w:tc>
          <w:tcPr>
            <w:tcW w:w="400" w:type="dxa"/>
            <w:vAlign w:val="bottom"/>
            <w:shd w:val="clear" w:color="auto" w:fill="004054"/>
          </w:tcPr>
          <w:p>
            <w:pPr>
              <w:spacing w:after="0"/>
              <w:rPr>
                <w:sz w:val="12"/>
                <w:szCs w:val="12"/>
                <w:color w:val="auto"/>
              </w:rPr>
            </w:pPr>
          </w:p>
        </w:tc>
        <w:tc>
          <w:tcPr>
            <w:tcW w:w="114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Six months ended</w:t>
            </w:r>
          </w:p>
        </w:tc>
        <w:tc>
          <w:tcPr>
            <w:tcW w:w="20" w:type="dxa"/>
            <w:vAlign w:val="bottom"/>
            <w:shd w:val="clear" w:color="auto" w:fill="004054"/>
          </w:tcPr>
          <w:p>
            <w:pPr>
              <w:spacing w:after="0"/>
              <w:rPr>
                <w:sz w:val="12"/>
                <w:szCs w:val="12"/>
                <w:color w:val="auto"/>
              </w:rPr>
            </w:pPr>
          </w:p>
        </w:tc>
      </w:tr>
      <w:tr>
        <w:trPr>
          <w:trHeight w:val="135"/>
        </w:trPr>
        <w:tc>
          <w:tcPr>
            <w:tcW w:w="5060" w:type="dxa"/>
            <w:vAlign w:val="bottom"/>
            <w:shd w:val="clear" w:color="auto" w:fill="004054"/>
          </w:tcPr>
          <w:p>
            <w:pPr>
              <w:spacing w:after="0"/>
              <w:rPr>
                <w:sz w:val="11"/>
                <w:szCs w:val="11"/>
                <w:color w:val="auto"/>
              </w:rPr>
            </w:pPr>
          </w:p>
        </w:tc>
        <w:tc>
          <w:tcPr>
            <w:tcW w:w="620" w:type="dxa"/>
            <w:vAlign w:val="bottom"/>
            <w:shd w:val="clear" w:color="auto" w:fill="004054"/>
          </w:tcPr>
          <w:p>
            <w:pPr>
              <w:spacing w:after="0"/>
              <w:rPr>
                <w:sz w:val="11"/>
                <w:szCs w:val="11"/>
                <w:color w:val="auto"/>
              </w:rPr>
            </w:pPr>
          </w:p>
        </w:tc>
        <w:tc>
          <w:tcPr>
            <w:tcW w:w="920" w:type="dxa"/>
            <w:vAlign w:val="bottom"/>
            <w:shd w:val="clear" w:color="auto" w:fill="004054"/>
          </w:tcPr>
          <w:p>
            <w:pPr>
              <w:spacing w:after="0"/>
              <w:rPr>
                <w:sz w:val="11"/>
                <w:szCs w:val="11"/>
                <w:color w:val="auto"/>
              </w:rPr>
            </w:pPr>
          </w:p>
        </w:tc>
        <w:tc>
          <w:tcPr>
            <w:tcW w:w="300" w:type="dxa"/>
            <w:vAlign w:val="bottom"/>
            <w:shd w:val="clear" w:color="auto" w:fill="004054"/>
          </w:tcPr>
          <w:p>
            <w:pPr>
              <w:spacing w:after="0"/>
              <w:rPr>
                <w:sz w:val="11"/>
                <w:szCs w:val="11"/>
                <w:color w:val="auto"/>
              </w:rPr>
            </w:pPr>
          </w:p>
        </w:tc>
        <w:tc>
          <w:tcPr>
            <w:tcW w:w="1240" w:type="dxa"/>
            <w:vAlign w:val="bottom"/>
            <w:tcBorders>
              <w:right w:val="single" w:sz="8" w:color="004054"/>
            </w:tcBorders>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June 30,</w:t>
            </w:r>
          </w:p>
        </w:tc>
        <w:tc>
          <w:tcPr>
            <w:tcW w:w="80" w:type="dxa"/>
            <w:vAlign w:val="bottom"/>
          </w:tcPr>
          <w:p>
            <w:pPr>
              <w:spacing w:after="0"/>
              <w:rPr>
                <w:sz w:val="11"/>
                <w:szCs w:val="11"/>
                <w:color w:val="auto"/>
              </w:rPr>
            </w:pPr>
          </w:p>
        </w:tc>
        <w:tc>
          <w:tcPr>
            <w:tcW w:w="620" w:type="dxa"/>
            <w:vAlign w:val="bottom"/>
            <w:shd w:val="clear" w:color="auto" w:fill="004054"/>
          </w:tcPr>
          <w:p>
            <w:pPr>
              <w:spacing w:after="0"/>
              <w:rPr>
                <w:sz w:val="11"/>
                <w:szCs w:val="11"/>
                <w:color w:val="auto"/>
              </w:rPr>
            </w:pPr>
          </w:p>
        </w:tc>
        <w:tc>
          <w:tcPr>
            <w:tcW w:w="900" w:type="dxa"/>
            <w:vAlign w:val="bottom"/>
            <w:shd w:val="clear" w:color="auto" w:fill="004054"/>
          </w:tcPr>
          <w:p>
            <w:pPr>
              <w:spacing w:after="0"/>
              <w:rPr>
                <w:sz w:val="11"/>
                <w:szCs w:val="11"/>
                <w:color w:val="auto"/>
              </w:rPr>
            </w:pPr>
          </w:p>
        </w:tc>
        <w:tc>
          <w:tcPr>
            <w:tcW w:w="400" w:type="dxa"/>
            <w:vAlign w:val="bottom"/>
            <w:shd w:val="clear" w:color="auto" w:fill="004054"/>
          </w:tcPr>
          <w:p>
            <w:pPr>
              <w:spacing w:after="0"/>
              <w:rPr>
                <w:sz w:val="11"/>
                <w:szCs w:val="11"/>
                <w:color w:val="auto"/>
              </w:rPr>
            </w:pPr>
          </w:p>
        </w:tc>
        <w:tc>
          <w:tcPr>
            <w:tcW w:w="1140" w:type="dxa"/>
            <w:vAlign w:val="bottom"/>
            <w:shd w:val="clear" w:color="auto" w:fill="004054"/>
          </w:tcPr>
          <w:p>
            <w:pPr>
              <w:jc w:val="center"/>
              <w:ind w:left="655"/>
              <w:spacing w:after="0"/>
              <w:rPr>
                <w:sz w:val="20"/>
                <w:szCs w:val="20"/>
                <w:color w:val="auto"/>
              </w:rPr>
            </w:pPr>
            <w:r>
              <w:rPr>
                <w:rFonts w:ascii="Calibri" w:cs="Calibri" w:eastAsia="Calibri" w:hAnsi="Calibri"/>
                <w:sz w:val="11"/>
                <w:szCs w:val="11"/>
                <w:b w:val="1"/>
                <w:bCs w:val="1"/>
                <w:color w:val="FFFFFF"/>
              </w:rPr>
              <w:t>June 30,</w:t>
            </w:r>
          </w:p>
        </w:tc>
        <w:tc>
          <w:tcPr>
            <w:tcW w:w="20" w:type="dxa"/>
            <w:vAlign w:val="bottom"/>
            <w:shd w:val="clear" w:color="auto" w:fill="004054"/>
          </w:tcPr>
          <w:p>
            <w:pPr>
              <w:spacing w:after="0"/>
              <w:rPr>
                <w:sz w:val="11"/>
                <w:szCs w:val="11"/>
                <w:color w:val="auto"/>
              </w:rPr>
            </w:pPr>
          </w:p>
        </w:tc>
      </w:tr>
      <w:tr>
        <w:trPr>
          <w:trHeight w:val="191"/>
        </w:trPr>
        <w:tc>
          <w:tcPr>
            <w:tcW w:w="5060" w:type="dxa"/>
            <w:vAlign w:val="bottom"/>
            <w:shd w:val="clear" w:color="auto" w:fill="004054"/>
          </w:tcPr>
          <w:p>
            <w:pPr>
              <w:ind w:left="20"/>
              <w:spacing w:after="0"/>
              <w:rPr>
                <w:sz w:val="20"/>
                <w:szCs w:val="20"/>
                <w:color w:val="auto"/>
              </w:rPr>
            </w:pPr>
            <w:r>
              <w:rPr>
                <w:rFonts w:ascii="Calibri" w:cs="Calibri" w:eastAsia="Calibri" w:hAnsi="Calibri"/>
                <w:sz w:val="11"/>
                <w:szCs w:val="11"/>
                <w:b w:val="1"/>
                <w:bCs w:val="1"/>
                <w:color w:val="FFFFFF"/>
              </w:rPr>
              <w:t>(dollars in thousands)</w:t>
            </w:r>
          </w:p>
        </w:tc>
        <w:tc>
          <w:tcPr>
            <w:tcW w:w="620" w:type="dxa"/>
            <w:vAlign w:val="bottom"/>
            <w:shd w:val="clear" w:color="auto" w:fill="004054"/>
          </w:tcPr>
          <w:p>
            <w:pPr>
              <w:spacing w:after="0"/>
              <w:rPr>
                <w:sz w:val="16"/>
                <w:szCs w:val="16"/>
                <w:color w:val="auto"/>
              </w:rPr>
            </w:pPr>
          </w:p>
        </w:tc>
        <w:tc>
          <w:tcPr>
            <w:tcW w:w="92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2024</w:t>
            </w:r>
          </w:p>
        </w:tc>
        <w:tc>
          <w:tcPr>
            <w:tcW w:w="300" w:type="dxa"/>
            <w:vAlign w:val="bottom"/>
            <w:shd w:val="clear" w:color="auto" w:fill="004054"/>
          </w:tcPr>
          <w:p>
            <w:pPr>
              <w:spacing w:after="0"/>
              <w:rPr>
                <w:sz w:val="16"/>
                <w:szCs w:val="16"/>
                <w:color w:val="auto"/>
              </w:rPr>
            </w:pPr>
          </w:p>
        </w:tc>
        <w:tc>
          <w:tcPr>
            <w:tcW w:w="1240" w:type="dxa"/>
            <w:vAlign w:val="bottom"/>
            <w:tcBorders>
              <w:right w:val="single" w:sz="8" w:color="004054"/>
            </w:tcBorders>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2023</w:t>
            </w:r>
          </w:p>
        </w:tc>
        <w:tc>
          <w:tcPr>
            <w:tcW w:w="80" w:type="dxa"/>
            <w:vAlign w:val="bottom"/>
          </w:tcPr>
          <w:p>
            <w:pPr>
              <w:spacing w:after="0"/>
              <w:rPr>
                <w:sz w:val="16"/>
                <w:szCs w:val="16"/>
                <w:color w:val="auto"/>
              </w:rPr>
            </w:pPr>
          </w:p>
        </w:tc>
        <w:tc>
          <w:tcPr>
            <w:tcW w:w="620" w:type="dxa"/>
            <w:vAlign w:val="bottom"/>
            <w:shd w:val="clear" w:color="auto" w:fill="004054"/>
          </w:tcPr>
          <w:p>
            <w:pPr>
              <w:spacing w:after="0"/>
              <w:rPr>
                <w:sz w:val="16"/>
                <w:szCs w:val="16"/>
                <w:color w:val="auto"/>
              </w:rPr>
            </w:pPr>
          </w:p>
        </w:tc>
        <w:tc>
          <w:tcPr>
            <w:tcW w:w="90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2024</w:t>
            </w:r>
          </w:p>
        </w:tc>
        <w:tc>
          <w:tcPr>
            <w:tcW w:w="400" w:type="dxa"/>
            <w:vAlign w:val="bottom"/>
            <w:shd w:val="clear" w:color="auto" w:fill="004054"/>
          </w:tcPr>
          <w:p>
            <w:pPr>
              <w:spacing w:after="0"/>
              <w:rPr>
                <w:sz w:val="16"/>
                <w:szCs w:val="16"/>
                <w:color w:val="auto"/>
              </w:rPr>
            </w:pPr>
          </w:p>
        </w:tc>
        <w:tc>
          <w:tcPr>
            <w:tcW w:w="114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2023</w:t>
            </w:r>
          </w:p>
        </w:tc>
        <w:tc>
          <w:tcPr>
            <w:tcW w:w="20" w:type="dxa"/>
            <w:vAlign w:val="bottom"/>
            <w:shd w:val="clear" w:color="auto" w:fill="004054"/>
          </w:tcPr>
          <w:p>
            <w:pPr>
              <w:spacing w:after="0"/>
              <w:rPr>
                <w:sz w:val="16"/>
                <w:szCs w:val="16"/>
                <w:color w:val="auto"/>
              </w:rPr>
            </w:pPr>
          </w:p>
        </w:tc>
      </w:tr>
      <w:tr>
        <w:trPr>
          <w:trHeight w:val="46"/>
        </w:trPr>
        <w:tc>
          <w:tcPr>
            <w:tcW w:w="5060" w:type="dxa"/>
            <w:vAlign w:val="bottom"/>
            <w:tcBorders>
              <w:bottom w:val="single" w:sz="8" w:color="004054"/>
            </w:tcBorders>
            <w:shd w:val="clear" w:color="auto" w:fill="004054"/>
          </w:tcPr>
          <w:p>
            <w:pPr>
              <w:spacing w:after="0"/>
              <w:rPr>
                <w:sz w:val="4"/>
                <w:szCs w:val="4"/>
                <w:color w:val="auto"/>
              </w:rPr>
            </w:pPr>
          </w:p>
        </w:tc>
        <w:tc>
          <w:tcPr>
            <w:tcW w:w="620" w:type="dxa"/>
            <w:vAlign w:val="bottom"/>
            <w:tcBorders>
              <w:bottom w:val="single" w:sz="8" w:color="004054"/>
            </w:tcBorders>
            <w:shd w:val="clear" w:color="auto" w:fill="004054"/>
          </w:tcPr>
          <w:p>
            <w:pPr>
              <w:spacing w:after="0"/>
              <w:rPr>
                <w:sz w:val="4"/>
                <w:szCs w:val="4"/>
                <w:color w:val="auto"/>
              </w:rPr>
            </w:pPr>
          </w:p>
        </w:tc>
        <w:tc>
          <w:tcPr>
            <w:tcW w:w="920" w:type="dxa"/>
            <w:vAlign w:val="bottom"/>
            <w:tcBorders>
              <w:bottom w:val="single" w:sz="8" w:color="004054"/>
            </w:tcBorders>
            <w:shd w:val="clear" w:color="auto" w:fill="004054"/>
          </w:tcPr>
          <w:p>
            <w:pPr>
              <w:spacing w:after="0"/>
              <w:rPr>
                <w:sz w:val="4"/>
                <w:szCs w:val="4"/>
                <w:color w:val="auto"/>
              </w:rPr>
            </w:pPr>
          </w:p>
        </w:tc>
        <w:tc>
          <w:tcPr>
            <w:tcW w:w="300" w:type="dxa"/>
            <w:vAlign w:val="bottom"/>
            <w:tcBorders>
              <w:bottom w:val="single" w:sz="8" w:color="004054"/>
            </w:tcBorders>
            <w:shd w:val="clear" w:color="auto" w:fill="004054"/>
          </w:tcPr>
          <w:p>
            <w:pPr>
              <w:spacing w:after="0"/>
              <w:rPr>
                <w:sz w:val="4"/>
                <w:szCs w:val="4"/>
                <w:color w:val="auto"/>
              </w:rPr>
            </w:pPr>
          </w:p>
        </w:tc>
        <w:tc>
          <w:tcPr>
            <w:tcW w:w="1240" w:type="dxa"/>
            <w:vAlign w:val="bottom"/>
            <w:tcBorders>
              <w:bottom w:val="single" w:sz="8" w:color="004054"/>
              <w:right w:val="single" w:sz="8" w:color="004054"/>
            </w:tcBorders>
            <w:shd w:val="clear" w:color="auto" w:fill="004054"/>
          </w:tcPr>
          <w:p>
            <w:pPr>
              <w:spacing w:after="0"/>
              <w:rPr>
                <w:sz w:val="4"/>
                <w:szCs w:val="4"/>
                <w:color w:val="auto"/>
              </w:rPr>
            </w:pPr>
          </w:p>
        </w:tc>
        <w:tc>
          <w:tcPr>
            <w:tcW w:w="80" w:type="dxa"/>
            <w:vAlign w:val="bottom"/>
            <w:tcBorders>
              <w:bottom w:val="single" w:sz="8" w:color="EBFBFF"/>
            </w:tcBorders>
          </w:tcPr>
          <w:p>
            <w:pPr>
              <w:spacing w:after="0"/>
              <w:rPr>
                <w:sz w:val="4"/>
                <w:szCs w:val="4"/>
                <w:color w:val="auto"/>
              </w:rPr>
            </w:pPr>
          </w:p>
        </w:tc>
        <w:tc>
          <w:tcPr>
            <w:tcW w:w="620" w:type="dxa"/>
            <w:vAlign w:val="bottom"/>
            <w:tcBorders>
              <w:bottom w:val="single" w:sz="8" w:color="004054"/>
            </w:tcBorders>
            <w:shd w:val="clear" w:color="auto" w:fill="004054"/>
          </w:tcPr>
          <w:p>
            <w:pPr>
              <w:spacing w:after="0"/>
              <w:rPr>
                <w:sz w:val="4"/>
                <w:szCs w:val="4"/>
                <w:color w:val="auto"/>
              </w:rPr>
            </w:pPr>
          </w:p>
        </w:tc>
        <w:tc>
          <w:tcPr>
            <w:tcW w:w="900" w:type="dxa"/>
            <w:vAlign w:val="bottom"/>
            <w:tcBorders>
              <w:bottom w:val="single" w:sz="8" w:color="004054"/>
            </w:tcBorders>
            <w:shd w:val="clear" w:color="auto" w:fill="004054"/>
          </w:tcPr>
          <w:p>
            <w:pPr>
              <w:spacing w:after="0"/>
              <w:rPr>
                <w:sz w:val="4"/>
                <w:szCs w:val="4"/>
                <w:color w:val="auto"/>
              </w:rPr>
            </w:pPr>
          </w:p>
        </w:tc>
        <w:tc>
          <w:tcPr>
            <w:tcW w:w="400" w:type="dxa"/>
            <w:vAlign w:val="bottom"/>
            <w:tcBorders>
              <w:bottom w:val="single" w:sz="8" w:color="004054"/>
            </w:tcBorders>
            <w:shd w:val="clear" w:color="auto" w:fill="004054"/>
          </w:tcPr>
          <w:p>
            <w:pPr>
              <w:spacing w:after="0"/>
              <w:rPr>
                <w:sz w:val="4"/>
                <w:szCs w:val="4"/>
                <w:color w:val="auto"/>
              </w:rPr>
            </w:pPr>
          </w:p>
        </w:tc>
        <w:tc>
          <w:tcPr>
            <w:tcW w:w="1140" w:type="dxa"/>
            <w:vAlign w:val="bottom"/>
            <w:tcBorders>
              <w:bottom w:val="single" w:sz="8" w:color="004054"/>
            </w:tcBorders>
            <w:shd w:val="clear" w:color="auto" w:fill="004054"/>
          </w:tcPr>
          <w:p>
            <w:pPr>
              <w:spacing w:after="0"/>
              <w:rPr>
                <w:sz w:val="4"/>
                <w:szCs w:val="4"/>
                <w:color w:val="auto"/>
              </w:rPr>
            </w:pPr>
          </w:p>
        </w:tc>
        <w:tc>
          <w:tcPr>
            <w:tcW w:w="20" w:type="dxa"/>
            <w:vAlign w:val="bottom"/>
            <w:tcBorders>
              <w:bottom w:val="single" w:sz="8" w:color="004054"/>
            </w:tcBorders>
            <w:shd w:val="clear" w:color="auto" w:fill="004054"/>
          </w:tcPr>
          <w:p>
            <w:pPr>
              <w:spacing w:after="0"/>
              <w:rPr>
                <w:sz w:val="4"/>
                <w:szCs w:val="4"/>
                <w:color w:val="auto"/>
              </w:rPr>
            </w:pPr>
          </w:p>
        </w:tc>
      </w:tr>
      <w:tr>
        <w:trPr>
          <w:trHeight w:val="183"/>
        </w:trPr>
        <w:tc>
          <w:tcPr>
            <w:tcW w:w="5060" w:type="dxa"/>
            <w:vAlign w:val="bottom"/>
            <w:tcBorders>
              <w:bottom w:val="single" w:sz="8" w:color="EBFBFF"/>
            </w:tcBorders>
            <w:shd w:val="clear" w:color="auto" w:fill="EBFBFF"/>
          </w:tcPr>
          <w:p>
            <w:pPr>
              <w:ind w:left="20"/>
              <w:spacing w:after="0" w:line="163" w:lineRule="exact"/>
              <w:rPr>
                <w:sz w:val="20"/>
                <w:szCs w:val="20"/>
                <w:color w:val="auto"/>
              </w:rPr>
            </w:pPr>
            <w:r>
              <w:rPr>
                <w:rFonts w:ascii="Calibri" w:cs="Calibri" w:eastAsia="Calibri" w:hAnsi="Calibri"/>
                <w:sz w:val="14"/>
                <w:szCs w:val="14"/>
                <w:color w:val="51555C"/>
              </w:rPr>
              <w:t>Interest income</w:t>
            </w:r>
          </w:p>
        </w:tc>
        <w:tc>
          <w:tcPr>
            <w:tcW w:w="620" w:type="dxa"/>
            <w:vAlign w:val="bottom"/>
            <w:tcBorders>
              <w:bottom w:val="single" w:sz="8" w:color="EBFBFF"/>
            </w:tcBorders>
            <w:shd w:val="clear" w:color="auto" w:fill="EBFBFF"/>
          </w:tcPr>
          <w:p>
            <w:pPr>
              <w:jc w:val="right"/>
              <w:ind w:right="449"/>
              <w:spacing w:after="0" w:line="163" w:lineRule="exact"/>
              <w:rPr>
                <w:sz w:val="20"/>
                <w:szCs w:val="20"/>
                <w:color w:val="auto"/>
              </w:rPr>
            </w:pPr>
            <w:r>
              <w:rPr>
                <w:rFonts w:ascii="Calibri" w:cs="Calibri" w:eastAsia="Calibri" w:hAnsi="Calibri"/>
                <w:sz w:val="14"/>
                <w:szCs w:val="14"/>
                <w:color w:val="51555C"/>
              </w:rPr>
              <w:t>$</w:t>
            </w:r>
          </w:p>
        </w:tc>
        <w:tc>
          <w:tcPr>
            <w:tcW w:w="920" w:type="dxa"/>
            <w:vAlign w:val="bottom"/>
            <w:tcBorders>
              <w:bottom w:val="single" w:sz="8" w:color="EBFBFF"/>
            </w:tcBorders>
            <w:shd w:val="clear" w:color="auto" w:fill="EBFBFF"/>
          </w:tcPr>
          <w:p>
            <w:pPr>
              <w:jc w:val="right"/>
              <w:spacing w:after="0" w:line="163" w:lineRule="exact"/>
              <w:rPr>
                <w:sz w:val="20"/>
                <w:szCs w:val="20"/>
                <w:color w:val="auto"/>
              </w:rPr>
            </w:pPr>
            <w:r>
              <w:rPr>
                <w:rFonts w:ascii="Calibri" w:cs="Calibri" w:eastAsia="Calibri" w:hAnsi="Calibri"/>
                <w:sz w:val="14"/>
                <w:szCs w:val="14"/>
                <w:color w:val="51555C"/>
              </w:rPr>
              <w:t>2,815</w:t>
            </w:r>
          </w:p>
        </w:tc>
        <w:tc>
          <w:tcPr>
            <w:tcW w:w="300" w:type="dxa"/>
            <w:vAlign w:val="bottom"/>
            <w:tcBorders>
              <w:bottom w:val="single" w:sz="8" w:color="EBFBFF"/>
            </w:tcBorders>
            <w:shd w:val="clear" w:color="auto" w:fill="EBFBFF"/>
          </w:tcPr>
          <w:p>
            <w:pPr>
              <w:jc w:val="right"/>
              <w:ind w:right="149"/>
              <w:spacing w:after="0" w:line="163" w:lineRule="exact"/>
              <w:rPr>
                <w:sz w:val="20"/>
                <w:szCs w:val="20"/>
                <w:color w:val="auto"/>
              </w:rPr>
            </w:pPr>
            <w:r>
              <w:rPr>
                <w:rFonts w:ascii="Calibri" w:cs="Calibri" w:eastAsia="Calibri" w:hAnsi="Calibri"/>
                <w:sz w:val="14"/>
                <w:szCs w:val="14"/>
                <w:color w:val="51555C"/>
                <w:w w:val="83"/>
              </w:rPr>
              <w:t>$</w:t>
            </w:r>
          </w:p>
        </w:tc>
        <w:tc>
          <w:tcPr>
            <w:tcW w:w="1240" w:type="dxa"/>
            <w:vAlign w:val="bottom"/>
            <w:tcBorders>
              <w:bottom w:val="single" w:sz="8" w:color="EBFBFF"/>
              <w:right w:val="single" w:sz="8" w:color="EBFBFF"/>
            </w:tcBorders>
            <w:shd w:val="clear" w:color="auto" w:fill="EBFBFF"/>
          </w:tcPr>
          <w:p>
            <w:pPr>
              <w:jc w:val="right"/>
              <w:spacing w:after="0" w:line="163" w:lineRule="exact"/>
              <w:rPr>
                <w:sz w:val="20"/>
                <w:szCs w:val="20"/>
                <w:color w:val="auto"/>
              </w:rPr>
            </w:pPr>
            <w:r>
              <w:rPr>
                <w:rFonts w:ascii="Calibri" w:cs="Calibri" w:eastAsia="Calibri" w:hAnsi="Calibri"/>
                <w:sz w:val="14"/>
                <w:szCs w:val="14"/>
                <w:color w:val="51555C"/>
              </w:rPr>
              <w:t>2,308</w:t>
            </w:r>
          </w:p>
        </w:tc>
        <w:tc>
          <w:tcPr>
            <w:tcW w:w="700" w:type="dxa"/>
            <w:vAlign w:val="bottom"/>
            <w:tcBorders>
              <w:bottom w:val="single" w:sz="8" w:color="EBFBFF"/>
            </w:tcBorders>
            <w:gridSpan w:val="2"/>
            <w:shd w:val="clear" w:color="auto" w:fill="EBFBFF"/>
          </w:tcPr>
          <w:p>
            <w:pPr>
              <w:jc w:val="right"/>
              <w:ind w:right="469"/>
              <w:spacing w:after="0" w:line="163" w:lineRule="exact"/>
              <w:rPr>
                <w:sz w:val="20"/>
                <w:szCs w:val="20"/>
                <w:color w:val="auto"/>
              </w:rPr>
            </w:pPr>
            <w:r>
              <w:rPr>
                <w:rFonts w:ascii="Calibri" w:cs="Calibri" w:eastAsia="Calibri" w:hAnsi="Calibri"/>
                <w:sz w:val="14"/>
                <w:szCs w:val="14"/>
                <w:color w:val="51555C"/>
              </w:rPr>
              <w:t>$</w:t>
            </w:r>
          </w:p>
        </w:tc>
        <w:tc>
          <w:tcPr>
            <w:tcW w:w="900" w:type="dxa"/>
            <w:vAlign w:val="bottom"/>
            <w:tcBorders>
              <w:bottom w:val="single" w:sz="8" w:color="EBFBFF"/>
            </w:tcBorders>
            <w:shd w:val="clear" w:color="auto" w:fill="EBFBFF"/>
          </w:tcPr>
          <w:p>
            <w:pPr>
              <w:jc w:val="right"/>
              <w:spacing w:after="0" w:line="163" w:lineRule="exact"/>
              <w:rPr>
                <w:sz w:val="20"/>
                <w:szCs w:val="20"/>
                <w:color w:val="auto"/>
              </w:rPr>
            </w:pPr>
            <w:r>
              <w:rPr>
                <w:rFonts w:ascii="Calibri" w:cs="Calibri" w:eastAsia="Calibri" w:hAnsi="Calibri"/>
                <w:sz w:val="14"/>
                <w:szCs w:val="14"/>
                <w:color w:val="51555C"/>
              </w:rPr>
              <w:t>4,863</w:t>
            </w:r>
          </w:p>
        </w:tc>
        <w:tc>
          <w:tcPr>
            <w:tcW w:w="400" w:type="dxa"/>
            <w:vAlign w:val="bottom"/>
            <w:tcBorders>
              <w:bottom w:val="single" w:sz="8" w:color="EBFBFF"/>
            </w:tcBorders>
            <w:shd w:val="clear" w:color="auto" w:fill="EBFBFF"/>
          </w:tcPr>
          <w:p>
            <w:pPr>
              <w:jc w:val="right"/>
              <w:ind w:right="229"/>
              <w:spacing w:after="0" w:line="163" w:lineRule="exact"/>
              <w:rPr>
                <w:sz w:val="20"/>
                <w:szCs w:val="20"/>
                <w:color w:val="auto"/>
              </w:rPr>
            </w:pPr>
            <w:r>
              <w:rPr>
                <w:rFonts w:ascii="Calibri" w:cs="Calibri" w:eastAsia="Calibri" w:hAnsi="Calibri"/>
                <w:sz w:val="14"/>
                <w:szCs w:val="14"/>
                <w:color w:val="51555C"/>
              </w:rPr>
              <w:t>$</w:t>
            </w:r>
          </w:p>
        </w:tc>
        <w:tc>
          <w:tcPr>
            <w:tcW w:w="1140" w:type="dxa"/>
            <w:vAlign w:val="bottom"/>
            <w:tcBorders>
              <w:bottom w:val="single" w:sz="8" w:color="EBFBFF"/>
            </w:tcBorders>
            <w:shd w:val="clear" w:color="auto" w:fill="EBFBFF"/>
          </w:tcPr>
          <w:p>
            <w:pPr>
              <w:jc w:val="center"/>
              <w:ind w:left="635"/>
              <w:spacing w:after="0" w:line="163" w:lineRule="exact"/>
              <w:rPr>
                <w:sz w:val="20"/>
                <w:szCs w:val="20"/>
                <w:color w:val="auto"/>
              </w:rPr>
            </w:pPr>
            <w:r>
              <w:rPr>
                <w:rFonts w:ascii="Calibri" w:cs="Calibri" w:eastAsia="Calibri" w:hAnsi="Calibri"/>
                <w:sz w:val="14"/>
                <w:szCs w:val="14"/>
                <w:color w:val="51555C"/>
              </w:rPr>
              <w:t>3,544</w:t>
            </w:r>
          </w:p>
        </w:tc>
        <w:tc>
          <w:tcPr>
            <w:tcW w:w="20" w:type="dxa"/>
            <w:vAlign w:val="bottom"/>
          </w:tcPr>
          <w:p>
            <w:pPr>
              <w:spacing w:after="0"/>
              <w:rPr>
                <w:sz w:val="15"/>
                <w:szCs w:val="15"/>
                <w:color w:val="auto"/>
              </w:rPr>
            </w:pPr>
          </w:p>
        </w:tc>
      </w:tr>
      <w:tr>
        <w:trPr>
          <w:trHeight w:val="172"/>
        </w:trPr>
        <w:tc>
          <w:tcPr>
            <w:tcW w:w="5060" w:type="dxa"/>
            <w:vAlign w:val="bottom"/>
          </w:tcPr>
          <w:p>
            <w:pPr>
              <w:ind w:left="20"/>
              <w:spacing w:after="0"/>
              <w:rPr>
                <w:sz w:val="20"/>
                <w:szCs w:val="20"/>
                <w:color w:val="auto"/>
              </w:rPr>
            </w:pPr>
            <w:r>
              <w:rPr>
                <w:rFonts w:ascii="Calibri" w:cs="Calibri" w:eastAsia="Calibri" w:hAnsi="Calibri"/>
                <w:sz w:val="14"/>
                <w:szCs w:val="14"/>
                <w:color w:val="51555C"/>
              </w:rPr>
              <w:t>Currency revaluaton losses</w:t>
            </w:r>
          </w:p>
        </w:tc>
        <w:tc>
          <w:tcPr>
            <w:tcW w:w="6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alibri" w:cs="Calibri" w:eastAsia="Calibri" w:hAnsi="Calibri"/>
                <w:sz w:val="14"/>
                <w:szCs w:val="14"/>
                <w:color w:val="51555C"/>
              </w:rPr>
              <w:t>(380)</w:t>
            </w:r>
          </w:p>
        </w:tc>
        <w:tc>
          <w:tcPr>
            <w:tcW w:w="3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alibri" w:cs="Calibri" w:eastAsia="Calibri" w:hAnsi="Calibri"/>
                <w:sz w:val="14"/>
                <w:szCs w:val="14"/>
                <w:color w:val="51555C"/>
              </w:rPr>
              <w:t>(535)</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alibri" w:cs="Calibri" w:eastAsia="Calibri" w:hAnsi="Calibri"/>
                <w:sz w:val="14"/>
                <w:szCs w:val="14"/>
                <w:color w:val="51555C"/>
              </w:rPr>
              <w:t>(97)</w:t>
            </w:r>
          </w:p>
        </w:tc>
        <w:tc>
          <w:tcPr>
            <w:tcW w:w="4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alibri" w:cs="Calibri" w:eastAsia="Calibri" w:hAnsi="Calibri"/>
                <w:sz w:val="14"/>
                <w:szCs w:val="14"/>
                <w:color w:val="51555C"/>
              </w:rPr>
              <w:t>(779)</w:t>
            </w:r>
          </w:p>
        </w:tc>
        <w:tc>
          <w:tcPr>
            <w:tcW w:w="20" w:type="dxa"/>
            <w:vAlign w:val="bottom"/>
          </w:tcPr>
          <w:p>
            <w:pPr>
              <w:spacing w:after="0"/>
              <w:rPr>
                <w:sz w:val="14"/>
                <w:szCs w:val="14"/>
                <w:color w:val="auto"/>
              </w:rPr>
            </w:pPr>
          </w:p>
        </w:tc>
      </w:tr>
      <w:tr>
        <w:trPr>
          <w:trHeight w:val="40"/>
        </w:trPr>
        <w:tc>
          <w:tcPr>
            <w:tcW w:w="506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12"/>
        </w:trPr>
        <w:tc>
          <w:tcPr>
            <w:tcW w:w="506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4"/>
                <w:szCs w:val="14"/>
                <w:color w:val="51555C"/>
              </w:rPr>
              <w:t>Other income, net</w:t>
            </w:r>
          </w:p>
        </w:tc>
        <w:tc>
          <w:tcPr>
            <w:tcW w:w="620" w:type="dxa"/>
            <w:vAlign w:val="bottom"/>
            <w:tcBorders>
              <w:bottom w:val="single" w:sz="8" w:color="EBFBFF"/>
            </w:tcBorders>
            <w:shd w:val="clear" w:color="auto" w:fill="EBFBFF"/>
          </w:tcPr>
          <w:p>
            <w:pPr>
              <w:spacing w:after="0"/>
              <w:rPr>
                <w:sz w:val="18"/>
                <w:szCs w:val="18"/>
                <w:color w:val="auto"/>
              </w:rPr>
            </w:pPr>
          </w:p>
        </w:tc>
        <w:tc>
          <w:tcPr>
            <w:tcW w:w="9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875</w:t>
            </w:r>
          </w:p>
        </w:tc>
        <w:tc>
          <w:tcPr>
            <w:tcW w:w="300" w:type="dxa"/>
            <w:vAlign w:val="bottom"/>
            <w:tcBorders>
              <w:bottom w:val="single" w:sz="8" w:color="EBFBFF"/>
            </w:tcBorders>
            <w:shd w:val="clear" w:color="auto" w:fill="EBFBFF"/>
          </w:tcPr>
          <w:p>
            <w:pPr>
              <w:spacing w:after="0"/>
              <w:rPr>
                <w:sz w:val="18"/>
                <w:szCs w:val="18"/>
                <w:color w:val="auto"/>
              </w:rPr>
            </w:pPr>
          </w:p>
        </w:tc>
        <w:tc>
          <w:tcPr>
            <w:tcW w:w="1240" w:type="dxa"/>
            <w:vAlign w:val="bottom"/>
            <w:tcBorders>
              <w:bottom w:val="single" w:sz="8" w:color="EBFBFF"/>
              <w:right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1,005</w:t>
            </w:r>
          </w:p>
        </w:tc>
        <w:tc>
          <w:tcPr>
            <w:tcW w:w="80" w:type="dxa"/>
            <w:vAlign w:val="bottom"/>
            <w:tcBorders>
              <w:bottom w:val="single" w:sz="8" w:color="EBFBFF"/>
            </w:tcBorders>
            <w:shd w:val="clear" w:color="auto" w:fill="EBFBFF"/>
          </w:tcPr>
          <w:p>
            <w:pPr>
              <w:spacing w:after="0"/>
              <w:rPr>
                <w:sz w:val="18"/>
                <w:szCs w:val="18"/>
                <w:color w:val="auto"/>
              </w:rPr>
            </w:pPr>
          </w:p>
        </w:tc>
        <w:tc>
          <w:tcPr>
            <w:tcW w:w="620" w:type="dxa"/>
            <w:vAlign w:val="bottom"/>
            <w:tcBorders>
              <w:bottom w:val="single" w:sz="8" w:color="EBFBFF"/>
            </w:tcBorders>
            <w:shd w:val="clear" w:color="auto" w:fill="EBFBFF"/>
          </w:tcPr>
          <w:p>
            <w:pPr>
              <w:spacing w:after="0"/>
              <w:rPr>
                <w:sz w:val="18"/>
                <w:szCs w:val="18"/>
                <w:color w:val="auto"/>
              </w:rPr>
            </w:pPr>
          </w:p>
        </w:tc>
        <w:tc>
          <w:tcPr>
            <w:tcW w:w="9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1,891</w:t>
            </w:r>
          </w:p>
        </w:tc>
        <w:tc>
          <w:tcPr>
            <w:tcW w:w="400" w:type="dxa"/>
            <w:vAlign w:val="bottom"/>
            <w:tcBorders>
              <w:bottom w:val="single" w:sz="8" w:color="EBFBFF"/>
            </w:tcBorders>
            <w:shd w:val="clear" w:color="auto" w:fill="EBFBFF"/>
          </w:tcPr>
          <w:p>
            <w:pPr>
              <w:spacing w:after="0"/>
              <w:rPr>
                <w:sz w:val="18"/>
                <w:szCs w:val="18"/>
                <w:color w:val="auto"/>
              </w:rPr>
            </w:pPr>
          </w:p>
        </w:tc>
        <w:tc>
          <w:tcPr>
            <w:tcW w:w="1140" w:type="dxa"/>
            <w:vAlign w:val="bottom"/>
            <w:tcBorders>
              <w:bottom w:val="single" w:sz="8" w:color="EBFBFF"/>
            </w:tcBorders>
            <w:shd w:val="clear" w:color="auto" w:fill="EBFBFF"/>
          </w:tcPr>
          <w:p>
            <w:pPr>
              <w:jc w:val="center"/>
              <w:ind w:left="635"/>
              <w:spacing w:after="0"/>
              <w:rPr>
                <w:sz w:val="20"/>
                <w:szCs w:val="20"/>
                <w:color w:val="auto"/>
              </w:rPr>
            </w:pPr>
            <w:r>
              <w:rPr>
                <w:rFonts w:ascii="Calibri" w:cs="Calibri" w:eastAsia="Calibri" w:hAnsi="Calibri"/>
                <w:sz w:val="14"/>
                <w:szCs w:val="14"/>
                <w:color w:val="51555C"/>
              </w:rPr>
              <w:t>2,020</w:t>
            </w:r>
          </w:p>
        </w:tc>
        <w:tc>
          <w:tcPr>
            <w:tcW w:w="20" w:type="dxa"/>
            <w:vAlign w:val="bottom"/>
          </w:tcPr>
          <w:p>
            <w:pPr>
              <w:spacing w:after="0"/>
              <w:rPr>
                <w:sz w:val="18"/>
                <w:szCs w:val="18"/>
                <w:color w:val="auto"/>
              </w:rPr>
            </w:pPr>
          </w:p>
        </w:tc>
      </w:tr>
      <w:tr>
        <w:trPr>
          <w:trHeight w:val="163"/>
        </w:trPr>
        <w:tc>
          <w:tcPr>
            <w:tcW w:w="5060" w:type="dxa"/>
            <w:vAlign w:val="bottom"/>
          </w:tcPr>
          <w:p>
            <w:pPr>
              <w:ind w:left="100"/>
              <w:spacing w:after="0" w:line="152" w:lineRule="exact"/>
              <w:rPr>
                <w:sz w:val="20"/>
                <w:szCs w:val="20"/>
                <w:color w:val="auto"/>
              </w:rPr>
            </w:pPr>
            <w:r>
              <w:rPr>
                <w:rFonts w:ascii="Calibri" w:cs="Calibri" w:eastAsia="Calibri" w:hAnsi="Calibri"/>
                <w:sz w:val="14"/>
                <w:szCs w:val="14"/>
                <w:color w:val="51555C"/>
              </w:rPr>
              <w:t>Other income, net</w:t>
            </w:r>
          </w:p>
        </w:tc>
        <w:tc>
          <w:tcPr>
            <w:tcW w:w="620" w:type="dxa"/>
            <w:vAlign w:val="bottom"/>
            <w:tcBorders>
              <w:top w:val="single" w:sz="8" w:color="51555C"/>
            </w:tcBorders>
          </w:tcPr>
          <w:p>
            <w:pPr>
              <w:jc w:val="right"/>
              <w:ind w:right="449"/>
              <w:spacing w:after="0" w:line="163" w:lineRule="exact"/>
              <w:rPr>
                <w:sz w:val="20"/>
                <w:szCs w:val="20"/>
                <w:color w:val="auto"/>
              </w:rPr>
            </w:pPr>
            <w:r>
              <w:rPr>
                <w:rFonts w:ascii="Calibri" w:cs="Calibri" w:eastAsia="Calibri" w:hAnsi="Calibri"/>
                <w:sz w:val="14"/>
                <w:szCs w:val="14"/>
                <w:color w:val="51555C"/>
              </w:rPr>
              <w:t>$</w:t>
            </w:r>
          </w:p>
        </w:tc>
        <w:tc>
          <w:tcPr>
            <w:tcW w:w="920" w:type="dxa"/>
            <w:vAlign w:val="bottom"/>
            <w:tcBorders>
              <w:top w:val="single" w:sz="8" w:color="51555C"/>
            </w:tcBorders>
          </w:tcPr>
          <w:p>
            <w:pPr>
              <w:jc w:val="right"/>
              <w:spacing w:after="0" w:line="163" w:lineRule="exact"/>
              <w:rPr>
                <w:sz w:val="20"/>
                <w:szCs w:val="20"/>
                <w:color w:val="auto"/>
              </w:rPr>
            </w:pPr>
            <w:r>
              <w:rPr>
                <w:rFonts w:ascii="Calibri" w:cs="Calibri" w:eastAsia="Calibri" w:hAnsi="Calibri"/>
                <w:sz w:val="14"/>
                <w:szCs w:val="14"/>
                <w:color w:val="51555C"/>
              </w:rPr>
              <w:t>3,310</w:t>
            </w:r>
          </w:p>
        </w:tc>
        <w:tc>
          <w:tcPr>
            <w:tcW w:w="300" w:type="dxa"/>
            <w:vAlign w:val="bottom"/>
            <w:tcBorders>
              <w:top w:val="single" w:sz="8" w:color="51555C"/>
            </w:tcBorders>
          </w:tcPr>
          <w:p>
            <w:pPr>
              <w:jc w:val="right"/>
              <w:ind w:right="149"/>
              <w:spacing w:after="0" w:line="163" w:lineRule="exact"/>
              <w:rPr>
                <w:sz w:val="20"/>
                <w:szCs w:val="20"/>
                <w:color w:val="auto"/>
              </w:rPr>
            </w:pPr>
            <w:r>
              <w:rPr>
                <w:rFonts w:ascii="Calibri" w:cs="Calibri" w:eastAsia="Calibri" w:hAnsi="Calibri"/>
                <w:sz w:val="14"/>
                <w:szCs w:val="14"/>
                <w:color w:val="51555C"/>
                <w:w w:val="83"/>
              </w:rPr>
              <w:t>$</w:t>
            </w:r>
          </w:p>
        </w:tc>
        <w:tc>
          <w:tcPr>
            <w:tcW w:w="1240" w:type="dxa"/>
            <w:vAlign w:val="bottom"/>
            <w:tcBorders>
              <w:top w:val="single" w:sz="8" w:color="51555C"/>
            </w:tcBorders>
          </w:tcPr>
          <w:p>
            <w:pPr>
              <w:jc w:val="right"/>
              <w:spacing w:after="0" w:line="163" w:lineRule="exact"/>
              <w:rPr>
                <w:sz w:val="20"/>
                <w:szCs w:val="20"/>
                <w:color w:val="auto"/>
              </w:rPr>
            </w:pPr>
            <w:r>
              <w:rPr>
                <w:rFonts w:ascii="Calibri" w:cs="Calibri" w:eastAsia="Calibri" w:hAnsi="Calibri"/>
                <w:sz w:val="14"/>
                <w:szCs w:val="14"/>
                <w:color w:val="51555C"/>
              </w:rPr>
              <w:t>2,778</w:t>
            </w:r>
          </w:p>
        </w:tc>
        <w:tc>
          <w:tcPr>
            <w:tcW w:w="80" w:type="dxa"/>
            <w:vAlign w:val="bottom"/>
          </w:tcPr>
          <w:p>
            <w:pPr>
              <w:spacing w:after="0"/>
              <w:rPr>
                <w:sz w:val="14"/>
                <w:szCs w:val="14"/>
                <w:color w:val="auto"/>
              </w:rPr>
            </w:pPr>
          </w:p>
        </w:tc>
        <w:tc>
          <w:tcPr>
            <w:tcW w:w="620" w:type="dxa"/>
            <w:vAlign w:val="bottom"/>
            <w:tcBorders>
              <w:top w:val="single" w:sz="8" w:color="51555C"/>
            </w:tcBorders>
          </w:tcPr>
          <w:p>
            <w:pPr>
              <w:jc w:val="right"/>
              <w:ind w:right="469"/>
              <w:spacing w:after="0" w:line="163" w:lineRule="exact"/>
              <w:rPr>
                <w:sz w:val="20"/>
                <w:szCs w:val="20"/>
                <w:color w:val="auto"/>
              </w:rPr>
            </w:pPr>
            <w:r>
              <w:rPr>
                <w:rFonts w:ascii="Calibri" w:cs="Calibri" w:eastAsia="Calibri" w:hAnsi="Calibri"/>
                <w:sz w:val="14"/>
                <w:szCs w:val="14"/>
                <w:color w:val="51555C"/>
                <w:w w:val="83"/>
              </w:rPr>
              <w:t>$</w:t>
            </w:r>
          </w:p>
        </w:tc>
        <w:tc>
          <w:tcPr>
            <w:tcW w:w="900" w:type="dxa"/>
            <w:vAlign w:val="bottom"/>
            <w:tcBorders>
              <w:top w:val="single" w:sz="8" w:color="51555C"/>
            </w:tcBorders>
          </w:tcPr>
          <w:p>
            <w:pPr>
              <w:jc w:val="right"/>
              <w:spacing w:after="0" w:line="163" w:lineRule="exact"/>
              <w:rPr>
                <w:sz w:val="20"/>
                <w:szCs w:val="20"/>
                <w:color w:val="auto"/>
              </w:rPr>
            </w:pPr>
            <w:r>
              <w:rPr>
                <w:rFonts w:ascii="Calibri" w:cs="Calibri" w:eastAsia="Calibri" w:hAnsi="Calibri"/>
                <w:sz w:val="14"/>
                <w:szCs w:val="14"/>
                <w:color w:val="51555C"/>
              </w:rPr>
              <w:t>6,657</w:t>
            </w:r>
          </w:p>
        </w:tc>
        <w:tc>
          <w:tcPr>
            <w:tcW w:w="400" w:type="dxa"/>
            <w:vAlign w:val="bottom"/>
            <w:tcBorders>
              <w:top w:val="single" w:sz="8" w:color="51555C"/>
            </w:tcBorders>
          </w:tcPr>
          <w:p>
            <w:pPr>
              <w:jc w:val="right"/>
              <w:ind w:right="229"/>
              <w:spacing w:after="0" w:line="163" w:lineRule="exact"/>
              <w:rPr>
                <w:sz w:val="20"/>
                <w:szCs w:val="20"/>
                <w:color w:val="auto"/>
              </w:rPr>
            </w:pPr>
            <w:r>
              <w:rPr>
                <w:rFonts w:ascii="Calibri" w:cs="Calibri" w:eastAsia="Calibri" w:hAnsi="Calibri"/>
                <w:sz w:val="14"/>
                <w:szCs w:val="14"/>
                <w:color w:val="51555C"/>
              </w:rPr>
              <w:t>$</w:t>
            </w:r>
          </w:p>
        </w:tc>
        <w:tc>
          <w:tcPr>
            <w:tcW w:w="1140" w:type="dxa"/>
            <w:vAlign w:val="bottom"/>
            <w:tcBorders>
              <w:top w:val="single" w:sz="8" w:color="51555C"/>
            </w:tcBorders>
          </w:tcPr>
          <w:p>
            <w:pPr>
              <w:jc w:val="center"/>
              <w:ind w:left="635"/>
              <w:spacing w:after="0" w:line="163" w:lineRule="exact"/>
              <w:rPr>
                <w:sz w:val="20"/>
                <w:szCs w:val="20"/>
                <w:color w:val="auto"/>
              </w:rPr>
            </w:pPr>
            <w:r>
              <w:rPr>
                <w:rFonts w:ascii="Calibri" w:cs="Calibri" w:eastAsia="Calibri" w:hAnsi="Calibri"/>
                <w:sz w:val="14"/>
                <w:szCs w:val="14"/>
                <w:color w:val="51555C"/>
              </w:rPr>
              <w:t>4,785</w:t>
            </w:r>
          </w:p>
        </w:tc>
        <w:tc>
          <w:tcPr>
            <w:tcW w:w="20" w:type="dxa"/>
            <w:vAlign w:val="bottom"/>
          </w:tcPr>
          <w:p>
            <w:pPr>
              <w:spacing w:after="0"/>
              <w:rPr>
                <w:sz w:val="14"/>
                <w:szCs w:val="14"/>
                <w:color w:val="auto"/>
              </w:rPr>
            </w:pPr>
          </w:p>
        </w:tc>
      </w:tr>
      <w:tr>
        <w:trPr>
          <w:trHeight w:val="40"/>
        </w:trPr>
        <w:tc>
          <w:tcPr>
            <w:tcW w:w="5060" w:type="dxa"/>
            <w:vAlign w:val="bottom"/>
            <w:tcBorders>
              <w:bottom w:val="single" w:sz="8" w:color="0CD973"/>
            </w:tcBorders>
          </w:tcPr>
          <w:p>
            <w:pPr>
              <w:spacing w:after="0"/>
              <w:rPr>
                <w:sz w:val="3"/>
                <w:szCs w:val="3"/>
                <w:color w:val="auto"/>
              </w:rPr>
            </w:pPr>
          </w:p>
        </w:tc>
        <w:tc>
          <w:tcPr>
            <w:tcW w:w="620" w:type="dxa"/>
            <w:vAlign w:val="bottom"/>
            <w:tcBorders>
              <w:bottom w:val="single" w:sz="8" w:color="0CD973"/>
            </w:tcBorders>
          </w:tcPr>
          <w:p>
            <w:pPr>
              <w:spacing w:after="0"/>
              <w:rPr>
                <w:sz w:val="3"/>
                <w:szCs w:val="3"/>
                <w:color w:val="auto"/>
              </w:rPr>
            </w:pPr>
          </w:p>
        </w:tc>
        <w:tc>
          <w:tcPr>
            <w:tcW w:w="920" w:type="dxa"/>
            <w:vAlign w:val="bottom"/>
            <w:tcBorders>
              <w:bottom w:val="single" w:sz="8" w:color="0CD973"/>
            </w:tcBorders>
          </w:tcPr>
          <w:p>
            <w:pPr>
              <w:spacing w:after="0"/>
              <w:rPr>
                <w:sz w:val="3"/>
                <w:szCs w:val="3"/>
                <w:color w:val="auto"/>
              </w:rPr>
            </w:pPr>
          </w:p>
        </w:tc>
        <w:tc>
          <w:tcPr>
            <w:tcW w:w="300" w:type="dxa"/>
            <w:vAlign w:val="bottom"/>
            <w:tcBorders>
              <w:bottom w:val="single" w:sz="8" w:color="0CD973"/>
            </w:tcBorders>
          </w:tcPr>
          <w:p>
            <w:pPr>
              <w:spacing w:after="0"/>
              <w:rPr>
                <w:sz w:val="3"/>
                <w:szCs w:val="3"/>
                <w:color w:val="auto"/>
              </w:rPr>
            </w:pPr>
          </w:p>
        </w:tc>
        <w:tc>
          <w:tcPr>
            <w:tcW w:w="1240" w:type="dxa"/>
            <w:vAlign w:val="bottom"/>
            <w:tcBorders>
              <w:bottom w:val="single" w:sz="8" w:color="0CD973"/>
            </w:tcBorders>
          </w:tcPr>
          <w:p>
            <w:pPr>
              <w:spacing w:after="0"/>
              <w:rPr>
                <w:sz w:val="3"/>
                <w:szCs w:val="3"/>
                <w:color w:val="auto"/>
              </w:rPr>
            </w:pPr>
          </w:p>
        </w:tc>
        <w:tc>
          <w:tcPr>
            <w:tcW w:w="80" w:type="dxa"/>
            <w:vAlign w:val="bottom"/>
            <w:tcBorders>
              <w:bottom w:val="single" w:sz="8" w:color="0CD973"/>
            </w:tcBorders>
          </w:tcPr>
          <w:p>
            <w:pPr>
              <w:spacing w:after="0"/>
              <w:rPr>
                <w:sz w:val="3"/>
                <w:szCs w:val="3"/>
                <w:color w:val="auto"/>
              </w:rPr>
            </w:pPr>
          </w:p>
        </w:tc>
        <w:tc>
          <w:tcPr>
            <w:tcW w:w="620" w:type="dxa"/>
            <w:vAlign w:val="bottom"/>
            <w:tcBorders>
              <w:bottom w:val="single" w:sz="8" w:color="0CD973"/>
            </w:tcBorders>
          </w:tcPr>
          <w:p>
            <w:pPr>
              <w:spacing w:after="0"/>
              <w:rPr>
                <w:sz w:val="3"/>
                <w:szCs w:val="3"/>
                <w:color w:val="auto"/>
              </w:rPr>
            </w:pPr>
          </w:p>
        </w:tc>
        <w:tc>
          <w:tcPr>
            <w:tcW w:w="900" w:type="dxa"/>
            <w:vAlign w:val="bottom"/>
            <w:tcBorders>
              <w:bottom w:val="single" w:sz="8" w:color="0CD973"/>
            </w:tcBorders>
          </w:tcPr>
          <w:p>
            <w:pPr>
              <w:spacing w:after="0"/>
              <w:rPr>
                <w:sz w:val="3"/>
                <w:szCs w:val="3"/>
                <w:color w:val="auto"/>
              </w:rPr>
            </w:pPr>
          </w:p>
        </w:tc>
        <w:tc>
          <w:tcPr>
            <w:tcW w:w="400" w:type="dxa"/>
            <w:vAlign w:val="bottom"/>
            <w:tcBorders>
              <w:bottom w:val="single" w:sz="8" w:color="0CD973"/>
            </w:tcBorders>
          </w:tcPr>
          <w:p>
            <w:pPr>
              <w:spacing w:after="0"/>
              <w:rPr>
                <w:sz w:val="3"/>
                <w:szCs w:val="3"/>
                <w:color w:val="auto"/>
              </w:rPr>
            </w:pPr>
          </w:p>
        </w:tc>
        <w:tc>
          <w:tcPr>
            <w:tcW w:w="1140" w:type="dxa"/>
            <w:vAlign w:val="bottom"/>
            <w:tcBorders>
              <w:bottom w:val="single" w:sz="8" w:color="0CD973"/>
            </w:tcBorders>
          </w:tcPr>
          <w:p>
            <w:pPr>
              <w:spacing w:after="0"/>
              <w:rPr>
                <w:sz w:val="3"/>
                <w:szCs w:val="3"/>
                <w:color w:val="auto"/>
              </w:rPr>
            </w:pPr>
          </w:p>
        </w:tc>
        <w:tc>
          <w:tcPr>
            <w:tcW w:w="2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3216910</wp:posOffset>
            </wp:positionH>
            <wp:positionV relativeFrom="paragraph">
              <wp:posOffset>-680085</wp:posOffset>
            </wp:positionV>
            <wp:extent cx="3954780"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954780" cy="6985"/>
                    </a:xfrm>
                    <a:prstGeom prst="rect">
                      <a:avLst/>
                    </a:prstGeom>
                    <a:noFill/>
                  </pic:spPr>
                </pic:pic>
              </a:graphicData>
            </a:graphic>
          </wp:anchor>
        </w:drawing>
      </w:r>
    </w:p>
    <w:p>
      <w:pPr>
        <w:spacing w:after="0" w:line="218" w:lineRule="exact"/>
        <w:rPr>
          <w:sz w:val="20"/>
          <w:szCs w:val="20"/>
          <w:color w:val="auto"/>
        </w:rPr>
      </w:pPr>
    </w:p>
    <w:p>
      <w:pPr>
        <w:ind w:left="20"/>
        <w:spacing w:after="0"/>
        <w:rPr>
          <w:sz w:val="20"/>
          <w:szCs w:val="20"/>
          <w:color w:val="auto"/>
        </w:rPr>
      </w:pPr>
      <w:r>
        <w:rPr>
          <w:rFonts w:ascii="Calibri" w:cs="Calibri" w:eastAsia="Calibri" w:hAnsi="Calibri"/>
          <w:sz w:val="17"/>
          <w:szCs w:val="17"/>
          <w:b w:val="1"/>
          <w:bCs w:val="1"/>
          <w:color w:val="006880"/>
        </w:rPr>
        <w:t>7.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27305</wp:posOffset>
            </wp:positionV>
            <wp:extent cx="7161530"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Calibri" w:cs="Calibri" w:eastAsia="Calibri" w:hAnsi="Calibri"/>
          <w:sz w:val="14"/>
          <w:szCs w:val="14"/>
          <w:color w:val="51555C"/>
        </w:rPr>
        <w:t>The following table summarizes our debt balances and the related weighted average efectve interest rates, which includes the efect of interest rate swap agreements.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4940" w:type="dxa"/>
            <w:vAlign w:val="bottom"/>
            <w:shd w:val="clear" w:color="auto" w:fill="004054"/>
          </w:tcPr>
          <w:p>
            <w:pPr>
              <w:spacing w:after="0"/>
              <w:rPr>
                <w:sz w:val="12"/>
                <w:szCs w:val="12"/>
                <w:color w:val="auto"/>
              </w:rPr>
            </w:pPr>
          </w:p>
        </w:tc>
        <w:tc>
          <w:tcPr>
            <w:tcW w:w="500" w:type="dxa"/>
            <w:vAlign w:val="bottom"/>
            <w:shd w:val="clear" w:color="auto" w:fill="004054"/>
          </w:tcPr>
          <w:p>
            <w:pPr>
              <w:spacing w:after="0"/>
              <w:rPr>
                <w:sz w:val="12"/>
                <w:szCs w:val="12"/>
                <w:color w:val="auto"/>
              </w:rPr>
            </w:pPr>
          </w:p>
        </w:tc>
        <w:tc>
          <w:tcPr>
            <w:tcW w:w="1020" w:type="dxa"/>
            <w:vAlign w:val="bottom"/>
            <w:shd w:val="clear" w:color="auto" w:fill="004054"/>
          </w:tcPr>
          <w:p>
            <w:pPr>
              <w:spacing w:after="0"/>
              <w:rPr>
                <w:sz w:val="12"/>
                <w:szCs w:val="12"/>
                <w:color w:val="auto"/>
              </w:rPr>
            </w:pPr>
          </w:p>
        </w:tc>
        <w:tc>
          <w:tcPr>
            <w:tcW w:w="420" w:type="dxa"/>
            <w:vAlign w:val="bottom"/>
            <w:shd w:val="clear" w:color="auto" w:fill="004054"/>
          </w:tcPr>
          <w:p>
            <w:pPr>
              <w:spacing w:after="0"/>
              <w:rPr>
                <w:sz w:val="12"/>
                <w:szCs w:val="12"/>
                <w:color w:val="auto"/>
              </w:rPr>
            </w:pPr>
          </w:p>
        </w:tc>
        <w:tc>
          <w:tcPr>
            <w:tcW w:w="1100" w:type="dxa"/>
            <w:vAlign w:val="bottom"/>
            <w:shd w:val="clear" w:color="auto" w:fill="004054"/>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shd w:val="clear" w:color="auto" w:fill="004054"/>
          </w:tcPr>
          <w:p>
            <w:pPr>
              <w:spacing w:after="0"/>
              <w:rPr>
                <w:sz w:val="12"/>
                <w:szCs w:val="12"/>
                <w:color w:val="auto"/>
              </w:rPr>
            </w:pPr>
          </w:p>
        </w:tc>
        <w:tc>
          <w:tcPr>
            <w:tcW w:w="160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Weighted average</w:t>
            </w:r>
          </w:p>
        </w:tc>
        <w:tc>
          <w:tcPr>
            <w:tcW w:w="20" w:type="dxa"/>
            <w:vAlign w:val="bottom"/>
            <w:shd w:val="clear" w:color="auto" w:fill="004054"/>
          </w:tcPr>
          <w:p>
            <w:pPr>
              <w:spacing w:after="0"/>
              <w:rPr>
                <w:sz w:val="12"/>
                <w:szCs w:val="12"/>
                <w:color w:val="auto"/>
              </w:rPr>
            </w:pPr>
          </w:p>
        </w:tc>
      </w:tr>
      <w:tr>
        <w:trPr>
          <w:trHeight w:val="135"/>
        </w:trPr>
        <w:tc>
          <w:tcPr>
            <w:tcW w:w="4940" w:type="dxa"/>
            <w:vAlign w:val="bottom"/>
            <w:shd w:val="clear" w:color="auto" w:fill="004054"/>
          </w:tcPr>
          <w:p>
            <w:pPr>
              <w:spacing w:after="0"/>
              <w:rPr>
                <w:sz w:val="11"/>
                <w:szCs w:val="11"/>
                <w:color w:val="auto"/>
              </w:rPr>
            </w:pPr>
          </w:p>
        </w:tc>
        <w:tc>
          <w:tcPr>
            <w:tcW w:w="500" w:type="dxa"/>
            <w:vAlign w:val="bottom"/>
            <w:shd w:val="clear" w:color="auto" w:fill="004054"/>
          </w:tcPr>
          <w:p>
            <w:pPr>
              <w:spacing w:after="0"/>
              <w:rPr>
                <w:sz w:val="11"/>
                <w:szCs w:val="11"/>
                <w:color w:val="auto"/>
              </w:rPr>
            </w:pPr>
          </w:p>
        </w:tc>
        <w:tc>
          <w:tcPr>
            <w:tcW w:w="1020" w:type="dxa"/>
            <w:vAlign w:val="bottom"/>
            <w:shd w:val="clear" w:color="auto" w:fill="004054"/>
          </w:tcPr>
          <w:p>
            <w:pPr>
              <w:spacing w:after="0"/>
              <w:rPr>
                <w:sz w:val="11"/>
                <w:szCs w:val="11"/>
                <w:color w:val="auto"/>
              </w:rPr>
            </w:pPr>
          </w:p>
        </w:tc>
        <w:tc>
          <w:tcPr>
            <w:tcW w:w="420" w:type="dxa"/>
            <w:vAlign w:val="bottom"/>
            <w:shd w:val="clear" w:color="auto" w:fill="004054"/>
          </w:tcPr>
          <w:p>
            <w:pPr>
              <w:spacing w:after="0"/>
              <w:rPr>
                <w:sz w:val="11"/>
                <w:szCs w:val="11"/>
                <w:color w:val="auto"/>
              </w:rPr>
            </w:pPr>
          </w:p>
        </w:tc>
        <w:tc>
          <w:tcPr>
            <w:tcW w:w="110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Debt balance at</w:t>
            </w:r>
          </w:p>
        </w:tc>
        <w:tc>
          <w:tcPr>
            <w:tcW w:w="80" w:type="dxa"/>
            <w:vAlign w:val="bottom"/>
          </w:tcPr>
          <w:p>
            <w:pPr>
              <w:spacing w:after="0"/>
              <w:rPr>
                <w:sz w:val="11"/>
                <w:szCs w:val="11"/>
                <w:color w:val="auto"/>
              </w:rPr>
            </w:pPr>
          </w:p>
        </w:tc>
        <w:tc>
          <w:tcPr>
            <w:tcW w:w="1620" w:type="dxa"/>
            <w:vAlign w:val="bottom"/>
            <w:shd w:val="clear" w:color="auto" w:fill="004054"/>
          </w:tcPr>
          <w:p>
            <w:pPr>
              <w:spacing w:after="0"/>
              <w:rPr>
                <w:sz w:val="11"/>
                <w:szCs w:val="11"/>
                <w:color w:val="auto"/>
              </w:rPr>
            </w:pPr>
          </w:p>
        </w:tc>
        <w:tc>
          <w:tcPr>
            <w:tcW w:w="160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efectve interest rate at</w:t>
            </w:r>
          </w:p>
        </w:tc>
        <w:tc>
          <w:tcPr>
            <w:tcW w:w="20" w:type="dxa"/>
            <w:vAlign w:val="bottom"/>
            <w:shd w:val="clear" w:color="auto" w:fill="004054"/>
          </w:tcPr>
          <w:p>
            <w:pPr>
              <w:spacing w:after="0"/>
              <w:rPr>
                <w:sz w:val="11"/>
                <w:szCs w:val="11"/>
                <w:color w:val="auto"/>
              </w:rPr>
            </w:pPr>
          </w:p>
        </w:tc>
      </w:tr>
      <w:tr>
        <w:trPr>
          <w:trHeight w:val="191"/>
        </w:trPr>
        <w:tc>
          <w:tcPr>
            <w:tcW w:w="4940" w:type="dxa"/>
            <w:vAlign w:val="bottom"/>
            <w:shd w:val="clear" w:color="auto" w:fill="004054"/>
          </w:tcPr>
          <w:p>
            <w:pPr>
              <w:spacing w:after="0"/>
              <w:rPr>
                <w:sz w:val="16"/>
                <w:szCs w:val="16"/>
                <w:color w:val="auto"/>
              </w:rPr>
            </w:pPr>
          </w:p>
        </w:tc>
        <w:tc>
          <w:tcPr>
            <w:tcW w:w="500" w:type="dxa"/>
            <w:vAlign w:val="bottom"/>
            <w:shd w:val="clear" w:color="auto" w:fill="004054"/>
          </w:tcPr>
          <w:p>
            <w:pPr>
              <w:spacing w:after="0"/>
              <w:rPr>
                <w:sz w:val="16"/>
                <w:szCs w:val="16"/>
                <w:color w:val="auto"/>
              </w:rPr>
            </w:pPr>
          </w:p>
        </w:tc>
        <w:tc>
          <w:tcPr>
            <w:tcW w:w="102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June 30,</w:t>
            </w:r>
          </w:p>
        </w:tc>
        <w:tc>
          <w:tcPr>
            <w:tcW w:w="420" w:type="dxa"/>
            <w:vAlign w:val="bottom"/>
            <w:shd w:val="clear" w:color="auto" w:fill="004054"/>
          </w:tcPr>
          <w:p>
            <w:pPr>
              <w:spacing w:after="0"/>
              <w:rPr>
                <w:sz w:val="16"/>
                <w:szCs w:val="16"/>
                <w:color w:val="auto"/>
              </w:rPr>
            </w:pPr>
          </w:p>
        </w:tc>
        <w:tc>
          <w:tcPr>
            <w:tcW w:w="110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December 31,</w:t>
            </w:r>
          </w:p>
        </w:tc>
        <w:tc>
          <w:tcPr>
            <w:tcW w:w="80" w:type="dxa"/>
            <w:vAlign w:val="bottom"/>
          </w:tcPr>
          <w:p>
            <w:pPr>
              <w:spacing w:after="0"/>
              <w:rPr>
                <w:sz w:val="16"/>
                <w:szCs w:val="16"/>
                <w:color w:val="auto"/>
              </w:rPr>
            </w:pPr>
          </w:p>
        </w:tc>
        <w:tc>
          <w:tcPr>
            <w:tcW w:w="162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June 30,</w:t>
            </w:r>
          </w:p>
        </w:tc>
        <w:tc>
          <w:tcPr>
            <w:tcW w:w="160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December 31,</w:t>
            </w:r>
          </w:p>
        </w:tc>
        <w:tc>
          <w:tcPr>
            <w:tcW w:w="20" w:type="dxa"/>
            <w:vAlign w:val="bottom"/>
            <w:shd w:val="clear" w:color="auto" w:fill="004054"/>
          </w:tcPr>
          <w:p>
            <w:pPr>
              <w:spacing w:after="0"/>
              <w:rPr>
                <w:sz w:val="16"/>
                <w:szCs w:val="16"/>
                <w:color w:val="auto"/>
              </w:rPr>
            </w:pPr>
          </w:p>
        </w:tc>
      </w:tr>
      <w:tr>
        <w:trPr>
          <w:trHeight w:val="138"/>
        </w:trPr>
        <w:tc>
          <w:tcPr>
            <w:tcW w:w="4940" w:type="dxa"/>
            <w:vAlign w:val="bottom"/>
            <w:shd w:val="clear" w:color="auto" w:fill="004054"/>
          </w:tcPr>
          <w:p>
            <w:pPr>
              <w:ind w:left="20"/>
              <w:spacing w:after="0"/>
              <w:rPr>
                <w:sz w:val="20"/>
                <w:szCs w:val="20"/>
                <w:color w:val="auto"/>
              </w:rPr>
            </w:pPr>
            <w:r>
              <w:rPr>
                <w:rFonts w:ascii="Calibri" w:cs="Calibri" w:eastAsia="Calibri" w:hAnsi="Calibri"/>
                <w:sz w:val="11"/>
                <w:szCs w:val="11"/>
                <w:b w:val="1"/>
                <w:bCs w:val="1"/>
                <w:color w:val="FFFFFF"/>
              </w:rPr>
              <w:t>(dollars in thousands)</w:t>
            </w:r>
          </w:p>
        </w:tc>
        <w:tc>
          <w:tcPr>
            <w:tcW w:w="500" w:type="dxa"/>
            <w:vAlign w:val="bottom"/>
            <w:shd w:val="clear" w:color="auto" w:fill="004054"/>
          </w:tcPr>
          <w:p>
            <w:pPr>
              <w:spacing w:after="0"/>
              <w:rPr>
                <w:sz w:val="11"/>
                <w:szCs w:val="11"/>
                <w:color w:val="auto"/>
              </w:rPr>
            </w:pPr>
          </w:p>
        </w:tc>
        <w:tc>
          <w:tcPr>
            <w:tcW w:w="102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2024</w:t>
            </w:r>
          </w:p>
        </w:tc>
        <w:tc>
          <w:tcPr>
            <w:tcW w:w="420" w:type="dxa"/>
            <w:vAlign w:val="bottom"/>
            <w:shd w:val="clear" w:color="auto" w:fill="004054"/>
          </w:tcPr>
          <w:p>
            <w:pPr>
              <w:spacing w:after="0"/>
              <w:rPr>
                <w:sz w:val="11"/>
                <w:szCs w:val="11"/>
                <w:color w:val="auto"/>
              </w:rPr>
            </w:pPr>
          </w:p>
        </w:tc>
        <w:tc>
          <w:tcPr>
            <w:tcW w:w="110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2023</w:t>
            </w:r>
          </w:p>
        </w:tc>
        <w:tc>
          <w:tcPr>
            <w:tcW w:w="80" w:type="dxa"/>
            <w:vAlign w:val="bottom"/>
          </w:tcPr>
          <w:p>
            <w:pPr>
              <w:spacing w:after="0"/>
              <w:rPr>
                <w:sz w:val="11"/>
                <w:szCs w:val="11"/>
                <w:color w:val="auto"/>
              </w:rPr>
            </w:pPr>
          </w:p>
        </w:tc>
        <w:tc>
          <w:tcPr>
            <w:tcW w:w="162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2024</w:t>
            </w:r>
          </w:p>
        </w:tc>
        <w:tc>
          <w:tcPr>
            <w:tcW w:w="160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2023</w:t>
            </w:r>
          </w:p>
        </w:tc>
        <w:tc>
          <w:tcPr>
            <w:tcW w:w="20" w:type="dxa"/>
            <w:vAlign w:val="bottom"/>
            <w:shd w:val="clear" w:color="auto" w:fill="004054"/>
          </w:tcPr>
          <w:p>
            <w:pPr>
              <w:spacing w:after="0"/>
              <w:rPr>
                <w:sz w:val="11"/>
                <w:szCs w:val="11"/>
                <w:color w:val="auto"/>
              </w:rPr>
            </w:pPr>
          </w:p>
        </w:tc>
      </w:tr>
      <w:tr>
        <w:trPr>
          <w:trHeight w:val="46"/>
        </w:trPr>
        <w:tc>
          <w:tcPr>
            <w:tcW w:w="4940" w:type="dxa"/>
            <w:vAlign w:val="bottom"/>
            <w:tcBorders>
              <w:bottom w:val="single" w:sz="8" w:color="004054"/>
            </w:tcBorders>
            <w:shd w:val="clear" w:color="auto" w:fill="004054"/>
          </w:tcPr>
          <w:p>
            <w:pPr>
              <w:spacing w:after="0"/>
              <w:rPr>
                <w:sz w:val="4"/>
                <w:szCs w:val="4"/>
                <w:color w:val="auto"/>
              </w:rPr>
            </w:pPr>
          </w:p>
        </w:tc>
        <w:tc>
          <w:tcPr>
            <w:tcW w:w="500" w:type="dxa"/>
            <w:vAlign w:val="bottom"/>
            <w:tcBorders>
              <w:bottom w:val="single" w:sz="8" w:color="004054"/>
            </w:tcBorders>
            <w:shd w:val="clear" w:color="auto" w:fill="004054"/>
          </w:tcPr>
          <w:p>
            <w:pPr>
              <w:spacing w:after="0"/>
              <w:rPr>
                <w:sz w:val="4"/>
                <w:szCs w:val="4"/>
                <w:color w:val="auto"/>
              </w:rPr>
            </w:pPr>
          </w:p>
        </w:tc>
        <w:tc>
          <w:tcPr>
            <w:tcW w:w="1020" w:type="dxa"/>
            <w:vAlign w:val="bottom"/>
            <w:tcBorders>
              <w:bottom w:val="single" w:sz="8" w:color="004054"/>
            </w:tcBorders>
            <w:shd w:val="clear" w:color="auto" w:fill="004054"/>
          </w:tcPr>
          <w:p>
            <w:pPr>
              <w:spacing w:after="0"/>
              <w:rPr>
                <w:sz w:val="4"/>
                <w:szCs w:val="4"/>
                <w:color w:val="auto"/>
              </w:rPr>
            </w:pPr>
          </w:p>
        </w:tc>
        <w:tc>
          <w:tcPr>
            <w:tcW w:w="420" w:type="dxa"/>
            <w:vAlign w:val="bottom"/>
            <w:tcBorders>
              <w:bottom w:val="single" w:sz="8" w:color="004054"/>
            </w:tcBorders>
            <w:shd w:val="clear" w:color="auto" w:fill="004054"/>
          </w:tcPr>
          <w:p>
            <w:pPr>
              <w:spacing w:after="0"/>
              <w:rPr>
                <w:sz w:val="4"/>
                <w:szCs w:val="4"/>
                <w:color w:val="auto"/>
              </w:rPr>
            </w:pPr>
          </w:p>
        </w:tc>
        <w:tc>
          <w:tcPr>
            <w:tcW w:w="1100" w:type="dxa"/>
            <w:vAlign w:val="bottom"/>
            <w:tcBorders>
              <w:bottom w:val="single" w:sz="8" w:color="004054"/>
            </w:tcBorders>
            <w:shd w:val="clear" w:color="auto" w:fill="004054"/>
          </w:tcPr>
          <w:p>
            <w:pPr>
              <w:spacing w:after="0"/>
              <w:rPr>
                <w:sz w:val="4"/>
                <w:szCs w:val="4"/>
                <w:color w:val="auto"/>
              </w:rPr>
            </w:pPr>
          </w:p>
        </w:tc>
        <w:tc>
          <w:tcPr>
            <w:tcW w:w="80" w:type="dxa"/>
            <w:vAlign w:val="bottom"/>
            <w:tcBorders>
              <w:bottom w:val="single" w:sz="8" w:color="EBFBFF"/>
            </w:tcBorders>
          </w:tcPr>
          <w:p>
            <w:pPr>
              <w:spacing w:after="0"/>
              <w:rPr>
                <w:sz w:val="4"/>
                <w:szCs w:val="4"/>
                <w:color w:val="auto"/>
              </w:rPr>
            </w:pPr>
          </w:p>
        </w:tc>
        <w:tc>
          <w:tcPr>
            <w:tcW w:w="1620" w:type="dxa"/>
            <w:vAlign w:val="bottom"/>
            <w:tcBorders>
              <w:bottom w:val="single" w:sz="8" w:color="004054"/>
            </w:tcBorders>
            <w:shd w:val="clear" w:color="auto" w:fill="004054"/>
          </w:tcPr>
          <w:p>
            <w:pPr>
              <w:spacing w:after="0"/>
              <w:rPr>
                <w:sz w:val="4"/>
                <w:szCs w:val="4"/>
                <w:color w:val="auto"/>
              </w:rPr>
            </w:pPr>
          </w:p>
        </w:tc>
        <w:tc>
          <w:tcPr>
            <w:tcW w:w="1600" w:type="dxa"/>
            <w:vAlign w:val="bottom"/>
            <w:tcBorders>
              <w:bottom w:val="single" w:sz="8" w:color="004054"/>
            </w:tcBorders>
            <w:shd w:val="clear" w:color="auto" w:fill="004054"/>
          </w:tcPr>
          <w:p>
            <w:pPr>
              <w:spacing w:after="0"/>
              <w:rPr>
                <w:sz w:val="4"/>
                <w:szCs w:val="4"/>
                <w:color w:val="auto"/>
              </w:rPr>
            </w:pPr>
          </w:p>
        </w:tc>
        <w:tc>
          <w:tcPr>
            <w:tcW w:w="20" w:type="dxa"/>
            <w:vAlign w:val="bottom"/>
            <w:tcBorders>
              <w:bottom w:val="single" w:sz="8" w:color="004054"/>
            </w:tcBorders>
            <w:shd w:val="clear" w:color="auto" w:fill="004054"/>
          </w:tcPr>
          <w:p>
            <w:pPr>
              <w:spacing w:after="0"/>
              <w:rPr>
                <w:sz w:val="4"/>
                <w:szCs w:val="4"/>
                <w:color w:val="auto"/>
              </w:rPr>
            </w:pPr>
          </w:p>
        </w:tc>
      </w:tr>
      <w:tr>
        <w:trPr>
          <w:trHeight w:val="183"/>
        </w:trPr>
        <w:tc>
          <w:tcPr>
            <w:tcW w:w="4940" w:type="dxa"/>
            <w:vAlign w:val="bottom"/>
            <w:tcBorders>
              <w:bottom w:val="single" w:sz="8" w:color="EBFBFF"/>
            </w:tcBorders>
            <w:shd w:val="clear" w:color="auto" w:fill="EBFBFF"/>
          </w:tcPr>
          <w:p>
            <w:pPr>
              <w:ind w:left="20"/>
              <w:spacing w:after="0" w:line="163" w:lineRule="exact"/>
              <w:rPr>
                <w:sz w:val="20"/>
                <w:szCs w:val="20"/>
                <w:color w:val="auto"/>
              </w:rPr>
            </w:pPr>
            <w:r>
              <w:rPr>
                <w:rFonts w:ascii="Calibri" w:cs="Calibri" w:eastAsia="Calibri" w:hAnsi="Calibri"/>
                <w:sz w:val="14"/>
                <w:szCs w:val="14"/>
                <w:color w:val="51555C"/>
              </w:rPr>
              <w:t>Credit facility:</w:t>
            </w:r>
          </w:p>
        </w:tc>
        <w:tc>
          <w:tcPr>
            <w:tcW w:w="500" w:type="dxa"/>
            <w:vAlign w:val="bottom"/>
            <w:tcBorders>
              <w:bottom w:val="single" w:sz="8" w:color="EBFBFF"/>
            </w:tcBorders>
            <w:shd w:val="clear" w:color="auto" w:fill="EBFBFF"/>
          </w:tcPr>
          <w:p>
            <w:pPr>
              <w:spacing w:after="0"/>
              <w:rPr>
                <w:sz w:val="15"/>
                <w:szCs w:val="15"/>
                <w:color w:val="auto"/>
              </w:rPr>
            </w:pPr>
          </w:p>
        </w:tc>
        <w:tc>
          <w:tcPr>
            <w:tcW w:w="1020" w:type="dxa"/>
            <w:vAlign w:val="bottom"/>
            <w:tcBorders>
              <w:bottom w:val="single" w:sz="8" w:color="EBFBFF"/>
            </w:tcBorders>
            <w:shd w:val="clear" w:color="auto" w:fill="EBFBFF"/>
          </w:tcPr>
          <w:p>
            <w:pPr>
              <w:spacing w:after="0"/>
              <w:rPr>
                <w:sz w:val="15"/>
                <w:szCs w:val="15"/>
                <w:color w:val="auto"/>
              </w:rPr>
            </w:pPr>
          </w:p>
        </w:tc>
        <w:tc>
          <w:tcPr>
            <w:tcW w:w="420" w:type="dxa"/>
            <w:vAlign w:val="bottom"/>
            <w:tcBorders>
              <w:bottom w:val="single" w:sz="8" w:color="EBFBFF"/>
            </w:tcBorders>
            <w:shd w:val="clear" w:color="auto" w:fill="EBFBFF"/>
          </w:tcPr>
          <w:p>
            <w:pPr>
              <w:spacing w:after="0"/>
              <w:rPr>
                <w:sz w:val="15"/>
                <w:szCs w:val="15"/>
                <w:color w:val="auto"/>
              </w:rPr>
            </w:pPr>
          </w:p>
        </w:tc>
        <w:tc>
          <w:tcPr>
            <w:tcW w:w="1100" w:type="dxa"/>
            <w:vAlign w:val="bottom"/>
            <w:tcBorders>
              <w:bottom w:val="single" w:sz="8" w:color="EBFBFF"/>
            </w:tcBorders>
            <w:shd w:val="clear" w:color="auto" w:fill="EBFBFF"/>
          </w:tcPr>
          <w:p>
            <w:pPr>
              <w:spacing w:after="0"/>
              <w:rPr>
                <w:sz w:val="15"/>
                <w:szCs w:val="15"/>
                <w:color w:val="auto"/>
              </w:rPr>
            </w:pPr>
          </w:p>
        </w:tc>
        <w:tc>
          <w:tcPr>
            <w:tcW w:w="80" w:type="dxa"/>
            <w:vAlign w:val="bottom"/>
            <w:tcBorders>
              <w:bottom w:val="single" w:sz="8" w:color="EBFBFF"/>
            </w:tcBorders>
            <w:shd w:val="clear" w:color="auto" w:fill="EBFBFF"/>
          </w:tcPr>
          <w:p>
            <w:pPr>
              <w:spacing w:after="0"/>
              <w:rPr>
                <w:sz w:val="15"/>
                <w:szCs w:val="15"/>
                <w:color w:val="auto"/>
              </w:rPr>
            </w:pPr>
          </w:p>
        </w:tc>
        <w:tc>
          <w:tcPr>
            <w:tcW w:w="1620" w:type="dxa"/>
            <w:vAlign w:val="bottom"/>
            <w:tcBorders>
              <w:bottom w:val="single" w:sz="8" w:color="EBFBFF"/>
            </w:tcBorders>
            <w:shd w:val="clear" w:color="auto" w:fill="EBFBFF"/>
          </w:tcPr>
          <w:p>
            <w:pPr>
              <w:spacing w:after="0"/>
              <w:rPr>
                <w:sz w:val="15"/>
                <w:szCs w:val="15"/>
                <w:color w:val="auto"/>
              </w:rPr>
            </w:pPr>
          </w:p>
        </w:tc>
        <w:tc>
          <w:tcPr>
            <w:tcW w:w="1600" w:type="dxa"/>
            <w:vAlign w:val="bottom"/>
            <w:tcBorders>
              <w:bottom w:val="single" w:sz="8" w:color="EBFBFF"/>
            </w:tcBorders>
            <w:shd w:val="clear" w:color="auto" w:fill="EBFBFF"/>
          </w:tcPr>
          <w:p>
            <w:pPr>
              <w:spacing w:after="0"/>
              <w:rPr>
                <w:sz w:val="15"/>
                <w:szCs w:val="15"/>
                <w:color w:val="auto"/>
              </w:rPr>
            </w:pPr>
          </w:p>
        </w:tc>
        <w:tc>
          <w:tcPr>
            <w:tcW w:w="20" w:type="dxa"/>
            <w:vAlign w:val="bottom"/>
          </w:tcPr>
          <w:p>
            <w:pPr>
              <w:spacing w:after="0"/>
              <w:rPr>
                <w:sz w:val="15"/>
                <w:szCs w:val="15"/>
                <w:color w:val="auto"/>
              </w:rPr>
            </w:pPr>
          </w:p>
        </w:tc>
      </w:tr>
      <w:tr>
        <w:trPr>
          <w:trHeight w:val="172"/>
        </w:trPr>
        <w:tc>
          <w:tcPr>
            <w:tcW w:w="4940" w:type="dxa"/>
            <w:vAlign w:val="bottom"/>
          </w:tcPr>
          <w:p>
            <w:pPr>
              <w:ind w:left="100"/>
              <w:spacing w:after="0"/>
              <w:rPr>
                <w:sz w:val="20"/>
                <w:szCs w:val="20"/>
                <w:color w:val="auto"/>
              </w:rPr>
            </w:pPr>
            <w:r>
              <w:rPr>
                <w:rFonts w:ascii="Calibri" w:cs="Calibri" w:eastAsia="Calibri" w:hAnsi="Calibri"/>
                <w:sz w:val="14"/>
                <w:szCs w:val="14"/>
                <w:color w:val="51555C"/>
              </w:rPr>
              <w:t>Revolving credit loans</w:t>
            </w:r>
          </w:p>
        </w:tc>
        <w:tc>
          <w:tcPr>
            <w:tcW w:w="500" w:type="dxa"/>
            <w:vAlign w:val="bottom"/>
          </w:tcPr>
          <w:p>
            <w:pPr>
              <w:jc w:val="right"/>
              <w:ind w:right="329"/>
              <w:spacing w:after="0"/>
              <w:rPr>
                <w:sz w:val="20"/>
                <w:szCs w:val="20"/>
                <w:color w:val="auto"/>
              </w:rPr>
            </w:pPr>
            <w:r>
              <w:rPr>
                <w:rFonts w:ascii="Calibri" w:cs="Calibri" w:eastAsia="Calibri" w:hAnsi="Calibri"/>
                <w:sz w:val="14"/>
                <w:szCs w:val="14"/>
                <w:color w:val="51555C"/>
              </w:rPr>
              <w:t>$</w:t>
            </w:r>
          </w:p>
        </w:tc>
        <w:tc>
          <w:tcPr>
            <w:tcW w:w="1020" w:type="dxa"/>
            <w:vAlign w:val="bottom"/>
          </w:tcPr>
          <w:p>
            <w:pPr>
              <w:jc w:val="right"/>
              <w:spacing w:after="0"/>
              <w:rPr>
                <w:sz w:val="20"/>
                <w:szCs w:val="20"/>
                <w:color w:val="auto"/>
              </w:rPr>
            </w:pPr>
            <w:r>
              <w:rPr>
                <w:rFonts w:ascii="Calibri" w:cs="Calibri" w:eastAsia="Calibri" w:hAnsi="Calibri"/>
                <w:sz w:val="14"/>
                <w:szCs w:val="14"/>
                <w:color w:val="51555C"/>
              </w:rPr>
              <w:t>167,300</w:t>
            </w:r>
          </w:p>
        </w:tc>
        <w:tc>
          <w:tcPr>
            <w:tcW w:w="420" w:type="dxa"/>
            <w:vAlign w:val="bottom"/>
          </w:tcPr>
          <w:p>
            <w:pPr>
              <w:jc w:val="right"/>
              <w:ind w:right="249"/>
              <w:spacing w:after="0"/>
              <w:rPr>
                <w:sz w:val="20"/>
                <w:szCs w:val="20"/>
                <w:color w:val="auto"/>
              </w:rPr>
            </w:pPr>
            <w:r>
              <w:rPr>
                <w:rFonts w:ascii="Calibri" w:cs="Calibri" w:eastAsia="Calibri" w:hAnsi="Calibri"/>
                <w:sz w:val="14"/>
                <w:szCs w:val="14"/>
                <w:color w:val="51555C"/>
              </w:rPr>
              <w:t>$</w:t>
            </w:r>
          </w:p>
        </w:tc>
        <w:tc>
          <w:tcPr>
            <w:tcW w:w="1100" w:type="dxa"/>
            <w:vAlign w:val="bottom"/>
          </w:tcPr>
          <w:p>
            <w:pPr>
              <w:jc w:val="right"/>
              <w:spacing w:after="0"/>
              <w:rPr>
                <w:sz w:val="20"/>
                <w:szCs w:val="20"/>
                <w:color w:val="auto"/>
              </w:rPr>
            </w:pPr>
            <w:r>
              <w:rPr>
                <w:rFonts w:ascii="Calibri" w:cs="Calibri" w:eastAsia="Calibri" w:hAnsi="Calibri"/>
                <w:sz w:val="14"/>
                <w:szCs w:val="14"/>
                <w:color w:val="51555C"/>
              </w:rPr>
              <w:t>114,100</w:t>
            </w:r>
          </w:p>
        </w:tc>
        <w:tc>
          <w:tcPr>
            <w:tcW w:w="1700" w:type="dxa"/>
            <w:vAlign w:val="bottom"/>
            <w:gridSpan w:val="2"/>
          </w:tcPr>
          <w:p>
            <w:pPr>
              <w:jc w:val="right"/>
              <w:spacing w:after="0"/>
              <w:rPr>
                <w:sz w:val="20"/>
                <w:szCs w:val="20"/>
                <w:color w:val="auto"/>
              </w:rPr>
            </w:pPr>
            <w:r>
              <w:rPr>
                <w:rFonts w:ascii="Calibri" w:cs="Calibri" w:eastAsia="Calibri" w:hAnsi="Calibri"/>
                <w:sz w:val="14"/>
                <w:szCs w:val="14"/>
                <w:color w:val="51555C"/>
              </w:rPr>
              <w:t>7.78 %</w:t>
            </w:r>
          </w:p>
        </w:tc>
        <w:tc>
          <w:tcPr>
            <w:tcW w:w="1600" w:type="dxa"/>
            <w:vAlign w:val="bottom"/>
          </w:tcPr>
          <w:p>
            <w:pPr>
              <w:jc w:val="right"/>
              <w:spacing w:after="0"/>
              <w:rPr>
                <w:sz w:val="20"/>
                <w:szCs w:val="20"/>
                <w:color w:val="auto"/>
              </w:rPr>
            </w:pPr>
            <w:r>
              <w:rPr>
                <w:rFonts w:ascii="Calibri" w:cs="Calibri" w:eastAsia="Calibri" w:hAnsi="Calibri"/>
                <w:sz w:val="14"/>
                <w:szCs w:val="14"/>
                <w:color w:val="51555C"/>
              </w:rPr>
              <w:t>7.52 %</w:t>
            </w:r>
          </w:p>
        </w:tc>
        <w:tc>
          <w:tcPr>
            <w:tcW w:w="20" w:type="dxa"/>
            <w:vAlign w:val="bottom"/>
          </w:tcPr>
          <w:p>
            <w:pPr>
              <w:spacing w:after="0"/>
              <w:rPr>
                <w:sz w:val="14"/>
                <w:szCs w:val="14"/>
                <w:color w:val="auto"/>
              </w:rPr>
            </w:pPr>
          </w:p>
        </w:tc>
      </w:tr>
      <w:tr>
        <w:trPr>
          <w:trHeight w:val="40"/>
        </w:trPr>
        <w:tc>
          <w:tcPr>
            <w:tcW w:w="49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92"/>
        </w:trPr>
        <w:tc>
          <w:tcPr>
            <w:tcW w:w="4940" w:type="dxa"/>
            <w:vAlign w:val="bottom"/>
            <w:tcBorders>
              <w:bottom w:val="single" w:sz="8" w:color="EBFBFF"/>
            </w:tcBorders>
            <w:shd w:val="clear" w:color="auto" w:fill="EBFBFF"/>
          </w:tcPr>
          <w:p>
            <w:pPr>
              <w:ind w:left="100"/>
              <w:spacing w:after="0"/>
              <w:rPr>
                <w:sz w:val="20"/>
                <w:szCs w:val="20"/>
                <w:color w:val="auto"/>
              </w:rPr>
            </w:pPr>
            <w:r>
              <w:rPr>
                <w:rFonts w:ascii="Calibri" w:cs="Calibri" w:eastAsia="Calibri" w:hAnsi="Calibri"/>
                <w:sz w:val="14"/>
                <w:szCs w:val="14"/>
                <w:color w:val="51555C"/>
              </w:rPr>
              <w:t>Term loans</w:t>
            </w:r>
          </w:p>
        </w:tc>
        <w:tc>
          <w:tcPr>
            <w:tcW w:w="500" w:type="dxa"/>
            <w:vAlign w:val="bottom"/>
            <w:tcBorders>
              <w:bottom w:val="single" w:sz="8" w:color="EBFBFF"/>
            </w:tcBorders>
            <w:shd w:val="clear" w:color="auto" w:fill="EBFBFF"/>
          </w:tcPr>
          <w:p>
            <w:pPr>
              <w:spacing w:after="0"/>
              <w:rPr>
                <w:sz w:val="16"/>
                <w:szCs w:val="16"/>
                <w:color w:val="auto"/>
              </w:rPr>
            </w:pPr>
          </w:p>
        </w:tc>
        <w:tc>
          <w:tcPr>
            <w:tcW w:w="10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800,000</w:t>
            </w:r>
          </w:p>
        </w:tc>
        <w:tc>
          <w:tcPr>
            <w:tcW w:w="420" w:type="dxa"/>
            <w:vAlign w:val="bottom"/>
            <w:tcBorders>
              <w:bottom w:val="single" w:sz="8" w:color="EBFBFF"/>
            </w:tcBorders>
            <w:shd w:val="clear" w:color="auto" w:fill="EBFBFF"/>
          </w:tcPr>
          <w:p>
            <w:pPr>
              <w:spacing w:after="0"/>
              <w:rPr>
                <w:sz w:val="16"/>
                <w:szCs w:val="16"/>
                <w:color w:val="auto"/>
              </w:rPr>
            </w:pPr>
          </w:p>
        </w:tc>
        <w:tc>
          <w:tcPr>
            <w:tcW w:w="11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607,500</w:t>
            </w:r>
          </w:p>
        </w:tc>
        <w:tc>
          <w:tcPr>
            <w:tcW w:w="1700" w:type="dxa"/>
            <w:vAlign w:val="bottom"/>
            <w:tcBorders>
              <w:bottom w:val="single" w:sz="8" w:color="EBFBFF"/>
            </w:tcBorders>
            <w:gridSpan w:val="2"/>
            <w:shd w:val="clear" w:color="auto" w:fill="EBFBFF"/>
          </w:tcPr>
          <w:p>
            <w:pPr>
              <w:jc w:val="right"/>
              <w:spacing w:after="0"/>
              <w:rPr>
                <w:sz w:val="20"/>
                <w:szCs w:val="20"/>
                <w:color w:val="auto"/>
              </w:rPr>
            </w:pPr>
            <w:r>
              <w:rPr>
                <w:rFonts w:ascii="Calibri" w:cs="Calibri" w:eastAsia="Calibri" w:hAnsi="Calibri"/>
                <w:sz w:val="14"/>
                <w:szCs w:val="14"/>
                <w:color w:val="51555C"/>
              </w:rPr>
              <w:t>4.61 %</w:t>
            </w:r>
          </w:p>
        </w:tc>
        <w:tc>
          <w:tcPr>
            <w:tcW w:w="16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3.51 %</w:t>
            </w:r>
          </w:p>
        </w:tc>
        <w:tc>
          <w:tcPr>
            <w:tcW w:w="20" w:type="dxa"/>
            <w:vAlign w:val="bottom"/>
          </w:tcPr>
          <w:p>
            <w:pPr>
              <w:spacing w:after="0"/>
              <w:rPr>
                <w:sz w:val="16"/>
                <w:szCs w:val="16"/>
                <w:color w:val="auto"/>
              </w:rPr>
            </w:pPr>
          </w:p>
        </w:tc>
      </w:tr>
      <w:tr>
        <w:trPr>
          <w:trHeight w:val="172"/>
        </w:trPr>
        <w:tc>
          <w:tcPr>
            <w:tcW w:w="4940" w:type="dxa"/>
            <w:vAlign w:val="bottom"/>
          </w:tcPr>
          <w:p>
            <w:pPr>
              <w:ind w:left="20"/>
              <w:spacing w:after="0"/>
              <w:rPr>
                <w:sz w:val="20"/>
                <w:szCs w:val="20"/>
                <w:color w:val="auto"/>
              </w:rPr>
            </w:pPr>
            <w:r>
              <w:rPr>
                <w:rFonts w:ascii="Calibri" w:cs="Calibri" w:eastAsia="Calibri" w:hAnsi="Calibri"/>
                <w:sz w:val="14"/>
                <w:szCs w:val="14"/>
                <w:color w:val="51555C"/>
              </w:rPr>
              <w:t>Real estate loans</w:t>
            </w:r>
          </w:p>
        </w:tc>
        <w:tc>
          <w:tcPr>
            <w:tcW w:w="5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alibri" w:cs="Calibri" w:eastAsia="Calibri" w:hAnsi="Calibri"/>
                <w:sz w:val="14"/>
                <w:szCs w:val="14"/>
                <w:color w:val="51555C"/>
              </w:rPr>
              <w:t>55,965</w:t>
            </w:r>
          </w:p>
        </w:tc>
        <w:tc>
          <w:tcPr>
            <w:tcW w:w="4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alibri" w:cs="Calibri" w:eastAsia="Calibri" w:hAnsi="Calibri"/>
                <w:sz w:val="14"/>
                <w:szCs w:val="14"/>
                <w:color w:val="51555C"/>
              </w:rPr>
              <w:t>56,745</w:t>
            </w:r>
          </w:p>
        </w:tc>
        <w:tc>
          <w:tcPr>
            <w:tcW w:w="1700" w:type="dxa"/>
            <w:vAlign w:val="bottom"/>
            <w:gridSpan w:val="2"/>
          </w:tcPr>
          <w:p>
            <w:pPr>
              <w:jc w:val="right"/>
              <w:spacing w:after="0"/>
              <w:rPr>
                <w:sz w:val="20"/>
                <w:szCs w:val="20"/>
                <w:color w:val="auto"/>
              </w:rPr>
            </w:pPr>
            <w:r>
              <w:rPr>
                <w:rFonts w:ascii="Calibri" w:cs="Calibri" w:eastAsia="Calibri" w:hAnsi="Calibri"/>
                <w:sz w:val="14"/>
                <w:szCs w:val="14"/>
                <w:color w:val="51555C"/>
              </w:rPr>
              <w:t>5.23 %</w:t>
            </w:r>
          </w:p>
        </w:tc>
        <w:tc>
          <w:tcPr>
            <w:tcW w:w="1600" w:type="dxa"/>
            <w:vAlign w:val="bottom"/>
          </w:tcPr>
          <w:p>
            <w:pPr>
              <w:jc w:val="right"/>
              <w:spacing w:after="0"/>
              <w:rPr>
                <w:sz w:val="20"/>
                <w:szCs w:val="20"/>
                <w:color w:val="auto"/>
              </w:rPr>
            </w:pPr>
            <w:r>
              <w:rPr>
                <w:rFonts w:ascii="Calibri" w:cs="Calibri" w:eastAsia="Calibri" w:hAnsi="Calibri"/>
                <w:sz w:val="14"/>
                <w:szCs w:val="14"/>
                <w:color w:val="51555C"/>
              </w:rPr>
              <w:t>5.22 %</w:t>
            </w:r>
          </w:p>
        </w:tc>
        <w:tc>
          <w:tcPr>
            <w:tcW w:w="20" w:type="dxa"/>
            <w:vAlign w:val="bottom"/>
          </w:tcPr>
          <w:p>
            <w:pPr>
              <w:spacing w:after="0"/>
              <w:rPr>
                <w:sz w:val="14"/>
                <w:szCs w:val="14"/>
                <w:color w:val="auto"/>
              </w:rPr>
            </w:pPr>
          </w:p>
        </w:tc>
      </w:tr>
      <w:tr>
        <w:trPr>
          <w:trHeight w:val="40"/>
        </w:trPr>
        <w:tc>
          <w:tcPr>
            <w:tcW w:w="49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12"/>
        </w:trPr>
        <w:tc>
          <w:tcPr>
            <w:tcW w:w="494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4"/>
                <w:szCs w:val="14"/>
                <w:color w:val="51555C"/>
              </w:rPr>
              <w:t>Other debt</w:t>
            </w:r>
          </w:p>
        </w:tc>
        <w:tc>
          <w:tcPr>
            <w:tcW w:w="500" w:type="dxa"/>
            <w:vAlign w:val="bottom"/>
            <w:tcBorders>
              <w:bottom w:val="single" w:sz="8" w:color="EBFBFF"/>
            </w:tcBorders>
            <w:shd w:val="clear" w:color="auto" w:fill="EBFBFF"/>
          </w:tcPr>
          <w:p>
            <w:pPr>
              <w:spacing w:after="0"/>
              <w:rPr>
                <w:sz w:val="18"/>
                <w:szCs w:val="18"/>
                <w:color w:val="auto"/>
              </w:rPr>
            </w:pPr>
          </w:p>
        </w:tc>
        <w:tc>
          <w:tcPr>
            <w:tcW w:w="10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2,782</w:t>
            </w:r>
          </w:p>
        </w:tc>
        <w:tc>
          <w:tcPr>
            <w:tcW w:w="420" w:type="dxa"/>
            <w:vAlign w:val="bottom"/>
            <w:tcBorders>
              <w:bottom w:val="single" w:sz="8" w:color="EBFBFF"/>
            </w:tcBorders>
            <w:shd w:val="clear" w:color="auto" w:fill="EBFBFF"/>
          </w:tcPr>
          <w:p>
            <w:pPr>
              <w:spacing w:after="0"/>
              <w:rPr>
                <w:sz w:val="18"/>
                <w:szCs w:val="18"/>
                <w:color w:val="auto"/>
              </w:rPr>
            </w:pPr>
          </w:p>
        </w:tc>
        <w:tc>
          <w:tcPr>
            <w:tcW w:w="11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2,800</w:t>
            </w:r>
          </w:p>
        </w:tc>
        <w:tc>
          <w:tcPr>
            <w:tcW w:w="1700" w:type="dxa"/>
            <w:vAlign w:val="bottom"/>
            <w:tcBorders>
              <w:bottom w:val="single" w:sz="8" w:color="EBFBFF"/>
            </w:tcBorders>
            <w:gridSpan w:val="2"/>
            <w:shd w:val="clear" w:color="auto" w:fill="EBFBFF"/>
          </w:tcPr>
          <w:p>
            <w:pPr>
              <w:jc w:val="right"/>
              <w:spacing w:after="0"/>
              <w:rPr>
                <w:sz w:val="20"/>
                <w:szCs w:val="20"/>
                <w:color w:val="auto"/>
              </w:rPr>
            </w:pPr>
            <w:r>
              <w:rPr>
                <w:rFonts w:ascii="Calibri" w:cs="Calibri" w:eastAsia="Calibri" w:hAnsi="Calibri"/>
                <w:sz w:val="14"/>
                <w:szCs w:val="14"/>
                <w:color w:val="51555C"/>
              </w:rPr>
              <w:t>8.77 %</w:t>
            </w:r>
          </w:p>
        </w:tc>
        <w:tc>
          <w:tcPr>
            <w:tcW w:w="16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8.42 %</w:t>
            </w:r>
          </w:p>
        </w:tc>
        <w:tc>
          <w:tcPr>
            <w:tcW w:w="20" w:type="dxa"/>
            <w:vAlign w:val="bottom"/>
          </w:tcPr>
          <w:p>
            <w:pPr>
              <w:spacing w:after="0"/>
              <w:rPr>
                <w:sz w:val="18"/>
                <w:szCs w:val="18"/>
                <w:color w:val="auto"/>
              </w:rPr>
            </w:pPr>
          </w:p>
        </w:tc>
      </w:tr>
      <w:tr>
        <w:trPr>
          <w:trHeight w:val="163"/>
        </w:trPr>
        <w:tc>
          <w:tcPr>
            <w:tcW w:w="4940" w:type="dxa"/>
            <w:vAlign w:val="bottom"/>
          </w:tcPr>
          <w:p>
            <w:pPr>
              <w:ind w:left="280"/>
              <w:spacing w:after="0" w:line="163" w:lineRule="exact"/>
              <w:rPr>
                <w:sz w:val="20"/>
                <w:szCs w:val="20"/>
                <w:color w:val="auto"/>
              </w:rPr>
            </w:pPr>
            <w:r>
              <w:rPr>
                <w:rFonts w:ascii="Calibri" w:cs="Calibri" w:eastAsia="Calibri" w:hAnsi="Calibri"/>
                <w:sz w:val="14"/>
                <w:szCs w:val="14"/>
                <w:color w:val="51555C"/>
              </w:rPr>
              <w:t>Total debt</w:t>
            </w:r>
          </w:p>
        </w:tc>
        <w:tc>
          <w:tcPr>
            <w:tcW w:w="500" w:type="dxa"/>
            <w:vAlign w:val="bottom"/>
            <w:tcBorders>
              <w:top w:val="single" w:sz="8" w:color="51555C"/>
            </w:tcBorders>
          </w:tcPr>
          <w:p>
            <w:pPr>
              <w:spacing w:after="0"/>
              <w:rPr>
                <w:sz w:val="14"/>
                <w:szCs w:val="14"/>
                <w:color w:val="auto"/>
              </w:rPr>
            </w:pPr>
          </w:p>
        </w:tc>
        <w:tc>
          <w:tcPr>
            <w:tcW w:w="1020" w:type="dxa"/>
            <w:vAlign w:val="bottom"/>
            <w:tcBorders>
              <w:top w:val="single" w:sz="8" w:color="51555C"/>
            </w:tcBorders>
          </w:tcPr>
          <w:p>
            <w:pPr>
              <w:jc w:val="right"/>
              <w:spacing w:after="0" w:line="163" w:lineRule="exact"/>
              <w:rPr>
                <w:sz w:val="20"/>
                <w:szCs w:val="20"/>
                <w:color w:val="auto"/>
              </w:rPr>
            </w:pPr>
            <w:r>
              <w:rPr>
                <w:rFonts w:ascii="Calibri" w:cs="Calibri" w:eastAsia="Calibri" w:hAnsi="Calibri"/>
                <w:sz w:val="14"/>
                <w:szCs w:val="14"/>
                <w:color w:val="51555C"/>
              </w:rPr>
              <w:t>1,026,047</w:t>
            </w:r>
          </w:p>
        </w:tc>
        <w:tc>
          <w:tcPr>
            <w:tcW w:w="420" w:type="dxa"/>
            <w:vAlign w:val="bottom"/>
            <w:tcBorders>
              <w:top w:val="single" w:sz="8" w:color="51555C"/>
            </w:tcBorders>
          </w:tcPr>
          <w:p>
            <w:pPr>
              <w:spacing w:after="0"/>
              <w:rPr>
                <w:sz w:val="14"/>
                <w:szCs w:val="14"/>
                <w:color w:val="auto"/>
              </w:rPr>
            </w:pPr>
          </w:p>
        </w:tc>
        <w:tc>
          <w:tcPr>
            <w:tcW w:w="1100" w:type="dxa"/>
            <w:vAlign w:val="bottom"/>
            <w:tcBorders>
              <w:top w:val="single" w:sz="8" w:color="51555C"/>
            </w:tcBorders>
          </w:tcPr>
          <w:p>
            <w:pPr>
              <w:jc w:val="right"/>
              <w:spacing w:after="0" w:line="163" w:lineRule="exact"/>
              <w:rPr>
                <w:sz w:val="20"/>
                <w:szCs w:val="20"/>
                <w:color w:val="auto"/>
              </w:rPr>
            </w:pPr>
            <w:r>
              <w:rPr>
                <w:rFonts w:ascii="Calibri" w:cs="Calibri" w:eastAsia="Calibri" w:hAnsi="Calibri"/>
                <w:sz w:val="14"/>
                <w:szCs w:val="14"/>
                <w:color w:val="51555C"/>
              </w:rPr>
              <w:t>781,145</w:t>
            </w:r>
          </w:p>
        </w:tc>
        <w:tc>
          <w:tcPr>
            <w:tcW w:w="80" w:type="dxa"/>
            <w:vAlign w:val="bottom"/>
          </w:tcPr>
          <w:p>
            <w:pPr>
              <w:spacing w:after="0"/>
              <w:rPr>
                <w:sz w:val="14"/>
                <w:szCs w:val="14"/>
                <w:color w:val="auto"/>
              </w:rPr>
            </w:pPr>
          </w:p>
        </w:tc>
        <w:tc>
          <w:tcPr>
            <w:tcW w:w="1620" w:type="dxa"/>
            <w:vAlign w:val="bottom"/>
            <w:tcBorders>
              <w:top w:val="single" w:sz="8" w:color="51555C"/>
            </w:tcBorders>
          </w:tcPr>
          <w:p>
            <w:pPr>
              <w:jc w:val="right"/>
              <w:spacing w:after="0" w:line="163" w:lineRule="exact"/>
              <w:rPr>
                <w:sz w:val="20"/>
                <w:szCs w:val="20"/>
                <w:color w:val="auto"/>
              </w:rPr>
            </w:pPr>
            <w:r>
              <w:rPr>
                <w:rFonts w:ascii="Calibri" w:cs="Calibri" w:eastAsia="Calibri" w:hAnsi="Calibri"/>
                <w:sz w:val="14"/>
                <w:szCs w:val="14"/>
                <w:color w:val="51555C"/>
              </w:rPr>
              <w:t>5.17 %</w:t>
            </w:r>
          </w:p>
        </w:tc>
        <w:tc>
          <w:tcPr>
            <w:tcW w:w="1600" w:type="dxa"/>
            <w:vAlign w:val="bottom"/>
            <w:tcBorders>
              <w:top w:val="single" w:sz="8" w:color="51555C"/>
            </w:tcBorders>
          </w:tcPr>
          <w:p>
            <w:pPr>
              <w:jc w:val="right"/>
              <w:spacing w:after="0" w:line="163" w:lineRule="exact"/>
              <w:rPr>
                <w:sz w:val="20"/>
                <w:szCs w:val="20"/>
                <w:color w:val="auto"/>
              </w:rPr>
            </w:pPr>
            <w:r>
              <w:rPr>
                <w:rFonts w:ascii="Calibri" w:cs="Calibri" w:eastAsia="Calibri" w:hAnsi="Calibri"/>
                <w:sz w:val="14"/>
                <w:szCs w:val="14"/>
                <w:color w:val="51555C"/>
              </w:rPr>
              <w:t>4.24 %</w:t>
            </w:r>
          </w:p>
        </w:tc>
        <w:tc>
          <w:tcPr>
            <w:tcW w:w="20" w:type="dxa"/>
            <w:vAlign w:val="bottom"/>
          </w:tcPr>
          <w:p>
            <w:pPr>
              <w:spacing w:after="0"/>
              <w:rPr>
                <w:sz w:val="14"/>
                <w:szCs w:val="14"/>
                <w:color w:val="auto"/>
              </w:rPr>
            </w:pPr>
          </w:p>
        </w:tc>
      </w:tr>
      <w:tr>
        <w:trPr>
          <w:trHeight w:val="40"/>
        </w:trPr>
        <w:tc>
          <w:tcPr>
            <w:tcW w:w="49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92"/>
        </w:trPr>
        <w:tc>
          <w:tcPr>
            <w:tcW w:w="494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4"/>
                <w:szCs w:val="14"/>
                <w:color w:val="51555C"/>
              </w:rPr>
              <w:t>Less: Unamortzed discount and debt issuance costs</w:t>
            </w:r>
          </w:p>
        </w:tc>
        <w:tc>
          <w:tcPr>
            <w:tcW w:w="500" w:type="dxa"/>
            <w:vAlign w:val="bottom"/>
            <w:tcBorders>
              <w:bottom w:val="single" w:sz="8" w:color="EBFBFF"/>
            </w:tcBorders>
            <w:shd w:val="clear" w:color="auto" w:fill="EBFBFF"/>
          </w:tcPr>
          <w:p>
            <w:pPr>
              <w:spacing w:after="0"/>
              <w:rPr>
                <w:sz w:val="16"/>
                <w:szCs w:val="16"/>
                <w:color w:val="auto"/>
              </w:rPr>
            </w:pPr>
          </w:p>
        </w:tc>
        <w:tc>
          <w:tcPr>
            <w:tcW w:w="10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4,190</w:t>
            </w:r>
          </w:p>
        </w:tc>
        <w:tc>
          <w:tcPr>
            <w:tcW w:w="420" w:type="dxa"/>
            <w:vAlign w:val="bottom"/>
            <w:tcBorders>
              <w:bottom w:val="single" w:sz="8" w:color="EBFBFF"/>
            </w:tcBorders>
            <w:shd w:val="clear" w:color="auto" w:fill="EBFBFF"/>
          </w:tcPr>
          <w:p>
            <w:pPr>
              <w:spacing w:after="0"/>
              <w:rPr>
                <w:sz w:val="16"/>
                <w:szCs w:val="16"/>
                <w:color w:val="auto"/>
              </w:rPr>
            </w:pPr>
          </w:p>
        </w:tc>
        <w:tc>
          <w:tcPr>
            <w:tcW w:w="11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1,481</w:t>
            </w:r>
          </w:p>
        </w:tc>
        <w:tc>
          <w:tcPr>
            <w:tcW w:w="80" w:type="dxa"/>
            <w:vAlign w:val="bottom"/>
            <w:tcBorders>
              <w:bottom w:val="single" w:sz="8" w:color="EBFBFF"/>
            </w:tcBorders>
            <w:shd w:val="clear" w:color="auto" w:fill="EBFBFF"/>
          </w:tcPr>
          <w:p>
            <w:pPr>
              <w:spacing w:after="0"/>
              <w:rPr>
                <w:sz w:val="16"/>
                <w:szCs w:val="16"/>
                <w:color w:val="auto"/>
              </w:rPr>
            </w:pPr>
          </w:p>
        </w:tc>
        <w:tc>
          <w:tcPr>
            <w:tcW w:w="1620" w:type="dxa"/>
            <w:vAlign w:val="bottom"/>
            <w:tcBorders>
              <w:bottom w:val="single" w:sz="8" w:color="EBFBFF"/>
            </w:tcBorders>
            <w:shd w:val="clear" w:color="auto" w:fill="EBFBFF"/>
          </w:tcPr>
          <w:p>
            <w:pPr>
              <w:spacing w:after="0"/>
              <w:rPr>
                <w:sz w:val="16"/>
                <w:szCs w:val="16"/>
                <w:color w:val="auto"/>
              </w:rPr>
            </w:pPr>
          </w:p>
        </w:tc>
        <w:tc>
          <w:tcPr>
            <w:tcW w:w="1600" w:type="dxa"/>
            <w:vAlign w:val="bottom"/>
            <w:tcBorders>
              <w:bottom w:val="single" w:sz="8" w:color="EBFBFF"/>
            </w:tcBorders>
            <w:shd w:val="clear" w:color="auto" w:fill="EBFBFF"/>
          </w:tcPr>
          <w:p>
            <w:pPr>
              <w:spacing w:after="0"/>
              <w:rPr>
                <w:sz w:val="16"/>
                <w:szCs w:val="16"/>
                <w:color w:val="auto"/>
              </w:rPr>
            </w:pPr>
          </w:p>
        </w:tc>
        <w:tc>
          <w:tcPr>
            <w:tcW w:w="20" w:type="dxa"/>
            <w:vAlign w:val="bottom"/>
          </w:tcPr>
          <w:p>
            <w:pPr>
              <w:spacing w:after="0"/>
              <w:rPr>
                <w:sz w:val="16"/>
                <w:szCs w:val="16"/>
                <w:color w:val="auto"/>
              </w:rPr>
            </w:pPr>
          </w:p>
        </w:tc>
      </w:tr>
      <w:tr>
        <w:trPr>
          <w:trHeight w:val="172"/>
        </w:trPr>
        <w:tc>
          <w:tcPr>
            <w:tcW w:w="4940" w:type="dxa"/>
            <w:vAlign w:val="bottom"/>
          </w:tcPr>
          <w:p>
            <w:pPr>
              <w:ind w:left="20"/>
              <w:spacing w:after="0"/>
              <w:rPr>
                <w:sz w:val="20"/>
                <w:szCs w:val="20"/>
                <w:color w:val="auto"/>
              </w:rPr>
            </w:pPr>
            <w:r>
              <w:rPr>
                <w:rFonts w:ascii="Calibri" w:cs="Calibri" w:eastAsia="Calibri" w:hAnsi="Calibri"/>
                <w:sz w:val="14"/>
                <w:szCs w:val="14"/>
                <w:color w:val="51555C"/>
              </w:rPr>
              <w:t>Less: Debt, current porton</w:t>
            </w:r>
          </w:p>
        </w:tc>
        <w:tc>
          <w:tcPr>
            <w:tcW w:w="5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alibri" w:cs="Calibri" w:eastAsia="Calibri" w:hAnsi="Calibri"/>
                <w:sz w:val="14"/>
                <w:szCs w:val="14"/>
                <w:color w:val="51555C"/>
              </w:rPr>
              <w:t>23,786</w:t>
            </w:r>
          </w:p>
        </w:tc>
        <w:tc>
          <w:tcPr>
            <w:tcW w:w="4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alibri" w:cs="Calibri" w:eastAsia="Calibri" w:hAnsi="Calibri"/>
                <w:sz w:val="14"/>
                <w:szCs w:val="14"/>
                <w:color w:val="51555C"/>
              </w:rPr>
              <w:t>19,259</w:t>
            </w:r>
          </w:p>
        </w:tc>
        <w:tc>
          <w:tcPr>
            <w:tcW w:w="1700" w:type="dxa"/>
            <w:vAlign w:val="bottom"/>
            <w:gridSpan w:val="2"/>
          </w:tcPr>
          <w:p>
            <w:pPr>
              <w:jc w:val="right"/>
              <w:spacing w:after="0"/>
              <w:rPr>
                <w:sz w:val="20"/>
                <w:szCs w:val="20"/>
                <w:color w:val="auto"/>
              </w:rPr>
            </w:pPr>
            <w:r>
              <w:rPr>
                <w:rFonts w:ascii="Calibri" w:cs="Calibri" w:eastAsia="Calibri" w:hAnsi="Calibri"/>
                <w:sz w:val="14"/>
                <w:szCs w:val="14"/>
                <w:color w:val="51555C"/>
              </w:rPr>
              <w:t>7.28 %</w:t>
            </w:r>
          </w:p>
        </w:tc>
        <w:tc>
          <w:tcPr>
            <w:tcW w:w="1600" w:type="dxa"/>
            <w:vAlign w:val="bottom"/>
          </w:tcPr>
          <w:p>
            <w:pPr>
              <w:jc w:val="right"/>
              <w:spacing w:after="0"/>
              <w:rPr>
                <w:sz w:val="20"/>
                <w:szCs w:val="20"/>
                <w:color w:val="auto"/>
              </w:rPr>
            </w:pPr>
            <w:r>
              <w:rPr>
                <w:rFonts w:ascii="Calibri" w:cs="Calibri" w:eastAsia="Calibri" w:hAnsi="Calibri"/>
                <w:sz w:val="14"/>
                <w:szCs w:val="14"/>
                <w:color w:val="51555C"/>
              </w:rPr>
              <w:t>7.02 %</w:t>
            </w:r>
          </w:p>
        </w:tc>
        <w:tc>
          <w:tcPr>
            <w:tcW w:w="20" w:type="dxa"/>
            <w:vAlign w:val="bottom"/>
          </w:tcPr>
          <w:p>
            <w:pPr>
              <w:spacing w:after="0"/>
              <w:rPr>
                <w:sz w:val="14"/>
                <w:szCs w:val="14"/>
                <w:color w:val="auto"/>
              </w:rPr>
            </w:pPr>
          </w:p>
        </w:tc>
      </w:tr>
      <w:tr>
        <w:trPr>
          <w:trHeight w:val="40"/>
        </w:trPr>
        <w:tc>
          <w:tcPr>
            <w:tcW w:w="4940" w:type="dxa"/>
            <w:vAlign w:val="bottom"/>
            <w:tcBorders>
              <w:bottom w:val="single" w:sz="8" w:color="EBFBFF"/>
            </w:tcBorders>
          </w:tcPr>
          <w:p>
            <w:pPr>
              <w:spacing w:after="0"/>
              <w:rPr>
                <w:sz w:val="3"/>
                <w:szCs w:val="3"/>
                <w:color w:val="auto"/>
              </w:rPr>
            </w:pPr>
          </w:p>
        </w:tc>
        <w:tc>
          <w:tcPr>
            <w:tcW w:w="500" w:type="dxa"/>
            <w:vAlign w:val="bottom"/>
            <w:tcBorders>
              <w:bottom w:val="single" w:sz="8" w:color="51555C"/>
            </w:tcBorders>
          </w:tcPr>
          <w:p>
            <w:pPr>
              <w:spacing w:after="0"/>
              <w:rPr>
                <w:sz w:val="3"/>
                <w:szCs w:val="3"/>
                <w:color w:val="auto"/>
              </w:rPr>
            </w:pPr>
          </w:p>
        </w:tc>
        <w:tc>
          <w:tcPr>
            <w:tcW w:w="1020" w:type="dxa"/>
            <w:vAlign w:val="bottom"/>
            <w:tcBorders>
              <w:bottom w:val="single" w:sz="8" w:color="51555C"/>
            </w:tcBorders>
          </w:tcPr>
          <w:p>
            <w:pPr>
              <w:spacing w:after="0"/>
              <w:rPr>
                <w:sz w:val="3"/>
                <w:szCs w:val="3"/>
                <w:color w:val="auto"/>
              </w:rPr>
            </w:pPr>
          </w:p>
        </w:tc>
        <w:tc>
          <w:tcPr>
            <w:tcW w:w="420" w:type="dxa"/>
            <w:vAlign w:val="bottom"/>
            <w:tcBorders>
              <w:bottom w:val="single" w:sz="8" w:color="51555C"/>
            </w:tcBorders>
          </w:tcPr>
          <w:p>
            <w:pPr>
              <w:spacing w:after="0"/>
              <w:rPr>
                <w:sz w:val="3"/>
                <w:szCs w:val="3"/>
                <w:color w:val="auto"/>
              </w:rPr>
            </w:pPr>
          </w:p>
        </w:tc>
        <w:tc>
          <w:tcPr>
            <w:tcW w:w="1100" w:type="dxa"/>
            <w:vAlign w:val="bottom"/>
            <w:tcBorders>
              <w:bottom w:val="single" w:sz="8" w:color="51555C"/>
            </w:tcBorders>
          </w:tcPr>
          <w:p>
            <w:pPr>
              <w:spacing w:after="0"/>
              <w:rPr>
                <w:sz w:val="3"/>
                <w:szCs w:val="3"/>
                <w:color w:val="auto"/>
              </w:rPr>
            </w:pPr>
          </w:p>
        </w:tc>
        <w:tc>
          <w:tcPr>
            <w:tcW w:w="80" w:type="dxa"/>
            <w:vAlign w:val="bottom"/>
            <w:tcBorders>
              <w:bottom w:val="single" w:sz="8" w:color="EBFBFF"/>
            </w:tcBorders>
          </w:tcPr>
          <w:p>
            <w:pPr>
              <w:spacing w:after="0"/>
              <w:rPr>
                <w:sz w:val="3"/>
                <w:szCs w:val="3"/>
                <w:color w:val="auto"/>
              </w:rPr>
            </w:pPr>
          </w:p>
        </w:tc>
        <w:tc>
          <w:tcPr>
            <w:tcW w:w="1620" w:type="dxa"/>
            <w:vAlign w:val="bottom"/>
            <w:tcBorders>
              <w:bottom w:val="single" w:sz="8" w:color="51555C"/>
            </w:tcBorders>
          </w:tcPr>
          <w:p>
            <w:pPr>
              <w:spacing w:after="0"/>
              <w:rPr>
                <w:sz w:val="3"/>
                <w:szCs w:val="3"/>
                <w:color w:val="auto"/>
              </w:rPr>
            </w:pPr>
          </w:p>
        </w:tc>
        <w:tc>
          <w:tcPr>
            <w:tcW w:w="1600" w:type="dxa"/>
            <w:vAlign w:val="bottom"/>
            <w:tcBorders>
              <w:bottom w:val="single" w:sz="8" w:color="51555C"/>
            </w:tcBorders>
          </w:tcPr>
          <w:p>
            <w:pPr>
              <w:spacing w:after="0"/>
              <w:rPr>
                <w:sz w:val="3"/>
                <w:szCs w:val="3"/>
                <w:color w:val="auto"/>
              </w:rPr>
            </w:pPr>
          </w:p>
        </w:tc>
        <w:tc>
          <w:tcPr>
            <w:tcW w:w="20" w:type="dxa"/>
            <w:vAlign w:val="bottom"/>
          </w:tcPr>
          <w:p>
            <w:pPr>
              <w:spacing w:after="0"/>
              <w:rPr>
                <w:sz w:val="3"/>
                <w:szCs w:val="3"/>
                <w:color w:val="auto"/>
              </w:rPr>
            </w:pPr>
          </w:p>
        </w:tc>
      </w:tr>
      <w:tr>
        <w:trPr>
          <w:trHeight w:val="183"/>
        </w:trPr>
        <w:tc>
          <w:tcPr>
            <w:tcW w:w="4940" w:type="dxa"/>
            <w:vAlign w:val="bottom"/>
            <w:tcBorders>
              <w:bottom w:val="single" w:sz="8" w:color="EBFBFF"/>
            </w:tcBorders>
            <w:shd w:val="clear" w:color="auto" w:fill="EBFBFF"/>
          </w:tcPr>
          <w:p>
            <w:pPr>
              <w:ind w:left="20"/>
              <w:spacing w:after="0" w:line="163" w:lineRule="exact"/>
              <w:rPr>
                <w:sz w:val="20"/>
                <w:szCs w:val="20"/>
                <w:color w:val="auto"/>
              </w:rPr>
            </w:pPr>
            <w:r>
              <w:rPr>
                <w:rFonts w:ascii="Calibri" w:cs="Calibri" w:eastAsia="Calibri" w:hAnsi="Calibri"/>
                <w:sz w:val="14"/>
                <w:szCs w:val="14"/>
                <w:color w:val="51555C"/>
              </w:rPr>
              <w:t>Debt, net of current porton</w:t>
            </w:r>
          </w:p>
        </w:tc>
        <w:tc>
          <w:tcPr>
            <w:tcW w:w="500" w:type="dxa"/>
            <w:vAlign w:val="bottom"/>
            <w:tcBorders>
              <w:bottom w:val="single" w:sz="8" w:color="EBFBFF"/>
            </w:tcBorders>
            <w:shd w:val="clear" w:color="auto" w:fill="EBFBFF"/>
          </w:tcPr>
          <w:p>
            <w:pPr>
              <w:jc w:val="right"/>
              <w:ind w:right="329"/>
              <w:spacing w:after="0" w:line="163" w:lineRule="exact"/>
              <w:rPr>
                <w:sz w:val="20"/>
                <w:szCs w:val="20"/>
                <w:color w:val="auto"/>
              </w:rPr>
            </w:pPr>
            <w:r>
              <w:rPr>
                <w:rFonts w:ascii="Calibri" w:cs="Calibri" w:eastAsia="Calibri" w:hAnsi="Calibri"/>
                <w:sz w:val="14"/>
                <w:szCs w:val="14"/>
                <w:color w:val="51555C"/>
              </w:rPr>
              <w:t>$</w:t>
            </w:r>
          </w:p>
        </w:tc>
        <w:tc>
          <w:tcPr>
            <w:tcW w:w="1020" w:type="dxa"/>
            <w:vAlign w:val="bottom"/>
            <w:tcBorders>
              <w:bottom w:val="single" w:sz="8" w:color="EBFBFF"/>
            </w:tcBorders>
            <w:shd w:val="clear" w:color="auto" w:fill="EBFBFF"/>
          </w:tcPr>
          <w:p>
            <w:pPr>
              <w:jc w:val="right"/>
              <w:spacing w:after="0" w:line="163" w:lineRule="exact"/>
              <w:rPr>
                <w:sz w:val="20"/>
                <w:szCs w:val="20"/>
                <w:color w:val="auto"/>
              </w:rPr>
            </w:pPr>
            <w:r>
              <w:rPr>
                <w:rFonts w:ascii="Calibri" w:cs="Calibri" w:eastAsia="Calibri" w:hAnsi="Calibri"/>
                <w:sz w:val="14"/>
                <w:szCs w:val="14"/>
                <w:color w:val="51555C"/>
              </w:rPr>
              <w:t>998,071</w:t>
            </w:r>
          </w:p>
        </w:tc>
        <w:tc>
          <w:tcPr>
            <w:tcW w:w="420" w:type="dxa"/>
            <w:vAlign w:val="bottom"/>
            <w:tcBorders>
              <w:bottom w:val="single" w:sz="8" w:color="EBFBFF"/>
            </w:tcBorders>
            <w:shd w:val="clear" w:color="auto" w:fill="EBFBFF"/>
          </w:tcPr>
          <w:p>
            <w:pPr>
              <w:jc w:val="right"/>
              <w:ind w:right="249"/>
              <w:spacing w:after="0" w:line="163" w:lineRule="exact"/>
              <w:rPr>
                <w:sz w:val="20"/>
                <w:szCs w:val="20"/>
                <w:color w:val="auto"/>
              </w:rPr>
            </w:pPr>
            <w:r>
              <w:rPr>
                <w:rFonts w:ascii="Calibri" w:cs="Calibri" w:eastAsia="Calibri" w:hAnsi="Calibri"/>
                <w:sz w:val="14"/>
                <w:szCs w:val="14"/>
                <w:color w:val="51555C"/>
              </w:rPr>
              <w:t>$</w:t>
            </w:r>
          </w:p>
        </w:tc>
        <w:tc>
          <w:tcPr>
            <w:tcW w:w="1100" w:type="dxa"/>
            <w:vAlign w:val="bottom"/>
            <w:tcBorders>
              <w:bottom w:val="single" w:sz="8" w:color="EBFBFF"/>
            </w:tcBorders>
            <w:shd w:val="clear" w:color="auto" w:fill="EBFBFF"/>
          </w:tcPr>
          <w:p>
            <w:pPr>
              <w:jc w:val="right"/>
              <w:spacing w:after="0" w:line="163" w:lineRule="exact"/>
              <w:rPr>
                <w:sz w:val="20"/>
                <w:szCs w:val="20"/>
                <w:color w:val="auto"/>
              </w:rPr>
            </w:pPr>
            <w:r>
              <w:rPr>
                <w:rFonts w:ascii="Calibri" w:cs="Calibri" w:eastAsia="Calibri" w:hAnsi="Calibri"/>
                <w:sz w:val="14"/>
                <w:szCs w:val="14"/>
                <w:color w:val="51555C"/>
              </w:rPr>
              <w:t>760,405</w:t>
            </w:r>
          </w:p>
        </w:tc>
        <w:tc>
          <w:tcPr>
            <w:tcW w:w="1700" w:type="dxa"/>
            <w:vAlign w:val="bottom"/>
            <w:tcBorders>
              <w:bottom w:val="single" w:sz="8" w:color="EBFBFF"/>
            </w:tcBorders>
            <w:gridSpan w:val="2"/>
            <w:shd w:val="clear" w:color="auto" w:fill="EBFBFF"/>
          </w:tcPr>
          <w:p>
            <w:pPr>
              <w:jc w:val="right"/>
              <w:spacing w:after="0" w:line="163" w:lineRule="exact"/>
              <w:rPr>
                <w:sz w:val="20"/>
                <w:szCs w:val="20"/>
                <w:color w:val="auto"/>
              </w:rPr>
            </w:pPr>
            <w:r>
              <w:rPr>
                <w:rFonts w:ascii="Calibri" w:cs="Calibri" w:eastAsia="Calibri" w:hAnsi="Calibri"/>
                <w:sz w:val="14"/>
                <w:szCs w:val="14"/>
                <w:color w:val="51555C"/>
              </w:rPr>
              <w:t>5.12 %</w:t>
            </w:r>
          </w:p>
        </w:tc>
        <w:tc>
          <w:tcPr>
            <w:tcW w:w="1600" w:type="dxa"/>
            <w:vAlign w:val="bottom"/>
            <w:tcBorders>
              <w:bottom w:val="single" w:sz="8" w:color="EBFBFF"/>
            </w:tcBorders>
            <w:shd w:val="clear" w:color="auto" w:fill="EBFBFF"/>
          </w:tcPr>
          <w:p>
            <w:pPr>
              <w:jc w:val="right"/>
              <w:spacing w:after="0" w:line="163" w:lineRule="exact"/>
              <w:rPr>
                <w:sz w:val="20"/>
                <w:szCs w:val="20"/>
                <w:color w:val="auto"/>
              </w:rPr>
            </w:pPr>
            <w:r>
              <w:rPr>
                <w:rFonts w:ascii="Calibri" w:cs="Calibri" w:eastAsia="Calibri" w:hAnsi="Calibri"/>
                <w:sz w:val="14"/>
                <w:szCs w:val="14"/>
                <w:color w:val="51555C"/>
              </w:rPr>
              <w:t>4.17 %</w:t>
            </w:r>
          </w:p>
        </w:tc>
        <w:tc>
          <w:tcPr>
            <w:tcW w:w="20" w:type="dxa"/>
            <w:vAlign w:val="bottom"/>
          </w:tcPr>
          <w:p>
            <w:pPr>
              <w:spacing w:after="0"/>
              <w:rPr>
                <w:sz w:val="15"/>
                <w:szCs w:val="15"/>
                <w:color w:val="auto"/>
              </w:rPr>
            </w:pPr>
          </w:p>
        </w:tc>
      </w:tr>
      <w:tr>
        <w:trPr>
          <w:trHeight w:val="20"/>
        </w:trPr>
        <w:tc>
          <w:tcPr>
            <w:tcW w:w="4940" w:type="dxa"/>
            <w:vAlign w:val="bottom"/>
            <w:shd w:val="clear" w:color="auto" w:fill="0CD973"/>
          </w:tcPr>
          <w:p>
            <w:pPr>
              <w:spacing w:after="0" w:line="20" w:lineRule="exact"/>
              <w:rPr>
                <w:sz w:val="1"/>
                <w:szCs w:val="1"/>
                <w:color w:val="auto"/>
              </w:rPr>
            </w:pPr>
          </w:p>
        </w:tc>
        <w:tc>
          <w:tcPr>
            <w:tcW w:w="500" w:type="dxa"/>
            <w:vAlign w:val="bottom"/>
            <w:shd w:val="clear" w:color="auto" w:fill="0CD973"/>
          </w:tcPr>
          <w:p>
            <w:pPr>
              <w:spacing w:after="0" w:line="20" w:lineRule="exact"/>
              <w:rPr>
                <w:sz w:val="1"/>
                <w:szCs w:val="1"/>
                <w:color w:val="auto"/>
              </w:rPr>
            </w:pPr>
          </w:p>
        </w:tc>
        <w:tc>
          <w:tcPr>
            <w:tcW w:w="1020" w:type="dxa"/>
            <w:vAlign w:val="bottom"/>
            <w:shd w:val="clear" w:color="auto" w:fill="0CD973"/>
          </w:tcPr>
          <w:p>
            <w:pPr>
              <w:spacing w:after="0" w:line="20" w:lineRule="exact"/>
              <w:rPr>
                <w:sz w:val="1"/>
                <w:szCs w:val="1"/>
                <w:color w:val="auto"/>
              </w:rPr>
            </w:pPr>
          </w:p>
        </w:tc>
        <w:tc>
          <w:tcPr>
            <w:tcW w:w="420" w:type="dxa"/>
            <w:vAlign w:val="bottom"/>
            <w:shd w:val="clear" w:color="auto" w:fill="0CD973"/>
          </w:tcPr>
          <w:p>
            <w:pPr>
              <w:spacing w:after="0" w:line="20" w:lineRule="exact"/>
              <w:rPr>
                <w:sz w:val="1"/>
                <w:szCs w:val="1"/>
                <w:color w:val="auto"/>
              </w:rPr>
            </w:pPr>
          </w:p>
        </w:tc>
        <w:tc>
          <w:tcPr>
            <w:tcW w:w="1100" w:type="dxa"/>
            <w:vAlign w:val="bottom"/>
            <w:shd w:val="clear" w:color="auto" w:fill="0CD973"/>
          </w:tcPr>
          <w:p>
            <w:pPr>
              <w:spacing w:after="0" w:line="20" w:lineRule="exact"/>
              <w:rPr>
                <w:sz w:val="1"/>
                <w:szCs w:val="1"/>
                <w:color w:val="auto"/>
              </w:rPr>
            </w:pPr>
          </w:p>
        </w:tc>
        <w:tc>
          <w:tcPr>
            <w:tcW w:w="80" w:type="dxa"/>
            <w:vAlign w:val="bottom"/>
            <w:shd w:val="clear" w:color="auto" w:fill="0CD973"/>
          </w:tcPr>
          <w:p>
            <w:pPr>
              <w:spacing w:after="0" w:line="20" w:lineRule="exact"/>
              <w:rPr>
                <w:sz w:val="1"/>
                <w:szCs w:val="1"/>
                <w:color w:val="auto"/>
              </w:rPr>
            </w:pPr>
          </w:p>
        </w:tc>
        <w:tc>
          <w:tcPr>
            <w:tcW w:w="1620" w:type="dxa"/>
            <w:vAlign w:val="bottom"/>
            <w:shd w:val="clear" w:color="auto" w:fill="0CD973"/>
          </w:tcPr>
          <w:p>
            <w:pPr>
              <w:spacing w:after="0" w:line="20" w:lineRule="exact"/>
              <w:rPr>
                <w:sz w:val="1"/>
                <w:szCs w:val="1"/>
                <w:color w:val="auto"/>
              </w:rPr>
            </w:pPr>
          </w:p>
        </w:tc>
        <w:tc>
          <w:tcPr>
            <w:tcW w:w="160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-1447800</wp:posOffset>
            </wp:positionV>
            <wp:extent cx="4029075"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029075" cy="6985"/>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51555C"/>
        </w:rPr>
        <w:t>2024 refnancing</w:t>
      </w:r>
    </w:p>
    <w:p>
      <w:pPr>
        <w:spacing w:after="0" w:line="129" w:lineRule="exact"/>
        <w:rPr>
          <w:sz w:val="20"/>
          <w:szCs w:val="20"/>
          <w:color w:val="auto"/>
        </w:rPr>
      </w:pPr>
    </w:p>
    <w:p>
      <w:pPr>
        <w:jc w:val="both"/>
        <w:ind w:right="20"/>
        <w:spacing w:after="0" w:line="237" w:lineRule="auto"/>
        <w:rPr>
          <w:sz w:val="20"/>
          <w:szCs w:val="20"/>
          <w:color w:val="auto"/>
        </w:rPr>
      </w:pPr>
      <w:r>
        <w:rPr>
          <w:rFonts w:ascii="Calibri" w:cs="Calibri" w:eastAsia="Calibri" w:hAnsi="Calibri"/>
          <w:sz w:val="14"/>
          <w:szCs w:val="14"/>
          <w:color w:val="51555C"/>
        </w:rPr>
        <w:t>On April 30, 2024, we entered into the Third Amendment to Credit Agreement (the "Amendment"), by and among us, the lenders party thereto and Bank of America N.A., as administratve agent (the "Agent"). The Amendment amends the Amended and Restated Credit Agreement, dated as of October 30, 2020 (as previously amended, the "2020 Credit Agreement" and the 2020 Credit Agreement as amended by the Amendment, the “2024 Credit Agreement”), by and among us, the lenders from tme-to-tme party thereto and the Agent.</w:t>
      </w:r>
    </w:p>
    <w:p>
      <w:pPr>
        <w:spacing w:after="0" w:line="130" w:lineRule="exact"/>
        <w:rPr>
          <w:sz w:val="20"/>
          <w:szCs w:val="20"/>
          <w:color w:val="auto"/>
        </w:rPr>
      </w:pPr>
    </w:p>
    <w:p>
      <w:pPr>
        <w:jc w:val="both"/>
        <w:ind w:right="20"/>
        <w:spacing w:after="0" w:line="238" w:lineRule="auto"/>
        <w:rPr>
          <w:sz w:val="20"/>
          <w:szCs w:val="20"/>
          <w:color w:val="auto"/>
        </w:rPr>
      </w:pPr>
      <w:r>
        <w:rPr>
          <w:rFonts w:ascii="Calibri" w:cs="Calibri" w:eastAsia="Calibri" w:hAnsi="Calibri"/>
          <w:sz w:val="14"/>
          <w:szCs w:val="14"/>
          <w:color w:val="51555C"/>
        </w:rPr>
        <w:t>The Amendment amends the 2020 Credit Agreement to, among other things, (a) refnance the existng $1.1 billion credit facilites under the 2020 Credit Agreement to provide for new credit facilites in the aggregate principal amount of $1.5 billion consistng of (i) a $700.0 million revolving credit facility (the “2024 Revolving Facility”) and (ii) a $800.0 million term loan facility (the “2024 Term Facility” and together with the 2024 Revolving Facility, the “2024 Credit Facilites”), (b) extend the maturity date to April 30, 2029, (c) modify the defniton of Applicable Margin (as defned below) and (iv) modify certain negatve and fnancial covenants to provide additonal operatonal fexibility. Upon closing, we borrowed $800.0 million pursuant to the 2024 Term Facility and $208.2 million pursuant to the 2024 Revolving Facility and used the proceeds to repay the outstanding principal balances of the term loans under the 2020 Credit Agreement (the "2020 Term Facilites"), and repay $196.6 million of outstanding revolving credit loans under the 2020 Credit Agreement (the "2020 Revolving Facility").</w:t>
      </w:r>
    </w:p>
    <w:p>
      <w:pPr>
        <w:spacing w:after="0" w:line="129" w:lineRule="exact"/>
        <w:rPr>
          <w:sz w:val="20"/>
          <w:szCs w:val="20"/>
          <w:color w:val="auto"/>
        </w:rPr>
      </w:pPr>
    </w:p>
    <w:p>
      <w:pPr>
        <w:jc w:val="both"/>
        <w:ind w:right="20"/>
        <w:spacing w:after="0" w:line="237" w:lineRule="auto"/>
        <w:rPr>
          <w:sz w:val="20"/>
          <w:szCs w:val="20"/>
          <w:color w:val="auto"/>
        </w:rPr>
      </w:pPr>
      <w:r>
        <w:rPr>
          <w:rFonts w:ascii="Calibri" w:cs="Calibri" w:eastAsia="Calibri" w:hAnsi="Calibri"/>
          <w:sz w:val="14"/>
          <w:szCs w:val="14"/>
          <w:color w:val="51555C"/>
        </w:rPr>
        <w:t>Certain lenders of the 2024 Term Facility partcipated in the 2020 Term Facilites and the change in present value of our future cash fows to these lenders under the 2020 Term Facilites and under the 2024 Term Facility was less than 10%. Accordingly, we accounted for the refnancing event for these lenders as a debt modifcaton. Certain lenders of the 2020 Term Facilites did not partcipate in the 2024 Term Facility. Accordingly, we accounted for the refnancing event for these lenders as a debt extnguishment. Certain lenders of the 2020 Revolving Facility partcipated in the 2024 Revolving Facility and provided increased borrowing capacites. Accordingly, we accounted for the refnancing event for these lenders as a debt modifcaton. Certain lenders of the 2020 Revolving Facility did not partcipate in the 2024 Revolving Facility. Accordingly, we accounted for the refnancing event for these lenders as a debt extnguishment.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6268720</wp:posOffset>
            </wp:positionH>
            <wp:positionV relativeFrom="paragraph">
              <wp:posOffset>189230</wp:posOffset>
            </wp:positionV>
            <wp:extent cx="518795" cy="134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8795" cy="134620"/>
                    </a:xfrm>
                    <a:prstGeom prst="rect">
                      <a:avLst/>
                    </a:prstGeom>
                    <a:noFill/>
                  </pic:spPr>
                </pic:pic>
              </a:graphicData>
            </a:graphic>
          </wp:anchor>
        </w:drawing>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0400" w:type="dxa"/>
            <w:vAlign w:val="bottom"/>
          </w:tcPr>
          <w:p>
            <w:pPr>
              <w:ind w:left="8160"/>
              <w:spacing w:after="0"/>
              <w:rPr>
                <w:sz w:val="20"/>
                <w:szCs w:val="20"/>
                <w:color w:val="auto"/>
              </w:rPr>
            </w:pPr>
            <w:r>
              <w:rPr>
                <w:rFonts w:ascii="Calibri" w:cs="Calibri" w:eastAsia="Calibri" w:hAnsi="Calibri"/>
                <w:sz w:val="11"/>
                <w:szCs w:val="11"/>
                <w:color w:val="51555C"/>
              </w:rPr>
              <w:t>Second Quarter 2024 Form 10-Q</w:t>
            </w:r>
          </w:p>
        </w:tc>
        <w:tc>
          <w:tcPr>
            <w:tcW w:w="880" w:type="dxa"/>
            <w:vAlign w:val="bottom"/>
          </w:tcPr>
          <w:p>
            <w:pPr>
              <w:jc w:val="right"/>
              <w:spacing w:after="0"/>
              <w:rPr>
                <w:sz w:val="20"/>
                <w:szCs w:val="20"/>
                <w:color w:val="auto"/>
              </w:rPr>
            </w:pPr>
            <w:r>
              <w:rPr>
                <w:rFonts w:ascii="Calibri" w:cs="Calibri" w:eastAsia="Calibri" w:hAnsi="Calibri"/>
                <w:sz w:val="11"/>
                <w:szCs w:val="11"/>
                <w:color w:val="51555C"/>
              </w:rPr>
              <w:t>13</w:t>
            </w:r>
          </w:p>
        </w:tc>
      </w:tr>
      <w:tr>
        <w:trPr>
          <w:trHeight w:val="281"/>
        </w:trPr>
        <w:tc>
          <w:tcPr>
            <w:tcW w:w="104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14" w:name="page15"/>
    <w:bookmarkEnd w:id="14"/>
    <w:p>
      <w:pPr>
        <w:spacing w:after="0"/>
        <w:rPr>
          <w:sz w:val="20"/>
          <w:szCs w:val="20"/>
          <w:color w:val="auto"/>
        </w:rPr>
      </w:pPr>
      <w:r>
        <w:rPr>
          <w:rFonts w:ascii="Calibri" w:cs="Calibri" w:eastAsia="Calibri" w:hAnsi="Calibri"/>
          <w:sz w:val="11"/>
          <w:szCs w:val="11"/>
          <w:u w:val="single" w:color="auto"/>
          <w:color w:val="7A04DD"/>
        </w:rPr>
        <w:t>Table of Contents</w:t>
      </w:r>
    </w:p>
    <w:p>
      <w:pPr>
        <w:spacing w:after="0" w:line="196" w:lineRule="exact"/>
        <w:rPr>
          <w:sz w:val="20"/>
          <w:szCs w:val="20"/>
          <w:color w:val="auto"/>
        </w:rPr>
      </w:pPr>
    </w:p>
    <w:p>
      <w:pPr>
        <w:jc w:val="center"/>
        <w:spacing w:after="0"/>
        <w:rPr>
          <w:sz w:val="20"/>
          <w:szCs w:val="20"/>
          <w:color w:val="auto"/>
        </w:rPr>
      </w:pPr>
      <w:r>
        <w:rPr>
          <w:rFonts w:ascii="Calibri" w:cs="Calibri" w:eastAsia="Calibri" w:hAnsi="Calibri"/>
          <w:sz w:val="14"/>
          <w:szCs w:val="14"/>
          <w:b w:val="1"/>
          <w:bCs w:val="1"/>
          <w:color w:val="51555C"/>
        </w:rPr>
        <w:t>Blackbaud, Inc.</w:t>
      </w:r>
    </w:p>
    <w:p>
      <w:pPr>
        <w:jc w:val="center"/>
        <w:spacing w:after="0" w:line="238" w:lineRule="auto"/>
        <w:rPr>
          <w:sz w:val="20"/>
          <w:szCs w:val="20"/>
          <w:color w:val="auto"/>
        </w:rPr>
      </w:pPr>
      <w:r>
        <w:rPr>
          <w:rFonts w:ascii="Calibri" w:cs="Calibri" w:eastAsia="Calibri" w:hAnsi="Calibri"/>
          <w:sz w:val="14"/>
          <w:szCs w:val="14"/>
          <w:b w:val="1"/>
          <w:bCs w:val="1"/>
          <w:color w:val="51555C"/>
        </w:rPr>
        <w:t>Notes to Condensed Consolidated Financial Statements</w:t>
      </w:r>
    </w:p>
    <w:p>
      <w:pPr>
        <w:jc w:val="center"/>
        <w:spacing w:after="0"/>
        <w:rPr>
          <w:sz w:val="20"/>
          <w:szCs w:val="20"/>
          <w:color w:val="auto"/>
        </w:rPr>
      </w:pPr>
      <w:r>
        <w:rPr>
          <w:rFonts w:ascii="Calibri" w:cs="Calibri" w:eastAsia="Calibri" w:hAnsi="Calibri"/>
          <w:sz w:val="14"/>
          <w:szCs w:val="14"/>
          <w:b w:val="1"/>
          <w:bCs w:val="1"/>
          <w:color w:val="51555C"/>
        </w:rPr>
        <w:t>(Unaudited)</w:t>
      </w:r>
    </w:p>
    <w:p>
      <w:pPr>
        <w:spacing w:after="0" w:line="200" w:lineRule="exact"/>
        <w:rPr>
          <w:sz w:val="20"/>
          <w:szCs w:val="20"/>
          <w:color w:val="auto"/>
        </w:rPr>
      </w:pPr>
    </w:p>
    <w:p>
      <w:pPr>
        <w:spacing w:after="0" w:line="246" w:lineRule="exact"/>
        <w:rPr>
          <w:sz w:val="20"/>
          <w:szCs w:val="20"/>
          <w:color w:val="auto"/>
        </w:rPr>
      </w:pPr>
    </w:p>
    <w:p>
      <w:pPr>
        <w:jc w:val="both"/>
        <w:spacing w:after="0" w:line="237" w:lineRule="auto"/>
        <w:rPr>
          <w:sz w:val="20"/>
          <w:szCs w:val="20"/>
          <w:color w:val="auto"/>
        </w:rPr>
      </w:pPr>
      <w:r>
        <w:rPr>
          <w:rFonts w:ascii="Calibri" w:cs="Calibri" w:eastAsia="Calibri" w:hAnsi="Calibri"/>
          <w:sz w:val="14"/>
          <w:szCs w:val="14"/>
          <w:color w:val="51555C"/>
        </w:rPr>
        <w:t>We recorded an insignifcant loss on debt extnguishment related to the write-of of debt discount and deferred fnancing costs for the portons of the 2020 Credit Agreement considered to be extnguished. This loss was recognized in the consolidated statements of comprehensive income within other income, net.</w:t>
      </w:r>
    </w:p>
    <w:p>
      <w:pPr>
        <w:spacing w:after="0" w:line="129" w:lineRule="exact"/>
        <w:rPr>
          <w:sz w:val="20"/>
          <w:szCs w:val="20"/>
          <w:color w:val="auto"/>
        </w:rPr>
      </w:pPr>
    </w:p>
    <w:p>
      <w:pPr>
        <w:jc w:val="both"/>
        <w:spacing w:after="0" w:line="237" w:lineRule="auto"/>
        <w:rPr>
          <w:sz w:val="20"/>
          <w:szCs w:val="20"/>
          <w:color w:val="auto"/>
        </w:rPr>
      </w:pPr>
      <w:r>
        <w:rPr>
          <w:rFonts w:ascii="Calibri" w:cs="Calibri" w:eastAsia="Calibri" w:hAnsi="Calibri"/>
          <w:sz w:val="14"/>
          <w:szCs w:val="14"/>
          <w:color w:val="51555C"/>
        </w:rPr>
        <w:t>In connecton with our entry into the 2024 Credit Agreement, we paid $6.5 million in fnancing costs, of which $1.6 million were capitalized in other assets and, together with a porton of the unamortzed deferred fnancing costs from the 2020 Credit Agreement and prior agreements, are being amortzed into interest expense over the term of the new facility. As of June 30, 2024, deferred fnancing costs totaling $1.9 million were included in other assets on our consolidated balance sheets. We recorded aggregate fnancing costs of $3.6 million as a direct deducton from the carrying amount of our debt liability, which related to debt discount (fees paid to lenders) and debt issuance costs for the 2024 Term Facility.</w:t>
      </w:r>
    </w:p>
    <w:p>
      <w:pPr>
        <w:spacing w:after="0" w:line="128"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51555C"/>
        </w:rPr>
        <w:t>Summary of the 2024 Credit Facilites</w:t>
      </w:r>
    </w:p>
    <w:p>
      <w:pPr>
        <w:spacing w:after="0" w:line="126" w:lineRule="exact"/>
        <w:rPr>
          <w:sz w:val="20"/>
          <w:szCs w:val="20"/>
          <w:color w:val="auto"/>
        </w:rPr>
      </w:pPr>
    </w:p>
    <w:p>
      <w:pPr>
        <w:spacing w:after="0"/>
        <w:rPr>
          <w:sz w:val="20"/>
          <w:szCs w:val="20"/>
          <w:color w:val="auto"/>
        </w:rPr>
      </w:pPr>
      <w:r>
        <w:rPr>
          <w:rFonts w:ascii="Calibri" w:cs="Calibri" w:eastAsia="Calibri" w:hAnsi="Calibri"/>
          <w:sz w:val="14"/>
          <w:szCs w:val="14"/>
          <w:color w:val="51555C"/>
        </w:rPr>
        <w:t>The 2024 Revolving Facility includes (i) a $50.0 million leter of credit subfacility, (ii) a $50.0 million swingline subfacility and (iii) a $150.0 million sublimit available for multcurrency borrowings.</w:t>
      </w:r>
    </w:p>
    <w:p>
      <w:pPr>
        <w:spacing w:after="0" w:line="129" w:lineRule="exact"/>
        <w:rPr>
          <w:sz w:val="20"/>
          <w:szCs w:val="20"/>
          <w:color w:val="auto"/>
        </w:rPr>
      </w:pPr>
    </w:p>
    <w:p>
      <w:pPr>
        <w:jc w:val="both"/>
        <w:spacing w:after="0" w:line="237" w:lineRule="auto"/>
        <w:rPr>
          <w:sz w:val="20"/>
          <w:szCs w:val="20"/>
          <w:color w:val="auto"/>
        </w:rPr>
      </w:pPr>
      <w:r>
        <w:rPr>
          <w:rFonts w:ascii="Calibri" w:cs="Calibri" w:eastAsia="Calibri" w:hAnsi="Calibri"/>
          <w:sz w:val="14"/>
          <w:szCs w:val="14"/>
          <w:color w:val="51555C"/>
        </w:rPr>
        <w:t>Under the 2024 Credit Facilites, dollar tranche revolving loans and term loans bear interest at a rate per annum equal to, at the opton of the Company: (a) a base rate equal to the highest of (i) the Federal Funds Rate plus 0.50%, (ii) the prime rate announced by Bank of America, N.A., and (iii) Term SOFR plus 1.00% (the “Base Rate”), plus an applicable margin as specifed in the 2024 Credit Agreement (the “Applicable Margin”); (b) Term SOFR plus the Applicable Margin; or (c) the Daily SOFR Rate plus the Applicable Margin. The Applicable Margin shall be adjusted quarterly, varies based on our net leverage rato and varies based on whether the loan is a Base Rate Loan (0.375% to 1.500%), or a Term SOFR Loan/Daily SOFR Loan (1.375% to 2.500%). The 2024 Credit Agreement also provides for a commitment fee of between 0.250% and 0.500% of the unused commitment under the 2024 Revolving Facility depending on our net leverage rato.</w:t>
      </w:r>
    </w:p>
    <w:p>
      <w:pPr>
        <w:spacing w:after="0" w:line="132" w:lineRule="exact"/>
        <w:rPr>
          <w:sz w:val="20"/>
          <w:szCs w:val="20"/>
          <w:color w:val="auto"/>
        </w:rPr>
      </w:pPr>
    </w:p>
    <w:p>
      <w:pPr>
        <w:jc w:val="both"/>
        <w:spacing w:after="0" w:line="237" w:lineRule="auto"/>
        <w:rPr>
          <w:sz w:val="20"/>
          <w:szCs w:val="20"/>
          <w:color w:val="auto"/>
        </w:rPr>
      </w:pPr>
      <w:r>
        <w:rPr>
          <w:rFonts w:ascii="Calibri" w:cs="Calibri" w:eastAsia="Calibri" w:hAnsi="Calibri"/>
          <w:sz w:val="14"/>
          <w:szCs w:val="14"/>
          <w:color w:val="51555C"/>
        </w:rPr>
        <w:t>Under the 2024 Credit Facilites, designated currency tranche revolving loans bear interest at a rate per annum equal to, at the opton of the Company: (a) the Designated Currency Daily Rate (as defned in the 2024 Credit Agreement) plus the Applicable Margin; or (b) the Designated Currency Term Rate (as defned in the 2024 Credit Agreement) plus the Applicable Margin. The Applicable Margin shall be adjusted quarterly and varies based on our net leverage rato for both Designated Currency Daily Rate Loans and Designated Currency Term Rate Loans (1.375% to 2.500%).</w:t>
      </w:r>
    </w:p>
    <w:p>
      <w:pPr>
        <w:spacing w:after="0" w:line="127" w:lineRule="exact"/>
        <w:rPr>
          <w:sz w:val="20"/>
          <w:szCs w:val="20"/>
          <w:color w:val="auto"/>
        </w:rPr>
      </w:pPr>
    </w:p>
    <w:p>
      <w:pPr>
        <w:spacing w:after="0"/>
        <w:rPr>
          <w:sz w:val="20"/>
          <w:szCs w:val="20"/>
          <w:color w:val="auto"/>
        </w:rPr>
      </w:pPr>
      <w:r>
        <w:rPr>
          <w:rFonts w:ascii="Calibri" w:cs="Calibri" w:eastAsia="Calibri" w:hAnsi="Calibri"/>
          <w:sz w:val="14"/>
          <w:szCs w:val="14"/>
          <w:color w:val="51555C"/>
        </w:rPr>
        <w:t>We may prepay the 2024 Credit Agreement in whole or in part at any tme without premium or penalty, other than customary breakage costs with respect to certain types of loans.</w:t>
      </w:r>
    </w:p>
    <w:p>
      <w:pPr>
        <w:spacing w:after="0" w:line="129" w:lineRule="exact"/>
        <w:rPr>
          <w:sz w:val="20"/>
          <w:szCs w:val="20"/>
          <w:color w:val="auto"/>
        </w:rPr>
      </w:pPr>
    </w:p>
    <w:p>
      <w:pPr>
        <w:jc w:val="both"/>
        <w:spacing w:after="0" w:line="237" w:lineRule="auto"/>
        <w:rPr>
          <w:sz w:val="20"/>
          <w:szCs w:val="20"/>
          <w:color w:val="auto"/>
        </w:rPr>
      </w:pPr>
      <w:r>
        <w:rPr>
          <w:rFonts w:ascii="Calibri" w:cs="Calibri" w:eastAsia="Calibri" w:hAnsi="Calibri"/>
          <w:sz w:val="14"/>
          <w:szCs w:val="14"/>
          <w:color w:val="51555C"/>
        </w:rPr>
        <w:t>Under the terms of the 2024 Credit Agreement, we are enttled on one or more occasion, subject to the satsfacton of certain conditons, to request an increase in the commitments under the 2024 Revolving Facility and/or request additonal incremental term loans in the aggregate principal amount of up to the sum of (i) the greater of (A) $360.0 million and (B) 100% of EBITDA (as defned in the 2024 Credit Agreement), plus (ii) at our opton, up to an amount such that the net leverage rato shall be no greater than 3.50 to 1.00.</w:t>
      </w:r>
    </w:p>
    <w:p>
      <w:pPr>
        <w:spacing w:after="0" w:line="130" w:lineRule="exact"/>
        <w:rPr>
          <w:sz w:val="20"/>
          <w:szCs w:val="20"/>
          <w:color w:val="auto"/>
        </w:rPr>
      </w:pPr>
    </w:p>
    <w:p>
      <w:pPr>
        <w:jc w:val="both"/>
        <w:spacing w:after="0" w:line="237" w:lineRule="auto"/>
        <w:rPr>
          <w:sz w:val="20"/>
          <w:szCs w:val="20"/>
          <w:color w:val="auto"/>
        </w:rPr>
      </w:pPr>
      <w:r>
        <w:rPr>
          <w:rFonts w:ascii="Calibri" w:cs="Calibri" w:eastAsia="Calibri" w:hAnsi="Calibri"/>
          <w:sz w:val="14"/>
          <w:szCs w:val="14"/>
          <w:color w:val="51555C"/>
        </w:rPr>
        <w:t>The 2024 Credit Agreement contains various representatons, warrantes and afrmatve, negatve and fnancial covenants customary for fnancings of this type. Financial covenants include a net leverage rato and an interest coverage rato. At June 30, 2024, we were in compliance with our debt covenants under the 2024 Credit Facilites.</w:t>
      </w:r>
    </w:p>
    <w:p>
      <w:pPr>
        <w:spacing w:after="0" w:line="126"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51555C"/>
        </w:rPr>
        <w:t>Real estate loans</w:t>
      </w:r>
    </w:p>
    <w:p>
      <w:pPr>
        <w:spacing w:after="0" w:line="129" w:lineRule="exact"/>
        <w:rPr>
          <w:sz w:val="20"/>
          <w:szCs w:val="20"/>
          <w:color w:val="auto"/>
        </w:rPr>
      </w:pPr>
    </w:p>
    <w:p>
      <w:pPr>
        <w:jc w:val="both"/>
        <w:spacing w:after="0" w:line="237" w:lineRule="auto"/>
        <w:rPr>
          <w:sz w:val="20"/>
          <w:szCs w:val="20"/>
          <w:color w:val="auto"/>
        </w:rPr>
      </w:pPr>
      <w:r>
        <w:rPr>
          <w:rFonts w:ascii="Calibri" w:cs="Calibri" w:eastAsia="Calibri" w:hAnsi="Calibri"/>
          <w:sz w:val="14"/>
          <w:szCs w:val="14"/>
          <w:color w:val="51555C"/>
        </w:rPr>
        <w:t>In August 2020, we completed the purchase of our global headquarters facility. As part of the purchase price, we assumed the seller’s obligatons under two senior secured notes with a then-aggregate outstanding principal amount of $61.1 million (collectvely, the “Real Estate Loans”). The Real Estate Loans require periodic principal payments and the balance of the Real Estate Loans are due upon maturity in April 2038. At June 30, 2024, we were in compliance with our debt covenants under the Real Estate Loans.</w:t>
      </w:r>
    </w:p>
    <w:p>
      <w:pPr>
        <w:spacing w:after="0" w:line="127"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51555C"/>
        </w:rPr>
        <w:t>Other debt</w:t>
      </w:r>
    </w:p>
    <w:p>
      <w:pPr>
        <w:spacing w:after="0" w:line="129" w:lineRule="exact"/>
        <w:rPr>
          <w:sz w:val="20"/>
          <w:szCs w:val="20"/>
          <w:color w:val="auto"/>
        </w:rPr>
      </w:pPr>
    </w:p>
    <w:p>
      <w:pPr>
        <w:jc w:val="both"/>
        <w:spacing w:after="0" w:line="237" w:lineRule="auto"/>
        <w:rPr>
          <w:sz w:val="20"/>
          <w:szCs w:val="20"/>
          <w:color w:val="auto"/>
        </w:rPr>
      </w:pPr>
      <w:r>
        <w:rPr>
          <w:rFonts w:ascii="Calibri" w:cs="Calibri" w:eastAsia="Calibri" w:hAnsi="Calibri"/>
          <w:sz w:val="14"/>
          <w:szCs w:val="14"/>
          <w:color w:val="51555C"/>
        </w:rPr>
        <w:t>From tme to tme, we enter into third-party fnancing agreements for purchases of sofware and related services for our internal use. Generally, the agreements are non-interest-bearing notes requiring annual payments. Interest associated with the notes is imputed at the rate we would incur for amounts borrowed under our then-existng credit facility at the incepton of the notes.</w:t>
      </w:r>
    </w:p>
    <w:p>
      <w:pPr>
        <w:spacing w:after="0" w:line="266" w:lineRule="exact"/>
        <w:rPr>
          <w:sz w:val="20"/>
          <w:szCs w:val="20"/>
          <w:color w:val="auto"/>
        </w:rPr>
      </w:pPr>
    </w:p>
    <w:p>
      <w:pPr>
        <w:ind w:left="20"/>
        <w:spacing w:after="0"/>
        <w:tabs>
          <w:tab w:leader="none" w:pos="589" w:val="left"/>
        </w:tabs>
        <w:rPr>
          <w:sz w:val="20"/>
          <w:szCs w:val="20"/>
          <w:color w:val="auto"/>
        </w:rPr>
      </w:pPr>
      <w:r>
        <w:rPr>
          <w:rFonts w:ascii="Calibri" w:cs="Calibri" w:eastAsia="Calibri" w:hAnsi="Calibri"/>
          <w:sz w:val="11"/>
          <w:szCs w:val="11"/>
          <w:color w:val="51555C"/>
        </w:rPr>
        <w:t>14</w:t>
      </w:r>
      <w:r>
        <w:rPr>
          <w:sz w:val="20"/>
          <w:szCs w:val="20"/>
          <w:color w:val="auto"/>
        </w:rPr>
        <w:tab/>
      </w:r>
      <w:r>
        <w:rPr>
          <w:sz w:val="1"/>
          <w:szCs w:val="1"/>
          <w:color w:val="auto"/>
        </w:rPr>
        <w:drawing>
          <wp:inline distT="0" distB="0" distL="0" distR="0">
            <wp:extent cx="511810" cy="13462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1810" cy="134620"/>
                    </a:xfrm>
                    <a:prstGeom prst="rect">
                      <a:avLst/>
                    </a:prstGeom>
                    <a:noFill/>
                    <a:ln>
                      <a:noFill/>
                    </a:ln>
                  </pic:spPr>
                </pic:pic>
              </a:graphicData>
            </a:graphic>
          </wp:inline>
        </w:drawing>
      </w:r>
      <w:r>
        <w:rPr>
          <w:rFonts w:ascii="Calibri" w:cs="Calibri" w:eastAsia="Calibri" w:hAnsi="Calibri"/>
          <w:sz w:val="11"/>
          <w:szCs w:val="11"/>
          <w:color w:val="51555C"/>
        </w:rPr>
        <w:t xml:space="preserve">    Second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135255</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15" w:name="page16"/>
    <w:bookmarkEnd w:id="15"/>
    <w:p>
      <w:pPr>
        <w:spacing w:after="0"/>
        <w:rPr>
          <w:sz w:val="20"/>
          <w:szCs w:val="20"/>
          <w:color w:val="auto"/>
        </w:rPr>
      </w:pPr>
      <w:r>
        <w:rPr>
          <w:rFonts w:ascii="Calibri" w:cs="Calibri" w:eastAsia="Calibri" w:hAnsi="Calibri"/>
          <w:sz w:val="11"/>
          <w:szCs w:val="11"/>
          <w:u w:val="single" w:color="auto"/>
          <w:color w:val="7A04DD"/>
        </w:rPr>
        <w:t>Table of Contents</w:t>
      </w:r>
    </w:p>
    <w:p>
      <w:pPr>
        <w:spacing w:after="0" w:line="196" w:lineRule="exact"/>
        <w:rPr>
          <w:sz w:val="20"/>
          <w:szCs w:val="20"/>
          <w:color w:val="auto"/>
        </w:rPr>
      </w:pPr>
    </w:p>
    <w:p>
      <w:pPr>
        <w:jc w:val="center"/>
        <w:ind w:right="20"/>
        <w:spacing w:after="0"/>
        <w:rPr>
          <w:sz w:val="20"/>
          <w:szCs w:val="20"/>
          <w:color w:val="auto"/>
        </w:rPr>
      </w:pPr>
      <w:r>
        <w:rPr>
          <w:rFonts w:ascii="Calibri" w:cs="Calibri" w:eastAsia="Calibri" w:hAnsi="Calibri"/>
          <w:sz w:val="14"/>
          <w:szCs w:val="14"/>
          <w:b w:val="1"/>
          <w:bCs w:val="1"/>
          <w:color w:val="51555C"/>
        </w:rPr>
        <w:t>Blackbaud, Inc.</w:t>
      </w:r>
    </w:p>
    <w:p>
      <w:pPr>
        <w:jc w:val="center"/>
        <w:ind w:right="20"/>
        <w:spacing w:after="0" w:line="238" w:lineRule="auto"/>
        <w:rPr>
          <w:sz w:val="20"/>
          <w:szCs w:val="20"/>
          <w:color w:val="auto"/>
        </w:rPr>
      </w:pPr>
      <w:r>
        <w:rPr>
          <w:rFonts w:ascii="Calibri" w:cs="Calibri" w:eastAsia="Calibri" w:hAnsi="Calibri"/>
          <w:sz w:val="14"/>
          <w:szCs w:val="14"/>
          <w:b w:val="1"/>
          <w:bCs w:val="1"/>
          <w:color w:val="51555C"/>
        </w:rPr>
        <w:t>Notes to Condensed Consolidated Financial Statements</w:t>
      </w:r>
    </w:p>
    <w:p>
      <w:pPr>
        <w:jc w:val="center"/>
        <w:ind w:right="20"/>
        <w:spacing w:after="0"/>
        <w:rPr>
          <w:sz w:val="20"/>
          <w:szCs w:val="20"/>
          <w:color w:val="auto"/>
        </w:rPr>
      </w:pPr>
      <w:r>
        <w:rPr>
          <w:rFonts w:ascii="Calibri" w:cs="Calibri" w:eastAsia="Calibri" w:hAnsi="Calibri"/>
          <w:sz w:val="14"/>
          <w:szCs w:val="14"/>
          <w:b w:val="1"/>
          <w:bCs w:val="1"/>
          <w:color w:val="51555C"/>
        </w:rPr>
        <w:t>(Unaudited)</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Calibri" w:cs="Calibri" w:eastAsia="Calibri" w:hAnsi="Calibri"/>
          <w:sz w:val="14"/>
          <w:szCs w:val="14"/>
          <w:color w:val="51555C"/>
        </w:rPr>
        <w:t>The following table summarizes our currently efectve supplier fnancing agreements as of June 30, 2024:</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4920" w:type="dxa"/>
            <w:vAlign w:val="bottom"/>
            <w:shd w:val="clear" w:color="auto" w:fill="004054"/>
          </w:tcPr>
          <w:p>
            <w:pPr>
              <w:spacing w:after="0"/>
              <w:rPr>
                <w:sz w:val="12"/>
                <w:szCs w:val="12"/>
                <w:color w:val="auto"/>
              </w:rPr>
            </w:pPr>
          </w:p>
        </w:tc>
        <w:tc>
          <w:tcPr>
            <w:tcW w:w="152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Term</w:t>
            </w:r>
          </w:p>
        </w:tc>
        <w:tc>
          <w:tcPr>
            <w:tcW w:w="165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Number of</w:t>
            </w:r>
          </w:p>
        </w:tc>
        <w:tc>
          <w:tcPr>
            <w:tcW w:w="165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First Annual</w:t>
            </w:r>
          </w:p>
        </w:tc>
        <w:tc>
          <w:tcPr>
            <w:tcW w:w="500" w:type="dxa"/>
            <w:vAlign w:val="bottom"/>
            <w:shd w:val="clear" w:color="auto" w:fill="004054"/>
          </w:tcPr>
          <w:p>
            <w:pPr>
              <w:spacing w:after="0"/>
              <w:rPr>
                <w:sz w:val="12"/>
                <w:szCs w:val="12"/>
                <w:color w:val="auto"/>
              </w:rPr>
            </w:pPr>
          </w:p>
        </w:tc>
        <w:tc>
          <w:tcPr>
            <w:tcW w:w="104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Original Loan</w:t>
            </w:r>
          </w:p>
        </w:tc>
        <w:tc>
          <w:tcPr>
            <w:tcW w:w="20" w:type="dxa"/>
            <w:vAlign w:val="bottom"/>
            <w:shd w:val="clear" w:color="auto" w:fill="004054"/>
          </w:tcPr>
          <w:p>
            <w:pPr>
              <w:spacing w:after="0"/>
              <w:rPr>
                <w:sz w:val="12"/>
                <w:szCs w:val="12"/>
                <w:color w:val="auto"/>
              </w:rPr>
            </w:pPr>
          </w:p>
        </w:tc>
      </w:tr>
      <w:tr>
        <w:trPr>
          <w:trHeight w:val="172"/>
        </w:trPr>
        <w:tc>
          <w:tcPr>
            <w:tcW w:w="4920" w:type="dxa"/>
            <w:vAlign w:val="bottom"/>
            <w:tcBorders>
              <w:bottom w:val="single" w:sz="8" w:color="004054"/>
            </w:tcBorders>
            <w:shd w:val="clear" w:color="auto" w:fill="004054"/>
          </w:tcPr>
          <w:p>
            <w:pPr>
              <w:ind w:left="20"/>
              <w:spacing w:after="0"/>
              <w:rPr>
                <w:sz w:val="20"/>
                <w:szCs w:val="20"/>
                <w:color w:val="auto"/>
              </w:rPr>
            </w:pPr>
            <w:r>
              <w:rPr>
                <w:rFonts w:ascii="Calibri" w:cs="Calibri" w:eastAsia="Calibri" w:hAnsi="Calibri"/>
                <w:sz w:val="11"/>
                <w:szCs w:val="11"/>
                <w:b w:val="1"/>
                <w:bCs w:val="1"/>
                <w:color w:val="FFFFFF"/>
              </w:rPr>
              <w:t>(dollars in thousands)</w:t>
            </w:r>
          </w:p>
        </w:tc>
        <w:tc>
          <w:tcPr>
            <w:tcW w:w="1520" w:type="dxa"/>
            <w:vAlign w:val="bottom"/>
            <w:tcBorders>
              <w:bottom w:val="single" w:sz="8" w:color="004054"/>
            </w:tcBorders>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in Months</w:t>
            </w:r>
          </w:p>
        </w:tc>
        <w:tc>
          <w:tcPr>
            <w:tcW w:w="1650" w:type="dxa"/>
            <w:vAlign w:val="bottom"/>
            <w:tcBorders>
              <w:bottom w:val="single" w:sz="8" w:color="004054"/>
            </w:tcBorders>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Annual Payments</w:t>
            </w:r>
          </w:p>
        </w:tc>
        <w:tc>
          <w:tcPr>
            <w:tcW w:w="1650" w:type="dxa"/>
            <w:vAlign w:val="bottom"/>
            <w:tcBorders>
              <w:bottom w:val="single" w:sz="8" w:color="004054"/>
            </w:tcBorders>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Payment Due</w:t>
            </w:r>
          </w:p>
        </w:tc>
        <w:tc>
          <w:tcPr>
            <w:tcW w:w="500" w:type="dxa"/>
            <w:vAlign w:val="bottom"/>
            <w:tcBorders>
              <w:bottom w:val="single" w:sz="8" w:color="004054"/>
            </w:tcBorders>
            <w:shd w:val="clear" w:color="auto" w:fill="004054"/>
          </w:tcPr>
          <w:p>
            <w:pPr>
              <w:spacing w:after="0"/>
              <w:rPr>
                <w:sz w:val="14"/>
                <w:szCs w:val="14"/>
                <w:color w:val="auto"/>
              </w:rPr>
            </w:pPr>
          </w:p>
        </w:tc>
        <w:tc>
          <w:tcPr>
            <w:tcW w:w="1040" w:type="dxa"/>
            <w:vAlign w:val="bottom"/>
            <w:tcBorders>
              <w:bottom w:val="single" w:sz="8" w:color="004054"/>
            </w:tcBorders>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Value</w:t>
            </w:r>
          </w:p>
        </w:tc>
        <w:tc>
          <w:tcPr>
            <w:tcW w:w="20" w:type="dxa"/>
            <w:vAlign w:val="bottom"/>
            <w:tcBorders>
              <w:bottom w:val="single" w:sz="8" w:color="004054"/>
            </w:tcBorders>
            <w:shd w:val="clear" w:color="auto" w:fill="004054"/>
          </w:tcPr>
          <w:p>
            <w:pPr>
              <w:spacing w:after="0"/>
              <w:rPr>
                <w:sz w:val="14"/>
                <w:szCs w:val="14"/>
                <w:color w:val="auto"/>
              </w:rPr>
            </w:pPr>
          </w:p>
        </w:tc>
      </w:tr>
      <w:tr>
        <w:trPr>
          <w:trHeight w:val="340"/>
        </w:trPr>
        <w:tc>
          <w:tcPr>
            <w:tcW w:w="4920" w:type="dxa"/>
            <w:vAlign w:val="bottom"/>
            <w:shd w:val="clear" w:color="auto" w:fill="EBFBFF"/>
          </w:tcPr>
          <w:p>
            <w:pPr>
              <w:ind w:left="20"/>
              <w:spacing w:after="0"/>
              <w:rPr>
                <w:sz w:val="20"/>
                <w:szCs w:val="20"/>
                <w:color w:val="auto"/>
              </w:rPr>
            </w:pPr>
            <w:r>
              <w:rPr>
                <w:rFonts w:ascii="Calibri" w:cs="Calibri" w:eastAsia="Calibri" w:hAnsi="Calibri"/>
                <w:sz w:val="14"/>
                <w:szCs w:val="14"/>
                <w:b w:val="1"/>
                <w:bCs w:val="1"/>
                <w:color w:val="51555C"/>
              </w:rPr>
              <w:t xml:space="preserve">Efectve dates of agreements </w:t>
            </w:r>
            <w:r>
              <w:rPr>
                <w:rFonts w:ascii="Calibri" w:cs="Calibri" w:eastAsia="Calibri" w:hAnsi="Calibri"/>
                <w:sz w:val="18"/>
                <w:szCs w:val="18"/>
                <w:b w:val="1"/>
                <w:bCs w:val="1"/>
                <w:color w:val="51555C"/>
                <w:vertAlign w:val="superscript"/>
              </w:rPr>
              <w:t>(1)</w:t>
            </w:r>
            <w:r>
              <w:rPr>
                <w:rFonts w:ascii="Calibri" w:cs="Calibri" w:eastAsia="Calibri" w:hAnsi="Calibri"/>
                <w:sz w:val="14"/>
                <w:szCs w:val="14"/>
                <w:b w:val="1"/>
                <w:bCs w:val="1"/>
                <w:color w:val="51555C"/>
              </w:rPr>
              <w:t>:</w:t>
            </w:r>
          </w:p>
        </w:tc>
        <w:tc>
          <w:tcPr>
            <w:tcW w:w="1520" w:type="dxa"/>
            <w:vAlign w:val="bottom"/>
            <w:shd w:val="clear" w:color="auto" w:fill="EBFBFF"/>
          </w:tcPr>
          <w:p>
            <w:pPr>
              <w:spacing w:after="0"/>
              <w:rPr>
                <w:sz w:val="24"/>
                <w:szCs w:val="24"/>
                <w:color w:val="auto"/>
              </w:rPr>
            </w:pPr>
          </w:p>
        </w:tc>
        <w:tc>
          <w:tcPr>
            <w:tcW w:w="1650" w:type="dxa"/>
            <w:vAlign w:val="bottom"/>
            <w:shd w:val="clear" w:color="auto" w:fill="EBFBFF"/>
          </w:tcPr>
          <w:p>
            <w:pPr>
              <w:spacing w:after="0"/>
              <w:rPr>
                <w:sz w:val="24"/>
                <w:szCs w:val="24"/>
                <w:color w:val="auto"/>
              </w:rPr>
            </w:pPr>
          </w:p>
        </w:tc>
        <w:tc>
          <w:tcPr>
            <w:tcW w:w="1650" w:type="dxa"/>
            <w:vAlign w:val="bottom"/>
            <w:shd w:val="clear" w:color="auto" w:fill="EBFBFF"/>
          </w:tcPr>
          <w:p>
            <w:pPr>
              <w:spacing w:after="0"/>
              <w:rPr>
                <w:sz w:val="24"/>
                <w:szCs w:val="24"/>
                <w:color w:val="auto"/>
              </w:rPr>
            </w:pPr>
          </w:p>
        </w:tc>
        <w:tc>
          <w:tcPr>
            <w:tcW w:w="500" w:type="dxa"/>
            <w:vAlign w:val="bottom"/>
            <w:shd w:val="clear" w:color="auto" w:fill="EBFBFF"/>
          </w:tcPr>
          <w:p>
            <w:pPr>
              <w:spacing w:after="0"/>
              <w:rPr>
                <w:sz w:val="24"/>
                <w:szCs w:val="24"/>
                <w:color w:val="auto"/>
              </w:rPr>
            </w:pPr>
          </w:p>
        </w:tc>
        <w:tc>
          <w:tcPr>
            <w:tcW w:w="1040" w:type="dxa"/>
            <w:vAlign w:val="bottom"/>
            <w:shd w:val="clear" w:color="auto" w:fill="EBFBFF"/>
          </w:tcPr>
          <w:p>
            <w:pPr>
              <w:spacing w:after="0"/>
              <w:rPr>
                <w:sz w:val="24"/>
                <w:szCs w:val="24"/>
                <w:color w:val="auto"/>
              </w:rPr>
            </w:pPr>
          </w:p>
        </w:tc>
        <w:tc>
          <w:tcPr>
            <w:tcW w:w="20" w:type="dxa"/>
            <w:vAlign w:val="bottom"/>
          </w:tcPr>
          <w:p>
            <w:pPr>
              <w:spacing w:after="0"/>
              <w:rPr>
                <w:sz w:val="24"/>
                <w:szCs w:val="24"/>
                <w:color w:val="auto"/>
              </w:rPr>
            </w:pPr>
          </w:p>
        </w:tc>
      </w:tr>
      <w:tr>
        <w:trPr>
          <w:trHeight w:val="172"/>
        </w:trPr>
        <w:tc>
          <w:tcPr>
            <w:tcW w:w="4920" w:type="dxa"/>
            <w:vAlign w:val="bottom"/>
          </w:tcPr>
          <w:p>
            <w:pPr>
              <w:ind w:left="100"/>
              <w:spacing w:after="0"/>
              <w:rPr>
                <w:sz w:val="20"/>
                <w:szCs w:val="20"/>
                <w:color w:val="auto"/>
              </w:rPr>
            </w:pPr>
            <w:r>
              <w:rPr>
                <w:rFonts w:ascii="Calibri" w:cs="Calibri" w:eastAsia="Calibri" w:hAnsi="Calibri"/>
                <w:sz w:val="14"/>
                <w:szCs w:val="14"/>
                <w:color w:val="51555C"/>
              </w:rPr>
              <w:t>December 2022</w:t>
            </w:r>
          </w:p>
        </w:tc>
        <w:tc>
          <w:tcPr>
            <w:tcW w:w="1520" w:type="dxa"/>
            <w:vAlign w:val="bottom"/>
          </w:tcPr>
          <w:p>
            <w:pPr>
              <w:jc w:val="right"/>
              <w:spacing w:after="0"/>
              <w:rPr>
                <w:sz w:val="20"/>
                <w:szCs w:val="20"/>
                <w:color w:val="auto"/>
              </w:rPr>
            </w:pPr>
            <w:r>
              <w:rPr>
                <w:rFonts w:ascii="Calibri" w:cs="Calibri" w:eastAsia="Calibri" w:hAnsi="Calibri"/>
                <w:sz w:val="14"/>
                <w:szCs w:val="14"/>
                <w:color w:val="51555C"/>
              </w:rPr>
              <w:t>39</w:t>
            </w:r>
          </w:p>
        </w:tc>
        <w:tc>
          <w:tcPr>
            <w:tcW w:w="1650" w:type="dxa"/>
            <w:vAlign w:val="bottom"/>
          </w:tcPr>
          <w:p>
            <w:pPr>
              <w:jc w:val="right"/>
              <w:spacing w:after="0"/>
              <w:rPr>
                <w:sz w:val="20"/>
                <w:szCs w:val="20"/>
                <w:color w:val="auto"/>
              </w:rPr>
            </w:pPr>
            <w:r>
              <w:rPr>
                <w:rFonts w:ascii="Calibri" w:cs="Calibri" w:eastAsia="Calibri" w:hAnsi="Calibri"/>
                <w:sz w:val="14"/>
                <w:szCs w:val="14"/>
                <w:color w:val="51555C"/>
              </w:rPr>
              <w:t>3</w:t>
            </w:r>
          </w:p>
        </w:tc>
        <w:tc>
          <w:tcPr>
            <w:tcW w:w="1650" w:type="dxa"/>
            <w:vAlign w:val="bottom"/>
          </w:tcPr>
          <w:p>
            <w:pPr>
              <w:jc w:val="right"/>
              <w:spacing w:after="0"/>
              <w:rPr>
                <w:sz w:val="20"/>
                <w:szCs w:val="20"/>
                <w:color w:val="auto"/>
              </w:rPr>
            </w:pPr>
            <w:r>
              <w:rPr>
                <w:rFonts w:ascii="Calibri" w:cs="Calibri" w:eastAsia="Calibri" w:hAnsi="Calibri"/>
                <w:sz w:val="14"/>
                <w:szCs w:val="14"/>
                <w:color w:val="51555C"/>
              </w:rPr>
              <w:t>January 2023</w:t>
            </w:r>
          </w:p>
        </w:tc>
        <w:tc>
          <w:tcPr>
            <w:tcW w:w="500" w:type="dxa"/>
            <w:vAlign w:val="bottom"/>
          </w:tcPr>
          <w:p>
            <w:pPr>
              <w:jc w:val="right"/>
              <w:ind w:right="349"/>
              <w:spacing w:after="0"/>
              <w:rPr>
                <w:sz w:val="20"/>
                <w:szCs w:val="20"/>
                <w:color w:val="auto"/>
              </w:rPr>
            </w:pPr>
            <w:r>
              <w:rPr>
                <w:rFonts w:ascii="Calibri" w:cs="Calibri" w:eastAsia="Calibri" w:hAnsi="Calibri"/>
                <w:sz w:val="14"/>
                <w:szCs w:val="14"/>
                <w:color w:val="51555C"/>
                <w:w w:val="83"/>
              </w:rPr>
              <w:t>$</w:t>
            </w:r>
          </w:p>
        </w:tc>
        <w:tc>
          <w:tcPr>
            <w:tcW w:w="1040" w:type="dxa"/>
            <w:vAlign w:val="bottom"/>
          </w:tcPr>
          <w:p>
            <w:pPr>
              <w:jc w:val="right"/>
              <w:spacing w:after="0"/>
              <w:rPr>
                <w:sz w:val="20"/>
                <w:szCs w:val="20"/>
                <w:color w:val="auto"/>
              </w:rPr>
            </w:pPr>
            <w:r>
              <w:rPr>
                <w:rFonts w:ascii="Calibri" w:cs="Calibri" w:eastAsia="Calibri" w:hAnsi="Calibri"/>
                <w:sz w:val="14"/>
                <w:szCs w:val="14"/>
                <w:color w:val="51555C"/>
              </w:rPr>
              <w:t>1,710</w:t>
            </w:r>
          </w:p>
        </w:tc>
        <w:tc>
          <w:tcPr>
            <w:tcW w:w="20" w:type="dxa"/>
            <w:vAlign w:val="bottom"/>
          </w:tcPr>
          <w:p>
            <w:pPr>
              <w:spacing w:after="0"/>
              <w:rPr>
                <w:sz w:val="14"/>
                <w:szCs w:val="14"/>
                <w:color w:val="auto"/>
              </w:rPr>
            </w:pPr>
          </w:p>
        </w:tc>
      </w:tr>
      <w:tr>
        <w:trPr>
          <w:trHeight w:val="40"/>
        </w:trPr>
        <w:tc>
          <w:tcPr>
            <w:tcW w:w="49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650" w:type="dxa"/>
            <w:vAlign w:val="bottom"/>
          </w:tcPr>
          <w:p>
            <w:pPr>
              <w:spacing w:after="0"/>
              <w:rPr>
                <w:sz w:val="3"/>
                <w:szCs w:val="3"/>
                <w:color w:val="auto"/>
              </w:rPr>
            </w:pPr>
          </w:p>
        </w:tc>
        <w:tc>
          <w:tcPr>
            <w:tcW w:w="165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92"/>
        </w:trPr>
        <w:tc>
          <w:tcPr>
            <w:tcW w:w="4920" w:type="dxa"/>
            <w:vAlign w:val="bottom"/>
            <w:tcBorders>
              <w:bottom w:val="single" w:sz="8" w:color="EBFBFF"/>
            </w:tcBorders>
            <w:shd w:val="clear" w:color="auto" w:fill="EBFBFF"/>
          </w:tcPr>
          <w:p>
            <w:pPr>
              <w:ind w:left="100"/>
              <w:spacing w:after="0"/>
              <w:rPr>
                <w:sz w:val="20"/>
                <w:szCs w:val="20"/>
                <w:color w:val="auto"/>
              </w:rPr>
            </w:pPr>
            <w:r>
              <w:rPr>
                <w:rFonts w:ascii="Calibri" w:cs="Calibri" w:eastAsia="Calibri" w:hAnsi="Calibri"/>
                <w:sz w:val="14"/>
                <w:szCs w:val="14"/>
                <w:color w:val="51555C"/>
              </w:rPr>
              <w:t>January 2023</w:t>
            </w:r>
          </w:p>
        </w:tc>
        <w:tc>
          <w:tcPr>
            <w:tcW w:w="15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36</w:t>
            </w:r>
          </w:p>
        </w:tc>
        <w:tc>
          <w:tcPr>
            <w:tcW w:w="165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3</w:t>
            </w:r>
          </w:p>
        </w:tc>
        <w:tc>
          <w:tcPr>
            <w:tcW w:w="165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April 2023</w:t>
            </w:r>
          </w:p>
        </w:tc>
        <w:tc>
          <w:tcPr>
            <w:tcW w:w="500" w:type="dxa"/>
            <w:vAlign w:val="bottom"/>
            <w:tcBorders>
              <w:bottom w:val="single" w:sz="8" w:color="EBFBFF"/>
            </w:tcBorders>
            <w:shd w:val="clear" w:color="auto" w:fill="EBFBFF"/>
          </w:tcPr>
          <w:p>
            <w:pPr>
              <w:jc w:val="right"/>
              <w:ind w:right="349"/>
              <w:spacing w:after="0"/>
              <w:rPr>
                <w:sz w:val="20"/>
                <w:szCs w:val="20"/>
                <w:color w:val="auto"/>
              </w:rPr>
            </w:pPr>
            <w:r>
              <w:rPr>
                <w:rFonts w:ascii="Calibri" w:cs="Calibri" w:eastAsia="Calibri" w:hAnsi="Calibri"/>
                <w:sz w:val="14"/>
                <w:szCs w:val="14"/>
                <w:color w:val="51555C"/>
                <w:w w:val="83"/>
              </w:rPr>
              <w:t>$</w:t>
            </w:r>
          </w:p>
        </w:tc>
        <w:tc>
          <w:tcPr>
            <w:tcW w:w="10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2,491</w:t>
            </w:r>
          </w:p>
        </w:tc>
        <w:tc>
          <w:tcPr>
            <w:tcW w:w="20" w:type="dxa"/>
            <w:vAlign w:val="bottom"/>
          </w:tcPr>
          <w:p>
            <w:pPr>
              <w:spacing w:after="0"/>
              <w:rPr>
                <w:sz w:val="16"/>
                <w:szCs w:val="16"/>
                <w:color w:val="auto"/>
              </w:rPr>
            </w:pPr>
          </w:p>
        </w:tc>
      </w:tr>
      <w:tr>
        <w:trPr>
          <w:trHeight w:val="172"/>
        </w:trPr>
        <w:tc>
          <w:tcPr>
            <w:tcW w:w="4920" w:type="dxa"/>
            <w:vAlign w:val="bottom"/>
          </w:tcPr>
          <w:p>
            <w:pPr>
              <w:ind w:left="100"/>
              <w:spacing w:after="0"/>
              <w:rPr>
                <w:sz w:val="20"/>
                <w:szCs w:val="20"/>
                <w:color w:val="auto"/>
              </w:rPr>
            </w:pPr>
            <w:r>
              <w:rPr>
                <w:rFonts w:ascii="Calibri" w:cs="Calibri" w:eastAsia="Calibri" w:hAnsi="Calibri"/>
                <w:sz w:val="14"/>
                <w:szCs w:val="14"/>
                <w:color w:val="51555C"/>
              </w:rPr>
              <w:t>April 2024</w:t>
            </w:r>
          </w:p>
        </w:tc>
        <w:tc>
          <w:tcPr>
            <w:tcW w:w="1520" w:type="dxa"/>
            <w:vAlign w:val="bottom"/>
          </w:tcPr>
          <w:p>
            <w:pPr>
              <w:jc w:val="right"/>
              <w:spacing w:after="0"/>
              <w:rPr>
                <w:sz w:val="20"/>
                <w:szCs w:val="20"/>
                <w:color w:val="auto"/>
              </w:rPr>
            </w:pPr>
            <w:r>
              <w:rPr>
                <w:rFonts w:ascii="Calibri" w:cs="Calibri" w:eastAsia="Calibri" w:hAnsi="Calibri"/>
                <w:sz w:val="14"/>
                <w:szCs w:val="14"/>
                <w:color w:val="51555C"/>
              </w:rPr>
              <w:t>36</w:t>
            </w:r>
          </w:p>
        </w:tc>
        <w:tc>
          <w:tcPr>
            <w:tcW w:w="1650" w:type="dxa"/>
            <w:vAlign w:val="bottom"/>
          </w:tcPr>
          <w:p>
            <w:pPr>
              <w:jc w:val="right"/>
              <w:spacing w:after="0"/>
              <w:rPr>
                <w:sz w:val="20"/>
                <w:szCs w:val="20"/>
                <w:color w:val="auto"/>
              </w:rPr>
            </w:pPr>
            <w:r>
              <w:rPr>
                <w:rFonts w:ascii="Calibri" w:cs="Calibri" w:eastAsia="Calibri" w:hAnsi="Calibri"/>
                <w:sz w:val="14"/>
                <w:szCs w:val="14"/>
                <w:color w:val="51555C"/>
              </w:rPr>
              <w:t>3</w:t>
            </w:r>
          </w:p>
        </w:tc>
        <w:tc>
          <w:tcPr>
            <w:tcW w:w="1650" w:type="dxa"/>
            <w:vAlign w:val="bottom"/>
          </w:tcPr>
          <w:p>
            <w:pPr>
              <w:jc w:val="right"/>
              <w:spacing w:after="0"/>
              <w:rPr>
                <w:sz w:val="20"/>
                <w:szCs w:val="20"/>
                <w:color w:val="auto"/>
              </w:rPr>
            </w:pPr>
            <w:r>
              <w:rPr>
                <w:rFonts w:ascii="Calibri" w:cs="Calibri" w:eastAsia="Calibri" w:hAnsi="Calibri"/>
                <w:sz w:val="14"/>
                <w:szCs w:val="14"/>
                <w:color w:val="51555C"/>
              </w:rPr>
              <w:t>May 2024</w:t>
            </w:r>
          </w:p>
        </w:tc>
        <w:tc>
          <w:tcPr>
            <w:tcW w:w="500" w:type="dxa"/>
            <w:vAlign w:val="bottom"/>
          </w:tcPr>
          <w:p>
            <w:pPr>
              <w:jc w:val="right"/>
              <w:ind w:right="349"/>
              <w:spacing w:after="0"/>
              <w:rPr>
                <w:sz w:val="20"/>
                <w:szCs w:val="20"/>
                <w:color w:val="auto"/>
              </w:rPr>
            </w:pPr>
            <w:r>
              <w:rPr>
                <w:rFonts w:ascii="Calibri" w:cs="Calibri" w:eastAsia="Calibri" w:hAnsi="Calibri"/>
                <w:sz w:val="14"/>
                <w:szCs w:val="14"/>
                <w:color w:val="51555C"/>
                <w:w w:val="83"/>
              </w:rPr>
              <w:t>$</w:t>
            </w:r>
          </w:p>
        </w:tc>
        <w:tc>
          <w:tcPr>
            <w:tcW w:w="1040" w:type="dxa"/>
            <w:vAlign w:val="bottom"/>
          </w:tcPr>
          <w:p>
            <w:pPr>
              <w:jc w:val="right"/>
              <w:spacing w:after="0"/>
              <w:rPr>
                <w:sz w:val="20"/>
                <w:szCs w:val="20"/>
                <w:color w:val="auto"/>
              </w:rPr>
            </w:pPr>
            <w:r>
              <w:rPr>
                <w:rFonts w:ascii="Calibri" w:cs="Calibri" w:eastAsia="Calibri" w:hAnsi="Calibri"/>
                <w:sz w:val="14"/>
                <w:szCs w:val="14"/>
                <w:color w:val="51555C"/>
              </w:rPr>
              <w:t>2,073</w:t>
            </w:r>
          </w:p>
        </w:tc>
        <w:tc>
          <w:tcPr>
            <w:tcW w:w="2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25400</wp:posOffset>
            </wp:positionV>
            <wp:extent cx="7161530" cy="6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62" w:lineRule="exact"/>
        <w:rPr>
          <w:sz w:val="20"/>
          <w:szCs w:val="20"/>
          <w:color w:val="auto"/>
        </w:rPr>
      </w:pPr>
    </w:p>
    <w:p>
      <w:pPr>
        <w:ind w:left="260" w:hanging="255"/>
        <w:spacing w:after="0"/>
        <w:tabs>
          <w:tab w:leader="none" w:pos="260" w:val="left"/>
        </w:tabs>
        <w:numPr>
          <w:ilvl w:val="0"/>
          <w:numId w:val="8"/>
        </w:numPr>
        <w:rPr>
          <w:rFonts w:ascii="Calibri" w:cs="Calibri" w:eastAsia="Calibri" w:hAnsi="Calibri"/>
          <w:sz w:val="11"/>
          <w:szCs w:val="11"/>
          <w:color w:val="51555C"/>
        </w:rPr>
      </w:pPr>
      <w:r>
        <w:rPr>
          <w:rFonts w:ascii="Calibri" w:cs="Calibri" w:eastAsia="Calibri" w:hAnsi="Calibri"/>
          <w:sz w:val="11"/>
          <w:szCs w:val="11"/>
          <w:color w:val="51555C"/>
        </w:rPr>
        <w:t>Represent noncash investng and fnancing transactons during the periods indicated as we purchased sofware and services by assuming directly related liabilites.</w:t>
      </w:r>
    </w:p>
    <w:p>
      <w:pPr>
        <w:spacing w:after="0" w:line="133" w:lineRule="exact"/>
        <w:rPr>
          <w:sz w:val="20"/>
          <w:szCs w:val="20"/>
          <w:color w:val="auto"/>
        </w:rPr>
      </w:pPr>
    </w:p>
    <w:p>
      <w:pPr>
        <w:spacing w:after="0"/>
        <w:rPr>
          <w:sz w:val="20"/>
          <w:szCs w:val="20"/>
          <w:color w:val="auto"/>
        </w:rPr>
      </w:pPr>
      <w:r>
        <w:rPr>
          <w:rFonts w:ascii="Calibri" w:cs="Calibri" w:eastAsia="Calibri" w:hAnsi="Calibri"/>
          <w:sz w:val="14"/>
          <w:szCs w:val="14"/>
          <w:color w:val="51555C"/>
        </w:rPr>
        <w:t>The changes in supplier fnancing obligatons during the six months ended June 30, 2024, consisted of the following:</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760" w:type="dxa"/>
            <w:vAlign w:val="bottom"/>
            <w:tcBorders>
              <w:bottom w:val="single" w:sz="8" w:color="004054"/>
            </w:tcBorders>
            <w:shd w:val="clear" w:color="auto" w:fill="004054"/>
          </w:tcPr>
          <w:p>
            <w:pPr>
              <w:ind w:left="20"/>
              <w:spacing w:after="0"/>
              <w:rPr>
                <w:sz w:val="20"/>
                <w:szCs w:val="20"/>
                <w:color w:val="auto"/>
              </w:rPr>
            </w:pPr>
            <w:r>
              <w:rPr>
                <w:rFonts w:ascii="Calibri" w:cs="Calibri" w:eastAsia="Calibri" w:hAnsi="Calibri"/>
                <w:sz w:val="11"/>
                <w:szCs w:val="11"/>
                <w:b w:val="1"/>
                <w:bCs w:val="1"/>
                <w:color w:val="FFFFFF"/>
              </w:rPr>
              <w:t>(dollars in thousands)</w:t>
            </w:r>
          </w:p>
        </w:tc>
        <w:tc>
          <w:tcPr>
            <w:tcW w:w="500" w:type="dxa"/>
            <w:vAlign w:val="bottom"/>
            <w:tcBorders>
              <w:bottom w:val="single" w:sz="8" w:color="004054"/>
            </w:tcBorders>
            <w:shd w:val="clear" w:color="auto" w:fill="004054"/>
          </w:tcPr>
          <w:p>
            <w:pPr>
              <w:spacing w:after="0"/>
              <w:rPr>
                <w:sz w:val="15"/>
                <w:szCs w:val="15"/>
                <w:color w:val="auto"/>
              </w:rPr>
            </w:pPr>
          </w:p>
        </w:tc>
        <w:tc>
          <w:tcPr>
            <w:tcW w:w="1020" w:type="dxa"/>
            <w:vAlign w:val="bottom"/>
            <w:tcBorders>
              <w:bottom w:val="single" w:sz="8" w:color="004054"/>
            </w:tcBorders>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Total</w:t>
            </w:r>
          </w:p>
        </w:tc>
        <w:tc>
          <w:tcPr>
            <w:tcW w:w="20" w:type="dxa"/>
            <w:vAlign w:val="bottom"/>
            <w:tcBorders>
              <w:bottom w:val="single" w:sz="8" w:color="004054"/>
            </w:tcBorders>
            <w:shd w:val="clear" w:color="auto" w:fill="004054"/>
          </w:tcPr>
          <w:p>
            <w:pPr>
              <w:spacing w:after="0"/>
              <w:rPr>
                <w:sz w:val="15"/>
                <w:szCs w:val="15"/>
                <w:color w:val="auto"/>
              </w:rPr>
            </w:pPr>
          </w:p>
        </w:tc>
      </w:tr>
      <w:tr>
        <w:trPr>
          <w:trHeight w:val="192"/>
        </w:trPr>
        <w:tc>
          <w:tcPr>
            <w:tcW w:w="976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4"/>
                <w:szCs w:val="14"/>
                <w:b w:val="1"/>
                <w:bCs w:val="1"/>
                <w:color w:val="51555C"/>
              </w:rPr>
              <w:t>Balance at December 31, 2023</w:t>
            </w:r>
          </w:p>
        </w:tc>
        <w:tc>
          <w:tcPr>
            <w:tcW w:w="500" w:type="dxa"/>
            <w:vAlign w:val="bottom"/>
            <w:tcBorders>
              <w:bottom w:val="single" w:sz="8" w:color="EBFBFF"/>
            </w:tcBorders>
            <w:shd w:val="clear" w:color="auto" w:fill="EBFBFF"/>
          </w:tcPr>
          <w:p>
            <w:pPr>
              <w:jc w:val="right"/>
              <w:ind w:right="349"/>
              <w:spacing w:after="0"/>
              <w:rPr>
                <w:sz w:val="20"/>
                <w:szCs w:val="20"/>
                <w:color w:val="auto"/>
              </w:rPr>
            </w:pPr>
            <w:r>
              <w:rPr>
                <w:rFonts w:ascii="Calibri" w:cs="Calibri" w:eastAsia="Calibri" w:hAnsi="Calibri"/>
                <w:sz w:val="14"/>
                <w:szCs w:val="14"/>
                <w:color w:val="51555C"/>
                <w:w w:val="83"/>
              </w:rPr>
              <w:t>$</w:t>
            </w:r>
          </w:p>
        </w:tc>
        <w:tc>
          <w:tcPr>
            <w:tcW w:w="10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2,800</w:t>
            </w:r>
          </w:p>
        </w:tc>
        <w:tc>
          <w:tcPr>
            <w:tcW w:w="20" w:type="dxa"/>
            <w:vAlign w:val="bottom"/>
          </w:tcPr>
          <w:p>
            <w:pPr>
              <w:spacing w:after="0"/>
              <w:rPr>
                <w:sz w:val="16"/>
                <w:szCs w:val="16"/>
                <w:color w:val="auto"/>
              </w:rPr>
            </w:pPr>
          </w:p>
        </w:tc>
      </w:tr>
      <w:tr>
        <w:trPr>
          <w:trHeight w:val="214"/>
        </w:trPr>
        <w:tc>
          <w:tcPr>
            <w:tcW w:w="9760" w:type="dxa"/>
            <w:vAlign w:val="bottom"/>
          </w:tcPr>
          <w:p>
            <w:pPr>
              <w:ind w:left="100"/>
              <w:spacing w:after="0"/>
              <w:rPr>
                <w:sz w:val="20"/>
                <w:szCs w:val="20"/>
                <w:color w:val="auto"/>
              </w:rPr>
            </w:pPr>
            <w:r>
              <w:rPr>
                <w:rFonts w:ascii="Calibri" w:cs="Calibri" w:eastAsia="Calibri" w:hAnsi="Calibri"/>
                <w:sz w:val="14"/>
                <w:szCs w:val="14"/>
                <w:color w:val="51555C"/>
              </w:rPr>
              <w:t>Additons</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Calibri" w:cs="Calibri" w:eastAsia="Calibri" w:hAnsi="Calibri"/>
                <w:sz w:val="14"/>
                <w:szCs w:val="14"/>
                <w:color w:val="51555C"/>
              </w:rPr>
              <w:t>2,073</w:t>
            </w:r>
          </w:p>
        </w:tc>
        <w:tc>
          <w:tcPr>
            <w:tcW w:w="20" w:type="dxa"/>
            <w:vAlign w:val="bottom"/>
          </w:tcPr>
          <w:p>
            <w:pPr>
              <w:spacing w:after="0"/>
              <w:rPr>
                <w:sz w:val="18"/>
                <w:szCs w:val="18"/>
                <w:color w:val="auto"/>
              </w:rPr>
            </w:pPr>
          </w:p>
        </w:tc>
      </w:tr>
      <w:tr>
        <w:trPr>
          <w:trHeight w:val="40"/>
        </w:trPr>
        <w:tc>
          <w:tcPr>
            <w:tcW w:w="9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55"/>
        </w:trPr>
        <w:tc>
          <w:tcPr>
            <w:tcW w:w="9760" w:type="dxa"/>
            <w:vAlign w:val="bottom"/>
            <w:tcBorders>
              <w:bottom w:val="single" w:sz="8" w:color="EBFBFF"/>
            </w:tcBorders>
            <w:shd w:val="clear" w:color="auto" w:fill="EBFBFF"/>
          </w:tcPr>
          <w:p>
            <w:pPr>
              <w:ind w:left="100"/>
              <w:spacing w:after="0"/>
              <w:rPr>
                <w:sz w:val="20"/>
                <w:szCs w:val="20"/>
                <w:color w:val="auto"/>
              </w:rPr>
            </w:pPr>
            <w:r>
              <w:rPr>
                <w:rFonts w:ascii="Calibri" w:cs="Calibri" w:eastAsia="Calibri" w:hAnsi="Calibri"/>
                <w:sz w:val="14"/>
                <w:szCs w:val="14"/>
                <w:color w:val="51555C"/>
              </w:rPr>
              <w:t>Setlements</w:t>
            </w:r>
          </w:p>
        </w:tc>
        <w:tc>
          <w:tcPr>
            <w:tcW w:w="500" w:type="dxa"/>
            <w:vAlign w:val="bottom"/>
            <w:tcBorders>
              <w:bottom w:val="single" w:sz="8" w:color="EBFBFF"/>
            </w:tcBorders>
            <w:shd w:val="clear" w:color="auto" w:fill="EBFBFF"/>
          </w:tcPr>
          <w:p>
            <w:pPr>
              <w:spacing w:after="0"/>
              <w:rPr>
                <w:sz w:val="22"/>
                <w:szCs w:val="22"/>
                <w:color w:val="auto"/>
              </w:rPr>
            </w:pPr>
          </w:p>
        </w:tc>
        <w:tc>
          <w:tcPr>
            <w:tcW w:w="10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(2,091)</w:t>
            </w:r>
          </w:p>
        </w:tc>
        <w:tc>
          <w:tcPr>
            <w:tcW w:w="20" w:type="dxa"/>
            <w:vAlign w:val="bottom"/>
          </w:tcPr>
          <w:p>
            <w:pPr>
              <w:spacing w:after="0"/>
              <w:rPr>
                <w:sz w:val="22"/>
                <w:szCs w:val="22"/>
                <w:color w:val="auto"/>
              </w:rPr>
            </w:pPr>
          </w:p>
        </w:tc>
      </w:tr>
      <w:tr>
        <w:trPr>
          <w:trHeight w:val="163"/>
        </w:trPr>
        <w:tc>
          <w:tcPr>
            <w:tcW w:w="9760" w:type="dxa"/>
            <w:vAlign w:val="bottom"/>
          </w:tcPr>
          <w:p>
            <w:pPr>
              <w:ind w:left="20"/>
              <w:spacing w:after="0" w:line="163" w:lineRule="exact"/>
              <w:rPr>
                <w:sz w:val="20"/>
                <w:szCs w:val="20"/>
                <w:color w:val="auto"/>
              </w:rPr>
            </w:pPr>
            <w:r>
              <w:rPr>
                <w:rFonts w:ascii="Calibri" w:cs="Calibri" w:eastAsia="Calibri" w:hAnsi="Calibri"/>
                <w:sz w:val="14"/>
                <w:szCs w:val="14"/>
                <w:b w:val="1"/>
                <w:bCs w:val="1"/>
                <w:color w:val="51555C"/>
              </w:rPr>
              <w:t>Balance at June 30, 2024</w:t>
            </w:r>
          </w:p>
        </w:tc>
        <w:tc>
          <w:tcPr>
            <w:tcW w:w="500" w:type="dxa"/>
            <w:vAlign w:val="bottom"/>
            <w:tcBorders>
              <w:top w:val="single" w:sz="8" w:color="51555C"/>
            </w:tcBorders>
          </w:tcPr>
          <w:p>
            <w:pPr>
              <w:jc w:val="right"/>
              <w:ind w:right="349"/>
              <w:spacing w:after="0" w:line="163" w:lineRule="exact"/>
              <w:rPr>
                <w:sz w:val="20"/>
                <w:szCs w:val="20"/>
                <w:color w:val="auto"/>
              </w:rPr>
            </w:pPr>
            <w:r>
              <w:rPr>
                <w:rFonts w:ascii="Calibri" w:cs="Calibri" w:eastAsia="Calibri" w:hAnsi="Calibri"/>
                <w:sz w:val="14"/>
                <w:szCs w:val="14"/>
                <w:color w:val="51555C"/>
                <w:w w:val="83"/>
              </w:rPr>
              <w:t>$</w:t>
            </w:r>
          </w:p>
        </w:tc>
        <w:tc>
          <w:tcPr>
            <w:tcW w:w="1020" w:type="dxa"/>
            <w:vAlign w:val="bottom"/>
            <w:tcBorders>
              <w:top w:val="single" w:sz="8" w:color="51555C"/>
            </w:tcBorders>
          </w:tcPr>
          <w:p>
            <w:pPr>
              <w:jc w:val="right"/>
              <w:spacing w:after="0" w:line="163" w:lineRule="exact"/>
              <w:rPr>
                <w:sz w:val="20"/>
                <w:szCs w:val="20"/>
                <w:color w:val="auto"/>
              </w:rPr>
            </w:pPr>
            <w:r>
              <w:rPr>
                <w:rFonts w:ascii="Calibri" w:cs="Calibri" w:eastAsia="Calibri" w:hAnsi="Calibri"/>
                <w:sz w:val="14"/>
                <w:szCs w:val="14"/>
                <w:color w:val="51555C"/>
              </w:rPr>
              <w:t>2,782</w:t>
            </w:r>
          </w:p>
        </w:tc>
        <w:tc>
          <w:tcPr>
            <w:tcW w:w="20" w:type="dxa"/>
            <w:vAlign w:val="bottom"/>
          </w:tcPr>
          <w:p>
            <w:pPr>
              <w:spacing w:after="0"/>
              <w:rPr>
                <w:sz w:val="14"/>
                <w:szCs w:val="14"/>
                <w:color w:val="auto"/>
              </w:rPr>
            </w:pPr>
          </w:p>
        </w:tc>
      </w:tr>
      <w:tr>
        <w:trPr>
          <w:trHeight w:val="40"/>
        </w:trPr>
        <w:tc>
          <w:tcPr>
            <w:tcW w:w="9760" w:type="dxa"/>
            <w:vAlign w:val="bottom"/>
            <w:tcBorders>
              <w:bottom w:val="single" w:sz="8" w:color="0CD973"/>
            </w:tcBorders>
          </w:tcPr>
          <w:p>
            <w:pPr>
              <w:spacing w:after="0"/>
              <w:rPr>
                <w:sz w:val="3"/>
                <w:szCs w:val="3"/>
                <w:color w:val="auto"/>
              </w:rPr>
            </w:pPr>
          </w:p>
        </w:tc>
        <w:tc>
          <w:tcPr>
            <w:tcW w:w="500" w:type="dxa"/>
            <w:vAlign w:val="bottom"/>
            <w:tcBorders>
              <w:bottom w:val="single" w:sz="8" w:color="0CD973"/>
            </w:tcBorders>
          </w:tcPr>
          <w:p>
            <w:pPr>
              <w:spacing w:after="0"/>
              <w:rPr>
                <w:sz w:val="3"/>
                <w:szCs w:val="3"/>
                <w:color w:val="auto"/>
              </w:rPr>
            </w:pPr>
          </w:p>
        </w:tc>
        <w:tc>
          <w:tcPr>
            <w:tcW w:w="1020" w:type="dxa"/>
            <w:vAlign w:val="bottom"/>
            <w:tcBorders>
              <w:bottom w:val="single" w:sz="8" w:color="0CD973"/>
            </w:tcBorders>
          </w:tcPr>
          <w:p>
            <w:pPr>
              <w:spacing w:after="0"/>
              <w:rPr>
                <w:sz w:val="3"/>
                <w:szCs w:val="3"/>
                <w:color w:val="auto"/>
              </w:rPr>
            </w:pPr>
          </w:p>
        </w:tc>
        <w:tc>
          <w:tcPr>
            <w:tcW w:w="20" w:type="dxa"/>
            <w:vAlign w:val="bottom"/>
          </w:tcPr>
          <w:p>
            <w:pPr>
              <w:spacing w:after="0"/>
              <w:rPr>
                <w:sz w:val="3"/>
                <w:szCs w:val="3"/>
                <w:color w:val="auto"/>
              </w:rPr>
            </w:pPr>
          </w:p>
        </w:tc>
      </w:tr>
      <w:tr>
        <w:trPr>
          <w:trHeight w:val="343"/>
        </w:trPr>
        <w:tc>
          <w:tcPr>
            <w:tcW w:w="9760" w:type="dxa"/>
            <w:vAlign w:val="bottom"/>
          </w:tcPr>
          <w:p>
            <w:pPr>
              <w:spacing w:after="0"/>
              <w:rPr>
                <w:sz w:val="20"/>
                <w:szCs w:val="20"/>
                <w:color w:val="auto"/>
              </w:rPr>
            </w:pPr>
            <w:r>
              <w:rPr>
                <w:rFonts w:ascii="Calibri" w:cs="Calibri" w:eastAsia="Calibri" w:hAnsi="Calibri"/>
                <w:sz w:val="14"/>
                <w:szCs w:val="14"/>
                <w:color w:val="51555C"/>
              </w:rPr>
              <w:t>As of June 30, 2024, the required annual maturites related to the 2024 Credit Facilites, the Real Estate Loans and our other debt were as follows:</w:t>
            </w: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3"/>
        </w:trPr>
        <w:tc>
          <w:tcPr>
            <w:tcW w:w="9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45"/>
        </w:trPr>
        <w:tc>
          <w:tcPr>
            <w:tcW w:w="9760" w:type="dxa"/>
            <w:vAlign w:val="bottom"/>
            <w:shd w:val="clear" w:color="auto" w:fill="004054"/>
          </w:tcPr>
          <w:p>
            <w:pPr>
              <w:ind w:left="20"/>
              <w:spacing w:after="0"/>
              <w:rPr>
                <w:sz w:val="20"/>
                <w:szCs w:val="20"/>
                <w:color w:val="auto"/>
              </w:rPr>
            </w:pPr>
            <w:r>
              <w:rPr>
                <w:rFonts w:ascii="Calibri" w:cs="Calibri" w:eastAsia="Calibri" w:hAnsi="Calibri"/>
                <w:sz w:val="11"/>
                <w:szCs w:val="11"/>
                <w:b w:val="1"/>
                <w:bCs w:val="1"/>
                <w:color w:val="FFFFFF"/>
              </w:rPr>
              <w:t>Years ending December 31,</w:t>
            </w:r>
          </w:p>
        </w:tc>
        <w:tc>
          <w:tcPr>
            <w:tcW w:w="500" w:type="dxa"/>
            <w:vAlign w:val="bottom"/>
            <w:shd w:val="clear" w:color="auto" w:fill="004054"/>
          </w:tcPr>
          <w:p>
            <w:pPr>
              <w:spacing w:after="0"/>
              <w:rPr>
                <w:sz w:val="12"/>
                <w:szCs w:val="12"/>
                <w:color w:val="auto"/>
              </w:rPr>
            </w:pPr>
          </w:p>
        </w:tc>
        <w:tc>
          <w:tcPr>
            <w:tcW w:w="102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Annual</w:t>
            </w:r>
          </w:p>
        </w:tc>
        <w:tc>
          <w:tcPr>
            <w:tcW w:w="20" w:type="dxa"/>
            <w:vAlign w:val="bottom"/>
            <w:shd w:val="clear" w:color="auto" w:fill="004054"/>
          </w:tcPr>
          <w:p>
            <w:pPr>
              <w:spacing w:after="0"/>
              <w:rPr>
                <w:sz w:val="12"/>
                <w:szCs w:val="12"/>
                <w:color w:val="auto"/>
              </w:rPr>
            </w:pPr>
          </w:p>
        </w:tc>
      </w:tr>
      <w:tr>
        <w:trPr>
          <w:trHeight w:val="175"/>
        </w:trPr>
        <w:tc>
          <w:tcPr>
            <w:tcW w:w="9760" w:type="dxa"/>
            <w:vAlign w:val="bottom"/>
            <w:tcBorders>
              <w:bottom w:val="single" w:sz="8" w:color="004054"/>
            </w:tcBorders>
            <w:shd w:val="clear" w:color="auto" w:fill="004054"/>
          </w:tcPr>
          <w:p>
            <w:pPr>
              <w:ind w:left="20"/>
              <w:spacing w:after="0"/>
              <w:rPr>
                <w:sz w:val="20"/>
                <w:szCs w:val="20"/>
                <w:color w:val="auto"/>
              </w:rPr>
            </w:pPr>
            <w:r>
              <w:rPr>
                <w:rFonts w:ascii="Calibri" w:cs="Calibri" w:eastAsia="Calibri" w:hAnsi="Calibri"/>
                <w:sz w:val="11"/>
                <w:szCs w:val="11"/>
                <w:b w:val="1"/>
                <w:bCs w:val="1"/>
                <w:color w:val="FFFFFF"/>
              </w:rPr>
              <w:t>(dollars in thousands)</w:t>
            </w:r>
          </w:p>
        </w:tc>
        <w:tc>
          <w:tcPr>
            <w:tcW w:w="500" w:type="dxa"/>
            <w:vAlign w:val="bottom"/>
            <w:tcBorders>
              <w:bottom w:val="single" w:sz="8" w:color="004054"/>
            </w:tcBorders>
            <w:shd w:val="clear" w:color="auto" w:fill="004054"/>
          </w:tcPr>
          <w:p>
            <w:pPr>
              <w:spacing w:after="0"/>
              <w:rPr>
                <w:sz w:val="15"/>
                <w:szCs w:val="15"/>
                <w:color w:val="auto"/>
              </w:rPr>
            </w:pPr>
          </w:p>
        </w:tc>
        <w:tc>
          <w:tcPr>
            <w:tcW w:w="1020" w:type="dxa"/>
            <w:vAlign w:val="bottom"/>
            <w:tcBorders>
              <w:bottom w:val="single" w:sz="8" w:color="004054"/>
            </w:tcBorders>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maturites</w:t>
            </w:r>
          </w:p>
        </w:tc>
        <w:tc>
          <w:tcPr>
            <w:tcW w:w="20" w:type="dxa"/>
            <w:vAlign w:val="bottom"/>
            <w:tcBorders>
              <w:bottom w:val="single" w:sz="8" w:color="004054"/>
            </w:tcBorders>
            <w:shd w:val="clear" w:color="auto" w:fill="004054"/>
          </w:tcPr>
          <w:p>
            <w:pPr>
              <w:spacing w:after="0"/>
              <w:rPr>
                <w:sz w:val="15"/>
                <w:szCs w:val="15"/>
                <w:color w:val="auto"/>
              </w:rPr>
            </w:pPr>
          </w:p>
        </w:tc>
      </w:tr>
      <w:tr>
        <w:trPr>
          <w:trHeight w:val="192"/>
        </w:trPr>
        <w:tc>
          <w:tcPr>
            <w:tcW w:w="976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4"/>
                <w:szCs w:val="14"/>
                <w:color w:val="51555C"/>
              </w:rPr>
              <w:t>2024 - remaining</w:t>
            </w:r>
          </w:p>
        </w:tc>
        <w:tc>
          <w:tcPr>
            <w:tcW w:w="500" w:type="dxa"/>
            <w:vAlign w:val="bottom"/>
            <w:tcBorders>
              <w:bottom w:val="single" w:sz="8" w:color="EBFBFF"/>
            </w:tcBorders>
            <w:shd w:val="clear" w:color="auto" w:fill="EBFBFF"/>
          </w:tcPr>
          <w:p>
            <w:pPr>
              <w:jc w:val="right"/>
              <w:ind w:right="349"/>
              <w:spacing w:after="0"/>
              <w:rPr>
                <w:sz w:val="20"/>
                <w:szCs w:val="20"/>
                <w:color w:val="auto"/>
              </w:rPr>
            </w:pPr>
            <w:r>
              <w:rPr>
                <w:rFonts w:ascii="Calibri" w:cs="Calibri" w:eastAsia="Calibri" w:hAnsi="Calibri"/>
                <w:sz w:val="14"/>
                <w:szCs w:val="14"/>
                <w:color w:val="51555C"/>
                <w:w w:val="83"/>
              </w:rPr>
              <w:t>$</w:t>
            </w:r>
          </w:p>
        </w:tc>
        <w:tc>
          <w:tcPr>
            <w:tcW w:w="10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10,829</w:t>
            </w:r>
          </w:p>
        </w:tc>
        <w:tc>
          <w:tcPr>
            <w:tcW w:w="20" w:type="dxa"/>
            <w:vAlign w:val="bottom"/>
          </w:tcPr>
          <w:p>
            <w:pPr>
              <w:spacing w:after="0"/>
              <w:rPr>
                <w:sz w:val="16"/>
                <w:szCs w:val="16"/>
                <w:color w:val="auto"/>
              </w:rPr>
            </w:pPr>
          </w:p>
        </w:tc>
      </w:tr>
      <w:tr>
        <w:trPr>
          <w:trHeight w:val="172"/>
        </w:trPr>
        <w:tc>
          <w:tcPr>
            <w:tcW w:w="9760" w:type="dxa"/>
            <w:vAlign w:val="bottom"/>
          </w:tcPr>
          <w:p>
            <w:pPr>
              <w:ind w:left="20"/>
              <w:spacing w:after="0"/>
              <w:rPr>
                <w:sz w:val="20"/>
                <w:szCs w:val="20"/>
                <w:color w:val="auto"/>
              </w:rPr>
            </w:pPr>
            <w:r>
              <w:rPr>
                <w:rFonts w:ascii="Calibri" w:cs="Calibri" w:eastAsia="Calibri" w:hAnsi="Calibri"/>
                <w:sz w:val="14"/>
                <w:szCs w:val="14"/>
                <w:color w:val="51555C"/>
              </w:rPr>
              <w:t>2025</w:t>
            </w:r>
          </w:p>
        </w:tc>
        <w:tc>
          <w:tcPr>
            <w:tcW w:w="5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alibri" w:cs="Calibri" w:eastAsia="Calibri" w:hAnsi="Calibri"/>
                <w:sz w:val="14"/>
                <w:szCs w:val="14"/>
                <w:color w:val="51555C"/>
              </w:rPr>
              <w:t>23,875</w:t>
            </w:r>
          </w:p>
        </w:tc>
        <w:tc>
          <w:tcPr>
            <w:tcW w:w="20" w:type="dxa"/>
            <w:vAlign w:val="bottom"/>
          </w:tcPr>
          <w:p>
            <w:pPr>
              <w:spacing w:after="0"/>
              <w:rPr>
                <w:sz w:val="14"/>
                <w:szCs w:val="14"/>
                <w:color w:val="auto"/>
              </w:rPr>
            </w:pPr>
          </w:p>
        </w:tc>
      </w:tr>
      <w:tr>
        <w:trPr>
          <w:trHeight w:val="40"/>
        </w:trPr>
        <w:tc>
          <w:tcPr>
            <w:tcW w:w="9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92"/>
        </w:trPr>
        <w:tc>
          <w:tcPr>
            <w:tcW w:w="976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4"/>
                <w:szCs w:val="14"/>
                <w:color w:val="51555C"/>
              </w:rPr>
              <w:t>2026</w:t>
            </w:r>
          </w:p>
        </w:tc>
        <w:tc>
          <w:tcPr>
            <w:tcW w:w="500" w:type="dxa"/>
            <w:vAlign w:val="bottom"/>
            <w:tcBorders>
              <w:bottom w:val="single" w:sz="8" w:color="EBFBFF"/>
            </w:tcBorders>
            <w:shd w:val="clear" w:color="auto" w:fill="EBFBFF"/>
          </w:tcPr>
          <w:p>
            <w:pPr>
              <w:spacing w:after="0"/>
              <w:rPr>
                <w:sz w:val="16"/>
                <w:szCs w:val="16"/>
                <w:color w:val="auto"/>
              </w:rPr>
            </w:pPr>
          </w:p>
        </w:tc>
        <w:tc>
          <w:tcPr>
            <w:tcW w:w="10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22,660</w:t>
            </w:r>
          </w:p>
        </w:tc>
        <w:tc>
          <w:tcPr>
            <w:tcW w:w="20" w:type="dxa"/>
            <w:vAlign w:val="bottom"/>
          </w:tcPr>
          <w:p>
            <w:pPr>
              <w:spacing w:after="0"/>
              <w:rPr>
                <w:sz w:val="16"/>
                <w:szCs w:val="16"/>
                <w:color w:val="auto"/>
              </w:rPr>
            </w:pPr>
          </w:p>
        </w:tc>
      </w:tr>
      <w:tr>
        <w:trPr>
          <w:trHeight w:val="172"/>
        </w:trPr>
        <w:tc>
          <w:tcPr>
            <w:tcW w:w="9760" w:type="dxa"/>
            <w:vAlign w:val="bottom"/>
          </w:tcPr>
          <w:p>
            <w:pPr>
              <w:ind w:left="20"/>
              <w:spacing w:after="0"/>
              <w:rPr>
                <w:sz w:val="20"/>
                <w:szCs w:val="20"/>
                <w:color w:val="auto"/>
              </w:rPr>
            </w:pPr>
            <w:r>
              <w:rPr>
                <w:rFonts w:ascii="Calibri" w:cs="Calibri" w:eastAsia="Calibri" w:hAnsi="Calibri"/>
                <w:sz w:val="14"/>
                <w:szCs w:val="14"/>
                <w:color w:val="51555C"/>
              </w:rPr>
              <w:t>2027</w:t>
            </w:r>
          </w:p>
        </w:tc>
        <w:tc>
          <w:tcPr>
            <w:tcW w:w="5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alibri" w:cs="Calibri" w:eastAsia="Calibri" w:hAnsi="Calibri"/>
                <w:sz w:val="14"/>
                <w:szCs w:val="14"/>
                <w:color w:val="51555C"/>
              </w:rPr>
              <w:t>22,166</w:t>
            </w:r>
          </w:p>
        </w:tc>
        <w:tc>
          <w:tcPr>
            <w:tcW w:w="20" w:type="dxa"/>
            <w:vAlign w:val="bottom"/>
          </w:tcPr>
          <w:p>
            <w:pPr>
              <w:spacing w:after="0"/>
              <w:rPr>
                <w:sz w:val="14"/>
                <w:szCs w:val="14"/>
                <w:color w:val="auto"/>
              </w:rPr>
            </w:pPr>
          </w:p>
        </w:tc>
      </w:tr>
      <w:tr>
        <w:trPr>
          <w:trHeight w:val="40"/>
        </w:trPr>
        <w:tc>
          <w:tcPr>
            <w:tcW w:w="9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92"/>
        </w:trPr>
        <w:tc>
          <w:tcPr>
            <w:tcW w:w="976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4"/>
                <w:szCs w:val="14"/>
                <w:color w:val="51555C"/>
              </w:rPr>
              <w:t>2028</w:t>
            </w:r>
          </w:p>
        </w:tc>
        <w:tc>
          <w:tcPr>
            <w:tcW w:w="500" w:type="dxa"/>
            <w:vAlign w:val="bottom"/>
            <w:tcBorders>
              <w:bottom w:val="single" w:sz="8" w:color="EBFBFF"/>
            </w:tcBorders>
            <w:shd w:val="clear" w:color="auto" w:fill="EBFBFF"/>
          </w:tcPr>
          <w:p>
            <w:pPr>
              <w:spacing w:after="0"/>
              <w:rPr>
                <w:sz w:val="16"/>
                <w:szCs w:val="16"/>
                <w:color w:val="auto"/>
              </w:rPr>
            </w:pPr>
          </w:p>
        </w:tc>
        <w:tc>
          <w:tcPr>
            <w:tcW w:w="10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22,375</w:t>
            </w:r>
          </w:p>
        </w:tc>
        <w:tc>
          <w:tcPr>
            <w:tcW w:w="20" w:type="dxa"/>
            <w:vAlign w:val="bottom"/>
          </w:tcPr>
          <w:p>
            <w:pPr>
              <w:spacing w:after="0"/>
              <w:rPr>
                <w:sz w:val="16"/>
                <w:szCs w:val="16"/>
                <w:color w:val="auto"/>
              </w:rPr>
            </w:pPr>
          </w:p>
        </w:tc>
      </w:tr>
      <w:tr>
        <w:trPr>
          <w:trHeight w:val="172"/>
        </w:trPr>
        <w:tc>
          <w:tcPr>
            <w:tcW w:w="9760" w:type="dxa"/>
            <w:vAlign w:val="bottom"/>
          </w:tcPr>
          <w:p>
            <w:pPr>
              <w:ind w:left="20"/>
              <w:spacing w:after="0"/>
              <w:rPr>
                <w:sz w:val="20"/>
                <w:szCs w:val="20"/>
                <w:color w:val="auto"/>
              </w:rPr>
            </w:pPr>
            <w:r>
              <w:rPr>
                <w:rFonts w:ascii="Calibri" w:cs="Calibri" w:eastAsia="Calibri" w:hAnsi="Calibri"/>
                <w:sz w:val="14"/>
                <w:szCs w:val="14"/>
                <w:color w:val="51555C"/>
              </w:rPr>
              <w:t>Thereafer</w:t>
            </w:r>
          </w:p>
        </w:tc>
        <w:tc>
          <w:tcPr>
            <w:tcW w:w="5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alibri" w:cs="Calibri" w:eastAsia="Calibri" w:hAnsi="Calibri"/>
                <w:sz w:val="14"/>
                <w:szCs w:val="14"/>
                <w:color w:val="51555C"/>
              </w:rPr>
              <w:t>924,142</w:t>
            </w:r>
          </w:p>
        </w:tc>
        <w:tc>
          <w:tcPr>
            <w:tcW w:w="20" w:type="dxa"/>
            <w:vAlign w:val="bottom"/>
          </w:tcPr>
          <w:p>
            <w:pPr>
              <w:spacing w:after="0"/>
              <w:rPr>
                <w:sz w:val="14"/>
                <w:szCs w:val="14"/>
                <w:color w:val="auto"/>
              </w:rPr>
            </w:pPr>
          </w:p>
        </w:tc>
      </w:tr>
      <w:tr>
        <w:trPr>
          <w:trHeight w:val="40"/>
        </w:trPr>
        <w:tc>
          <w:tcPr>
            <w:tcW w:w="9760" w:type="dxa"/>
            <w:vAlign w:val="bottom"/>
            <w:tcBorders>
              <w:bottom w:val="single" w:sz="8" w:color="EBFBFF"/>
            </w:tcBorders>
          </w:tcPr>
          <w:p>
            <w:pPr>
              <w:spacing w:after="0"/>
              <w:rPr>
                <w:sz w:val="3"/>
                <w:szCs w:val="3"/>
                <w:color w:val="auto"/>
              </w:rPr>
            </w:pPr>
          </w:p>
        </w:tc>
        <w:tc>
          <w:tcPr>
            <w:tcW w:w="500" w:type="dxa"/>
            <w:vAlign w:val="bottom"/>
            <w:tcBorders>
              <w:bottom w:val="single" w:sz="8" w:color="51555C"/>
            </w:tcBorders>
          </w:tcPr>
          <w:p>
            <w:pPr>
              <w:spacing w:after="0"/>
              <w:rPr>
                <w:sz w:val="3"/>
                <w:szCs w:val="3"/>
                <w:color w:val="auto"/>
              </w:rPr>
            </w:pPr>
          </w:p>
        </w:tc>
        <w:tc>
          <w:tcPr>
            <w:tcW w:w="1020" w:type="dxa"/>
            <w:vAlign w:val="bottom"/>
            <w:tcBorders>
              <w:bottom w:val="single" w:sz="8" w:color="51555C"/>
            </w:tcBorders>
          </w:tcPr>
          <w:p>
            <w:pPr>
              <w:spacing w:after="0"/>
              <w:rPr>
                <w:sz w:val="3"/>
                <w:szCs w:val="3"/>
                <w:color w:val="auto"/>
              </w:rPr>
            </w:pPr>
          </w:p>
        </w:tc>
        <w:tc>
          <w:tcPr>
            <w:tcW w:w="20" w:type="dxa"/>
            <w:vAlign w:val="bottom"/>
          </w:tcPr>
          <w:p>
            <w:pPr>
              <w:spacing w:after="0"/>
              <w:rPr>
                <w:sz w:val="3"/>
                <w:szCs w:val="3"/>
                <w:color w:val="auto"/>
              </w:rPr>
            </w:pPr>
          </w:p>
        </w:tc>
      </w:tr>
      <w:tr>
        <w:trPr>
          <w:trHeight w:val="183"/>
        </w:trPr>
        <w:tc>
          <w:tcPr>
            <w:tcW w:w="9760" w:type="dxa"/>
            <w:vAlign w:val="bottom"/>
            <w:tcBorders>
              <w:bottom w:val="single" w:sz="8" w:color="EBFBFF"/>
            </w:tcBorders>
            <w:shd w:val="clear" w:color="auto" w:fill="EBFBFF"/>
          </w:tcPr>
          <w:p>
            <w:pPr>
              <w:ind w:left="100"/>
              <w:spacing w:after="0" w:line="163" w:lineRule="exact"/>
              <w:rPr>
                <w:sz w:val="20"/>
                <w:szCs w:val="20"/>
                <w:color w:val="auto"/>
              </w:rPr>
            </w:pPr>
            <w:r>
              <w:rPr>
                <w:rFonts w:ascii="Calibri" w:cs="Calibri" w:eastAsia="Calibri" w:hAnsi="Calibri"/>
                <w:sz w:val="14"/>
                <w:szCs w:val="14"/>
                <w:color w:val="51555C"/>
              </w:rPr>
              <w:t>Total required maturites</w:t>
            </w:r>
          </w:p>
        </w:tc>
        <w:tc>
          <w:tcPr>
            <w:tcW w:w="500" w:type="dxa"/>
            <w:vAlign w:val="bottom"/>
            <w:tcBorders>
              <w:bottom w:val="single" w:sz="8" w:color="EBFBFF"/>
            </w:tcBorders>
            <w:shd w:val="clear" w:color="auto" w:fill="EBFBFF"/>
          </w:tcPr>
          <w:p>
            <w:pPr>
              <w:jc w:val="right"/>
              <w:ind w:right="349"/>
              <w:spacing w:after="0" w:line="163" w:lineRule="exact"/>
              <w:rPr>
                <w:sz w:val="20"/>
                <w:szCs w:val="20"/>
                <w:color w:val="auto"/>
              </w:rPr>
            </w:pPr>
            <w:r>
              <w:rPr>
                <w:rFonts w:ascii="Calibri" w:cs="Calibri" w:eastAsia="Calibri" w:hAnsi="Calibri"/>
                <w:sz w:val="14"/>
                <w:szCs w:val="14"/>
                <w:color w:val="51555C"/>
                <w:w w:val="83"/>
              </w:rPr>
              <w:t>$</w:t>
            </w:r>
          </w:p>
        </w:tc>
        <w:tc>
          <w:tcPr>
            <w:tcW w:w="1020" w:type="dxa"/>
            <w:vAlign w:val="bottom"/>
            <w:tcBorders>
              <w:bottom w:val="single" w:sz="8" w:color="EBFBFF"/>
            </w:tcBorders>
            <w:shd w:val="clear" w:color="auto" w:fill="EBFBFF"/>
          </w:tcPr>
          <w:p>
            <w:pPr>
              <w:jc w:val="right"/>
              <w:spacing w:after="0" w:line="163" w:lineRule="exact"/>
              <w:rPr>
                <w:sz w:val="20"/>
                <w:szCs w:val="20"/>
                <w:color w:val="auto"/>
              </w:rPr>
            </w:pPr>
            <w:r>
              <w:rPr>
                <w:rFonts w:ascii="Calibri" w:cs="Calibri" w:eastAsia="Calibri" w:hAnsi="Calibri"/>
                <w:sz w:val="14"/>
                <w:szCs w:val="14"/>
                <w:color w:val="51555C"/>
              </w:rPr>
              <w:t>1,026,047</w:t>
            </w:r>
          </w:p>
        </w:tc>
        <w:tc>
          <w:tcPr>
            <w:tcW w:w="20" w:type="dxa"/>
            <w:vAlign w:val="bottom"/>
          </w:tcPr>
          <w:p>
            <w:pPr>
              <w:spacing w:after="0"/>
              <w:rPr>
                <w:sz w:val="15"/>
                <w:szCs w:val="15"/>
                <w:color w:val="auto"/>
              </w:rPr>
            </w:pPr>
          </w:p>
        </w:tc>
      </w:tr>
      <w:tr>
        <w:trPr>
          <w:trHeight w:val="20"/>
        </w:trPr>
        <w:tc>
          <w:tcPr>
            <w:tcW w:w="9760" w:type="dxa"/>
            <w:vAlign w:val="bottom"/>
            <w:shd w:val="clear" w:color="auto" w:fill="0CD973"/>
          </w:tcPr>
          <w:p>
            <w:pPr>
              <w:spacing w:after="0" w:line="20" w:lineRule="exact"/>
              <w:rPr>
                <w:sz w:val="1"/>
                <w:szCs w:val="1"/>
                <w:color w:val="auto"/>
              </w:rPr>
            </w:pPr>
          </w:p>
        </w:tc>
        <w:tc>
          <w:tcPr>
            <w:tcW w:w="500" w:type="dxa"/>
            <w:vAlign w:val="bottom"/>
            <w:shd w:val="clear" w:color="auto" w:fill="0CD973"/>
          </w:tcPr>
          <w:p>
            <w:pPr>
              <w:spacing w:after="0" w:line="20" w:lineRule="exact"/>
              <w:rPr>
                <w:sz w:val="1"/>
                <w:szCs w:val="1"/>
                <w:color w:val="auto"/>
              </w:rPr>
            </w:pPr>
          </w:p>
        </w:tc>
        <w:tc>
          <w:tcPr>
            <w:tcW w:w="102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59" w:lineRule="exact"/>
        <w:rPr>
          <w:sz w:val="20"/>
          <w:szCs w:val="20"/>
          <w:color w:val="auto"/>
        </w:rPr>
      </w:pPr>
    </w:p>
    <w:p>
      <w:pPr>
        <w:ind w:left="20"/>
        <w:spacing w:after="0"/>
        <w:rPr>
          <w:sz w:val="20"/>
          <w:szCs w:val="20"/>
          <w:color w:val="auto"/>
        </w:rPr>
      </w:pPr>
      <w:r>
        <w:rPr>
          <w:rFonts w:ascii="Calibri" w:cs="Calibri" w:eastAsia="Calibri" w:hAnsi="Calibri"/>
          <w:sz w:val="17"/>
          <w:szCs w:val="17"/>
          <w:b w:val="1"/>
          <w:bCs w:val="1"/>
          <w:color w:val="006880"/>
        </w:rPr>
        <w:t>8. Derivatve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27305</wp:posOffset>
            </wp:positionV>
            <wp:extent cx="7161530"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7" w:lineRule="exact"/>
        <w:rPr>
          <w:sz w:val="20"/>
          <w:szCs w:val="20"/>
          <w:color w:val="auto"/>
        </w:rPr>
      </w:pPr>
    </w:p>
    <w:p>
      <w:pPr>
        <w:jc w:val="both"/>
        <w:ind w:right="20"/>
        <w:spacing w:after="0" w:line="237" w:lineRule="auto"/>
        <w:rPr>
          <w:sz w:val="20"/>
          <w:szCs w:val="20"/>
          <w:color w:val="auto"/>
        </w:rPr>
      </w:pPr>
      <w:r>
        <w:rPr>
          <w:rFonts w:ascii="Calibri" w:cs="Calibri" w:eastAsia="Calibri" w:hAnsi="Calibri"/>
          <w:sz w:val="14"/>
          <w:szCs w:val="14"/>
          <w:color w:val="51555C"/>
        </w:rPr>
        <w:t>We generally use derivatve instruments to manage our interest rate and foreign currency exchange risk. We currently have derivatves classifed as cash fow hedges and net investment hedges. We do not enter into any derivatves for trading or speculatve purposes.</w:t>
      </w:r>
    </w:p>
    <w:p>
      <w:pPr>
        <w:spacing w:after="0" w:line="129" w:lineRule="exact"/>
        <w:rPr>
          <w:sz w:val="20"/>
          <w:szCs w:val="20"/>
          <w:color w:val="auto"/>
        </w:rPr>
      </w:pPr>
    </w:p>
    <w:p>
      <w:pPr>
        <w:jc w:val="both"/>
        <w:ind w:right="20"/>
        <w:spacing w:after="0" w:line="237" w:lineRule="auto"/>
        <w:rPr>
          <w:sz w:val="20"/>
          <w:szCs w:val="20"/>
          <w:color w:val="auto"/>
        </w:rPr>
      </w:pPr>
      <w:r>
        <w:rPr>
          <w:rFonts w:ascii="Calibri" w:cs="Calibri" w:eastAsia="Calibri" w:hAnsi="Calibri"/>
          <w:sz w:val="14"/>
          <w:szCs w:val="14"/>
          <w:color w:val="51555C"/>
        </w:rPr>
        <w:t>All of our derivatve instruments are governed by Internatonal Swap Dealers Associaton, Inc. master agreements with our counterpartes. As of June 30, 2024 and December 31, 2023, we have presented the fair value of our derivatve instruments at the gross amounts in the condensed consolidated balance sheets as the gross fair values of our derivatve instruments equaled their net fair values.</w:t>
      </w:r>
    </w:p>
    <w:p>
      <w:pPr>
        <w:spacing w:after="0" w:line="127"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51555C"/>
        </w:rPr>
        <w:t>Cash fow hedges</w:t>
      </w:r>
    </w:p>
    <w:p>
      <w:pPr>
        <w:spacing w:after="0" w:line="129" w:lineRule="exact"/>
        <w:rPr>
          <w:sz w:val="20"/>
          <w:szCs w:val="20"/>
          <w:color w:val="auto"/>
        </w:rPr>
      </w:pPr>
    </w:p>
    <w:p>
      <w:pPr>
        <w:jc w:val="both"/>
        <w:ind w:right="20"/>
        <w:spacing w:after="0" w:line="237" w:lineRule="auto"/>
        <w:rPr>
          <w:sz w:val="20"/>
          <w:szCs w:val="20"/>
          <w:color w:val="auto"/>
        </w:rPr>
      </w:pPr>
      <w:r>
        <w:rPr>
          <w:rFonts w:ascii="Calibri" w:cs="Calibri" w:eastAsia="Calibri" w:hAnsi="Calibri"/>
          <w:sz w:val="14"/>
          <w:szCs w:val="14"/>
          <w:color w:val="51555C"/>
        </w:rPr>
        <w:t>We have entered into interest rate swap agreements, which efectvely convert portons of our variable rate debt under the 2024 Credit Facilites to a fxed rate for the term of the swap agreements. We designated each of the interest rate swaps as cash fow hedges at the incepton of the contracts. Our entry into the 2024 Credit Agreement in April 2024 did not afect our interest rate swap agreements, including their designaton as cash fow hedges, as the 2024 Credit Agreement has substantally the same critcal terms as the the 2020 Credit Agreement. As of June 30, 2024 and December 31, 2023, the aggregate notonal values of the interest rate swaps were $935.0 million and $935.0 million, respectvely. All of the contracts have maturites on or before October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6268720</wp:posOffset>
            </wp:positionH>
            <wp:positionV relativeFrom="paragraph">
              <wp:posOffset>195580</wp:posOffset>
            </wp:positionV>
            <wp:extent cx="518795" cy="134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8795" cy="134620"/>
                    </a:xfrm>
                    <a:prstGeom prst="rect">
                      <a:avLst/>
                    </a:prstGeom>
                    <a:noFill/>
                  </pic:spPr>
                </pic:pic>
              </a:graphicData>
            </a:graphic>
          </wp:anchor>
        </w:drawing>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0400" w:type="dxa"/>
            <w:vAlign w:val="bottom"/>
          </w:tcPr>
          <w:p>
            <w:pPr>
              <w:ind w:left="8160"/>
              <w:spacing w:after="0"/>
              <w:rPr>
                <w:sz w:val="20"/>
                <w:szCs w:val="20"/>
                <w:color w:val="auto"/>
              </w:rPr>
            </w:pPr>
            <w:r>
              <w:rPr>
                <w:rFonts w:ascii="Calibri" w:cs="Calibri" w:eastAsia="Calibri" w:hAnsi="Calibri"/>
                <w:sz w:val="11"/>
                <w:szCs w:val="11"/>
                <w:color w:val="51555C"/>
              </w:rPr>
              <w:t>Second Quarter 2024 Form 10-Q</w:t>
            </w:r>
          </w:p>
        </w:tc>
        <w:tc>
          <w:tcPr>
            <w:tcW w:w="880" w:type="dxa"/>
            <w:vAlign w:val="bottom"/>
          </w:tcPr>
          <w:p>
            <w:pPr>
              <w:jc w:val="right"/>
              <w:spacing w:after="0"/>
              <w:rPr>
                <w:sz w:val="20"/>
                <w:szCs w:val="20"/>
                <w:color w:val="auto"/>
              </w:rPr>
            </w:pPr>
            <w:r>
              <w:rPr>
                <w:rFonts w:ascii="Calibri" w:cs="Calibri" w:eastAsia="Calibri" w:hAnsi="Calibri"/>
                <w:sz w:val="11"/>
                <w:szCs w:val="11"/>
                <w:color w:val="51555C"/>
              </w:rPr>
              <w:t>15</w:t>
            </w:r>
          </w:p>
        </w:tc>
      </w:tr>
      <w:tr>
        <w:trPr>
          <w:trHeight w:val="270"/>
        </w:trPr>
        <w:tc>
          <w:tcPr>
            <w:tcW w:w="10400" w:type="dxa"/>
            <w:vAlign w:val="bottom"/>
            <w:tcBorders>
              <w:bottom w:val="single" w:sz="8" w:color="9A9A9A"/>
            </w:tcBorders>
          </w:tcPr>
          <w:p>
            <w:pPr>
              <w:spacing w:after="0"/>
              <w:rPr>
                <w:sz w:val="23"/>
                <w:szCs w:val="23"/>
                <w:color w:val="auto"/>
              </w:rPr>
            </w:pPr>
          </w:p>
        </w:tc>
        <w:tc>
          <w:tcPr>
            <w:tcW w:w="88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16" w:name="page17"/>
    <w:bookmarkEnd w:id="16"/>
    <w:p>
      <w:pPr>
        <w:spacing w:after="0"/>
        <w:rPr>
          <w:sz w:val="20"/>
          <w:szCs w:val="20"/>
          <w:color w:val="auto"/>
        </w:rPr>
      </w:pPr>
      <w:r>
        <w:rPr>
          <w:rFonts w:ascii="Calibri" w:cs="Calibri" w:eastAsia="Calibri" w:hAnsi="Calibri"/>
          <w:sz w:val="11"/>
          <w:szCs w:val="11"/>
          <w:u w:val="single" w:color="auto"/>
          <w:color w:val="7A04DD"/>
        </w:rPr>
        <w:t>Table of Contents</w:t>
      </w:r>
    </w:p>
    <w:p>
      <w:pPr>
        <w:spacing w:after="0" w:line="196" w:lineRule="exact"/>
        <w:rPr>
          <w:sz w:val="20"/>
          <w:szCs w:val="20"/>
          <w:color w:val="auto"/>
        </w:rPr>
      </w:pPr>
    </w:p>
    <w:p>
      <w:pPr>
        <w:jc w:val="center"/>
        <w:ind w:right="20"/>
        <w:spacing w:after="0"/>
        <w:rPr>
          <w:sz w:val="20"/>
          <w:szCs w:val="20"/>
          <w:color w:val="auto"/>
        </w:rPr>
      </w:pPr>
      <w:r>
        <w:rPr>
          <w:rFonts w:ascii="Calibri" w:cs="Calibri" w:eastAsia="Calibri" w:hAnsi="Calibri"/>
          <w:sz w:val="14"/>
          <w:szCs w:val="14"/>
          <w:b w:val="1"/>
          <w:bCs w:val="1"/>
          <w:color w:val="51555C"/>
        </w:rPr>
        <w:t>Blackbaud, Inc.</w:t>
      </w:r>
    </w:p>
    <w:p>
      <w:pPr>
        <w:jc w:val="center"/>
        <w:ind w:right="20"/>
        <w:spacing w:after="0" w:line="238" w:lineRule="auto"/>
        <w:rPr>
          <w:sz w:val="20"/>
          <w:szCs w:val="20"/>
          <w:color w:val="auto"/>
        </w:rPr>
      </w:pPr>
      <w:r>
        <w:rPr>
          <w:rFonts w:ascii="Calibri" w:cs="Calibri" w:eastAsia="Calibri" w:hAnsi="Calibri"/>
          <w:sz w:val="14"/>
          <w:szCs w:val="14"/>
          <w:b w:val="1"/>
          <w:bCs w:val="1"/>
          <w:color w:val="51555C"/>
        </w:rPr>
        <w:t>Notes to Condensed Consolidated Financial Statements</w:t>
      </w:r>
    </w:p>
    <w:p>
      <w:pPr>
        <w:jc w:val="center"/>
        <w:ind w:right="20"/>
        <w:spacing w:after="0"/>
        <w:rPr>
          <w:sz w:val="20"/>
          <w:szCs w:val="20"/>
          <w:color w:val="auto"/>
        </w:rPr>
      </w:pPr>
      <w:r>
        <w:rPr>
          <w:rFonts w:ascii="Calibri" w:cs="Calibri" w:eastAsia="Calibri" w:hAnsi="Calibri"/>
          <w:sz w:val="14"/>
          <w:szCs w:val="14"/>
          <w:b w:val="1"/>
          <w:bCs w:val="1"/>
          <w:color w:val="51555C"/>
        </w:rPr>
        <w:t>(Unaudited)</w:t>
      </w:r>
    </w:p>
    <w:p>
      <w:pPr>
        <w:spacing w:after="0" w:line="200" w:lineRule="exact"/>
        <w:rPr>
          <w:sz w:val="20"/>
          <w:szCs w:val="20"/>
          <w:color w:val="auto"/>
        </w:rPr>
      </w:pPr>
    </w:p>
    <w:p>
      <w:pPr>
        <w:spacing w:after="0" w:line="246" w:lineRule="exact"/>
        <w:rPr>
          <w:sz w:val="20"/>
          <w:szCs w:val="20"/>
          <w:color w:val="auto"/>
        </w:rPr>
      </w:pPr>
    </w:p>
    <w:p>
      <w:pPr>
        <w:jc w:val="both"/>
        <w:ind w:right="20"/>
        <w:spacing w:after="0" w:line="237" w:lineRule="auto"/>
        <w:rPr>
          <w:sz w:val="20"/>
          <w:szCs w:val="20"/>
          <w:color w:val="auto"/>
        </w:rPr>
      </w:pPr>
      <w:r>
        <w:rPr>
          <w:rFonts w:ascii="Calibri" w:cs="Calibri" w:eastAsia="Calibri" w:hAnsi="Calibri"/>
          <w:sz w:val="14"/>
          <w:szCs w:val="14"/>
          <w:color w:val="51555C"/>
        </w:rPr>
        <w:t>We have entered into foreign currency forward contracts to hedge revenues denominated in the Canadian Dollar ("CAD") against changes in the exchange rate with the United States Dollar ("USD"). We designated each of these foreign currency forward contracts as cash fow hedges at the incepton of the contracts. As of June 30, 2024 and December 31, 2023, the aggregate notonal values of the foreign currency forward contracts designated as cash fow hedges that we held to buy USD in exchange for Canadian Dollars were $32.1 million CAD and $29.9 million CAD, respectvely. All of the contracts have maturites of 12 months or less.</w:t>
      </w:r>
    </w:p>
    <w:p>
      <w:pPr>
        <w:spacing w:after="0" w:line="128"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51555C"/>
        </w:rPr>
        <w:t>Net investment hedges</w:t>
      </w:r>
    </w:p>
    <w:p>
      <w:pPr>
        <w:spacing w:after="0" w:line="129" w:lineRule="exact"/>
        <w:rPr>
          <w:sz w:val="20"/>
          <w:szCs w:val="20"/>
          <w:color w:val="auto"/>
        </w:rPr>
      </w:pPr>
    </w:p>
    <w:p>
      <w:pPr>
        <w:jc w:val="both"/>
        <w:ind w:right="20"/>
        <w:spacing w:after="0" w:line="237" w:lineRule="auto"/>
        <w:rPr>
          <w:sz w:val="20"/>
          <w:szCs w:val="20"/>
          <w:color w:val="auto"/>
        </w:rPr>
      </w:pPr>
      <w:r>
        <w:rPr>
          <w:rFonts w:ascii="Calibri" w:cs="Calibri" w:eastAsia="Calibri" w:hAnsi="Calibri"/>
          <w:sz w:val="14"/>
          <w:szCs w:val="14"/>
          <w:color w:val="51555C"/>
        </w:rPr>
        <w:t>We have entered into foreign currency forward contracts to hedge a porton of the foreign currency exposure that arises on translaton of our investments denominated in Britsh Pounds ("GBP") into USD. We designated each of these foreign currency forward contracts as net investment hedges at the incepton of the contracts. As of June 30, 2024 and December 31, 2023, the aggregate notonal values of the foreign currency forward contracts designated as net investment hedges to reduce the volatlity of the U.S. dollar value of a porton of our GBP-denominated investments was £14.0 million and £13.2 million, respectvely.</w:t>
      </w:r>
    </w:p>
    <w:p>
      <w:pPr>
        <w:spacing w:after="0" w:line="128" w:lineRule="exact"/>
        <w:rPr>
          <w:sz w:val="20"/>
          <w:szCs w:val="20"/>
          <w:color w:val="auto"/>
        </w:rPr>
      </w:pPr>
    </w:p>
    <w:p>
      <w:pPr>
        <w:spacing w:after="0"/>
        <w:rPr>
          <w:sz w:val="20"/>
          <w:szCs w:val="20"/>
          <w:color w:val="auto"/>
        </w:rPr>
      </w:pPr>
      <w:r>
        <w:rPr>
          <w:rFonts w:ascii="Calibri" w:cs="Calibri" w:eastAsia="Calibri" w:hAnsi="Calibri"/>
          <w:sz w:val="14"/>
          <w:szCs w:val="14"/>
          <w:color w:val="51555C"/>
        </w:rPr>
        <w:t>The fair values of our derivatve instruments were as follows as of:</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860" w:type="dxa"/>
            <w:vAlign w:val="bottom"/>
            <w:shd w:val="clear" w:color="auto" w:fill="004054"/>
          </w:tcPr>
          <w:p>
            <w:pPr>
              <w:spacing w:after="0"/>
              <w:rPr>
                <w:sz w:val="13"/>
                <w:szCs w:val="13"/>
                <w:color w:val="auto"/>
              </w:rPr>
            </w:pPr>
          </w:p>
        </w:tc>
        <w:tc>
          <w:tcPr>
            <w:tcW w:w="1700" w:type="dxa"/>
            <w:vAlign w:val="bottom"/>
            <w:shd w:val="clear" w:color="auto" w:fill="004054"/>
          </w:tcPr>
          <w:p>
            <w:pPr>
              <w:spacing w:after="0"/>
              <w:rPr>
                <w:sz w:val="13"/>
                <w:szCs w:val="13"/>
                <w:color w:val="auto"/>
              </w:rPr>
            </w:pPr>
          </w:p>
        </w:tc>
        <w:tc>
          <w:tcPr>
            <w:tcW w:w="1230" w:type="dxa"/>
            <w:vAlign w:val="bottom"/>
            <w:shd w:val="clear" w:color="auto" w:fill="004054"/>
          </w:tcPr>
          <w:p>
            <w:pPr>
              <w:spacing w:after="0"/>
              <w:rPr>
                <w:sz w:val="13"/>
                <w:szCs w:val="13"/>
                <w:color w:val="auto"/>
              </w:rPr>
            </w:pPr>
          </w:p>
        </w:tc>
        <w:tc>
          <w:tcPr>
            <w:tcW w:w="123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Asset derivatves</w:t>
            </w:r>
          </w:p>
        </w:tc>
        <w:tc>
          <w:tcPr>
            <w:tcW w:w="100" w:type="dxa"/>
            <w:vAlign w:val="bottom"/>
          </w:tcPr>
          <w:p>
            <w:pPr>
              <w:spacing w:after="0"/>
              <w:rPr>
                <w:sz w:val="13"/>
                <w:szCs w:val="13"/>
                <w:color w:val="auto"/>
              </w:rPr>
            </w:pPr>
          </w:p>
        </w:tc>
        <w:tc>
          <w:tcPr>
            <w:tcW w:w="1700" w:type="dxa"/>
            <w:vAlign w:val="bottom"/>
            <w:shd w:val="clear" w:color="auto" w:fill="004054"/>
          </w:tcPr>
          <w:p>
            <w:pPr>
              <w:spacing w:after="0"/>
              <w:rPr>
                <w:sz w:val="13"/>
                <w:szCs w:val="13"/>
                <w:color w:val="auto"/>
              </w:rPr>
            </w:pPr>
          </w:p>
        </w:tc>
        <w:tc>
          <w:tcPr>
            <w:tcW w:w="1230" w:type="dxa"/>
            <w:vAlign w:val="bottom"/>
            <w:shd w:val="clear" w:color="auto" w:fill="004054"/>
          </w:tcPr>
          <w:p>
            <w:pPr>
              <w:spacing w:after="0"/>
              <w:rPr>
                <w:sz w:val="13"/>
                <w:szCs w:val="13"/>
                <w:color w:val="auto"/>
              </w:rPr>
            </w:pPr>
          </w:p>
        </w:tc>
        <w:tc>
          <w:tcPr>
            <w:tcW w:w="125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Liability derivatves</w:t>
            </w:r>
          </w:p>
        </w:tc>
      </w:tr>
      <w:tr>
        <w:trPr>
          <w:trHeight w:val="181"/>
        </w:trPr>
        <w:tc>
          <w:tcPr>
            <w:tcW w:w="2860" w:type="dxa"/>
            <w:vAlign w:val="bottom"/>
            <w:shd w:val="clear" w:color="auto" w:fill="004054"/>
          </w:tcPr>
          <w:p>
            <w:pPr>
              <w:spacing w:after="0"/>
              <w:rPr>
                <w:sz w:val="15"/>
                <w:szCs w:val="15"/>
                <w:color w:val="auto"/>
              </w:rPr>
            </w:pPr>
          </w:p>
        </w:tc>
        <w:tc>
          <w:tcPr>
            <w:tcW w:w="1700" w:type="dxa"/>
            <w:vAlign w:val="bottom"/>
            <w:shd w:val="clear" w:color="auto" w:fill="004054"/>
          </w:tcPr>
          <w:p>
            <w:pPr>
              <w:spacing w:after="0"/>
              <w:rPr>
                <w:sz w:val="15"/>
                <w:szCs w:val="15"/>
                <w:color w:val="auto"/>
              </w:rPr>
            </w:pPr>
          </w:p>
        </w:tc>
        <w:tc>
          <w:tcPr>
            <w:tcW w:w="123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June 30,</w:t>
            </w:r>
          </w:p>
        </w:tc>
        <w:tc>
          <w:tcPr>
            <w:tcW w:w="123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December 31,</w:t>
            </w:r>
          </w:p>
        </w:tc>
        <w:tc>
          <w:tcPr>
            <w:tcW w:w="100" w:type="dxa"/>
            <w:vAlign w:val="bottom"/>
          </w:tcPr>
          <w:p>
            <w:pPr>
              <w:spacing w:after="0"/>
              <w:rPr>
                <w:sz w:val="15"/>
                <w:szCs w:val="15"/>
                <w:color w:val="auto"/>
              </w:rPr>
            </w:pPr>
          </w:p>
        </w:tc>
        <w:tc>
          <w:tcPr>
            <w:tcW w:w="1700" w:type="dxa"/>
            <w:vAlign w:val="bottom"/>
            <w:shd w:val="clear" w:color="auto" w:fill="004054"/>
          </w:tcPr>
          <w:p>
            <w:pPr>
              <w:spacing w:after="0"/>
              <w:rPr>
                <w:sz w:val="15"/>
                <w:szCs w:val="15"/>
                <w:color w:val="auto"/>
              </w:rPr>
            </w:pPr>
          </w:p>
        </w:tc>
        <w:tc>
          <w:tcPr>
            <w:tcW w:w="123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June 30,</w:t>
            </w:r>
          </w:p>
        </w:tc>
        <w:tc>
          <w:tcPr>
            <w:tcW w:w="125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December 31,</w:t>
            </w:r>
          </w:p>
        </w:tc>
      </w:tr>
      <w:tr>
        <w:trPr>
          <w:trHeight w:val="138"/>
        </w:trPr>
        <w:tc>
          <w:tcPr>
            <w:tcW w:w="2860" w:type="dxa"/>
            <w:vAlign w:val="bottom"/>
            <w:shd w:val="clear" w:color="auto" w:fill="004054"/>
          </w:tcPr>
          <w:p>
            <w:pPr>
              <w:ind w:left="20"/>
              <w:spacing w:after="0"/>
              <w:rPr>
                <w:sz w:val="20"/>
                <w:szCs w:val="20"/>
                <w:color w:val="auto"/>
              </w:rPr>
            </w:pPr>
            <w:r>
              <w:rPr>
                <w:rFonts w:ascii="Calibri" w:cs="Calibri" w:eastAsia="Calibri" w:hAnsi="Calibri"/>
                <w:sz w:val="11"/>
                <w:szCs w:val="11"/>
                <w:b w:val="1"/>
                <w:bCs w:val="1"/>
                <w:color w:val="FFFFFF"/>
              </w:rPr>
              <w:t>(dollars in thousands)</w:t>
            </w:r>
          </w:p>
        </w:tc>
        <w:tc>
          <w:tcPr>
            <w:tcW w:w="1700" w:type="dxa"/>
            <w:vAlign w:val="bottom"/>
            <w:shd w:val="clear" w:color="auto" w:fill="004054"/>
          </w:tcPr>
          <w:p>
            <w:pPr>
              <w:ind w:left="620"/>
              <w:spacing w:after="0"/>
              <w:rPr>
                <w:sz w:val="20"/>
                <w:szCs w:val="20"/>
                <w:color w:val="auto"/>
              </w:rPr>
            </w:pPr>
            <w:r>
              <w:rPr>
                <w:rFonts w:ascii="Calibri" w:cs="Calibri" w:eastAsia="Calibri" w:hAnsi="Calibri"/>
                <w:sz w:val="11"/>
                <w:szCs w:val="11"/>
                <w:b w:val="1"/>
                <w:bCs w:val="1"/>
                <w:color w:val="FFFFFF"/>
              </w:rPr>
              <w:t>Balance sheet locaton</w:t>
            </w:r>
          </w:p>
        </w:tc>
        <w:tc>
          <w:tcPr>
            <w:tcW w:w="123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2024</w:t>
            </w:r>
          </w:p>
        </w:tc>
        <w:tc>
          <w:tcPr>
            <w:tcW w:w="123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2023</w:t>
            </w:r>
          </w:p>
        </w:tc>
        <w:tc>
          <w:tcPr>
            <w:tcW w:w="100" w:type="dxa"/>
            <w:vAlign w:val="bottom"/>
          </w:tcPr>
          <w:p>
            <w:pPr>
              <w:spacing w:after="0"/>
              <w:rPr>
                <w:sz w:val="11"/>
                <w:szCs w:val="11"/>
                <w:color w:val="auto"/>
              </w:rPr>
            </w:pPr>
          </w:p>
        </w:tc>
        <w:tc>
          <w:tcPr>
            <w:tcW w:w="1700" w:type="dxa"/>
            <w:vAlign w:val="bottom"/>
            <w:shd w:val="clear" w:color="auto" w:fill="004054"/>
          </w:tcPr>
          <w:p>
            <w:pPr>
              <w:ind w:left="620"/>
              <w:spacing w:after="0"/>
              <w:rPr>
                <w:sz w:val="20"/>
                <w:szCs w:val="20"/>
                <w:color w:val="auto"/>
              </w:rPr>
            </w:pPr>
            <w:r>
              <w:rPr>
                <w:rFonts w:ascii="Calibri" w:cs="Calibri" w:eastAsia="Calibri" w:hAnsi="Calibri"/>
                <w:sz w:val="11"/>
                <w:szCs w:val="11"/>
                <w:b w:val="1"/>
                <w:bCs w:val="1"/>
                <w:color w:val="FFFFFF"/>
              </w:rPr>
              <w:t>Balance sheet locaton</w:t>
            </w:r>
          </w:p>
        </w:tc>
        <w:tc>
          <w:tcPr>
            <w:tcW w:w="123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2024</w:t>
            </w:r>
          </w:p>
        </w:tc>
        <w:tc>
          <w:tcPr>
            <w:tcW w:w="125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2023</w:t>
            </w:r>
          </w:p>
        </w:tc>
      </w:tr>
      <w:tr>
        <w:trPr>
          <w:trHeight w:val="57"/>
        </w:trPr>
        <w:tc>
          <w:tcPr>
            <w:tcW w:w="2860" w:type="dxa"/>
            <w:vAlign w:val="bottom"/>
            <w:shd w:val="clear" w:color="auto" w:fill="004054"/>
          </w:tcPr>
          <w:p>
            <w:pPr>
              <w:spacing w:after="0"/>
              <w:rPr>
                <w:sz w:val="4"/>
                <w:szCs w:val="4"/>
                <w:color w:val="auto"/>
              </w:rPr>
            </w:pPr>
          </w:p>
        </w:tc>
        <w:tc>
          <w:tcPr>
            <w:tcW w:w="1700" w:type="dxa"/>
            <w:vAlign w:val="bottom"/>
            <w:shd w:val="clear" w:color="auto" w:fill="004054"/>
          </w:tcPr>
          <w:p>
            <w:pPr>
              <w:spacing w:after="0"/>
              <w:rPr>
                <w:sz w:val="4"/>
                <w:szCs w:val="4"/>
                <w:color w:val="auto"/>
              </w:rPr>
            </w:pPr>
          </w:p>
        </w:tc>
        <w:tc>
          <w:tcPr>
            <w:tcW w:w="1230" w:type="dxa"/>
            <w:vAlign w:val="bottom"/>
            <w:shd w:val="clear" w:color="auto" w:fill="004054"/>
          </w:tcPr>
          <w:p>
            <w:pPr>
              <w:spacing w:after="0"/>
              <w:rPr>
                <w:sz w:val="4"/>
                <w:szCs w:val="4"/>
                <w:color w:val="auto"/>
              </w:rPr>
            </w:pPr>
          </w:p>
        </w:tc>
        <w:tc>
          <w:tcPr>
            <w:tcW w:w="1230" w:type="dxa"/>
            <w:vAlign w:val="bottom"/>
            <w:shd w:val="clear" w:color="auto" w:fill="004054"/>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shd w:val="clear" w:color="auto" w:fill="004054"/>
          </w:tcPr>
          <w:p>
            <w:pPr>
              <w:spacing w:after="0"/>
              <w:rPr>
                <w:sz w:val="4"/>
                <w:szCs w:val="4"/>
                <w:color w:val="auto"/>
              </w:rPr>
            </w:pPr>
          </w:p>
        </w:tc>
        <w:tc>
          <w:tcPr>
            <w:tcW w:w="1230" w:type="dxa"/>
            <w:vAlign w:val="bottom"/>
            <w:shd w:val="clear" w:color="auto" w:fill="004054"/>
          </w:tcPr>
          <w:p>
            <w:pPr>
              <w:spacing w:after="0"/>
              <w:rPr>
                <w:sz w:val="4"/>
                <w:szCs w:val="4"/>
                <w:color w:val="auto"/>
              </w:rPr>
            </w:pPr>
          </w:p>
        </w:tc>
        <w:tc>
          <w:tcPr>
            <w:tcW w:w="1250" w:type="dxa"/>
            <w:vAlign w:val="bottom"/>
            <w:shd w:val="clear" w:color="auto" w:fill="004054"/>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7161530" cy="2495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1530" cy="249555"/>
                    </a:xfrm>
                    <a:prstGeom prst="rect">
                      <a:avLst/>
                    </a:prstGeom>
                    <a:noFill/>
                  </pic:spPr>
                </pic:pic>
              </a:graphicData>
            </a:graphic>
          </wp:anchor>
        </w:drawing>
        <w:drawing>
          <wp:anchor simplePos="0" relativeHeight="251657728" behindDoc="1" locked="0" layoutInCell="0" allowOverlap="1">
            <wp:simplePos x="0" y="0"/>
            <wp:positionH relativeFrom="column">
              <wp:posOffset>5594985</wp:posOffset>
            </wp:positionH>
            <wp:positionV relativeFrom="paragraph">
              <wp:posOffset>-215265</wp:posOffset>
            </wp:positionV>
            <wp:extent cx="1576705"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576705" cy="6985"/>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-215265</wp:posOffset>
            </wp:positionV>
            <wp:extent cx="1569720"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569720" cy="6985"/>
                    </a:xfrm>
                    <a:prstGeom prst="rect">
                      <a:avLst/>
                    </a:prstGeom>
                    <a:noFill/>
                  </pic:spPr>
                </pic:pic>
              </a:graphicData>
            </a:graphic>
          </wp:anchor>
        </w:drawing>
      </w:r>
    </w:p>
    <w:p>
      <w:pPr>
        <w:ind w:left="20"/>
        <w:spacing w:after="0"/>
        <w:rPr>
          <w:sz w:val="20"/>
          <w:szCs w:val="20"/>
          <w:color w:val="auto"/>
        </w:rPr>
      </w:pPr>
      <w:r>
        <w:rPr>
          <w:rFonts w:ascii="Calibri" w:cs="Calibri" w:eastAsia="Calibri" w:hAnsi="Calibri"/>
          <w:sz w:val="14"/>
          <w:szCs w:val="14"/>
          <w:b w:val="1"/>
          <w:bCs w:val="1"/>
          <w:color w:val="51555C"/>
        </w:rPr>
        <w:t>Derivatve instruments designated as hedging</w:t>
      </w:r>
    </w:p>
    <w:p>
      <w:pPr>
        <w:ind w:left="20"/>
        <w:spacing w:after="0" w:line="238" w:lineRule="auto"/>
        <w:rPr>
          <w:sz w:val="20"/>
          <w:szCs w:val="20"/>
          <w:color w:val="auto"/>
        </w:rPr>
      </w:pPr>
      <w:r>
        <w:rPr>
          <w:rFonts w:ascii="Calibri" w:cs="Calibri" w:eastAsia="Calibri" w:hAnsi="Calibri"/>
          <w:sz w:val="14"/>
          <w:szCs w:val="14"/>
          <w:b w:val="1"/>
          <w:bCs w:val="1"/>
          <w:color w:val="51555C"/>
        </w:rPr>
        <w:t>instruments:</w:t>
      </w:r>
    </w:p>
    <w:p>
      <w:pPr>
        <w:sectPr>
          <w:pgSz w:w="11900" w:h="16838" w:orient="portrait"/>
          <w:cols w:equalWidth="0" w:num="1">
            <w:col w:w="11300"/>
          </w:cols>
          <w:pgMar w:left="300" w:top="118" w:right="299" w:bottom="1440" w:gutter="0" w:footer="0" w:header="0"/>
        </w:sectPr>
      </w:pPr>
    </w:p>
    <w:p>
      <w:pPr>
        <w:spacing w:after="0" w:line="42" w:lineRule="exact"/>
        <w:rPr>
          <w:sz w:val="20"/>
          <w:szCs w:val="20"/>
          <w:color w:val="auto"/>
        </w:rPr>
      </w:pPr>
    </w:p>
    <w:p>
      <w:pPr>
        <w:ind w:left="100"/>
        <w:spacing w:after="0"/>
        <w:rPr>
          <w:sz w:val="20"/>
          <w:szCs w:val="20"/>
          <w:color w:val="auto"/>
        </w:rPr>
      </w:pPr>
      <w:r>
        <w:rPr>
          <w:rFonts w:ascii="Calibri" w:cs="Calibri" w:eastAsia="Calibri" w:hAnsi="Calibri"/>
          <w:sz w:val="14"/>
          <w:szCs w:val="14"/>
          <w:color w:val="51555C"/>
        </w:rPr>
        <w:t>Interest rate swaps, current porton</w:t>
      </w:r>
    </w:p>
    <w:p>
      <w:pPr>
        <w:spacing w:after="0" w:line="256" w:lineRule="exact"/>
        <w:rPr>
          <w:sz w:val="20"/>
          <w:szCs w:val="20"/>
          <w:color w:val="auto"/>
        </w:rPr>
      </w:pPr>
    </w:p>
    <w:p>
      <w:pPr>
        <w:ind w:left="100"/>
        <w:spacing w:after="0" w:line="237" w:lineRule="auto"/>
        <w:rPr>
          <w:sz w:val="20"/>
          <w:szCs w:val="20"/>
          <w:color w:val="auto"/>
        </w:rPr>
      </w:pPr>
      <w:r>
        <w:rPr>
          <w:rFonts w:ascii="Calibri" w:cs="Calibri" w:eastAsia="Calibri" w:hAnsi="Calibri"/>
          <w:sz w:val="14"/>
          <w:szCs w:val="14"/>
          <w:color w:val="51555C"/>
        </w:rPr>
        <w:t>Foreign currency forward contracts, current porton</w:t>
      </w:r>
    </w:p>
    <w:p>
      <w:pPr>
        <w:spacing w:after="0" w:line="211" w:lineRule="exact"/>
        <w:rPr>
          <w:sz w:val="20"/>
          <w:szCs w:val="20"/>
          <w:color w:val="auto"/>
        </w:rPr>
      </w:pPr>
    </w:p>
    <w:p>
      <w:pPr>
        <w:ind w:left="100"/>
        <w:spacing w:after="0"/>
        <w:rPr>
          <w:sz w:val="20"/>
          <w:szCs w:val="20"/>
          <w:color w:val="auto"/>
        </w:rPr>
      </w:pPr>
      <w:r>
        <w:rPr>
          <w:rFonts w:ascii="Calibri" w:cs="Calibri" w:eastAsia="Calibri" w:hAnsi="Calibri"/>
          <w:sz w:val="14"/>
          <w:szCs w:val="14"/>
          <w:color w:val="51555C"/>
        </w:rPr>
        <w:t>Interest rate swaps, long-term</w:t>
      </w:r>
    </w:p>
    <w:p>
      <w:pPr>
        <w:spacing w:after="0" w:line="44" w:lineRule="exact"/>
        <w:rPr>
          <w:sz w:val="20"/>
          <w:szCs w:val="20"/>
          <w:color w:val="auto"/>
        </w:rPr>
      </w:pPr>
    </w:p>
    <w:p>
      <w:pPr>
        <w:ind w:left="20" w:right="100"/>
        <w:spacing w:after="0" w:line="237" w:lineRule="auto"/>
        <w:rPr>
          <w:sz w:val="20"/>
          <w:szCs w:val="20"/>
          <w:color w:val="auto"/>
        </w:rPr>
      </w:pPr>
      <w:r>
        <w:rPr>
          <w:rFonts w:ascii="Calibri" w:cs="Calibri" w:eastAsia="Calibri" w:hAnsi="Calibri"/>
          <w:sz w:val="14"/>
          <w:szCs w:val="14"/>
          <w:b w:val="1"/>
          <w:bCs w:val="1"/>
          <w:color w:val="51555C"/>
        </w:rPr>
        <w:t>Total derivatve instruments designated as hedging instruments</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1820" w:type="dxa"/>
            <w:vAlign w:val="bottom"/>
            <w:gridSpan w:val="2"/>
          </w:tcPr>
          <w:p>
            <w:pPr>
              <w:jc w:val="right"/>
              <w:ind w:right="460"/>
              <w:spacing w:after="0"/>
              <w:rPr>
                <w:sz w:val="20"/>
                <w:szCs w:val="20"/>
                <w:color w:val="auto"/>
              </w:rPr>
            </w:pPr>
            <w:r>
              <w:rPr>
                <w:rFonts w:ascii="Calibri" w:cs="Calibri" w:eastAsia="Calibri" w:hAnsi="Calibri"/>
                <w:sz w:val="14"/>
                <w:szCs w:val="14"/>
                <w:color w:val="51555C"/>
              </w:rPr>
              <w:t>Prepaid expenses</w:t>
            </w: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360" w:type="dxa"/>
            <w:vAlign w:val="bottom"/>
            <w:gridSpan w:val="2"/>
          </w:tcPr>
          <w:p>
            <w:pPr>
              <w:jc w:val="right"/>
              <w:ind w:right="580"/>
              <w:spacing w:after="0"/>
              <w:rPr>
                <w:sz w:val="20"/>
                <w:szCs w:val="20"/>
                <w:color w:val="auto"/>
              </w:rPr>
            </w:pPr>
            <w:r>
              <w:rPr>
                <w:rFonts w:ascii="Calibri" w:cs="Calibri" w:eastAsia="Calibri" w:hAnsi="Calibri"/>
                <w:sz w:val="14"/>
                <w:szCs w:val="14"/>
                <w:color w:val="51555C"/>
              </w:rPr>
              <w:t>Accrued expenses</w:t>
            </w: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820" w:type="dxa"/>
            <w:vAlign w:val="bottom"/>
            <w:gridSpan w:val="2"/>
          </w:tcPr>
          <w:p>
            <w:pPr>
              <w:jc w:val="right"/>
              <w:ind w:right="360"/>
              <w:spacing w:after="0" w:line="170" w:lineRule="exact"/>
              <w:rPr>
                <w:sz w:val="20"/>
                <w:szCs w:val="20"/>
                <w:color w:val="auto"/>
              </w:rPr>
            </w:pPr>
            <w:r>
              <w:rPr>
                <w:rFonts w:ascii="Calibri" w:cs="Calibri" w:eastAsia="Calibri" w:hAnsi="Calibri"/>
                <w:sz w:val="14"/>
                <w:szCs w:val="14"/>
                <w:color w:val="51555C"/>
                <w:w w:val="96"/>
              </w:rPr>
              <w:t>and other current assets $</w:t>
            </w:r>
          </w:p>
        </w:tc>
        <w:tc>
          <w:tcPr>
            <w:tcW w:w="760" w:type="dxa"/>
            <w:vAlign w:val="bottom"/>
          </w:tcPr>
          <w:p>
            <w:pPr>
              <w:jc w:val="right"/>
              <w:spacing w:after="0" w:line="170" w:lineRule="exact"/>
              <w:rPr>
                <w:sz w:val="20"/>
                <w:szCs w:val="20"/>
                <w:color w:val="auto"/>
              </w:rPr>
            </w:pPr>
            <w:r>
              <w:rPr>
                <w:rFonts w:ascii="Calibri" w:cs="Calibri" w:eastAsia="Calibri" w:hAnsi="Calibri"/>
                <w:sz w:val="14"/>
                <w:szCs w:val="14"/>
                <w:color w:val="51555C"/>
              </w:rPr>
              <w:t>7,362</w:t>
            </w:r>
          </w:p>
        </w:tc>
        <w:tc>
          <w:tcPr>
            <w:tcW w:w="460" w:type="dxa"/>
            <w:vAlign w:val="bottom"/>
          </w:tcPr>
          <w:p>
            <w:pPr>
              <w:jc w:val="right"/>
              <w:ind w:right="269"/>
              <w:spacing w:after="0" w:line="170" w:lineRule="exact"/>
              <w:rPr>
                <w:sz w:val="20"/>
                <w:szCs w:val="20"/>
                <w:color w:val="auto"/>
              </w:rPr>
            </w:pPr>
            <w:r>
              <w:rPr>
                <w:rFonts w:ascii="Calibri" w:cs="Calibri" w:eastAsia="Calibri" w:hAnsi="Calibri"/>
                <w:sz w:val="14"/>
                <w:szCs w:val="14"/>
                <w:color w:val="51555C"/>
              </w:rPr>
              <w:t>$</w:t>
            </w:r>
          </w:p>
        </w:tc>
        <w:tc>
          <w:tcPr>
            <w:tcW w:w="800" w:type="dxa"/>
            <w:vAlign w:val="bottom"/>
          </w:tcPr>
          <w:p>
            <w:pPr>
              <w:jc w:val="right"/>
              <w:spacing w:after="0" w:line="170" w:lineRule="exact"/>
              <w:rPr>
                <w:sz w:val="20"/>
                <w:szCs w:val="20"/>
                <w:color w:val="auto"/>
              </w:rPr>
            </w:pPr>
            <w:r>
              <w:rPr>
                <w:rFonts w:ascii="Calibri" w:cs="Calibri" w:eastAsia="Calibri" w:hAnsi="Calibri"/>
                <w:sz w:val="14"/>
                <w:szCs w:val="14"/>
                <w:color w:val="51555C"/>
              </w:rPr>
              <w:t>16,198</w:t>
            </w:r>
          </w:p>
        </w:tc>
        <w:tc>
          <w:tcPr>
            <w:tcW w:w="2360" w:type="dxa"/>
            <w:vAlign w:val="bottom"/>
            <w:gridSpan w:val="2"/>
          </w:tcPr>
          <w:p>
            <w:pPr>
              <w:jc w:val="right"/>
              <w:ind w:right="480"/>
              <w:spacing w:after="0" w:line="170" w:lineRule="exact"/>
              <w:rPr>
                <w:sz w:val="20"/>
                <w:szCs w:val="20"/>
                <w:color w:val="auto"/>
              </w:rPr>
            </w:pPr>
            <w:r>
              <w:rPr>
                <w:rFonts w:ascii="Calibri" w:cs="Calibri" w:eastAsia="Calibri" w:hAnsi="Calibri"/>
                <w:sz w:val="14"/>
                <w:szCs w:val="14"/>
                <w:color w:val="51555C"/>
              </w:rPr>
              <w:t>and other current liabilites $</w:t>
            </w:r>
          </w:p>
        </w:tc>
        <w:tc>
          <w:tcPr>
            <w:tcW w:w="1140" w:type="dxa"/>
            <w:vAlign w:val="bottom"/>
            <w:gridSpan w:val="2"/>
          </w:tcPr>
          <w:p>
            <w:pPr>
              <w:jc w:val="right"/>
              <w:ind w:right="329"/>
              <w:spacing w:after="0" w:line="170" w:lineRule="exact"/>
              <w:rPr>
                <w:sz w:val="20"/>
                <w:szCs w:val="20"/>
                <w:color w:val="auto"/>
              </w:rPr>
            </w:pPr>
            <w:r>
              <w:rPr>
                <w:rFonts w:ascii="Calibri" w:cs="Calibri" w:eastAsia="Calibri" w:hAnsi="Calibri"/>
                <w:sz w:val="14"/>
                <w:szCs w:val="14"/>
                <w:color w:val="51555C"/>
              </w:rPr>
              <w:t>— $</w:t>
            </w:r>
          </w:p>
        </w:tc>
        <w:tc>
          <w:tcPr>
            <w:tcW w:w="760" w:type="dxa"/>
            <w:vAlign w:val="bottom"/>
          </w:tcPr>
          <w:p>
            <w:pPr>
              <w:jc w:val="right"/>
              <w:spacing w:after="0" w:line="170" w:lineRule="exact"/>
              <w:rPr>
                <w:sz w:val="20"/>
                <w:szCs w:val="20"/>
                <w:color w:val="auto"/>
              </w:rPr>
            </w:pPr>
            <w:r>
              <w:rPr>
                <w:rFonts w:ascii="Calibri" w:cs="Calibri" w:eastAsia="Calibri" w:hAnsi="Calibri"/>
                <w:sz w:val="14"/>
                <w:szCs w:val="14"/>
                <w:color w:val="51555C"/>
              </w:rPr>
              <w:t>—</w:t>
            </w:r>
          </w:p>
        </w:tc>
        <w:tc>
          <w:tcPr>
            <w:tcW w:w="0" w:type="dxa"/>
            <w:vAlign w:val="bottom"/>
          </w:tcPr>
          <w:p>
            <w:pPr>
              <w:spacing w:after="0"/>
              <w:rPr>
                <w:sz w:val="1"/>
                <w:szCs w:val="1"/>
                <w:color w:val="auto"/>
              </w:rPr>
            </w:pPr>
          </w:p>
        </w:tc>
      </w:tr>
      <w:tr>
        <w:trPr>
          <w:trHeight w:val="212"/>
        </w:trPr>
        <w:tc>
          <w:tcPr>
            <w:tcW w:w="1820" w:type="dxa"/>
            <w:vAlign w:val="bottom"/>
            <w:gridSpan w:val="2"/>
            <w:vMerge w:val="restart"/>
          </w:tcPr>
          <w:p>
            <w:pPr>
              <w:jc w:val="right"/>
              <w:ind w:right="460"/>
              <w:spacing w:after="0"/>
              <w:rPr>
                <w:sz w:val="20"/>
                <w:szCs w:val="20"/>
                <w:color w:val="auto"/>
              </w:rPr>
            </w:pPr>
            <w:r>
              <w:rPr>
                <w:rFonts w:ascii="Calibri" w:cs="Calibri" w:eastAsia="Calibri" w:hAnsi="Calibri"/>
                <w:sz w:val="14"/>
                <w:szCs w:val="14"/>
                <w:color w:val="51555C"/>
              </w:rPr>
              <w:t>Prepaid expenses</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360" w:type="dxa"/>
            <w:vAlign w:val="bottom"/>
            <w:gridSpan w:val="2"/>
          </w:tcPr>
          <w:p>
            <w:pPr>
              <w:jc w:val="right"/>
              <w:ind w:right="580"/>
              <w:spacing w:after="0"/>
              <w:rPr>
                <w:sz w:val="20"/>
                <w:szCs w:val="20"/>
                <w:color w:val="auto"/>
              </w:rPr>
            </w:pPr>
            <w:r>
              <w:rPr>
                <w:rFonts w:ascii="Calibri" w:cs="Calibri" w:eastAsia="Calibri" w:hAnsi="Calibri"/>
                <w:sz w:val="14"/>
                <w:szCs w:val="14"/>
                <w:color w:val="51555C"/>
              </w:rPr>
              <w:t>Accrued expenses</w:t>
            </w: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1820" w:type="dxa"/>
            <w:vAlign w:val="bottom"/>
            <w:gridSpan w:val="2"/>
            <w:vMerge w:val="continue"/>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360" w:type="dxa"/>
            <w:vAlign w:val="bottom"/>
            <w:gridSpan w:val="2"/>
            <w:vMerge w:val="restart"/>
          </w:tcPr>
          <w:p>
            <w:pPr>
              <w:jc w:val="right"/>
              <w:ind w:right="580"/>
              <w:spacing w:after="0" w:line="170" w:lineRule="exact"/>
              <w:rPr>
                <w:sz w:val="20"/>
                <w:szCs w:val="20"/>
                <w:color w:val="auto"/>
              </w:rPr>
            </w:pPr>
            <w:r>
              <w:rPr>
                <w:rFonts w:ascii="Calibri" w:cs="Calibri" w:eastAsia="Calibri" w:hAnsi="Calibri"/>
                <w:sz w:val="14"/>
                <w:szCs w:val="14"/>
                <w:color w:val="51555C"/>
              </w:rPr>
              <w:t>and other</w:t>
            </w: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2"/>
        </w:trPr>
        <w:tc>
          <w:tcPr>
            <w:tcW w:w="1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3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1820" w:type="dxa"/>
            <w:vAlign w:val="bottom"/>
            <w:gridSpan w:val="2"/>
          </w:tcPr>
          <w:p>
            <w:pPr>
              <w:jc w:val="right"/>
              <w:ind w:right="460"/>
              <w:spacing w:after="0" w:line="170" w:lineRule="exact"/>
              <w:rPr>
                <w:sz w:val="20"/>
                <w:szCs w:val="20"/>
                <w:color w:val="auto"/>
              </w:rPr>
            </w:pPr>
            <w:r>
              <w:rPr>
                <w:rFonts w:ascii="Calibri" w:cs="Calibri" w:eastAsia="Calibri" w:hAnsi="Calibri"/>
                <w:sz w:val="14"/>
                <w:szCs w:val="14"/>
                <w:color w:val="51555C"/>
                <w:w w:val="96"/>
              </w:rPr>
              <w:t>and other current assets</w:t>
            </w:r>
          </w:p>
        </w:tc>
        <w:tc>
          <w:tcPr>
            <w:tcW w:w="760" w:type="dxa"/>
            <w:vAlign w:val="bottom"/>
          </w:tcPr>
          <w:p>
            <w:pPr>
              <w:jc w:val="right"/>
              <w:spacing w:after="0" w:line="170" w:lineRule="exact"/>
              <w:rPr>
                <w:sz w:val="20"/>
                <w:szCs w:val="20"/>
                <w:color w:val="auto"/>
              </w:rPr>
            </w:pPr>
            <w:r>
              <w:rPr>
                <w:rFonts w:ascii="Calibri" w:cs="Calibri" w:eastAsia="Calibri" w:hAnsi="Calibri"/>
                <w:sz w:val="14"/>
                <w:szCs w:val="14"/>
                <w:color w:val="51555C"/>
              </w:rPr>
              <w:t>252</w:t>
            </w:r>
          </w:p>
        </w:tc>
        <w:tc>
          <w:tcPr>
            <w:tcW w:w="460" w:type="dxa"/>
            <w:vAlign w:val="bottom"/>
          </w:tcPr>
          <w:p>
            <w:pPr>
              <w:spacing w:after="0"/>
              <w:rPr>
                <w:sz w:val="14"/>
                <w:szCs w:val="14"/>
                <w:color w:val="auto"/>
              </w:rPr>
            </w:pPr>
          </w:p>
        </w:tc>
        <w:tc>
          <w:tcPr>
            <w:tcW w:w="800" w:type="dxa"/>
            <w:vAlign w:val="bottom"/>
          </w:tcPr>
          <w:p>
            <w:pPr>
              <w:jc w:val="right"/>
              <w:spacing w:after="0" w:line="170" w:lineRule="exact"/>
              <w:rPr>
                <w:sz w:val="20"/>
                <w:szCs w:val="20"/>
                <w:color w:val="auto"/>
              </w:rPr>
            </w:pPr>
            <w:r>
              <w:rPr>
                <w:rFonts w:ascii="Calibri" w:cs="Calibri" w:eastAsia="Calibri" w:hAnsi="Calibri"/>
                <w:sz w:val="14"/>
                <w:szCs w:val="14"/>
                <w:color w:val="51555C"/>
              </w:rPr>
              <w:t>—</w:t>
            </w:r>
          </w:p>
        </w:tc>
        <w:tc>
          <w:tcPr>
            <w:tcW w:w="2360" w:type="dxa"/>
            <w:vAlign w:val="bottom"/>
            <w:gridSpan w:val="2"/>
          </w:tcPr>
          <w:p>
            <w:pPr>
              <w:jc w:val="right"/>
              <w:ind w:right="580"/>
              <w:spacing w:after="0" w:line="170" w:lineRule="exact"/>
              <w:rPr>
                <w:sz w:val="20"/>
                <w:szCs w:val="20"/>
                <w:color w:val="auto"/>
              </w:rPr>
            </w:pPr>
            <w:r>
              <w:rPr>
                <w:rFonts w:ascii="Calibri" w:cs="Calibri" w:eastAsia="Calibri" w:hAnsi="Calibri"/>
                <w:sz w:val="14"/>
                <w:szCs w:val="14"/>
                <w:color w:val="51555C"/>
              </w:rPr>
              <w:t>current liabilites</w:t>
            </w:r>
          </w:p>
        </w:tc>
        <w:tc>
          <w:tcPr>
            <w:tcW w:w="640" w:type="dxa"/>
            <w:vAlign w:val="bottom"/>
          </w:tcPr>
          <w:p>
            <w:pPr>
              <w:jc w:val="right"/>
              <w:spacing w:after="0" w:line="170" w:lineRule="exact"/>
              <w:rPr>
                <w:sz w:val="20"/>
                <w:szCs w:val="20"/>
                <w:color w:val="auto"/>
              </w:rPr>
            </w:pPr>
            <w:r>
              <w:rPr>
                <w:rFonts w:ascii="Calibri" w:cs="Calibri" w:eastAsia="Calibri" w:hAnsi="Calibri"/>
                <w:sz w:val="14"/>
                <w:szCs w:val="14"/>
                <w:color w:val="51555C"/>
              </w:rPr>
              <w:t>56</w:t>
            </w:r>
          </w:p>
        </w:tc>
        <w:tc>
          <w:tcPr>
            <w:tcW w:w="500" w:type="dxa"/>
            <w:vAlign w:val="bottom"/>
          </w:tcPr>
          <w:p>
            <w:pPr>
              <w:spacing w:after="0"/>
              <w:rPr>
                <w:sz w:val="14"/>
                <w:szCs w:val="14"/>
                <w:color w:val="auto"/>
              </w:rPr>
            </w:pPr>
          </w:p>
        </w:tc>
        <w:tc>
          <w:tcPr>
            <w:tcW w:w="760" w:type="dxa"/>
            <w:vAlign w:val="bottom"/>
          </w:tcPr>
          <w:p>
            <w:pPr>
              <w:jc w:val="right"/>
              <w:spacing w:after="0" w:line="170" w:lineRule="exact"/>
              <w:rPr>
                <w:sz w:val="20"/>
                <w:szCs w:val="20"/>
                <w:color w:val="auto"/>
              </w:rPr>
            </w:pPr>
            <w:r>
              <w:rPr>
                <w:rFonts w:ascii="Calibri" w:cs="Calibri" w:eastAsia="Calibri" w:hAnsi="Calibri"/>
                <w:sz w:val="14"/>
                <w:szCs w:val="14"/>
                <w:color w:val="51555C"/>
              </w:rPr>
              <w:t>536</w:t>
            </w:r>
          </w:p>
        </w:tc>
        <w:tc>
          <w:tcPr>
            <w:tcW w:w="0" w:type="dxa"/>
            <w:vAlign w:val="bottom"/>
          </w:tcPr>
          <w:p>
            <w:pPr>
              <w:spacing w:after="0"/>
              <w:rPr>
                <w:sz w:val="1"/>
                <w:szCs w:val="1"/>
                <w:color w:val="auto"/>
              </w:rPr>
            </w:pPr>
          </w:p>
        </w:tc>
      </w:tr>
      <w:tr>
        <w:trPr>
          <w:trHeight w:val="255"/>
        </w:trPr>
        <w:tc>
          <w:tcPr>
            <w:tcW w:w="1820" w:type="dxa"/>
            <w:vAlign w:val="bottom"/>
            <w:gridSpan w:val="2"/>
          </w:tcPr>
          <w:p>
            <w:pPr>
              <w:jc w:val="right"/>
              <w:ind w:right="460"/>
              <w:spacing w:after="0"/>
              <w:rPr>
                <w:sz w:val="20"/>
                <w:szCs w:val="20"/>
                <w:color w:val="auto"/>
              </w:rPr>
            </w:pPr>
            <w:r>
              <w:rPr>
                <w:rFonts w:ascii="Calibri" w:cs="Calibri" w:eastAsia="Calibri" w:hAnsi="Calibri"/>
                <w:sz w:val="14"/>
                <w:szCs w:val="14"/>
                <w:color w:val="51555C"/>
              </w:rPr>
              <w:t>Other assets</w:t>
            </w:r>
          </w:p>
        </w:tc>
        <w:tc>
          <w:tcPr>
            <w:tcW w:w="760" w:type="dxa"/>
            <w:vAlign w:val="bottom"/>
          </w:tcPr>
          <w:p>
            <w:pPr>
              <w:jc w:val="right"/>
              <w:spacing w:after="0"/>
              <w:rPr>
                <w:sz w:val="20"/>
                <w:szCs w:val="20"/>
                <w:color w:val="auto"/>
              </w:rPr>
            </w:pPr>
            <w:r>
              <w:rPr>
                <w:rFonts w:ascii="Calibri" w:cs="Calibri" w:eastAsia="Calibri" w:hAnsi="Calibri"/>
                <w:sz w:val="14"/>
                <w:szCs w:val="14"/>
                <w:color w:val="51555C"/>
              </w:rPr>
              <w:t>6,920</w:t>
            </w:r>
          </w:p>
        </w:tc>
        <w:tc>
          <w:tcPr>
            <w:tcW w:w="4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Calibri" w:cs="Calibri" w:eastAsia="Calibri" w:hAnsi="Calibri"/>
                <w:sz w:val="14"/>
                <w:szCs w:val="14"/>
                <w:color w:val="51555C"/>
              </w:rPr>
              <w:t>—</w:t>
            </w:r>
          </w:p>
        </w:tc>
        <w:tc>
          <w:tcPr>
            <w:tcW w:w="2360" w:type="dxa"/>
            <w:vAlign w:val="bottom"/>
            <w:gridSpan w:val="2"/>
          </w:tcPr>
          <w:p>
            <w:pPr>
              <w:jc w:val="right"/>
              <w:ind w:right="580"/>
              <w:spacing w:after="0"/>
              <w:rPr>
                <w:sz w:val="20"/>
                <w:szCs w:val="20"/>
                <w:color w:val="auto"/>
              </w:rPr>
            </w:pPr>
            <w:r>
              <w:rPr>
                <w:rFonts w:ascii="Calibri" w:cs="Calibri" w:eastAsia="Calibri" w:hAnsi="Calibri"/>
                <w:sz w:val="14"/>
                <w:szCs w:val="14"/>
                <w:color w:val="51555C"/>
              </w:rPr>
              <w:t>Other liabilites</w:t>
            </w:r>
          </w:p>
        </w:tc>
        <w:tc>
          <w:tcPr>
            <w:tcW w:w="640" w:type="dxa"/>
            <w:vAlign w:val="bottom"/>
          </w:tcPr>
          <w:p>
            <w:pPr>
              <w:jc w:val="right"/>
              <w:spacing w:after="0"/>
              <w:rPr>
                <w:sz w:val="20"/>
                <w:szCs w:val="20"/>
                <w:color w:val="auto"/>
              </w:rPr>
            </w:pPr>
            <w:r>
              <w:rPr>
                <w:rFonts w:ascii="Calibri" w:cs="Calibri" w:eastAsia="Calibri" w:hAnsi="Calibri"/>
                <w:sz w:val="14"/>
                <w:szCs w:val="14"/>
                <w:color w:val="51555C"/>
              </w:rPr>
              <w:t>—</w:t>
            </w:r>
          </w:p>
        </w:tc>
        <w:tc>
          <w:tcPr>
            <w:tcW w:w="5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Calibri" w:cs="Calibri" w:eastAsia="Calibri" w:hAnsi="Calibri"/>
                <w:sz w:val="14"/>
                <w:szCs w:val="14"/>
                <w:color w:val="51555C"/>
              </w:rPr>
              <w:t>5,004</w:t>
            </w:r>
          </w:p>
        </w:tc>
        <w:tc>
          <w:tcPr>
            <w:tcW w:w="0" w:type="dxa"/>
            <w:vAlign w:val="bottom"/>
          </w:tcPr>
          <w:p>
            <w:pPr>
              <w:spacing w:after="0"/>
              <w:rPr>
                <w:sz w:val="1"/>
                <w:szCs w:val="1"/>
                <w:color w:val="auto"/>
              </w:rPr>
            </w:pPr>
          </w:p>
        </w:tc>
      </w:tr>
      <w:tr>
        <w:trPr>
          <w:trHeight w:val="40"/>
        </w:trPr>
        <w:tc>
          <w:tcPr>
            <w:tcW w:w="1380" w:type="dxa"/>
            <w:vAlign w:val="bottom"/>
          </w:tcPr>
          <w:p>
            <w:pPr>
              <w:spacing w:after="0"/>
              <w:rPr>
                <w:sz w:val="3"/>
                <w:szCs w:val="3"/>
                <w:color w:val="auto"/>
              </w:rPr>
            </w:pPr>
          </w:p>
        </w:tc>
        <w:tc>
          <w:tcPr>
            <w:tcW w:w="440" w:type="dxa"/>
            <w:vAlign w:val="bottom"/>
            <w:tcBorders>
              <w:bottom w:val="single" w:sz="8" w:color="51555C"/>
            </w:tcBorders>
          </w:tcPr>
          <w:p>
            <w:pPr>
              <w:spacing w:after="0"/>
              <w:rPr>
                <w:sz w:val="3"/>
                <w:szCs w:val="3"/>
                <w:color w:val="auto"/>
              </w:rPr>
            </w:pPr>
          </w:p>
        </w:tc>
        <w:tc>
          <w:tcPr>
            <w:tcW w:w="760" w:type="dxa"/>
            <w:vAlign w:val="bottom"/>
            <w:tcBorders>
              <w:bottom w:val="single" w:sz="8" w:color="51555C"/>
            </w:tcBorders>
          </w:tcPr>
          <w:p>
            <w:pPr>
              <w:spacing w:after="0"/>
              <w:rPr>
                <w:sz w:val="3"/>
                <w:szCs w:val="3"/>
                <w:color w:val="auto"/>
              </w:rPr>
            </w:pPr>
          </w:p>
        </w:tc>
        <w:tc>
          <w:tcPr>
            <w:tcW w:w="460" w:type="dxa"/>
            <w:vAlign w:val="bottom"/>
            <w:tcBorders>
              <w:bottom w:val="single" w:sz="8" w:color="51555C"/>
            </w:tcBorders>
          </w:tcPr>
          <w:p>
            <w:pPr>
              <w:spacing w:after="0"/>
              <w:rPr>
                <w:sz w:val="3"/>
                <w:szCs w:val="3"/>
                <w:color w:val="auto"/>
              </w:rPr>
            </w:pPr>
          </w:p>
        </w:tc>
        <w:tc>
          <w:tcPr>
            <w:tcW w:w="800" w:type="dxa"/>
            <w:vAlign w:val="bottom"/>
            <w:tcBorders>
              <w:bottom w:val="single" w:sz="8" w:color="51555C"/>
            </w:tcBorders>
          </w:tcPr>
          <w:p>
            <w:pPr>
              <w:spacing w:after="0"/>
              <w:rPr>
                <w:sz w:val="3"/>
                <w:szCs w:val="3"/>
                <w:color w:val="auto"/>
              </w:rPr>
            </w:pPr>
          </w:p>
        </w:tc>
        <w:tc>
          <w:tcPr>
            <w:tcW w:w="1800" w:type="dxa"/>
            <w:vAlign w:val="bottom"/>
          </w:tcPr>
          <w:p>
            <w:pPr>
              <w:spacing w:after="0"/>
              <w:rPr>
                <w:sz w:val="3"/>
                <w:szCs w:val="3"/>
                <w:color w:val="auto"/>
              </w:rPr>
            </w:pPr>
          </w:p>
        </w:tc>
        <w:tc>
          <w:tcPr>
            <w:tcW w:w="560" w:type="dxa"/>
            <w:vAlign w:val="bottom"/>
            <w:tcBorders>
              <w:bottom w:val="single" w:sz="8" w:color="51555C"/>
            </w:tcBorders>
          </w:tcPr>
          <w:p>
            <w:pPr>
              <w:spacing w:after="0"/>
              <w:rPr>
                <w:sz w:val="3"/>
                <w:szCs w:val="3"/>
                <w:color w:val="auto"/>
              </w:rPr>
            </w:pPr>
          </w:p>
        </w:tc>
        <w:tc>
          <w:tcPr>
            <w:tcW w:w="640" w:type="dxa"/>
            <w:vAlign w:val="bottom"/>
            <w:tcBorders>
              <w:bottom w:val="single" w:sz="8" w:color="51555C"/>
            </w:tcBorders>
          </w:tcPr>
          <w:p>
            <w:pPr>
              <w:spacing w:after="0"/>
              <w:rPr>
                <w:sz w:val="3"/>
                <w:szCs w:val="3"/>
                <w:color w:val="auto"/>
              </w:rPr>
            </w:pPr>
          </w:p>
        </w:tc>
        <w:tc>
          <w:tcPr>
            <w:tcW w:w="500" w:type="dxa"/>
            <w:vAlign w:val="bottom"/>
            <w:tcBorders>
              <w:bottom w:val="single" w:sz="8" w:color="51555C"/>
            </w:tcBorders>
          </w:tcPr>
          <w:p>
            <w:pPr>
              <w:spacing w:after="0"/>
              <w:rPr>
                <w:sz w:val="3"/>
                <w:szCs w:val="3"/>
                <w:color w:val="auto"/>
              </w:rPr>
            </w:pPr>
          </w:p>
        </w:tc>
        <w:tc>
          <w:tcPr>
            <w:tcW w:w="760" w:type="dxa"/>
            <w:vAlign w:val="bottom"/>
            <w:tcBorders>
              <w:bottom w:val="single" w:sz="8" w:color="51555C"/>
            </w:tcBorders>
          </w:tcPr>
          <w:p>
            <w:pPr>
              <w:spacing w:after="0"/>
              <w:rPr>
                <w:sz w:val="3"/>
                <w:szCs w:val="3"/>
                <w:color w:val="auto"/>
              </w:rPr>
            </w:pPr>
          </w:p>
        </w:tc>
        <w:tc>
          <w:tcPr>
            <w:tcW w:w="0" w:type="dxa"/>
            <w:vAlign w:val="bottom"/>
          </w:tcPr>
          <w:p>
            <w:pPr>
              <w:spacing w:after="0"/>
              <w:rPr>
                <w:sz w:val="1"/>
                <w:szCs w:val="1"/>
                <w:color w:val="auto"/>
              </w:rPr>
            </w:pPr>
          </w:p>
        </w:tc>
      </w:tr>
      <w:tr>
        <w:trPr>
          <w:trHeight w:val="322"/>
        </w:trPr>
        <w:tc>
          <w:tcPr>
            <w:tcW w:w="1820" w:type="dxa"/>
            <w:vAlign w:val="bottom"/>
            <w:gridSpan w:val="2"/>
          </w:tcPr>
          <w:p>
            <w:pPr>
              <w:jc w:val="right"/>
              <w:ind w:right="360"/>
              <w:spacing w:after="0"/>
              <w:rPr>
                <w:sz w:val="20"/>
                <w:szCs w:val="20"/>
                <w:color w:val="auto"/>
              </w:rPr>
            </w:pPr>
            <w:r>
              <w:rPr>
                <w:rFonts w:ascii="Calibri" w:cs="Calibri" w:eastAsia="Calibri" w:hAnsi="Calibri"/>
                <w:sz w:val="14"/>
                <w:szCs w:val="14"/>
                <w:color w:val="51555C"/>
              </w:rPr>
              <w:t>$</w:t>
            </w:r>
          </w:p>
        </w:tc>
        <w:tc>
          <w:tcPr>
            <w:tcW w:w="760" w:type="dxa"/>
            <w:vAlign w:val="bottom"/>
          </w:tcPr>
          <w:p>
            <w:pPr>
              <w:jc w:val="right"/>
              <w:spacing w:after="0"/>
              <w:rPr>
                <w:sz w:val="20"/>
                <w:szCs w:val="20"/>
                <w:color w:val="auto"/>
              </w:rPr>
            </w:pPr>
            <w:r>
              <w:rPr>
                <w:rFonts w:ascii="Calibri" w:cs="Calibri" w:eastAsia="Calibri" w:hAnsi="Calibri"/>
                <w:sz w:val="14"/>
                <w:szCs w:val="14"/>
                <w:color w:val="51555C"/>
              </w:rPr>
              <w:t>14,534</w:t>
            </w:r>
          </w:p>
        </w:tc>
        <w:tc>
          <w:tcPr>
            <w:tcW w:w="460" w:type="dxa"/>
            <w:vAlign w:val="bottom"/>
          </w:tcPr>
          <w:p>
            <w:pPr>
              <w:jc w:val="right"/>
              <w:ind w:right="269"/>
              <w:spacing w:after="0"/>
              <w:rPr>
                <w:sz w:val="20"/>
                <w:szCs w:val="20"/>
                <w:color w:val="auto"/>
              </w:rPr>
            </w:pPr>
            <w:r>
              <w:rPr>
                <w:rFonts w:ascii="Calibri" w:cs="Calibri" w:eastAsia="Calibri" w:hAnsi="Calibri"/>
                <w:sz w:val="14"/>
                <w:szCs w:val="14"/>
                <w:color w:val="51555C"/>
              </w:rPr>
              <w:t>$</w:t>
            </w:r>
          </w:p>
        </w:tc>
        <w:tc>
          <w:tcPr>
            <w:tcW w:w="800" w:type="dxa"/>
            <w:vAlign w:val="bottom"/>
          </w:tcPr>
          <w:p>
            <w:pPr>
              <w:jc w:val="right"/>
              <w:spacing w:after="0"/>
              <w:rPr>
                <w:sz w:val="20"/>
                <w:szCs w:val="20"/>
                <w:color w:val="auto"/>
              </w:rPr>
            </w:pPr>
            <w:r>
              <w:rPr>
                <w:rFonts w:ascii="Calibri" w:cs="Calibri" w:eastAsia="Calibri" w:hAnsi="Calibri"/>
                <w:sz w:val="14"/>
                <w:szCs w:val="14"/>
                <w:color w:val="51555C"/>
              </w:rPr>
              <w:t>16,198</w:t>
            </w:r>
          </w:p>
        </w:tc>
        <w:tc>
          <w:tcPr>
            <w:tcW w:w="2360" w:type="dxa"/>
            <w:vAlign w:val="bottom"/>
            <w:gridSpan w:val="2"/>
          </w:tcPr>
          <w:p>
            <w:pPr>
              <w:jc w:val="right"/>
              <w:ind w:right="480"/>
              <w:spacing w:after="0"/>
              <w:rPr>
                <w:sz w:val="20"/>
                <w:szCs w:val="20"/>
                <w:color w:val="auto"/>
              </w:rPr>
            </w:pPr>
            <w:r>
              <w:rPr>
                <w:rFonts w:ascii="Calibri" w:cs="Calibri" w:eastAsia="Calibri" w:hAnsi="Calibri"/>
                <w:sz w:val="14"/>
                <w:szCs w:val="14"/>
                <w:color w:val="51555C"/>
              </w:rPr>
              <w:t>$</w:t>
            </w:r>
          </w:p>
        </w:tc>
        <w:tc>
          <w:tcPr>
            <w:tcW w:w="640" w:type="dxa"/>
            <w:vAlign w:val="bottom"/>
          </w:tcPr>
          <w:p>
            <w:pPr>
              <w:jc w:val="right"/>
              <w:spacing w:after="0"/>
              <w:rPr>
                <w:sz w:val="20"/>
                <w:szCs w:val="20"/>
                <w:color w:val="auto"/>
              </w:rPr>
            </w:pPr>
            <w:r>
              <w:rPr>
                <w:rFonts w:ascii="Calibri" w:cs="Calibri" w:eastAsia="Calibri" w:hAnsi="Calibri"/>
                <w:sz w:val="14"/>
                <w:szCs w:val="14"/>
                <w:color w:val="51555C"/>
              </w:rPr>
              <w:t>56</w:t>
            </w:r>
          </w:p>
        </w:tc>
        <w:tc>
          <w:tcPr>
            <w:tcW w:w="500" w:type="dxa"/>
            <w:vAlign w:val="bottom"/>
          </w:tcPr>
          <w:p>
            <w:pPr>
              <w:jc w:val="right"/>
              <w:ind w:right="329"/>
              <w:spacing w:after="0"/>
              <w:rPr>
                <w:sz w:val="20"/>
                <w:szCs w:val="20"/>
                <w:color w:val="auto"/>
              </w:rPr>
            </w:pPr>
            <w:r>
              <w:rPr>
                <w:rFonts w:ascii="Calibri" w:cs="Calibri" w:eastAsia="Calibri" w:hAnsi="Calibri"/>
                <w:sz w:val="14"/>
                <w:szCs w:val="14"/>
                <w:color w:val="51555C"/>
              </w:rPr>
              <w:t>$</w:t>
            </w:r>
          </w:p>
        </w:tc>
        <w:tc>
          <w:tcPr>
            <w:tcW w:w="760" w:type="dxa"/>
            <w:vAlign w:val="bottom"/>
          </w:tcPr>
          <w:p>
            <w:pPr>
              <w:jc w:val="right"/>
              <w:spacing w:after="0"/>
              <w:rPr>
                <w:sz w:val="20"/>
                <w:szCs w:val="20"/>
                <w:color w:val="auto"/>
              </w:rPr>
            </w:pPr>
            <w:r>
              <w:rPr>
                <w:rFonts w:ascii="Calibri" w:cs="Calibri" w:eastAsia="Calibri" w:hAnsi="Calibri"/>
                <w:sz w:val="14"/>
                <w:szCs w:val="14"/>
                <w:color w:val="51555C"/>
              </w:rPr>
              <w:t>5,540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-2015490</wp:posOffset>
            </wp:positionH>
            <wp:positionV relativeFrom="paragraph">
              <wp:posOffset>-728345</wp:posOffset>
            </wp:positionV>
            <wp:extent cx="7161530" cy="3505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1530" cy="350520"/>
                    </a:xfrm>
                    <a:prstGeom prst="rect">
                      <a:avLst/>
                    </a:prstGeom>
                    <a:noFill/>
                  </pic:spPr>
                </pic:pic>
              </a:graphicData>
            </a:graphic>
          </wp:anchor>
        </w:drawing>
        <w:drawing>
          <wp:anchor simplePos="0" relativeHeight="251657728" behindDoc="1" locked="0" layoutInCell="0" allowOverlap="1">
            <wp:simplePos x="0" y="0"/>
            <wp:positionH relativeFrom="column">
              <wp:posOffset>-2015490</wp:posOffset>
            </wp:positionH>
            <wp:positionV relativeFrom="paragraph">
              <wp:posOffset>-216535</wp:posOffset>
            </wp:positionV>
            <wp:extent cx="7161530" cy="2495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1530" cy="2495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40" w:space="640"/>
            <w:col w:w="8120"/>
          </w:cols>
          <w:pgMar w:left="300" w:top="118" w:right="299" w:bottom="1440" w:gutter="0" w:footer="0" w:header="0"/>
          <w:type w:val="continuous"/>
        </w:sectPr>
      </w:pPr>
    </w:p>
    <w:p>
      <w:pPr>
        <w:spacing w:after="0" w:line="171" w:lineRule="exact"/>
        <w:rPr>
          <w:sz w:val="20"/>
          <w:szCs w:val="20"/>
          <w:color w:val="auto"/>
        </w:rPr>
      </w:pPr>
    </w:p>
    <w:p>
      <w:pPr>
        <w:ind w:left="20"/>
        <w:spacing w:after="0"/>
        <w:tabs>
          <w:tab w:leader="none" w:pos="589" w:val="left"/>
        </w:tabs>
        <w:rPr>
          <w:sz w:val="20"/>
          <w:szCs w:val="20"/>
          <w:color w:val="auto"/>
        </w:rPr>
      </w:pPr>
      <w:r>
        <w:rPr>
          <w:rFonts w:ascii="Calibri" w:cs="Calibri" w:eastAsia="Calibri" w:hAnsi="Calibri"/>
          <w:sz w:val="11"/>
          <w:szCs w:val="11"/>
          <w:color w:val="51555C"/>
        </w:rPr>
        <w:t>16</w:t>
      </w:r>
      <w:r>
        <w:rPr>
          <w:sz w:val="20"/>
          <w:szCs w:val="20"/>
          <w:color w:val="auto"/>
        </w:rPr>
        <w:tab/>
      </w:r>
      <w:r>
        <w:rPr>
          <w:sz w:val="1"/>
          <w:szCs w:val="1"/>
          <w:color w:val="auto"/>
        </w:rPr>
        <w:drawing>
          <wp:inline distT="0" distB="0" distL="0" distR="0">
            <wp:extent cx="511810" cy="134620"/>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1810" cy="134620"/>
                    </a:xfrm>
                    <a:prstGeom prst="rect">
                      <a:avLst/>
                    </a:prstGeom>
                    <a:noFill/>
                    <a:ln>
                      <a:noFill/>
                    </a:ln>
                  </pic:spPr>
                </pic:pic>
              </a:graphicData>
            </a:graphic>
          </wp:inline>
        </w:drawing>
      </w:r>
      <w:r>
        <w:rPr>
          <w:rFonts w:ascii="Calibri" w:cs="Calibri" w:eastAsia="Calibri" w:hAnsi="Calibri"/>
          <w:sz w:val="11"/>
          <w:szCs w:val="11"/>
          <w:color w:val="51555C"/>
        </w:rPr>
        <w:t xml:space="preserve">    Second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128905</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1"/>
          <w:szCs w:val="11"/>
          <w:u w:val="single" w:color="auto"/>
          <w:color w:val="7A04DD"/>
        </w:rPr>
        <w:t>Table of Contents</w:t>
      </w:r>
    </w:p>
    <w:p>
      <w:pPr>
        <w:spacing w:after="0" w:line="196" w:lineRule="exact"/>
        <w:rPr>
          <w:sz w:val="20"/>
          <w:szCs w:val="20"/>
          <w:color w:val="auto"/>
        </w:rPr>
      </w:pPr>
    </w:p>
    <w:p>
      <w:pPr>
        <w:jc w:val="center"/>
        <w:ind w:right="20"/>
        <w:spacing w:after="0"/>
        <w:rPr>
          <w:sz w:val="20"/>
          <w:szCs w:val="20"/>
          <w:color w:val="auto"/>
        </w:rPr>
      </w:pPr>
      <w:r>
        <w:rPr>
          <w:rFonts w:ascii="Calibri" w:cs="Calibri" w:eastAsia="Calibri" w:hAnsi="Calibri"/>
          <w:sz w:val="14"/>
          <w:szCs w:val="14"/>
          <w:b w:val="1"/>
          <w:bCs w:val="1"/>
          <w:color w:val="51555C"/>
        </w:rPr>
        <w:t>Blackbaud, Inc.</w:t>
      </w:r>
    </w:p>
    <w:p>
      <w:pPr>
        <w:jc w:val="center"/>
        <w:ind w:right="20"/>
        <w:spacing w:after="0" w:line="238" w:lineRule="auto"/>
        <w:rPr>
          <w:sz w:val="20"/>
          <w:szCs w:val="20"/>
          <w:color w:val="auto"/>
        </w:rPr>
      </w:pPr>
      <w:r>
        <w:rPr>
          <w:rFonts w:ascii="Calibri" w:cs="Calibri" w:eastAsia="Calibri" w:hAnsi="Calibri"/>
          <w:sz w:val="14"/>
          <w:szCs w:val="14"/>
          <w:b w:val="1"/>
          <w:bCs w:val="1"/>
          <w:color w:val="51555C"/>
        </w:rPr>
        <w:t>Notes to Condensed Consolidated Financial Statements</w:t>
      </w:r>
    </w:p>
    <w:p>
      <w:pPr>
        <w:jc w:val="center"/>
        <w:ind w:right="20"/>
        <w:spacing w:after="0"/>
        <w:rPr>
          <w:sz w:val="20"/>
          <w:szCs w:val="20"/>
          <w:color w:val="auto"/>
        </w:rPr>
      </w:pPr>
      <w:r>
        <w:rPr>
          <w:rFonts w:ascii="Calibri" w:cs="Calibri" w:eastAsia="Calibri" w:hAnsi="Calibri"/>
          <w:sz w:val="14"/>
          <w:szCs w:val="14"/>
          <w:b w:val="1"/>
          <w:bCs w:val="1"/>
          <w:color w:val="51555C"/>
        </w:rPr>
        <w:t>(Unaudited)</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Calibri" w:cs="Calibri" w:eastAsia="Calibri" w:hAnsi="Calibri"/>
          <w:sz w:val="14"/>
          <w:szCs w:val="14"/>
          <w:color w:val="51555C"/>
        </w:rPr>
        <w:t>The efects of derivatve instruments in cash fow and net investment hedging relatonships were as follows: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680" w:type="dxa"/>
            <w:vAlign w:val="bottom"/>
            <w:shd w:val="clear" w:color="auto" w:fill="004054"/>
          </w:tcPr>
          <w:p>
            <w:pPr>
              <w:spacing w:after="0"/>
              <w:rPr>
                <w:sz w:val="16"/>
                <w:szCs w:val="16"/>
                <w:color w:val="auto"/>
              </w:rPr>
            </w:pPr>
          </w:p>
        </w:tc>
        <w:tc>
          <w:tcPr>
            <w:tcW w:w="400" w:type="dxa"/>
            <w:vAlign w:val="bottom"/>
            <w:shd w:val="clear" w:color="auto" w:fill="004054"/>
          </w:tcPr>
          <w:p>
            <w:pPr>
              <w:spacing w:after="0"/>
              <w:rPr>
                <w:sz w:val="16"/>
                <w:szCs w:val="16"/>
                <w:color w:val="auto"/>
              </w:rPr>
            </w:pPr>
          </w:p>
        </w:tc>
        <w:tc>
          <w:tcPr>
            <w:tcW w:w="1360" w:type="dxa"/>
            <w:vAlign w:val="bottom"/>
            <w:vMerge w:val="restart"/>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Gain (loss) recognized</w:t>
            </w:r>
          </w:p>
        </w:tc>
        <w:tc>
          <w:tcPr>
            <w:tcW w:w="180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Locaton</w:t>
            </w:r>
          </w:p>
        </w:tc>
        <w:tc>
          <w:tcPr>
            <w:tcW w:w="520" w:type="dxa"/>
            <w:vAlign w:val="bottom"/>
            <w:shd w:val="clear" w:color="auto" w:fill="004054"/>
          </w:tcPr>
          <w:p>
            <w:pPr>
              <w:spacing w:after="0"/>
              <w:rPr>
                <w:sz w:val="16"/>
                <w:szCs w:val="16"/>
                <w:color w:val="auto"/>
              </w:rPr>
            </w:pPr>
          </w:p>
        </w:tc>
        <w:tc>
          <w:tcPr>
            <w:tcW w:w="1460" w:type="dxa"/>
            <w:vAlign w:val="bottom"/>
            <w:shd w:val="clear" w:color="auto" w:fill="004054"/>
          </w:tcPr>
          <w:p>
            <w:pPr>
              <w:spacing w:after="0"/>
              <w:rPr>
                <w:sz w:val="16"/>
                <w:szCs w:val="16"/>
                <w:color w:val="auto"/>
              </w:rPr>
            </w:pPr>
          </w:p>
        </w:tc>
        <w:tc>
          <w:tcPr>
            <w:tcW w:w="80" w:type="dxa"/>
            <w:vAlign w:val="bottom"/>
            <w:shd w:val="clear" w:color="auto" w:fill="004054"/>
          </w:tcPr>
          <w:p>
            <w:pPr>
              <w:spacing w:after="0"/>
              <w:rPr>
                <w:sz w:val="16"/>
                <w:szCs w:val="16"/>
                <w:color w:val="auto"/>
              </w:rPr>
            </w:pPr>
          </w:p>
        </w:tc>
        <w:tc>
          <w:tcPr>
            <w:tcW w:w="200" w:type="dxa"/>
            <w:vAlign w:val="bottom"/>
            <w:shd w:val="clear" w:color="auto" w:fill="004054"/>
          </w:tcPr>
          <w:p>
            <w:pPr>
              <w:spacing w:after="0"/>
              <w:rPr>
                <w:sz w:val="16"/>
                <w:szCs w:val="16"/>
                <w:color w:val="auto"/>
              </w:rPr>
            </w:pPr>
          </w:p>
        </w:tc>
        <w:tc>
          <w:tcPr>
            <w:tcW w:w="1780" w:type="dxa"/>
            <w:vAlign w:val="bottom"/>
            <w:shd w:val="clear" w:color="auto" w:fill="004054"/>
          </w:tcPr>
          <w:p>
            <w:pPr>
              <w:spacing w:after="0"/>
              <w:rPr>
                <w:sz w:val="16"/>
                <w:szCs w:val="16"/>
                <w:color w:val="auto"/>
              </w:rPr>
            </w:pPr>
          </w:p>
        </w:tc>
        <w:tc>
          <w:tcPr>
            <w:tcW w:w="20" w:type="dxa"/>
            <w:vAlign w:val="bottom"/>
            <w:shd w:val="clear" w:color="auto" w:fill="004054"/>
          </w:tcPr>
          <w:p>
            <w:pPr>
              <w:spacing w:after="0"/>
              <w:rPr>
                <w:sz w:val="16"/>
                <w:szCs w:val="16"/>
                <w:color w:val="auto"/>
              </w:rPr>
            </w:pPr>
          </w:p>
        </w:tc>
        <w:tc>
          <w:tcPr>
            <w:tcW w:w="0" w:type="dxa"/>
            <w:vAlign w:val="bottom"/>
          </w:tcPr>
          <w:p>
            <w:pPr>
              <w:spacing w:after="0"/>
              <w:rPr>
                <w:sz w:val="1"/>
                <w:szCs w:val="1"/>
                <w:color w:val="auto"/>
              </w:rPr>
            </w:pPr>
          </w:p>
        </w:tc>
      </w:tr>
      <w:tr>
        <w:trPr>
          <w:trHeight w:val="85"/>
        </w:trPr>
        <w:tc>
          <w:tcPr>
            <w:tcW w:w="3680" w:type="dxa"/>
            <w:vAlign w:val="bottom"/>
            <w:shd w:val="clear" w:color="auto" w:fill="004054"/>
          </w:tcPr>
          <w:p>
            <w:pPr>
              <w:spacing w:after="0"/>
              <w:rPr>
                <w:sz w:val="7"/>
                <w:szCs w:val="7"/>
                <w:color w:val="auto"/>
              </w:rPr>
            </w:pPr>
          </w:p>
        </w:tc>
        <w:tc>
          <w:tcPr>
            <w:tcW w:w="400" w:type="dxa"/>
            <w:vAlign w:val="bottom"/>
            <w:shd w:val="clear" w:color="auto" w:fill="004054"/>
          </w:tcPr>
          <w:p>
            <w:pPr>
              <w:spacing w:after="0"/>
              <w:rPr>
                <w:sz w:val="7"/>
                <w:szCs w:val="7"/>
                <w:color w:val="auto"/>
              </w:rPr>
            </w:pPr>
          </w:p>
        </w:tc>
        <w:tc>
          <w:tcPr>
            <w:tcW w:w="1360" w:type="dxa"/>
            <w:vAlign w:val="bottom"/>
            <w:vMerge w:val="continue"/>
            <w:shd w:val="clear" w:color="auto" w:fill="004054"/>
          </w:tcPr>
          <w:p>
            <w:pPr>
              <w:spacing w:after="0"/>
              <w:rPr>
                <w:sz w:val="7"/>
                <w:szCs w:val="7"/>
                <w:color w:val="auto"/>
              </w:rPr>
            </w:pPr>
          </w:p>
        </w:tc>
        <w:tc>
          <w:tcPr>
            <w:tcW w:w="1800" w:type="dxa"/>
            <w:vAlign w:val="bottom"/>
            <w:vMerge w:val="restart"/>
            <w:shd w:val="clear" w:color="auto" w:fill="004054"/>
          </w:tcPr>
          <w:p>
            <w:pPr>
              <w:jc w:val="right"/>
              <w:spacing w:after="0" w:line="131" w:lineRule="exact"/>
              <w:rPr>
                <w:sz w:val="20"/>
                <w:szCs w:val="20"/>
                <w:color w:val="auto"/>
              </w:rPr>
            </w:pPr>
            <w:r>
              <w:rPr>
                <w:rFonts w:ascii="Calibri" w:cs="Calibri" w:eastAsia="Calibri" w:hAnsi="Calibri"/>
                <w:sz w:val="11"/>
                <w:szCs w:val="11"/>
                <w:b w:val="1"/>
                <w:bCs w:val="1"/>
                <w:color w:val="FFFFFF"/>
              </w:rPr>
              <w:t>of gain (loss)</w:t>
            </w:r>
          </w:p>
        </w:tc>
        <w:tc>
          <w:tcPr>
            <w:tcW w:w="520" w:type="dxa"/>
            <w:vAlign w:val="bottom"/>
            <w:shd w:val="clear" w:color="auto" w:fill="004054"/>
          </w:tcPr>
          <w:p>
            <w:pPr>
              <w:spacing w:after="0"/>
              <w:rPr>
                <w:sz w:val="7"/>
                <w:szCs w:val="7"/>
                <w:color w:val="auto"/>
              </w:rPr>
            </w:pPr>
          </w:p>
        </w:tc>
        <w:tc>
          <w:tcPr>
            <w:tcW w:w="1460" w:type="dxa"/>
            <w:vAlign w:val="bottom"/>
            <w:shd w:val="clear" w:color="auto" w:fill="004054"/>
          </w:tcPr>
          <w:p>
            <w:pPr>
              <w:spacing w:after="0"/>
              <w:rPr>
                <w:sz w:val="7"/>
                <w:szCs w:val="7"/>
                <w:color w:val="auto"/>
              </w:rPr>
            </w:pPr>
          </w:p>
        </w:tc>
        <w:tc>
          <w:tcPr>
            <w:tcW w:w="80" w:type="dxa"/>
            <w:vAlign w:val="bottom"/>
            <w:shd w:val="clear" w:color="auto" w:fill="004054"/>
          </w:tcPr>
          <w:p>
            <w:pPr>
              <w:spacing w:after="0"/>
              <w:rPr>
                <w:sz w:val="7"/>
                <w:szCs w:val="7"/>
                <w:color w:val="auto"/>
              </w:rPr>
            </w:pPr>
          </w:p>
        </w:tc>
        <w:tc>
          <w:tcPr>
            <w:tcW w:w="200" w:type="dxa"/>
            <w:vAlign w:val="bottom"/>
            <w:shd w:val="clear" w:color="auto" w:fill="004054"/>
          </w:tcPr>
          <w:p>
            <w:pPr>
              <w:spacing w:after="0"/>
              <w:rPr>
                <w:sz w:val="7"/>
                <w:szCs w:val="7"/>
                <w:color w:val="auto"/>
              </w:rPr>
            </w:pPr>
          </w:p>
        </w:tc>
        <w:tc>
          <w:tcPr>
            <w:tcW w:w="1780" w:type="dxa"/>
            <w:vAlign w:val="bottom"/>
            <w:shd w:val="clear" w:color="auto" w:fill="004054"/>
          </w:tcPr>
          <w:p>
            <w:pPr>
              <w:spacing w:after="0"/>
              <w:rPr>
                <w:sz w:val="7"/>
                <w:szCs w:val="7"/>
                <w:color w:val="auto"/>
              </w:rPr>
            </w:pPr>
          </w:p>
        </w:tc>
        <w:tc>
          <w:tcPr>
            <w:tcW w:w="20" w:type="dxa"/>
            <w:vAlign w:val="bottom"/>
            <w:shd w:val="clear" w:color="auto" w:fill="004054"/>
          </w:tcPr>
          <w:p>
            <w:pPr>
              <w:spacing w:after="0"/>
              <w:rPr>
                <w:sz w:val="7"/>
                <w:szCs w:val="7"/>
                <w:color w:val="auto"/>
              </w:rPr>
            </w:pPr>
          </w:p>
        </w:tc>
        <w:tc>
          <w:tcPr>
            <w:tcW w:w="0" w:type="dxa"/>
            <w:vAlign w:val="bottom"/>
          </w:tcPr>
          <w:p>
            <w:pPr>
              <w:spacing w:after="0"/>
              <w:rPr>
                <w:sz w:val="1"/>
                <w:szCs w:val="1"/>
                <w:color w:val="auto"/>
              </w:rPr>
            </w:pPr>
          </w:p>
        </w:tc>
      </w:tr>
      <w:tr>
        <w:trPr>
          <w:trHeight w:val="46"/>
        </w:trPr>
        <w:tc>
          <w:tcPr>
            <w:tcW w:w="3680" w:type="dxa"/>
            <w:vAlign w:val="bottom"/>
            <w:shd w:val="clear" w:color="auto" w:fill="004054"/>
          </w:tcPr>
          <w:p>
            <w:pPr>
              <w:spacing w:after="0"/>
              <w:rPr>
                <w:sz w:val="3"/>
                <w:szCs w:val="3"/>
                <w:color w:val="auto"/>
              </w:rPr>
            </w:pPr>
          </w:p>
        </w:tc>
        <w:tc>
          <w:tcPr>
            <w:tcW w:w="400" w:type="dxa"/>
            <w:vAlign w:val="bottom"/>
            <w:shd w:val="clear" w:color="auto" w:fill="004054"/>
          </w:tcPr>
          <w:p>
            <w:pPr>
              <w:spacing w:after="0"/>
              <w:rPr>
                <w:sz w:val="3"/>
                <w:szCs w:val="3"/>
                <w:color w:val="auto"/>
              </w:rPr>
            </w:pPr>
          </w:p>
        </w:tc>
        <w:tc>
          <w:tcPr>
            <w:tcW w:w="1360" w:type="dxa"/>
            <w:vAlign w:val="bottom"/>
            <w:vMerge w:val="restart"/>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in accumulated other</w:t>
            </w:r>
          </w:p>
        </w:tc>
        <w:tc>
          <w:tcPr>
            <w:tcW w:w="1800" w:type="dxa"/>
            <w:vAlign w:val="bottom"/>
            <w:vMerge w:val="continue"/>
            <w:shd w:val="clear" w:color="auto" w:fill="004054"/>
          </w:tcPr>
          <w:p>
            <w:pPr>
              <w:spacing w:after="0"/>
              <w:rPr>
                <w:sz w:val="3"/>
                <w:szCs w:val="3"/>
                <w:color w:val="auto"/>
              </w:rPr>
            </w:pPr>
          </w:p>
        </w:tc>
        <w:tc>
          <w:tcPr>
            <w:tcW w:w="520" w:type="dxa"/>
            <w:vAlign w:val="bottom"/>
            <w:shd w:val="clear" w:color="auto" w:fill="004054"/>
          </w:tcPr>
          <w:p>
            <w:pPr>
              <w:spacing w:after="0"/>
              <w:rPr>
                <w:sz w:val="3"/>
                <w:szCs w:val="3"/>
                <w:color w:val="auto"/>
              </w:rPr>
            </w:pPr>
          </w:p>
        </w:tc>
        <w:tc>
          <w:tcPr>
            <w:tcW w:w="1460" w:type="dxa"/>
            <w:vAlign w:val="bottom"/>
            <w:shd w:val="clear" w:color="auto" w:fill="004054"/>
          </w:tcPr>
          <w:p>
            <w:pPr>
              <w:spacing w:after="0"/>
              <w:rPr>
                <w:sz w:val="3"/>
                <w:szCs w:val="3"/>
                <w:color w:val="auto"/>
              </w:rPr>
            </w:pPr>
          </w:p>
        </w:tc>
        <w:tc>
          <w:tcPr>
            <w:tcW w:w="80" w:type="dxa"/>
            <w:vAlign w:val="bottom"/>
            <w:shd w:val="clear" w:color="auto" w:fill="004054"/>
          </w:tcPr>
          <w:p>
            <w:pPr>
              <w:spacing w:after="0"/>
              <w:rPr>
                <w:sz w:val="3"/>
                <w:szCs w:val="3"/>
                <w:color w:val="auto"/>
              </w:rPr>
            </w:pPr>
          </w:p>
        </w:tc>
        <w:tc>
          <w:tcPr>
            <w:tcW w:w="200" w:type="dxa"/>
            <w:vAlign w:val="bottom"/>
            <w:shd w:val="clear" w:color="auto" w:fill="004054"/>
          </w:tcPr>
          <w:p>
            <w:pPr>
              <w:spacing w:after="0"/>
              <w:rPr>
                <w:sz w:val="3"/>
                <w:szCs w:val="3"/>
                <w:color w:val="auto"/>
              </w:rPr>
            </w:pPr>
          </w:p>
        </w:tc>
        <w:tc>
          <w:tcPr>
            <w:tcW w:w="1780" w:type="dxa"/>
            <w:vAlign w:val="bottom"/>
            <w:shd w:val="clear" w:color="auto" w:fill="004054"/>
          </w:tcPr>
          <w:p>
            <w:pPr>
              <w:spacing w:after="0"/>
              <w:rPr>
                <w:sz w:val="3"/>
                <w:szCs w:val="3"/>
                <w:color w:val="auto"/>
              </w:rPr>
            </w:pPr>
          </w:p>
        </w:tc>
        <w:tc>
          <w:tcPr>
            <w:tcW w:w="20" w:type="dxa"/>
            <w:vAlign w:val="bottom"/>
            <w:shd w:val="clear" w:color="auto" w:fill="004054"/>
          </w:tcPr>
          <w:p>
            <w:pPr>
              <w:spacing w:after="0"/>
              <w:rPr>
                <w:sz w:val="3"/>
                <w:szCs w:val="3"/>
                <w:color w:val="auto"/>
              </w:rPr>
            </w:pPr>
          </w:p>
        </w:tc>
        <w:tc>
          <w:tcPr>
            <w:tcW w:w="0" w:type="dxa"/>
            <w:vAlign w:val="bottom"/>
          </w:tcPr>
          <w:p>
            <w:pPr>
              <w:spacing w:after="0"/>
              <w:rPr>
                <w:sz w:val="1"/>
                <w:szCs w:val="1"/>
                <w:color w:val="auto"/>
              </w:rPr>
            </w:pPr>
          </w:p>
        </w:tc>
      </w:tr>
      <w:tr>
        <w:trPr>
          <w:trHeight w:val="92"/>
        </w:trPr>
        <w:tc>
          <w:tcPr>
            <w:tcW w:w="3680" w:type="dxa"/>
            <w:vAlign w:val="bottom"/>
            <w:shd w:val="clear" w:color="auto" w:fill="004054"/>
          </w:tcPr>
          <w:p>
            <w:pPr>
              <w:spacing w:after="0"/>
              <w:rPr>
                <w:sz w:val="8"/>
                <w:szCs w:val="8"/>
                <w:color w:val="auto"/>
              </w:rPr>
            </w:pPr>
          </w:p>
        </w:tc>
        <w:tc>
          <w:tcPr>
            <w:tcW w:w="400" w:type="dxa"/>
            <w:vAlign w:val="bottom"/>
            <w:shd w:val="clear" w:color="auto" w:fill="004054"/>
          </w:tcPr>
          <w:p>
            <w:pPr>
              <w:spacing w:after="0"/>
              <w:rPr>
                <w:sz w:val="8"/>
                <w:szCs w:val="8"/>
                <w:color w:val="auto"/>
              </w:rPr>
            </w:pPr>
          </w:p>
        </w:tc>
        <w:tc>
          <w:tcPr>
            <w:tcW w:w="1360" w:type="dxa"/>
            <w:vAlign w:val="bottom"/>
            <w:vMerge w:val="continue"/>
            <w:shd w:val="clear" w:color="auto" w:fill="004054"/>
          </w:tcPr>
          <w:p>
            <w:pPr>
              <w:spacing w:after="0"/>
              <w:rPr>
                <w:sz w:val="8"/>
                <w:szCs w:val="8"/>
                <w:color w:val="auto"/>
              </w:rPr>
            </w:pPr>
          </w:p>
        </w:tc>
        <w:tc>
          <w:tcPr>
            <w:tcW w:w="1800" w:type="dxa"/>
            <w:vAlign w:val="bottom"/>
            <w:vMerge w:val="restart"/>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reclassifed from</w:t>
            </w:r>
          </w:p>
        </w:tc>
        <w:tc>
          <w:tcPr>
            <w:tcW w:w="520" w:type="dxa"/>
            <w:vAlign w:val="bottom"/>
            <w:shd w:val="clear" w:color="auto" w:fill="004054"/>
          </w:tcPr>
          <w:p>
            <w:pPr>
              <w:spacing w:after="0"/>
              <w:rPr>
                <w:sz w:val="8"/>
                <w:szCs w:val="8"/>
                <w:color w:val="auto"/>
              </w:rPr>
            </w:pPr>
          </w:p>
        </w:tc>
        <w:tc>
          <w:tcPr>
            <w:tcW w:w="1460" w:type="dxa"/>
            <w:vAlign w:val="bottom"/>
            <w:shd w:val="clear" w:color="auto" w:fill="004054"/>
          </w:tcPr>
          <w:p>
            <w:pPr>
              <w:spacing w:after="0"/>
              <w:rPr>
                <w:sz w:val="8"/>
                <w:szCs w:val="8"/>
                <w:color w:val="auto"/>
              </w:rPr>
            </w:pPr>
          </w:p>
        </w:tc>
        <w:tc>
          <w:tcPr>
            <w:tcW w:w="80" w:type="dxa"/>
            <w:vAlign w:val="bottom"/>
            <w:shd w:val="clear" w:color="auto" w:fill="004054"/>
          </w:tcPr>
          <w:p>
            <w:pPr>
              <w:spacing w:after="0"/>
              <w:rPr>
                <w:sz w:val="8"/>
                <w:szCs w:val="8"/>
                <w:color w:val="auto"/>
              </w:rPr>
            </w:pPr>
          </w:p>
        </w:tc>
        <w:tc>
          <w:tcPr>
            <w:tcW w:w="200" w:type="dxa"/>
            <w:vAlign w:val="bottom"/>
            <w:shd w:val="clear" w:color="auto" w:fill="004054"/>
          </w:tcPr>
          <w:p>
            <w:pPr>
              <w:spacing w:after="0"/>
              <w:rPr>
                <w:sz w:val="8"/>
                <w:szCs w:val="8"/>
                <w:color w:val="auto"/>
              </w:rPr>
            </w:pPr>
          </w:p>
        </w:tc>
        <w:tc>
          <w:tcPr>
            <w:tcW w:w="1780" w:type="dxa"/>
            <w:vAlign w:val="bottom"/>
            <w:shd w:val="clear" w:color="auto" w:fill="004054"/>
          </w:tcPr>
          <w:p>
            <w:pPr>
              <w:spacing w:after="0"/>
              <w:rPr>
                <w:sz w:val="8"/>
                <w:szCs w:val="8"/>
                <w:color w:val="auto"/>
              </w:rPr>
            </w:pPr>
          </w:p>
        </w:tc>
        <w:tc>
          <w:tcPr>
            <w:tcW w:w="20" w:type="dxa"/>
            <w:vAlign w:val="bottom"/>
            <w:shd w:val="clear" w:color="auto" w:fill="004054"/>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3680" w:type="dxa"/>
            <w:vAlign w:val="bottom"/>
            <w:shd w:val="clear" w:color="auto" w:fill="004054"/>
          </w:tcPr>
          <w:p>
            <w:pPr>
              <w:spacing w:after="0"/>
              <w:rPr>
                <w:sz w:val="3"/>
                <w:szCs w:val="3"/>
                <w:color w:val="auto"/>
              </w:rPr>
            </w:pPr>
          </w:p>
        </w:tc>
        <w:tc>
          <w:tcPr>
            <w:tcW w:w="400" w:type="dxa"/>
            <w:vAlign w:val="bottom"/>
            <w:shd w:val="clear" w:color="auto" w:fill="004054"/>
          </w:tcPr>
          <w:p>
            <w:pPr>
              <w:spacing w:after="0"/>
              <w:rPr>
                <w:sz w:val="3"/>
                <w:szCs w:val="3"/>
                <w:color w:val="auto"/>
              </w:rPr>
            </w:pPr>
          </w:p>
        </w:tc>
        <w:tc>
          <w:tcPr>
            <w:tcW w:w="1360" w:type="dxa"/>
            <w:vAlign w:val="bottom"/>
            <w:vMerge w:val="restart"/>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comprehensive</w:t>
            </w:r>
          </w:p>
        </w:tc>
        <w:tc>
          <w:tcPr>
            <w:tcW w:w="1800" w:type="dxa"/>
            <w:vAlign w:val="bottom"/>
            <w:vMerge w:val="continue"/>
            <w:shd w:val="clear" w:color="auto" w:fill="004054"/>
          </w:tcPr>
          <w:p>
            <w:pPr>
              <w:spacing w:after="0"/>
              <w:rPr>
                <w:sz w:val="3"/>
                <w:szCs w:val="3"/>
                <w:color w:val="auto"/>
              </w:rPr>
            </w:pPr>
          </w:p>
        </w:tc>
        <w:tc>
          <w:tcPr>
            <w:tcW w:w="520" w:type="dxa"/>
            <w:vAlign w:val="bottom"/>
            <w:shd w:val="clear" w:color="auto" w:fill="004054"/>
          </w:tcPr>
          <w:p>
            <w:pPr>
              <w:spacing w:after="0"/>
              <w:rPr>
                <w:sz w:val="3"/>
                <w:szCs w:val="3"/>
                <w:color w:val="auto"/>
              </w:rPr>
            </w:pPr>
          </w:p>
        </w:tc>
        <w:tc>
          <w:tcPr>
            <w:tcW w:w="1460" w:type="dxa"/>
            <w:vAlign w:val="bottom"/>
            <w:shd w:val="clear" w:color="auto" w:fill="004054"/>
          </w:tcPr>
          <w:p>
            <w:pPr>
              <w:spacing w:after="0"/>
              <w:rPr>
                <w:sz w:val="3"/>
                <w:szCs w:val="3"/>
                <w:color w:val="auto"/>
              </w:rPr>
            </w:pPr>
          </w:p>
        </w:tc>
        <w:tc>
          <w:tcPr>
            <w:tcW w:w="80" w:type="dxa"/>
            <w:vAlign w:val="bottom"/>
            <w:shd w:val="clear" w:color="auto" w:fill="004054"/>
          </w:tcPr>
          <w:p>
            <w:pPr>
              <w:spacing w:after="0"/>
              <w:rPr>
                <w:sz w:val="3"/>
                <w:szCs w:val="3"/>
                <w:color w:val="auto"/>
              </w:rPr>
            </w:pPr>
          </w:p>
        </w:tc>
        <w:tc>
          <w:tcPr>
            <w:tcW w:w="200" w:type="dxa"/>
            <w:vAlign w:val="bottom"/>
            <w:shd w:val="clear" w:color="auto" w:fill="004054"/>
          </w:tcPr>
          <w:p>
            <w:pPr>
              <w:spacing w:after="0"/>
              <w:rPr>
                <w:sz w:val="3"/>
                <w:szCs w:val="3"/>
                <w:color w:val="auto"/>
              </w:rPr>
            </w:pPr>
          </w:p>
        </w:tc>
        <w:tc>
          <w:tcPr>
            <w:tcW w:w="1780" w:type="dxa"/>
            <w:vAlign w:val="bottom"/>
            <w:vMerge w:val="restart"/>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Gain reclassifed from accumulated</w:t>
            </w:r>
          </w:p>
        </w:tc>
        <w:tc>
          <w:tcPr>
            <w:tcW w:w="20" w:type="dxa"/>
            <w:vAlign w:val="bottom"/>
            <w:shd w:val="clear" w:color="auto" w:fill="004054"/>
          </w:tcPr>
          <w:p>
            <w:pPr>
              <w:spacing w:after="0"/>
              <w:rPr>
                <w:sz w:val="3"/>
                <w:szCs w:val="3"/>
                <w:color w:val="auto"/>
              </w:rPr>
            </w:pPr>
          </w:p>
        </w:tc>
        <w:tc>
          <w:tcPr>
            <w:tcW w:w="0" w:type="dxa"/>
            <w:vAlign w:val="bottom"/>
          </w:tcPr>
          <w:p>
            <w:pPr>
              <w:spacing w:after="0"/>
              <w:rPr>
                <w:sz w:val="1"/>
                <w:szCs w:val="1"/>
                <w:color w:val="auto"/>
              </w:rPr>
            </w:pPr>
          </w:p>
        </w:tc>
      </w:tr>
      <w:tr>
        <w:trPr>
          <w:trHeight w:val="92"/>
        </w:trPr>
        <w:tc>
          <w:tcPr>
            <w:tcW w:w="3680" w:type="dxa"/>
            <w:vAlign w:val="bottom"/>
            <w:shd w:val="clear" w:color="auto" w:fill="004054"/>
          </w:tcPr>
          <w:p>
            <w:pPr>
              <w:spacing w:after="0"/>
              <w:rPr>
                <w:sz w:val="8"/>
                <w:szCs w:val="8"/>
                <w:color w:val="auto"/>
              </w:rPr>
            </w:pPr>
          </w:p>
        </w:tc>
        <w:tc>
          <w:tcPr>
            <w:tcW w:w="400" w:type="dxa"/>
            <w:vAlign w:val="bottom"/>
            <w:shd w:val="clear" w:color="auto" w:fill="004054"/>
          </w:tcPr>
          <w:p>
            <w:pPr>
              <w:spacing w:after="0"/>
              <w:rPr>
                <w:sz w:val="8"/>
                <w:szCs w:val="8"/>
                <w:color w:val="auto"/>
              </w:rPr>
            </w:pPr>
          </w:p>
        </w:tc>
        <w:tc>
          <w:tcPr>
            <w:tcW w:w="1360" w:type="dxa"/>
            <w:vAlign w:val="bottom"/>
            <w:vMerge w:val="continue"/>
            <w:shd w:val="clear" w:color="auto" w:fill="004054"/>
          </w:tcPr>
          <w:p>
            <w:pPr>
              <w:spacing w:after="0"/>
              <w:rPr>
                <w:sz w:val="8"/>
                <w:szCs w:val="8"/>
                <w:color w:val="auto"/>
              </w:rPr>
            </w:pPr>
          </w:p>
        </w:tc>
        <w:tc>
          <w:tcPr>
            <w:tcW w:w="1800" w:type="dxa"/>
            <w:vAlign w:val="bottom"/>
            <w:vMerge w:val="restart"/>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accumulated other</w:t>
            </w:r>
          </w:p>
        </w:tc>
        <w:tc>
          <w:tcPr>
            <w:tcW w:w="520" w:type="dxa"/>
            <w:vAlign w:val="bottom"/>
            <w:shd w:val="clear" w:color="auto" w:fill="004054"/>
          </w:tcPr>
          <w:p>
            <w:pPr>
              <w:spacing w:after="0"/>
              <w:rPr>
                <w:sz w:val="8"/>
                <w:szCs w:val="8"/>
                <w:color w:val="auto"/>
              </w:rPr>
            </w:pPr>
          </w:p>
        </w:tc>
        <w:tc>
          <w:tcPr>
            <w:tcW w:w="1460" w:type="dxa"/>
            <w:vAlign w:val="bottom"/>
            <w:shd w:val="clear" w:color="auto" w:fill="004054"/>
          </w:tcPr>
          <w:p>
            <w:pPr>
              <w:spacing w:after="0"/>
              <w:rPr>
                <w:sz w:val="8"/>
                <w:szCs w:val="8"/>
                <w:color w:val="auto"/>
              </w:rPr>
            </w:pPr>
          </w:p>
        </w:tc>
        <w:tc>
          <w:tcPr>
            <w:tcW w:w="80" w:type="dxa"/>
            <w:vAlign w:val="bottom"/>
            <w:shd w:val="clear" w:color="auto" w:fill="004054"/>
          </w:tcPr>
          <w:p>
            <w:pPr>
              <w:spacing w:after="0"/>
              <w:rPr>
                <w:sz w:val="8"/>
                <w:szCs w:val="8"/>
                <w:color w:val="auto"/>
              </w:rPr>
            </w:pPr>
          </w:p>
        </w:tc>
        <w:tc>
          <w:tcPr>
            <w:tcW w:w="200" w:type="dxa"/>
            <w:vAlign w:val="bottom"/>
            <w:shd w:val="clear" w:color="auto" w:fill="004054"/>
          </w:tcPr>
          <w:p>
            <w:pPr>
              <w:spacing w:after="0"/>
              <w:rPr>
                <w:sz w:val="8"/>
                <w:szCs w:val="8"/>
                <w:color w:val="auto"/>
              </w:rPr>
            </w:pPr>
          </w:p>
        </w:tc>
        <w:tc>
          <w:tcPr>
            <w:tcW w:w="1780" w:type="dxa"/>
            <w:vAlign w:val="bottom"/>
            <w:vMerge w:val="continue"/>
            <w:shd w:val="clear" w:color="auto" w:fill="004054"/>
          </w:tcPr>
          <w:p>
            <w:pPr>
              <w:spacing w:after="0"/>
              <w:rPr>
                <w:sz w:val="8"/>
                <w:szCs w:val="8"/>
                <w:color w:val="auto"/>
              </w:rPr>
            </w:pPr>
          </w:p>
        </w:tc>
        <w:tc>
          <w:tcPr>
            <w:tcW w:w="20" w:type="dxa"/>
            <w:vAlign w:val="bottom"/>
            <w:shd w:val="clear" w:color="auto" w:fill="004054"/>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3680" w:type="dxa"/>
            <w:vAlign w:val="bottom"/>
            <w:shd w:val="clear" w:color="auto" w:fill="004054"/>
          </w:tcPr>
          <w:p>
            <w:pPr>
              <w:spacing w:after="0"/>
              <w:rPr>
                <w:sz w:val="3"/>
                <w:szCs w:val="3"/>
                <w:color w:val="auto"/>
              </w:rPr>
            </w:pPr>
          </w:p>
        </w:tc>
        <w:tc>
          <w:tcPr>
            <w:tcW w:w="400" w:type="dxa"/>
            <w:vAlign w:val="bottom"/>
            <w:shd w:val="clear" w:color="auto" w:fill="004054"/>
          </w:tcPr>
          <w:p>
            <w:pPr>
              <w:spacing w:after="0"/>
              <w:rPr>
                <w:sz w:val="3"/>
                <w:szCs w:val="3"/>
                <w:color w:val="auto"/>
              </w:rPr>
            </w:pPr>
          </w:p>
        </w:tc>
        <w:tc>
          <w:tcPr>
            <w:tcW w:w="1360" w:type="dxa"/>
            <w:vAlign w:val="bottom"/>
            <w:vMerge w:val="restart"/>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income (loss) as of</w:t>
            </w:r>
          </w:p>
        </w:tc>
        <w:tc>
          <w:tcPr>
            <w:tcW w:w="1800" w:type="dxa"/>
            <w:vAlign w:val="bottom"/>
            <w:vMerge w:val="continue"/>
            <w:shd w:val="clear" w:color="auto" w:fill="004054"/>
          </w:tcPr>
          <w:p>
            <w:pPr>
              <w:spacing w:after="0"/>
              <w:rPr>
                <w:sz w:val="3"/>
                <w:szCs w:val="3"/>
                <w:color w:val="auto"/>
              </w:rPr>
            </w:pPr>
          </w:p>
        </w:tc>
        <w:tc>
          <w:tcPr>
            <w:tcW w:w="520" w:type="dxa"/>
            <w:vAlign w:val="bottom"/>
            <w:shd w:val="clear" w:color="auto" w:fill="004054"/>
          </w:tcPr>
          <w:p>
            <w:pPr>
              <w:spacing w:after="0"/>
              <w:rPr>
                <w:sz w:val="3"/>
                <w:szCs w:val="3"/>
                <w:color w:val="auto"/>
              </w:rPr>
            </w:pPr>
          </w:p>
        </w:tc>
        <w:tc>
          <w:tcPr>
            <w:tcW w:w="3520" w:type="dxa"/>
            <w:vAlign w:val="bottom"/>
            <w:gridSpan w:val="4"/>
            <w:vMerge w:val="restart"/>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other comprehensive income (loss) into income (loss)</w:t>
            </w:r>
          </w:p>
        </w:tc>
        <w:tc>
          <w:tcPr>
            <w:tcW w:w="20" w:type="dxa"/>
            <w:vAlign w:val="bottom"/>
            <w:shd w:val="clear" w:color="auto" w:fill="004054"/>
          </w:tcPr>
          <w:p>
            <w:pPr>
              <w:spacing w:after="0"/>
              <w:rPr>
                <w:sz w:val="3"/>
                <w:szCs w:val="3"/>
                <w:color w:val="auto"/>
              </w:rPr>
            </w:pPr>
          </w:p>
        </w:tc>
        <w:tc>
          <w:tcPr>
            <w:tcW w:w="0" w:type="dxa"/>
            <w:vAlign w:val="bottom"/>
          </w:tcPr>
          <w:p>
            <w:pPr>
              <w:spacing w:after="0"/>
              <w:rPr>
                <w:sz w:val="1"/>
                <w:szCs w:val="1"/>
                <w:color w:val="auto"/>
              </w:rPr>
            </w:pPr>
          </w:p>
        </w:tc>
      </w:tr>
      <w:tr>
        <w:trPr>
          <w:trHeight w:val="111"/>
        </w:trPr>
        <w:tc>
          <w:tcPr>
            <w:tcW w:w="3680" w:type="dxa"/>
            <w:vAlign w:val="bottom"/>
            <w:tcBorders>
              <w:bottom w:val="single" w:sz="8" w:color="004054"/>
            </w:tcBorders>
            <w:shd w:val="clear" w:color="auto" w:fill="004054"/>
          </w:tcPr>
          <w:p>
            <w:pPr>
              <w:spacing w:after="0"/>
              <w:rPr>
                <w:sz w:val="9"/>
                <w:szCs w:val="9"/>
                <w:color w:val="auto"/>
              </w:rPr>
            </w:pPr>
          </w:p>
        </w:tc>
        <w:tc>
          <w:tcPr>
            <w:tcW w:w="400" w:type="dxa"/>
            <w:vAlign w:val="bottom"/>
            <w:tcBorders>
              <w:bottom w:val="single" w:sz="8" w:color="004054"/>
            </w:tcBorders>
            <w:shd w:val="clear" w:color="auto" w:fill="004054"/>
          </w:tcPr>
          <w:p>
            <w:pPr>
              <w:spacing w:after="0"/>
              <w:rPr>
                <w:sz w:val="9"/>
                <w:szCs w:val="9"/>
                <w:color w:val="auto"/>
              </w:rPr>
            </w:pPr>
          </w:p>
        </w:tc>
        <w:tc>
          <w:tcPr>
            <w:tcW w:w="1360" w:type="dxa"/>
            <w:vAlign w:val="bottom"/>
            <w:tcBorders>
              <w:bottom w:val="single" w:sz="8" w:color="004054"/>
            </w:tcBorders>
            <w:vMerge w:val="continue"/>
            <w:shd w:val="clear" w:color="auto" w:fill="004054"/>
          </w:tcPr>
          <w:p>
            <w:pPr>
              <w:spacing w:after="0"/>
              <w:rPr>
                <w:sz w:val="9"/>
                <w:szCs w:val="9"/>
                <w:color w:val="auto"/>
              </w:rPr>
            </w:pPr>
          </w:p>
        </w:tc>
        <w:tc>
          <w:tcPr>
            <w:tcW w:w="1800" w:type="dxa"/>
            <w:vAlign w:val="bottom"/>
            <w:tcBorders>
              <w:bottom w:val="single" w:sz="8" w:color="004054"/>
            </w:tcBorders>
            <w:shd w:val="clear" w:color="auto" w:fill="004054"/>
          </w:tcPr>
          <w:p>
            <w:pPr>
              <w:jc w:val="right"/>
              <w:spacing w:after="0" w:line="111" w:lineRule="exact"/>
              <w:rPr>
                <w:sz w:val="20"/>
                <w:szCs w:val="20"/>
                <w:color w:val="auto"/>
              </w:rPr>
            </w:pPr>
            <w:r>
              <w:rPr>
                <w:rFonts w:ascii="Calibri" w:cs="Calibri" w:eastAsia="Calibri" w:hAnsi="Calibri"/>
                <w:sz w:val="11"/>
                <w:szCs w:val="11"/>
                <w:b w:val="1"/>
                <w:bCs w:val="1"/>
                <w:color w:val="FFFFFF"/>
              </w:rPr>
              <w:t>comprehensive</w:t>
            </w:r>
          </w:p>
        </w:tc>
        <w:tc>
          <w:tcPr>
            <w:tcW w:w="520" w:type="dxa"/>
            <w:vAlign w:val="bottom"/>
            <w:tcBorders>
              <w:bottom w:val="single" w:sz="8" w:color="004054"/>
            </w:tcBorders>
            <w:shd w:val="clear" w:color="auto" w:fill="004054"/>
          </w:tcPr>
          <w:p>
            <w:pPr>
              <w:spacing w:after="0"/>
              <w:rPr>
                <w:sz w:val="9"/>
                <w:szCs w:val="9"/>
                <w:color w:val="auto"/>
              </w:rPr>
            </w:pPr>
          </w:p>
        </w:tc>
        <w:tc>
          <w:tcPr>
            <w:tcW w:w="3520" w:type="dxa"/>
            <w:vAlign w:val="bottom"/>
            <w:tcBorders>
              <w:bottom w:val="single" w:sz="8" w:color="004054"/>
            </w:tcBorders>
            <w:gridSpan w:val="4"/>
            <w:vMerge w:val="continue"/>
            <w:shd w:val="clear" w:color="auto" w:fill="004054"/>
          </w:tcPr>
          <w:p>
            <w:pPr>
              <w:spacing w:after="0"/>
              <w:rPr>
                <w:sz w:val="9"/>
                <w:szCs w:val="9"/>
                <w:color w:val="auto"/>
              </w:rPr>
            </w:pPr>
          </w:p>
        </w:tc>
        <w:tc>
          <w:tcPr>
            <w:tcW w:w="20" w:type="dxa"/>
            <w:vAlign w:val="bottom"/>
            <w:tcBorders>
              <w:bottom w:val="single" w:sz="8" w:color="004054"/>
            </w:tcBorders>
            <w:shd w:val="clear" w:color="auto" w:fill="004054"/>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3680" w:type="dxa"/>
            <w:vAlign w:val="bottom"/>
            <w:shd w:val="clear" w:color="auto" w:fill="004054"/>
          </w:tcPr>
          <w:p>
            <w:pPr>
              <w:spacing w:after="0"/>
              <w:rPr>
                <w:sz w:val="12"/>
                <w:szCs w:val="12"/>
                <w:color w:val="auto"/>
              </w:rPr>
            </w:pPr>
          </w:p>
        </w:tc>
        <w:tc>
          <w:tcPr>
            <w:tcW w:w="400" w:type="dxa"/>
            <w:vAlign w:val="bottom"/>
            <w:shd w:val="clear" w:color="auto" w:fill="004054"/>
          </w:tcPr>
          <w:p>
            <w:pPr>
              <w:spacing w:after="0"/>
              <w:rPr>
                <w:sz w:val="12"/>
                <w:szCs w:val="12"/>
                <w:color w:val="auto"/>
              </w:rPr>
            </w:pPr>
          </w:p>
        </w:tc>
        <w:tc>
          <w:tcPr>
            <w:tcW w:w="136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June 30,</w:t>
            </w:r>
          </w:p>
        </w:tc>
        <w:tc>
          <w:tcPr>
            <w:tcW w:w="180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income (loss) into</w:t>
            </w:r>
          </w:p>
        </w:tc>
        <w:tc>
          <w:tcPr>
            <w:tcW w:w="520" w:type="dxa"/>
            <w:vAlign w:val="bottom"/>
            <w:shd w:val="clear" w:color="auto" w:fill="004054"/>
          </w:tcPr>
          <w:p>
            <w:pPr>
              <w:spacing w:after="0"/>
              <w:rPr>
                <w:sz w:val="12"/>
                <w:szCs w:val="12"/>
                <w:color w:val="auto"/>
              </w:rPr>
            </w:pPr>
          </w:p>
        </w:tc>
        <w:tc>
          <w:tcPr>
            <w:tcW w:w="146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Three months ended</w:t>
            </w:r>
          </w:p>
        </w:tc>
        <w:tc>
          <w:tcPr>
            <w:tcW w:w="80" w:type="dxa"/>
            <w:vAlign w:val="bottom"/>
          </w:tcPr>
          <w:p>
            <w:pPr>
              <w:spacing w:after="0"/>
              <w:rPr>
                <w:sz w:val="12"/>
                <w:szCs w:val="12"/>
                <w:color w:val="auto"/>
              </w:rPr>
            </w:pPr>
          </w:p>
        </w:tc>
        <w:tc>
          <w:tcPr>
            <w:tcW w:w="200" w:type="dxa"/>
            <w:vAlign w:val="bottom"/>
            <w:shd w:val="clear" w:color="auto" w:fill="004054"/>
          </w:tcPr>
          <w:p>
            <w:pPr>
              <w:spacing w:after="0"/>
              <w:rPr>
                <w:sz w:val="12"/>
                <w:szCs w:val="12"/>
                <w:color w:val="auto"/>
              </w:rPr>
            </w:pPr>
          </w:p>
        </w:tc>
        <w:tc>
          <w:tcPr>
            <w:tcW w:w="178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Six months ended</w:t>
            </w:r>
          </w:p>
        </w:tc>
        <w:tc>
          <w:tcPr>
            <w:tcW w:w="20" w:type="dxa"/>
            <w:vAlign w:val="bottom"/>
            <w:shd w:val="clear" w:color="auto" w:fill="004054"/>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3680" w:type="dxa"/>
            <w:vAlign w:val="bottom"/>
            <w:tcBorders>
              <w:bottom w:val="single" w:sz="8" w:color="004054"/>
            </w:tcBorders>
            <w:shd w:val="clear" w:color="auto" w:fill="004054"/>
          </w:tcPr>
          <w:p>
            <w:pPr>
              <w:ind w:left="20"/>
              <w:spacing w:after="0"/>
              <w:rPr>
                <w:sz w:val="20"/>
                <w:szCs w:val="20"/>
                <w:color w:val="auto"/>
              </w:rPr>
            </w:pPr>
            <w:r>
              <w:rPr>
                <w:rFonts w:ascii="Calibri" w:cs="Calibri" w:eastAsia="Calibri" w:hAnsi="Calibri"/>
                <w:sz w:val="11"/>
                <w:szCs w:val="11"/>
                <w:b w:val="1"/>
                <w:bCs w:val="1"/>
                <w:color w:val="FFFFFF"/>
              </w:rPr>
              <w:t>(dollars in thousands)</w:t>
            </w:r>
          </w:p>
        </w:tc>
        <w:tc>
          <w:tcPr>
            <w:tcW w:w="400" w:type="dxa"/>
            <w:vAlign w:val="bottom"/>
            <w:tcBorders>
              <w:bottom w:val="single" w:sz="8" w:color="004054"/>
            </w:tcBorders>
            <w:shd w:val="clear" w:color="auto" w:fill="004054"/>
          </w:tcPr>
          <w:p>
            <w:pPr>
              <w:spacing w:after="0"/>
              <w:rPr>
                <w:sz w:val="14"/>
                <w:szCs w:val="14"/>
                <w:color w:val="auto"/>
              </w:rPr>
            </w:pPr>
          </w:p>
        </w:tc>
        <w:tc>
          <w:tcPr>
            <w:tcW w:w="1360" w:type="dxa"/>
            <w:vAlign w:val="bottom"/>
            <w:tcBorders>
              <w:bottom w:val="single" w:sz="8" w:color="004054"/>
            </w:tcBorders>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2024</w:t>
            </w:r>
          </w:p>
        </w:tc>
        <w:tc>
          <w:tcPr>
            <w:tcW w:w="1800" w:type="dxa"/>
            <w:vAlign w:val="bottom"/>
            <w:tcBorders>
              <w:bottom w:val="single" w:sz="8" w:color="004054"/>
            </w:tcBorders>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income (loss)</w:t>
            </w:r>
          </w:p>
        </w:tc>
        <w:tc>
          <w:tcPr>
            <w:tcW w:w="520" w:type="dxa"/>
            <w:vAlign w:val="bottom"/>
            <w:tcBorders>
              <w:bottom w:val="single" w:sz="8" w:color="004054"/>
            </w:tcBorders>
            <w:shd w:val="clear" w:color="auto" w:fill="004054"/>
          </w:tcPr>
          <w:p>
            <w:pPr>
              <w:spacing w:after="0"/>
              <w:rPr>
                <w:sz w:val="14"/>
                <w:szCs w:val="14"/>
                <w:color w:val="auto"/>
              </w:rPr>
            </w:pPr>
          </w:p>
        </w:tc>
        <w:tc>
          <w:tcPr>
            <w:tcW w:w="1460" w:type="dxa"/>
            <w:vAlign w:val="bottom"/>
            <w:tcBorders>
              <w:bottom w:val="single" w:sz="8" w:color="004054"/>
            </w:tcBorders>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June 30, 2024</w:t>
            </w:r>
          </w:p>
        </w:tc>
        <w:tc>
          <w:tcPr>
            <w:tcW w:w="80" w:type="dxa"/>
            <w:vAlign w:val="bottom"/>
          </w:tcPr>
          <w:p>
            <w:pPr>
              <w:spacing w:after="0"/>
              <w:rPr>
                <w:sz w:val="14"/>
                <w:szCs w:val="14"/>
                <w:color w:val="auto"/>
              </w:rPr>
            </w:pPr>
          </w:p>
        </w:tc>
        <w:tc>
          <w:tcPr>
            <w:tcW w:w="200" w:type="dxa"/>
            <w:vAlign w:val="bottom"/>
            <w:tcBorders>
              <w:bottom w:val="single" w:sz="8" w:color="004054"/>
            </w:tcBorders>
            <w:shd w:val="clear" w:color="auto" w:fill="004054"/>
          </w:tcPr>
          <w:p>
            <w:pPr>
              <w:spacing w:after="0"/>
              <w:rPr>
                <w:sz w:val="14"/>
                <w:szCs w:val="14"/>
                <w:color w:val="auto"/>
              </w:rPr>
            </w:pPr>
          </w:p>
        </w:tc>
        <w:tc>
          <w:tcPr>
            <w:tcW w:w="1780" w:type="dxa"/>
            <w:vAlign w:val="bottom"/>
            <w:tcBorders>
              <w:bottom w:val="single" w:sz="8" w:color="004054"/>
            </w:tcBorders>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June 30, 2024</w:t>
            </w:r>
          </w:p>
        </w:tc>
        <w:tc>
          <w:tcPr>
            <w:tcW w:w="20" w:type="dxa"/>
            <w:vAlign w:val="bottom"/>
            <w:tcBorders>
              <w:bottom w:val="single" w:sz="8" w:color="004054"/>
            </w:tcBorders>
            <w:shd w:val="clear" w:color="auto" w:fill="004054"/>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68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4"/>
                <w:szCs w:val="14"/>
                <w:b w:val="1"/>
                <w:bCs w:val="1"/>
                <w:color w:val="51555C"/>
              </w:rPr>
              <w:t>Cash Flow Hedges</w:t>
            </w:r>
          </w:p>
        </w:tc>
        <w:tc>
          <w:tcPr>
            <w:tcW w:w="400" w:type="dxa"/>
            <w:vAlign w:val="bottom"/>
            <w:tcBorders>
              <w:bottom w:val="single" w:sz="8" w:color="EBFBFF"/>
            </w:tcBorders>
            <w:shd w:val="clear" w:color="auto" w:fill="EBFBFF"/>
          </w:tcPr>
          <w:p>
            <w:pPr>
              <w:spacing w:after="0"/>
              <w:rPr>
                <w:sz w:val="16"/>
                <w:szCs w:val="16"/>
                <w:color w:val="auto"/>
              </w:rPr>
            </w:pPr>
          </w:p>
        </w:tc>
        <w:tc>
          <w:tcPr>
            <w:tcW w:w="1360" w:type="dxa"/>
            <w:vAlign w:val="bottom"/>
            <w:tcBorders>
              <w:bottom w:val="single" w:sz="8" w:color="EBFBFF"/>
            </w:tcBorders>
            <w:shd w:val="clear" w:color="auto" w:fill="EBFBFF"/>
          </w:tcPr>
          <w:p>
            <w:pPr>
              <w:spacing w:after="0"/>
              <w:rPr>
                <w:sz w:val="16"/>
                <w:szCs w:val="16"/>
                <w:color w:val="auto"/>
              </w:rPr>
            </w:pPr>
          </w:p>
        </w:tc>
        <w:tc>
          <w:tcPr>
            <w:tcW w:w="1800" w:type="dxa"/>
            <w:vAlign w:val="bottom"/>
            <w:tcBorders>
              <w:bottom w:val="single" w:sz="8" w:color="EBFBFF"/>
            </w:tcBorders>
            <w:shd w:val="clear" w:color="auto" w:fill="EBFBFF"/>
          </w:tcPr>
          <w:p>
            <w:pPr>
              <w:spacing w:after="0"/>
              <w:rPr>
                <w:sz w:val="16"/>
                <w:szCs w:val="16"/>
                <w:color w:val="auto"/>
              </w:rPr>
            </w:pPr>
          </w:p>
        </w:tc>
        <w:tc>
          <w:tcPr>
            <w:tcW w:w="520" w:type="dxa"/>
            <w:vAlign w:val="bottom"/>
            <w:tcBorders>
              <w:bottom w:val="single" w:sz="8" w:color="EBFBFF"/>
            </w:tcBorders>
            <w:shd w:val="clear" w:color="auto" w:fill="EBFBFF"/>
          </w:tcPr>
          <w:p>
            <w:pPr>
              <w:spacing w:after="0"/>
              <w:rPr>
                <w:sz w:val="16"/>
                <w:szCs w:val="16"/>
                <w:color w:val="auto"/>
              </w:rPr>
            </w:pPr>
          </w:p>
        </w:tc>
        <w:tc>
          <w:tcPr>
            <w:tcW w:w="1460" w:type="dxa"/>
            <w:vAlign w:val="bottom"/>
            <w:tcBorders>
              <w:bottom w:val="single" w:sz="8" w:color="EBFBFF"/>
            </w:tcBorders>
            <w:shd w:val="clear" w:color="auto" w:fill="EBFBFF"/>
          </w:tcPr>
          <w:p>
            <w:pPr>
              <w:spacing w:after="0"/>
              <w:rPr>
                <w:sz w:val="16"/>
                <w:szCs w:val="16"/>
                <w:color w:val="auto"/>
              </w:rPr>
            </w:pPr>
          </w:p>
        </w:tc>
        <w:tc>
          <w:tcPr>
            <w:tcW w:w="80" w:type="dxa"/>
            <w:vAlign w:val="bottom"/>
            <w:tcBorders>
              <w:bottom w:val="single" w:sz="8" w:color="EBFBFF"/>
            </w:tcBorders>
            <w:shd w:val="clear" w:color="auto" w:fill="EBFBFF"/>
          </w:tcPr>
          <w:p>
            <w:pPr>
              <w:spacing w:after="0"/>
              <w:rPr>
                <w:sz w:val="16"/>
                <w:szCs w:val="16"/>
                <w:color w:val="auto"/>
              </w:rPr>
            </w:pPr>
          </w:p>
        </w:tc>
        <w:tc>
          <w:tcPr>
            <w:tcW w:w="200" w:type="dxa"/>
            <w:vAlign w:val="bottom"/>
            <w:tcBorders>
              <w:bottom w:val="single" w:sz="8" w:color="EBFBFF"/>
            </w:tcBorders>
            <w:shd w:val="clear" w:color="auto" w:fill="EBFBFF"/>
          </w:tcPr>
          <w:p>
            <w:pPr>
              <w:spacing w:after="0"/>
              <w:rPr>
                <w:sz w:val="16"/>
                <w:szCs w:val="16"/>
                <w:color w:val="auto"/>
              </w:rPr>
            </w:pPr>
          </w:p>
        </w:tc>
        <w:tc>
          <w:tcPr>
            <w:tcW w:w="1780" w:type="dxa"/>
            <w:vAlign w:val="bottom"/>
            <w:tcBorders>
              <w:bottom w:val="single" w:sz="8" w:color="EBFBFF"/>
            </w:tcBorders>
            <w:shd w:val="clear" w:color="auto" w:fill="EBFB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3680" w:type="dxa"/>
            <w:vAlign w:val="bottom"/>
          </w:tcPr>
          <w:p>
            <w:pPr>
              <w:ind w:left="100"/>
              <w:spacing w:after="0"/>
              <w:rPr>
                <w:sz w:val="20"/>
                <w:szCs w:val="20"/>
                <w:color w:val="auto"/>
              </w:rPr>
            </w:pPr>
            <w:r>
              <w:rPr>
                <w:rFonts w:ascii="Calibri" w:cs="Calibri" w:eastAsia="Calibri" w:hAnsi="Calibri"/>
                <w:sz w:val="14"/>
                <w:szCs w:val="14"/>
                <w:color w:val="51555C"/>
              </w:rPr>
              <w:t>Interest rate swaps</w:t>
            </w:r>
          </w:p>
        </w:tc>
        <w:tc>
          <w:tcPr>
            <w:tcW w:w="400" w:type="dxa"/>
            <w:vAlign w:val="bottom"/>
          </w:tcPr>
          <w:p>
            <w:pPr>
              <w:jc w:val="right"/>
              <w:ind w:right="249"/>
              <w:spacing w:after="0"/>
              <w:rPr>
                <w:sz w:val="20"/>
                <w:szCs w:val="20"/>
                <w:color w:val="auto"/>
              </w:rPr>
            </w:pPr>
            <w:r>
              <w:rPr>
                <w:rFonts w:ascii="Calibri" w:cs="Calibri" w:eastAsia="Calibri" w:hAnsi="Calibri"/>
                <w:sz w:val="14"/>
                <w:szCs w:val="14"/>
                <w:color w:val="51555C"/>
                <w:w w:val="83"/>
              </w:rPr>
              <w:t>$</w:t>
            </w:r>
          </w:p>
        </w:tc>
        <w:tc>
          <w:tcPr>
            <w:tcW w:w="1360" w:type="dxa"/>
            <w:vAlign w:val="bottom"/>
          </w:tcPr>
          <w:p>
            <w:pPr>
              <w:jc w:val="right"/>
              <w:spacing w:after="0"/>
              <w:rPr>
                <w:sz w:val="20"/>
                <w:szCs w:val="20"/>
                <w:color w:val="auto"/>
              </w:rPr>
            </w:pPr>
            <w:r>
              <w:rPr>
                <w:rFonts w:ascii="Calibri" w:cs="Calibri" w:eastAsia="Calibri" w:hAnsi="Calibri"/>
                <w:sz w:val="14"/>
                <w:szCs w:val="14"/>
                <w:color w:val="51555C"/>
              </w:rPr>
              <w:t>14,282</w:t>
            </w:r>
          </w:p>
        </w:tc>
        <w:tc>
          <w:tcPr>
            <w:tcW w:w="2320" w:type="dxa"/>
            <w:vAlign w:val="bottom"/>
            <w:gridSpan w:val="2"/>
          </w:tcPr>
          <w:p>
            <w:pPr>
              <w:jc w:val="right"/>
              <w:ind w:right="440"/>
              <w:spacing w:after="0"/>
              <w:rPr>
                <w:sz w:val="20"/>
                <w:szCs w:val="20"/>
                <w:color w:val="auto"/>
              </w:rPr>
            </w:pPr>
            <w:r>
              <w:rPr>
                <w:rFonts w:ascii="Calibri" w:cs="Calibri" w:eastAsia="Calibri" w:hAnsi="Calibri"/>
                <w:sz w:val="14"/>
                <w:szCs w:val="14"/>
                <w:color w:val="51555C"/>
              </w:rPr>
              <w:t>Interest expense $</w:t>
            </w:r>
          </w:p>
        </w:tc>
        <w:tc>
          <w:tcPr>
            <w:tcW w:w="1460" w:type="dxa"/>
            <w:vAlign w:val="bottom"/>
          </w:tcPr>
          <w:p>
            <w:pPr>
              <w:jc w:val="right"/>
              <w:spacing w:after="0"/>
              <w:rPr>
                <w:sz w:val="20"/>
                <w:szCs w:val="20"/>
                <w:color w:val="auto"/>
              </w:rPr>
            </w:pPr>
            <w:r>
              <w:rPr>
                <w:rFonts w:ascii="Calibri" w:cs="Calibri" w:eastAsia="Calibri" w:hAnsi="Calibri"/>
                <w:sz w:val="14"/>
                <w:szCs w:val="14"/>
                <w:color w:val="51555C"/>
              </w:rPr>
              <w:t>5,456</w:t>
            </w:r>
          </w:p>
        </w:tc>
        <w:tc>
          <w:tcPr>
            <w:tcW w:w="80" w:type="dxa"/>
            <w:vAlign w:val="bottom"/>
          </w:tcPr>
          <w:p>
            <w:pPr>
              <w:spacing w:after="0"/>
              <w:rPr>
                <w:sz w:val="14"/>
                <w:szCs w:val="14"/>
                <w:color w:val="auto"/>
              </w:rPr>
            </w:pPr>
          </w:p>
        </w:tc>
        <w:tc>
          <w:tcPr>
            <w:tcW w:w="200" w:type="dxa"/>
            <w:vAlign w:val="bottom"/>
          </w:tcPr>
          <w:p>
            <w:pPr>
              <w:jc w:val="right"/>
              <w:ind w:right="49"/>
              <w:spacing w:after="0"/>
              <w:rPr>
                <w:sz w:val="20"/>
                <w:szCs w:val="20"/>
                <w:color w:val="auto"/>
              </w:rPr>
            </w:pPr>
            <w:r>
              <w:rPr>
                <w:rFonts w:ascii="Calibri" w:cs="Calibri" w:eastAsia="Calibri" w:hAnsi="Calibri"/>
                <w:sz w:val="14"/>
                <w:szCs w:val="14"/>
                <w:color w:val="51555C"/>
                <w:w w:val="83"/>
              </w:rPr>
              <w:t>$</w:t>
            </w:r>
          </w:p>
        </w:tc>
        <w:tc>
          <w:tcPr>
            <w:tcW w:w="1780" w:type="dxa"/>
            <w:vAlign w:val="bottom"/>
          </w:tcPr>
          <w:p>
            <w:pPr>
              <w:jc w:val="right"/>
              <w:spacing w:after="0"/>
              <w:rPr>
                <w:sz w:val="20"/>
                <w:szCs w:val="20"/>
                <w:color w:val="auto"/>
              </w:rPr>
            </w:pPr>
            <w:r>
              <w:rPr>
                <w:rFonts w:ascii="Calibri" w:cs="Calibri" w:eastAsia="Calibri" w:hAnsi="Calibri"/>
                <w:sz w:val="14"/>
                <w:szCs w:val="14"/>
                <w:color w:val="51555C"/>
              </w:rPr>
              <w:t>10,929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3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8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2"/>
        </w:trPr>
        <w:tc>
          <w:tcPr>
            <w:tcW w:w="3680" w:type="dxa"/>
            <w:vAlign w:val="bottom"/>
            <w:tcBorders>
              <w:bottom w:val="single" w:sz="8" w:color="EBFBFF"/>
            </w:tcBorders>
            <w:shd w:val="clear" w:color="auto" w:fill="EBFBFF"/>
          </w:tcPr>
          <w:p>
            <w:pPr>
              <w:ind w:left="100"/>
              <w:spacing w:after="0"/>
              <w:rPr>
                <w:sz w:val="20"/>
                <w:szCs w:val="20"/>
                <w:color w:val="auto"/>
              </w:rPr>
            </w:pPr>
            <w:r>
              <w:rPr>
                <w:rFonts w:ascii="Calibri" w:cs="Calibri" w:eastAsia="Calibri" w:hAnsi="Calibri"/>
                <w:sz w:val="14"/>
                <w:szCs w:val="14"/>
                <w:color w:val="51555C"/>
              </w:rPr>
              <w:t>Foreign currency forward contracts</w:t>
            </w:r>
          </w:p>
        </w:tc>
        <w:tc>
          <w:tcPr>
            <w:tcW w:w="400" w:type="dxa"/>
            <w:vAlign w:val="bottom"/>
            <w:tcBorders>
              <w:bottom w:val="single" w:sz="8" w:color="EBFBFF"/>
            </w:tcBorders>
            <w:shd w:val="clear" w:color="auto" w:fill="EBFBFF"/>
          </w:tcPr>
          <w:p>
            <w:pPr>
              <w:jc w:val="right"/>
              <w:ind w:right="249"/>
              <w:spacing w:after="0"/>
              <w:rPr>
                <w:sz w:val="20"/>
                <w:szCs w:val="20"/>
                <w:color w:val="auto"/>
              </w:rPr>
            </w:pPr>
            <w:r>
              <w:rPr>
                <w:rFonts w:ascii="Calibri" w:cs="Calibri" w:eastAsia="Calibri" w:hAnsi="Calibri"/>
                <w:sz w:val="14"/>
                <w:szCs w:val="14"/>
                <w:color w:val="51555C"/>
                <w:w w:val="83"/>
              </w:rPr>
              <w:t>$</w:t>
            </w:r>
          </w:p>
        </w:tc>
        <w:tc>
          <w:tcPr>
            <w:tcW w:w="13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252</w:t>
            </w:r>
          </w:p>
        </w:tc>
        <w:tc>
          <w:tcPr>
            <w:tcW w:w="2320" w:type="dxa"/>
            <w:vAlign w:val="bottom"/>
            <w:tcBorders>
              <w:bottom w:val="single" w:sz="8" w:color="EBFBFF"/>
            </w:tcBorders>
            <w:gridSpan w:val="2"/>
            <w:shd w:val="clear" w:color="auto" w:fill="EBFBFF"/>
          </w:tcPr>
          <w:p>
            <w:pPr>
              <w:jc w:val="right"/>
              <w:ind w:right="440"/>
              <w:spacing w:after="0"/>
              <w:rPr>
                <w:sz w:val="20"/>
                <w:szCs w:val="20"/>
                <w:color w:val="auto"/>
              </w:rPr>
            </w:pPr>
            <w:r>
              <w:rPr>
                <w:rFonts w:ascii="Calibri" w:cs="Calibri" w:eastAsia="Calibri" w:hAnsi="Calibri"/>
                <w:sz w:val="14"/>
                <w:szCs w:val="14"/>
                <w:color w:val="51555C"/>
              </w:rPr>
              <w:t>Revenue $</w:t>
            </w:r>
          </w:p>
        </w:tc>
        <w:tc>
          <w:tcPr>
            <w:tcW w:w="14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129</w:t>
            </w:r>
          </w:p>
        </w:tc>
        <w:tc>
          <w:tcPr>
            <w:tcW w:w="80" w:type="dxa"/>
            <w:vAlign w:val="bottom"/>
            <w:tcBorders>
              <w:bottom w:val="single" w:sz="8" w:color="EBFBFF"/>
            </w:tcBorders>
            <w:shd w:val="clear" w:color="auto" w:fill="EBFBFF"/>
          </w:tcPr>
          <w:p>
            <w:pPr>
              <w:spacing w:after="0"/>
              <w:rPr>
                <w:sz w:val="16"/>
                <w:szCs w:val="16"/>
                <w:color w:val="auto"/>
              </w:rPr>
            </w:pPr>
          </w:p>
        </w:tc>
        <w:tc>
          <w:tcPr>
            <w:tcW w:w="200" w:type="dxa"/>
            <w:vAlign w:val="bottom"/>
            <w:tcBorders>
              <w:bottom w:val="single" w:sz="8" w:color="EBFBFF"/>
            </w:tcBorders>
            <w:shd w:val="clear" w:color="auto" w:fill="EBFBFF"/>
          </w:tcPr>
          <w:p>
            <w:pPr>
              <w:jc w:val="right"/>
              <w:ind w:right="49"/>
              <w:spacing w:after="0"/>
              <w:rPr>
                <w:sz w:val="20"/>
                <w:szCs w:val="20"/>
                <w:color w:val="auto"/>
              </w:rPr>
            </w:pPr>
            <w:r>
              <w:rPr>
                <w:rFonts w:ascii="Calibri" w:cs="Calibri" w:eastAsia="Calibri" w:hAnsi="Calibri"/>
                <w:sz w:val="14"/>
                <w:szCs w:val="14"/>
                <w:color w:val="51555C"/>
                <w:w w:val="83"/>
              </w:rPr>
              <w:t>$</w:t>
            </w:r>
          </w:p>
        </w:tc>
        <w:tc>
          <w:tcPr>
            <w:tcW w:w="17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163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3680" w:type="dxa"/>
            <w:vAlign w:val="bottom"/>
          </w:tcPr>
          <w:p>
            <w:pPr>
              <w:ind w:left="20"/>
              <w:spacing w:after="0"/>
              <w:rPr>
                <w:sz w:val="20"/>
                <w:szCs w:val="20"/>
                <w:color w:val="auto"/>
              </w:rPr>
            </w:pPr>
            <w:r>
              <w:rPr>
                <w:rFonts w:ascii="Calibri" w:cs="Calibri" w:eastAsia="Calibri" w:hAnsi="Calibri"/>
                <w:sz w:val="14"/>
                <w:szCs w:val="14"/>
                <w:b w:val="1"/>
                <w:bCs w:val="1"/>
                <w:color w:val="51555C"/>
              </w:rPr>
              <w:t>Net Investment Hedges</w:t>
            </w:r>
          </w:p>
        </w:tc>
        <w:tc>
          <w:tcPr>
            <w:tcW w:w="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3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8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2"/>
        </w:trPr>
        <w:tc>
          <w:tcPr>
            <w:tcW w:w="3680" w:type="dxa"/>
            <w:vAlign w:val="bottom"/>
            <w:tcBorders>
              <w:bottom w:val="single" w:sz="8" w:color="EBFBFF"/>
            </w:tcBorders>
            <w:shd w:val="clear" w:color="auto" w:fill="EBFBFF"/>
          </w:tcPr>
          <w:p>
            <w:pPr>
              <w:ind w:left="100"/>
              <w:spacing w:after="0"/>
              <w:rPr>
                <w:sz w:val="20"/>
                <w:szCs w:val="20"/>
                <w:color w:val="auto"/>
              </w:rPr>
            </w:pPr>
            <w:r>
              <w:rPr>
                <w:rFonts w:ascii="Calibri" w:cs="Calibri" w:eastAsia="Calibri" w:hAnsi="Calibri"/>
                <w:sz w:val="14"/>
                <w:szCs w:val="14"/>
                <w:color w:val="51555C"/>
              </w:rPr>
              <w:t>Foreign currency forward contracts</w:t>
            </w:r>
          </w:p>
        </w:tc>
        <w:tc>
          <w:tcPr>
            <w:tcW w:w="400" w:type="dxa"/>
            <w:vAlign w:val="bottom"/>
            <w:tcBorders>
              <w:bottom w:val="single" w:sz="8" w:color="EBFBFF"/>
            </w:tcBorders>
            <w:shd w:val="clear" w:color="auto" w:fill="EBFBFF"/>
          </w:tcPr>
          <w:p>
            <w:pPr>
              <w:jc w:val="right"/>
              <w:ind w:right="249"/>
              <w:spacing w:after="0"/>
              <w:rPr>
                <w:sz w:val="20"/>
                <w:szCs w:val="20"/>
                <w:color w:val="auto"/>
              </w:rPr>
            </w:pPr>
            <w:r>
              <w:rPr>
                <w:rFonts w:ascii="Calibri" w:cs="Calibri" w:eastAsia="Calibri" w:hAnsi="Calibri"/>
                <w:sz w:val="14"/>
                <w:szCs w:val="14"/>
                <w:color w:val="51555C"/>
                <w:w w:val="83"/>
              </w:rPr>
              <w:t>$</w:t>
            </w:r>
          </w:p>
        </w:tc>
        <w:tc>
          <w:tcPr>
            <w:tcW w:w="13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(56)</w:t>
            </w:r>
          </w:p>
        </w:tc>
        <w:tc>
          <w:tcPr>
            <w:tcW w:w="2320" w:type="dxa"/>
            <w:vAlign w:val="bottom"/>
            <w:tcBorders>
              <w:bottom w:val="single" w:sz="8" w:color="EBFBFF"/>
            </w:tcBorders>
            <w:gridSpan w:val="2"/>
            <w:shd w:val="clear" w:color="auto" w:fill="EBFBFF"/>
          </w:tcPr>
          <w:p>
            <w:pPr>
              <w:jc w:val="right"/>
              <w:ind w:right="440"/>
              <w:spacing w:after="0"/>
              <w:rPr>
                <w:sz w:val="20"/>
                <w:szCs w:val="20"/>
                <w:color w:val="auto"/>
              </w:rPr>
            </w:pPr>
            <w:r>
              <w:rPr>
                <w:rFonts w:ascii="Calibri" w:cs="Calibri" w:eastAsia="Calibri" w:hAnsi="Calibri"/>
                <w:sz w:val="14"/>
                <w:szCs w:val="14"/>
                <w:color w:val="51555C"/>
              </w:rPr>
              <w:t>$</w:t>
            </w:r>
          </w:p>
        </w:tc>
        <w:tc>
          <w:tcPr>
            <w:tcW w:w="1540" w:type="dxa"/>
            <w:vAlign w:val="bottom"/>
            <w:tcBorders>
              <w:bottom w:val="single" w:sz="8" w:color="EBFBFF"/>
            </w:tcBorders>
            <w:gridSpan w:val="2"/>
            <w:shd w:val="clear" w:color="auto" w:fill="EBFBFF"/>
          </w:tcPr>
          <w:p>
            <w:pPr>
              <w:jc w:val="right"/>
              <w:ind w:right="140"/>
              <w:spacing w:after="0"/>
              <w:rPr>
                <w:sz w:val="20"/>
                <w:szCs w:val="20"/>
                <w:color w:val="auto"/>
              </w:rPr>
            </w:pPr>
            <w:r>
              <w:rPr>
                <w:rFonts w:ascii="Calibri" w:cs="Calibri" w:eastAsia="Calibri" w:hAnsi="Calibri"/>
                <w:sz w:val="14"/>
                <w:szCs w:val="14"/>
                <w:color w:val="51555C"/>
              </w:rPr>
              <w:t>—</w:t>
            </w:r>
          </w:p>
        </w:tc>
        <w:tc>
          <w:tcPr>
            <w:tcW w:w="200" w:type="dxa"/>
            <w:vAlign w:val="bottom"/>
            <w:tcBorders>
              <w:bottom w:val="single" w:sz="8" w:color="EBFBFF"/>
            </w:tcBorders>
            <w:shd w:val="clear" w:color="auto" w:fill="EBFBFF"/>
          </w:tcPr>
          <w:p>
            <w:pPr>
              <w:jc w:val="right"/>
              <w:ind w:right="49"/>
              <w:spacing w:after="0"/>
              <w:rPr>
                <w:sz w:val="20"/>
                <w:szCs w:val="20"/>
                <w:color w:val="auto"/>
              </w:rPr>
            </w:pPr>
            <w:r>
              <w:rPr>
                <w:rFonts w:ascii="Calibri" w:cs="Calibri" w:eastAsia="Calibri" w:hAnsi="Calibri"/>
                <w:sz w:val="14"/>
                <w:szCs w:val="14"/>
                <w:color w:val="51555C"/>
                <w:w w:val="83"/>
              </w:rPr>
              <w:t>$</w:t>
            </w:r>
          </w:p>
        </w:tc>
        <w:tc>
          <w:tcPr>
            <w:tcW w:w="17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3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8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54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1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5"/>
        </w:trPr>
        <w:tc>
          <w:tcPr>
            <w:tcW w:w="3680" w:type="dxa"/>
            <w:vAlign w:val="bottom"/>
          </w:tcPr>
          <w:p>
            <w:pPr>
              <w:spacing w:after="0"/>
              <w:rPr>
                <w:sz w:val="12"/>
                <w:szCs w:val="12"/>
                <w:color w:val="auto"/>
              </w:rPr>
            </w:pPr>
          </w:p>
        </w:tc>
        <w:tc>
          <w:tcPr>
            <w:tcW w:w="400" w:type="dxa"/>
            <w:vAlign w:val="bottom"/>
            <w:shd w:val="clear" w:color="auto" w:fill="004054"/>
          </w:tcPr>
          <w:p>
            <w:pPr>
              <w:spacing w:after="0"/>
              <w:rPr>
                <w:sz w:val="12"/>
                <w:szCs w:val="12"/>
                <w:color w:val="auto"/>
              </w:rPr>
            </w:pPr>
          </w:p>
        </w:tc>
        <w:tc>
          <w:tcPr>
            <w:tcW w:w="136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June 30,</w:t>
            </w:r>
          </w:p>
        </w:tc>
        <w:tc>
          <w:tcPr>
            <w:tcW w:w="1800" w:type="dxa"/>
            <w:vAlign w:val="bottom"/>
          </w:tcPr>
          <w:p>
            <w:pPr>
              <w:spacing w:after="0"/>
              <w:rPr>
                <w:sz w:val="12"/>
                <w:szCs w:val="12"/>
                <w:color w:val="auto"/>
              </w:rPr>
            </w:pPr>
          </w:p>
        </w:tc>
        <w:tc>
          <w:tcPr>
            <w:tcW w:w="520" w:type="dxa"/>
            <w:vAlign w:val="bottom"/>
            <w:shd w:val="clear" w:color="auto" w:fill="004054"/>
          </w:tcPr>
          <w:p>
            <w:pPr>
              <w:spacing w:after="0"/>
              <w:rPr>
                <w:sz w:val="12"/>
                <w:szCs w:val="12"/>
                <w:color w:val="auto"/>
              </w:rPr>
            </w:pPr>
          </w:p>
        </w:tc>
        <w:tc>
          <w:tcPr>
            <w:tcW w:w="146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Three months ended</w:t>
            </w:r>
          </w:p>
        </w:tc>
        <w:tc>
          <w:tcPr>
            <w:tcW w:w="80" w:type="dxa"/>
            <w:vAlign w:val="bottom"/>
          </w:tcPr>
          <w:p>
            <w:pPr>
              <w:spacing w:after="0"/>
              <w:rPr>
                <w:sz w:val="12"/>
                <w:szCs w:val="12"/>
                <w:color w:val="auto"/>
              </w:rPr>
            </w:pPr>
          </w:p>
        </w:tc>
        <w:tc>
          <w:tcPr>
            <w:tcW w:w="200" w:type="dxa"/>
            <w:vAlign w:val="bottom"/>
            <w:shd w:val="clear" w:color="auto" w:fill="004054"/>
          </w:tcPr>
          <w:p>
            <w:pPr>
              <w:spacing w:after="0"/>
              <w:rPr>
                <w:sz w:val="12"/>
                <w:szCs w:val="12"/>
                <w:color w:val="auto"/>
              </w:rPr>
            </w:pPr>
          </w:p>
        </w:tc>
        <w:tc>
          <w:tcPr>
            <w:tcW w:w="178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Six months ended</w:t>
            </w:r>
          </w:p>
        </w:tc>
        <w:tc>
          <w:tcPr>
            <w:tcW w:w="20" w:type="dxa"/>
            <w:vAlign w:val="bottom"/>
            <w:shd w:val="clear" w:color="auto" w:fill="004054"/>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3680" w:type="dxa"/>
            <w:vAlign w:val="bottom"/>
          </w:tcPr>
          <w:p>
            <w:pPr>
              <w:spacing w:after="0"/>
              <w:rPr>
                <w:sz w:val="14"/>
                <w:szCs w:val="14"/>
                <w:color w:val="auto"/>
              </w:rPr>
            </w:pPr>
          </w:p>
        </w:tc>
        <w:tc>
          <w:tcPr>
            <w:tcW w:w="400" w:type="dxa"/>
            <w:vAlign w:val="bottom"/>
            <w:tcBorders>
              <w:bottom w:val="single" w:sz="8" w:color="004054"/>
            </w:tcBorders>
            <w:shd w:val="clear" w:color="auto" w:fill="004054"/>
          </w:tcPr>
          <w:p>
            <w:pPr>
              <w:spacing w:after="0"/>
              <w:rPr>
                <w:sz w:val="14"/>
                <w:szCs w:val="14"/>
                <w:color w:val="auto"/>
              </w:rPr>
            </w:pPr>
          </w:p>
        </w:tc>
        <w:tc>
          <w:tcPr>
            <w:tcW w:w="1360" w:type="dxa"/>
            <w:vAlign w:val="bottom"/>
            <w:tcBorders>
              <w:bottom w:val="single" w:sz="8" w:color="004054"/>
            </w:tcBorders>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2023</w:t>
            </w:r>
          </w:p>
        </w:tc>
        <w:tc>
          <w:tcPr>
            <w:tcW w:w="1800" w:type="dxa"/>
            <w:vAlign w:val="bottom"/>
          </w:tcPr>
          <w:p>
            <w:pPr>
              <w:spacing w:after="0"/>
              <w:rPr>
                <w:sz w:val="14"/>
                <w:szCs w:val="14"/>
                <w:color w:val="auto"/>
              </w:rPr>
            </w:pPr>
          </w:p>
        </w:tc>
        <w:tc>
          <w:tcPr>
            <w:tcW w:w="520" w:type="dxa"/>
            <w:vAlign w:val="bottom"/>
            <w:tcBorders>
              <w:bottom w:val="single" w:sz="8" w:color="004054"/>
            </w:tcBorders>
            <w:shd w:val="clear" w:color="auto" w:fill="004054"/>
          </w:tcPr>
          <w:p>
            <w:pPr>
              <w:spacing w:after="0"/>
              <w:rPr>
                <w:sz w:val="14"/>
                <w:szCs w:val="14"/>
                <w:color w:val="auto"/>
              </w:rPr>
            </w:pPr>
          </w:p>
        </w:tc>
        <w:tc>
          <w:tcPr>
            <w:tcW w:w="1460" w:type="dxa"/>
            <w:vAlign w:val="bottom"/>
            <w:tcBorders>
              <w:bottom w:val="single" w:sz="8" w:color="004054"/>
            </w:tcBorders>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June 30, 2023</w:t>
            </w:r>
          </w:p>
        </w:tc>
        <w:tc>
          <w:tcPr>
            <w:tcW w:w="80" w:type="dxa"/>
            <w:vAlign w:val="bottom"/>
          </w:tcPr>
          <w:p>
            <w:pPr>
              <w:spacing w:after="0"/>
              <w:rPr>
                <w:sz w:val="14"/>
                <w:szCs w:val="14"/>
                <w:color w:val="auto"/>
              </w:rPr>
            </w:pPr>
          </w:p>
        </w:tc>
        <w:tc>
          <w:tcPr>
            <w:tcW w:w="200" w:type="dxa"/>
            <w:vAlign w:val="bottom"/>
            <w:tcBorders>
              <w:bottom w:val="single" w:sz="8" w:color="004054"/>
            </w:tcBorders>
            <w:shd w:val="clear" w:color="auto" w:fill="004054"/>
          </w:tcPr>
          <w:p>
            <w:pPr>
              <w:spacing w:after="0"/>
              <w:rPr>
                <w:sz w:val="14"/>
                <w:szCs w:val="14"/>
                <w:color w:val="auto"/>
              </w:rPr>
            </w:pPr>
          </w:p>
        </w:tc>
        <w:tc>
          <w:tcPr>
            <w:tcW w:w="1780" w:type="dxa"/>
            <w:vAlign w:val="bottom"/>
            <w:tcBorders>
              <w:bottom w:val="single" w:sz="8" w:color="004054"/>
            </w:tcBorders>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June 30, 2023</w:t>
            </w:r>
          </w:p>
        </w:tc>
        <w:tc>
          <w:tcPr>
            <w:tcW w:w="20" w:type="dxa"/>
            <w:vAlign w:val="bottom"/>
            <w:tcBorders>
              <w:bottom w:val="single" w:sz="8" w:color="004054"/>
            </w:tcBorders>
            <w:shd w:val="clear" w:color="auto" w:fill="004054"/>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68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4"/>
                <w:szCs w:val="14"/>
                <w:b w:val="1"/>
                <w:bCs w:val="1"/>
                <w:color w:val="51555C"/>
              </w:rPr>
              <w:t>Cash Flow Hedges</w:t>
            </w:r>
          </w:p>
        </w:tc>
        <w:tc>
          <w:tcPr>
            <w:tcW w:w="400" w:type="dxa"/>
            <w:vAlign w:val="bottom"/>
            <w:tcBorders>
              <w:bottom w:val="single" w:sz="8" w:color="EBFBFF"/>
            </w:tcBorders>
            <w:shd w:val="clear" w:color="auto" w:fill="EBFBFF"/>
          </w:tcPr>
          <w:p>
            <w:pPr>
              <w:spacing w:after="0"/>
              <w:rPr>
                <w:sz w:val="16"/>
                <w:szCs w:val="16"/>
                <w:color w:val="auto"/>
              </w:rPr>
            </w:pPr>
          </w:p>
        </w:tc>
        <w:tc>
          <w:tcPr>
            <w:tcW w:w="1360" w:type="dxa"/>
            <w:vAlign w:val="bottom"/>
            <w:tcBorders>
              <w:bottom w:val="single" w:sz="8" w:color="EBFBFF"/>
            </w:tcBorders>
            <w:shd w:val="clear" w:color="auto" w:fill="EBFBFF"/>
          </w:tcPr>
          <w:p>
            <w:pPr>
              <w:spacing w:after="0"/>
              <w:rPr>
                <w:sz w:val="16"/>
                <w:szCs w:val="16"/>
                <w:color w:val="auto"/>
              </w:rPr>
            </w:pPr>
          </w:p>
        </w:tc>
        <w:tc>
          <w:tcPr>
            <w:tcW w:w="1800" w:type="dxa"/>
            <w:vAlign w:val="bottom"/>
            <w:tcBorders>
              <w:bottom w:val="single" w:sz="8" w:color="EBFBFF"/>
            </w:tcBorders>
            <w:shd w:val="clear" w:color="auto" w:fill="EBFBFF"/>
          </w:tcPr>
          <w:p>
            <w:pPr>
              <w:spacing w:after="0"/>
              <w:rPr>
                <w:sz w:val="16"/>
                <w:szCs w:val="16"/>
                <w:color w:val="auto"/>
              </w:rPr>
            </w:pPr>
          </w:p>
        </w:tc>
        <w:tc>
          <w:tcPr>
            <w:tcW w:w="520" w:type="dxa"/>
            <w:vAlign w:val="bottom"/>
            <w:tcBorders>
              <w:bottom w:val="single" w:sz="8" w:color="EBFBFF"/>
            </w:tcBorders>
            <w:shd w:val="clear" w:color="auto" w:fill="EBFBFF"/>
          </w:tcPr>
          <w:p>
            <w:pPr>
              <w:spacing w:after="0"/>
              <w:rPr>
                <w:sz w:val="16"/>
                <w:szCs w:val="16"/>
                <w:color w:val="auto"/>
              </w:rPr>
            </w:pPr>
          </w:p>
        </w:tc>
        <w:tc>
          <w:tcPr>
            <w:tcW w:w="1460" w:type="dxa"/>
            <w:vAlign w:val="bottom"/>
            <w:tcBorders>
              <w:bottom w:val="single" w:sz="8" w:color="EBFBFF"/>
            </w:tcBorders>
            <w:shd w:val="clear" w:color="auto" w:fill="EBFBFF"/>
          </w:tcPr>
          <w:p>
            <w:pPr>
              <w:spacing w:after="0"/>
              <w:rPr>
                <w:sz w:val="16"/>
                <w:szCs w:val="16"/>
                <w:color w:val="auto"/>
              </w:rPr>
            </w:pPr>
          </w:p>
        </w:tc>
        <w:tc>
          <w:tcPr>
            <w:tcW w:w="80" w:type="dxa"/>
            <w:vAlign w:val="bottom"/>
            <w:tcBorders>
              <w:bottom w:val="single" w:sz="8" w:color="EBFBFF"/>
            </w:tcBorders>
            <w:shd w:val="clear" w:color="auto" w:fill="EBFBFF"/>
          </w:tcPr>
          <w:p>
            <w:pPr>
              <w:spacing w:after="0"/>
              <w:rPr>
                <w:sz w:val="16"/>
                <w:szCs w:val="16"/>
                <w:color w:val="auto"/>
              </w:rPr>
            </w:pPr>
          </w:p>
        </w:tc>
        <w:tc>
          <w:tcPr>
            <w:tcW w:w="200" w:type="dxa"/>
            <w:vAlign w:val="bottom"/>
            <w:tcBorders>
              <w:bottom w:val="single" w:sz="8" w:color="EBFBFF"/>
            </w:tcBorders>
            <w:shd w:val="clear" w:color="auto" w:fill="EBFBFF"/>
          </w:tcPr>
          <w:p>
            <w:pPr>
              <w:spacing w:after="0"/>
              <w:rPr>
                <w:sz w:val="16"/>
                <w:szCs w:val="16"/>
                <w:color w:val="auto"/>
              </w:rPr>
            </w:pPr>
          </w:p>
        </w:tc>
        <w:tc>
          <w:tcPr>
            <w:tcW w:w="1780" w:type="dxa"/>
            <w:vAlign w:val="bottom"/>
            <w:tcBorders>
              <w:bottom w:val="single" w:sz="8" w:color="EBFBFF"/>
            </w:tcBorders>
            <w:shd w:val="clear" w:color="auto" w:fill="EBFB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3680" w:type="dxa"/>
            <w:vAlign w:val="bottom"/>
          </w:tcPr>
          <w:p>
            <w:pPr>
              <w:ind w:left="100"/>
              <w:spacing w:after="0"/>
              <w:rPr>
                <w:sz w:val="20"/>
                <w:szCs w:val="20"/>
                <w:color w:val="auto"/>
              </w:rPr>
            </w:pPr>
            <w:r>
              <w:rPr>
                <w:rFonts w:ascii="Calibri" w:cs="Calibri" w:eastAsia="Calibri" w:hAnsi="Calibri"/>
                <w:sz w:val="14"/>
                <w:szCs w:val="14"/>
                <w:color w:val="51555C"/>
              </w:rPr>
              <w:t>Interest rate swaps</w:t>
            </w:r>
          </w:p>
        </w:tc>
        <w:tc>
          <w:tcPr>
            <w:tcW w:w="400" w:type="dxa"/>
            <w:vAlign w:val="bottom"/>
          </w:tcPr>
          <w:p>
            <w:pPr>
              <w:jc w:val="right"/>
              <w:ind w:right="249"/>
              <w:spacing w:after="0"/>
              <w:rPr>
                <w:sz w:val="20"/>
                <w:szCs w:val="20"/>
                <w:color w:val="auto"/>
              </w:rPr>
            </w:pPr>
            <w:r>
              <w:rPr>
                <w:rFonts w:ascii="Calibri" w:cs="Calibri" w:eastAsia="Calibri" w:hAnsi="Calibri"/>
                <w:sz w:val="14"/>
                <w:szCs w:val="14"/>
                <w:color w:val="51555C"/>
                <w:w w:val="83"/>
              </w:rPr>
              <w:t>$</w:t>
            </w:r>
          </w:p>
        </w:tc>
        <w:tc>
          <w:tcPr>
            <w:tcW w:w="1360" w:type="dxa"/>
            <w:vAlign w:val="bottom"/>
          </w:tcPr>
          <w:p>
            <w:pPr>
              <w:jc w:val="right"/>
              <w:spacing w:after="0"/>
              <w:rPr>
                <w:sz w:val="20"/>
                <w:szCs w:val="20"/>
                <w:color w:val="auto"/>
              </w:rPr>
            </w:pPr>
            <w:r>
              <w:rPr>
                <w:rFonts w:ascii="Calibri" w:cs="Calibri" w:eastAsia="Calibri" w:hAnsi="Calibri"/>
                <w:sz w:val="14"/>
                <w:szCs w:val="14"/>
                <w:color w:val="51555C"/>
              </w:rPr>
              <w:t>25,204</w:t>
            </w:r>
          </w:p>
        </w:tc>
        <w:tc>
          <w:tcPr>
            <w:tcW w:w="2320" w:type="dxa"/>
            <w:vAlign w:val="bottom"/>
            <w:gridSpan w:val="2"/>
          </w:tcPr>
          <w:p>
            <w:pPr>
              <w:jc w:val="right"/>
              <w:ind w:right="440"/>
              <w:spacing w:after="0"/>
              <w:rPr>
                <w:sz w:val="20"/>
                <w:szCs w:val="20"/>
                <w:color w:val="auto"/>
              </w:rPr>
            </w:pPr>
            <w:r>
              <w:rPr>
                <w:rFonts w:ascii="Calibri" w:cs="Calibri" w:eastAsia="Calibri" w:hAnsi="Calibri"/>
                <w:sz w:val="14"/>
                <w:szCs w:val="14"/>
                <w:color w:val="51555C"/>
              </w:rPr>
              <w:t>Interest expense $</w:t>
            </w:r>
          </w:p>
        </w:tc>
        <w:tc>
          <w:tcPr>
            <w:tcW w:w="1460" w:type="dxa"/>
            <w:vAlign w:val="bottom"/>
          </w:tcPr>
          <w:p>
            <w:pPr>
              <w:jc w:val="right"/>
              <w:spacing w:after="0"/>
              <w:rPr>
                <w:sz w:val="20"/>
                <w:szCs w:val="20"/>
                <w:color w:val="auto"/>
              </w:rPr>
            </w:pPr>
            <w:r>
              <w:rPr>
                <w:rFonts w:ascii="Calibri" w:cs="Calibri" w:eastAsia="Calibri" w:hAnsi="Calibri"/>
                <w:sz w:val="14"/>
                <w:szCs w:val="14"/>
                <w:color w:val="51555C"/>
              </w:rPr>
              <w:t>5,083</w:t>
            </w:r>
          </w:p>
        </w:tc>
        <w:tc>
          <w:tcPr>
            <w:tcW w:w="80" w:type="dxa"/>
            <w:vAlign w:val="bottom"/>
          </w:tcPr>
          <w:p>
            <w:pPr>
              <w:spacing w:after="0"/>
              <w:rPr>
                <w:sz w:val="14"/>
                <w:szCs w:val="14"/>
                <w:color w:val="auto"/>
              </w:rPr>
            </w:pPr>
          </w:p>
        </w:tc>
        <w:tc>
          <w:tcPr>
            <w:tcW w:w="200" w:type="dxa"/>
            <w:vAlign w:val="bottom"/>
          </w:tcPr>
          <w:p>
            <w:pPr>
              <w:jc w:val="right"/>
              <w:ind w:right="49"/>
              <w:spacing w:after="0"/>
              <w:rPr>
                <w:sz w:val="20"/>
                <w:szCs w:val="20"/>
                <w:color w:val="auto"/>
              </w:rPr>
            </w:pPr>
            <w:r>
              <w:rPr>
                <w:rFonts w:ascii="Calibri" w:cs="Calibri" w:eastAsia="Calibri" w:hAnsi="Calibri"/>
                <w:sz w:val="14"/>
                <w:szCs w:val="14"/>
                <w:color w:val="51555C"/>
                <w:w w:val="83"/>
              </w:rPr>
              <w:t>$</w:t>
            </w:r>
          </w:p>
        </w:tc>
        <w:tc>
          <w:tcPr>
            <w:tcW w:w="1780" w:type="dxa"/>
            <w:vAlign w:val="bottom"/>
          </w:tcPr>
          <w:p>
            <w:pPr>
              <w:jc w:val="right"/>
              <w:spacing w:after="0"/>
              <w:rPr>
                <w:sz w:val="20"/>
                <w:szCs w:val="20"/>
                <w:color w:val="auto"/>
              </w:rPr>
            </w:pPr>
            <w:r>
              <w:rPr>
                <w:rFonts w:ascii="Calibri" w:cs="Calibri" w:eastAsia="Calibri" w:hAnsi="Calibri"/>
                <w:sz w:val="14"/>
                <w:szCs w:val="14"/>
                <w:color w:val="51555C"/>
              </w:rPr>
              <w:t>9,582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3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8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2"/>
        </w:trPr>
        <w:tc>
          <w:tcPr>
            <w:tcW w:w="3680" w:type="dxa"/>
            <w:vAlign w:val="bottom"/>
            <w:tcBorders>
              <w:bottom w:val="single" w:sz="8" w:color="EBFBFF"/>
            </w:tcBorders>
            <w:shd w:val="clear" w:color="auto" w:fill="EBFBFF"/>
          </w:tcPr>
          <w:p>
            <w:pPr>
              <w:ind w:left="100"/>
              <w:spacing w:after="0"/>
              <w:rPr>
                <w:sz w:val="20"/>
                <w:szCs w:val="20"/>
                <w:color w:val="auto"/>
              </w:rPr>
            </w:pPr>
            <w:r>
              <w:rPr>
                <w:rFonts w:ascii="Calibri" w:cs="Calibri" w:eastAsia="Calibri" w:hAnsi="Calibri"/>
                <w:sz w:val="14"/>
                <w:szCs w:val="14"/>
                <w:color w:val="51555C"/>
              </w:rPr>
              <w:t>Foreign currency forward contracts</w:t>
            </w:r>
          </w:p>
        </w:tc>
        <w:tc>
          <w:tcPr>
            <w:tcW w:w="400" w:type="dxa"/>
            <w:vAlign w:val="bottom"/>
            <w:tcBorders>
              <w:bottom w:val="single" w:sz="8" w:color="EBFBFF"/>
            </w:tcBorders>
            <w:shd w:val="clear" w:color="auto" w:fill="EBFBFF"/>
          </w:tcPr>
          <w:p>
            <w:pPr>
              <w:jc w:val="right"/>
              <w:ind w:right="249"/>
              <w:spacing w:after="0"/>
              <w:rPr>
                <w:sz w:val="20"/>
                <w:szCs w:val="20"/>
                <w:color w:val="auto"/>
              </w:rPr>
            </w:pPr>
            <w:r>
              <w:rPr>
                <w:rFonts w:ascii="Calibri" w:cs="Calibri" w:eastAsia="Calibri" w:hAnsi="Calibri"/>
                <w:sz w:val="14"/>
                <w:szCs w:val="14"/>
                <w:color w:val="51555C"/>
                <w:w w:val="83"/>
              </w:rPr>
              <w:t>$</w:t>
            </w:r>
          </w:p>
        </w:tc>
        <w:tc>
          <w:tcPr>
            <w:tcW w:w="13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(292)</w:t>
            </w:r>
          </w:p>
        </w:tc>
        <w:tc>
          <w:tcPr>
            <w:tcW w:w="2320" w:type="dxa"/>
            <w:vAlign w:val="bottom"/>
            <w:tcBorders>
              <w:bottom w:val="single" w:sz="8" w:color="EBFBFF"/>
            </w:tcBorders>
            <w:gridSpan w:val="2"/>
            <w:shd w:val="clear" w:color="auto" w:fill="EBFBFF"/>
          </w:tcPr>
          <w:p>
            <w:pPr>
              <w:jc w:val="right"/>
              <w:ind w:right="440"/>
              <w:spacing w:after="0"/>
              <w:rPr>
                <w:sz w:val="20"/>
                <w:szCs w:val="20"/>
                <w:color w:val="auto"/>
              </w:rPr>
            </w:pPr>
            <w:r>
              <w:rPr>
                <w:rFonts w:ascii="Calibri" w:cs="Calibri" w:eastAsia="Calibri" w:hAnsi="Calibri"/>
                <w:sz w:val="14"/>
                <w:szCs w:val="14"/>
                <w:color w:val="51555C"/>
              </w:rPr>
              <w:t>Revenue $</w:t>
            </w:r>
          </w:p>
        </w:tc>
        <w:tc>
          <w:tcPr>
            <w:tcW w:w="14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109</w:t>
            </w:r>
          </w:p>
        </w:tc>
        <w:tc>
          <w:tcPr>
            <w:tcW w:w="80" w:type="dxa"/>
            <w:vAlign w:val="bottom"/>
            <w:tcBorders>
              <w:bottom w:val="single" w:sz="8" w:color="EBFBFF"/>
            </w:tcBorders>
            <w:shd w:val="clear" w:color="auto" w:fill="EBFBFF"/>
          </w:tcPr>
          <w:p>
            <w:pPr>
              <w:spacing w:after="0"/>
              <w:rPr>
                <w:sz w:val="16"/>
                <w:szCs w:val="16"/>
                <w:color w:val="auto"/>
              </w:rPr>
            </w:pPr>
          </w:p>
        </w:tc>
        <w:tc>
          <w:tcPr>
            <w:tcW w:w="200" w:type="dxa"/>
            <w:vAlign w:val="bottom"/>
            <w:tcBorders>
              <w:bottom w:val="single" w:sz="8" w:color="EBFBFF"/>
            </w:tcBorders>
            <w:shd w:val="clear" w:color="auto" w:fill="EBFBFF"/>
          </w:tcPr>
          <w:p>
            <w:pPr>
              <w:jc w:val="right"/>
              <w:ind w:right="49"/>
              <w:spacing w:after="0"/>
              <w:rPr>
                <w:sz w:val="20"/>
                <w:szCs w:val="20"/>
                <w:color w:val="auto"/>
              </w:rPr>
            </w:pPr>
            <w:r>
              <w:rPr>
                <w:rFonts w:ascii="Calibri" w:cs="Calibri" w:eastAsia="Calibri" w:hAnsi="Calibri"/>
                <w:sz w:val="14"/>
                <w:szCs w:val="14"/>
                <w:color w:val="51555C"/>
                <w:w w:val="83"/>
              </w:rPr>
              <w:t>$</w:t>
            </w:r>
          </w:p>
        </w:tc>
        <w:tc>
          <w:tcPr>
            <w:tcW w:w="17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234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3680" w:type="dxa"/>
            <w:vAlign w:val="bottom"/>
          </w:tcPr>
          <w:p>
            <w:pPr>
              <w:ind w:left="20"/>
              <w:spacing w:after="0"/>
              <w:rPr>
                <w:sz w:val="20"/>
                <w:szCs w:val="20"/>
                <w:color w:val="auto"/>
              </w:rPr>
            </w:pPr>
            <w:r>
              <w:rPr>
                <w:rFonts w:ascii="Calibri" w:cs="Calibri" w:eastAsia="Calibri" w:hAnsi="Calibri"/>
                <w:sz w:val="14"/>
                <w:szCs w:val="14"/>
                <w:b w:val="1"/>
                <w:bCs w:val="1"/>
                <w:color w:val="51555C"/>
              </w:rPr>
              <w:t>Net Investment Hedges</w:t>
            </w:r>
          </w:p>
        </w:tc>
        <w:tc>
          <w:tcPr>
            <w:tcW w:w="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3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8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2"/>
        </w:trPr>
        <w:tc>
          <w:tcPr>
            <w:tcW w:w="3680" w:type="dxa"/>
            <w:vAlign w:val="bottom"/>
            <w:tcBorders>
              <w:bottom w:val="single" w:sz="8" w:color="EBFBFF"/>
            </w:tcBorders>
            <w:shd w:val="clear" w:color="auto" w:fill="EBFBFF"/>
          </w:tcPr>
          <w:p>
            <w:pPr>
              <w:ind w:left="100"/>
              <w:spacing w:after="0"/>
              <w:rPr>
                <w:sz w:val="20"/>
                <w:szCs w:val="20"/>
                <w:color w:val="auto"/>
              </w:rPr>
            </w:pPr>
            <w:r>
              <w:rPr>
                <w:rFonts w:ascii="Calibri" w:cs="Calibri" w:eastAsia="Calibri" w:hAnsi="Calibri"/>
                <w:sz w:val="14"/>
                <w:szCs w:val="14"/>
                <w:color w:val="51555C"/>
              </w:rPr>
              <w:t>Foreign currency forward contracts</w:t>
            </w:r>
          </w:p>
        </w:tc>
        <w:tc>
          <w:tcPr>
            <w:tcW w:w="400" w:type="dxa"/>
            <w:vAlign w:val="bottom"/>
            <w:tcBorders>
              <w:bottom w:val="single" w:sz="8" w:color="EBFBFF"/>
            </w:tcBorders>
            <w:shd w:val="clear" w:color="auto" w:fill="EBFBFF"/>
          </w:tcPr>
          <w:p>
            <w:pPr>
              <w:jc w:val="right"/>
              <w:ind w:right="249"/>
              <w:spacing w:after="0"/>
              <w:rPr>
                <w:sz w:val="20"/>
                <w:szCs w:val="20"/>
                <w:color w:val="auto"/>
              </w:rPr>
            </w:pPr>
            <w:r>
              <w:rPr>
                <w:rFonts w:ascii="Calibri" w:cs="Calibri" w:eastAsia="Calibri" w:hAnsi="Calibri"/>
                <w:sz w:val="14"/>
                <w:szCs w:val="14"/>
                <w:color w:val="51555C"/>
                <w:w w:val="83"/>
              </w:rPr>
              <w:t>$</w:t>
            </w:r>
          </w:p>
        </w:tc>
        <w:tc>
          <w:tcPr>
            <w:tcW w:w="13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(401)</w:t>
            </w:r>
          </w:p>
        </w:tc>
        <w:tc>
          <w:tcPr>
            <w:tcW w:w="2320" w:type="dxa"/>
            <w:vAlign w:val="bottom"/>
            <w:tcBorders>
              <w:bottom w:val="single" w:sz="8" w:color="EBFBFF"/>
            </w:tcBorders>
            <w:gridSpan w:val="2"/>
            <w:shd w:val="clear" w:color="auto" w:fill="EBFBFF"/>
          </w:tcPr>
          <w:p>
            <w:pPr>
              <w:jc w:val="right"/>
              <w:ind w:right="440"/>
              <w:spacing w:after="0"/>
              <w:rPr>
                <w:sz w:val="20"/>
                <w:szCs w:val="20"/>
                <w:color w:val="auto"/>
              </w:rPr>
            </w:pPr>
            <w:r>
              <w:rPr>
                <w:rFonts w:ascii="Calibri" w:cs="Calibri" w:eastAsia="Calibri" w:hAnsi="Calibri"/>
                <w:sz w:val="14"/>
                <w:szCs w:val="14"/>
                <w:color w:val="51555C"/>
              </w:rPr>
              <w:t>$</w:t>
            </w:r>
          </w:p>
        </w:tc>
        <w:tc>
          <w:tcPr>
            <w:tcW w:w="1540" w:type="dxa"/>
            <w:vAlign w:val="bottom"/>
            <w:tcBorders>
              <w:bottom w:val="single" w:sz="8" w:color="EBFBFF"/>
            </w:tcBorders>
            <w:gridSpan w:val="2"/>
            <w:shd w:val="clear" w:color="auto" w:fill="EBFBFF"/>
          </w:tcPr>
          <w:p>
            <w:pPr>
              <w:jc w:val="right"/>
              <w:ind w:right="140"/>
              <w:spacing w:after="0"/>
              <w:rPr>
                <w:sz w:val="20"/>
                <w:szCs w:val="20"/>
                <w:color w:val="auto"/>
              </w:rPr>
            </w:pPr>
            <w:r>
              <w:rPr>
                <w:rFonts w:ascii="Calibri" w:cs="Calibri" w:eastAsia="Calibri" w:hAnsi="Calibri"/>
                <w:sz w:val="14"/>
                <w:szCs w:val="14"/>
                <w:color w:val="51555C"/>
              </w:rPr>
              <w:t>—</w:t>
            </w:r>
          </w:p>
        </w:tc>
        <w:tc>
          <w:tcPr>
            <w:tcW w:w="200" w:type="dxa"/>
            <w:vAlign w:val="bottom"/>
            <w:tcBorders>
              <w:bottom w:val="single" w:sz="8" w:color="EBFBFF"/>
            </w:tcBorders>
            <w:shd w:val="clear" w:color="auto" w:fill="EBFBFF"/>
          </w:tcPr>
          <w:p>
            <w:pPr>
              <w:jc w:val="right"/>
              <w:ind w:right="49"/>
              <w:spacing w:after="0"/>
              <w:rPr>
                <w:sz w:val="20"/>
                <w:szCs w:val="20"/>
                <w:color w:val="auto"/>
              </w:rPr>
            </w:pPr>
            <w:r>
              <w:rPr>
                <w:rFonts w:ascii="Calibri" w:cs="Calibri" w:eastAsia="Calibri" w:hAnsi="Calibri"/>
                <w:sz w:val="14"/>
                <w:szCs w:val="14"/>
                <w:color w:val="51555C"/>
                <w:w w:val="83"/>
              </w:rPr>
              <w:t>$</w:t>
            </w:r>
          </w:p>
        </w:tc>
        <w:tc>
          <w:tcPr>
            <w:tcW w:w="17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680" w:type="dxa"/>
            <w:vAlign w:val="bottom"/>
            <w:shd w:val="clear" w:color="auto" w:fill="0CD973"/>
          </w:tcPr>
          <w:p>
            <w:pPr>
              <w:spacing w:after="0" w:line="20" w:lineRule="exact"/>
              <w:rPr>
                <w:sz w:val="1"/>
                <w:szCs w:val="1"/>
                <w:color w:val="auto"/>
              </w:rPr>
            </w:pPr>
          </w:p>
        </w:tc>
        <w:tc>
          <w:tcPr>
            <w:tcW w:w="400" w:type="dxa"/>
            <w:vAlign w:val="bottom"/>
            <w:shd w:val="clear" w:color="auto" w:fill="0CD973"/>
          </w:tcPr>
          <w:p>
            <w:pPr>
              <w:spacing w:after="0" w:line="20" w:lineRule="exact"/>
              <w:rPr>
                <w:sz w:val="1"/>
                <w:szCs w:val="1"/>
                <w:color w:val="auto"/>
              </w:rPr>
            </w:pPr>
          </w:p>
        </w:tc>
        <w:tc>
          <w:tcPr>
            <w:tcW w:w="1360" w:type="dxa"/>
            <w:vAlign w:val="bottom"/>
            <w:shd w:val="clear" w:color="auto" w:fill="0CD973"/>
          </w:tcPr>
          <w:p>
            <w:pPr>
              <w:spacing w:after="0" w:line="20" w:lineRule="exact"/>
              <w:rPr>
                <w:sz w:val="1"/>
                <w:szCs w:val="1"/>
                <w:color w:val="auto"/>
              </w:rPr>
            </w:pPr>
          </w:p>
        </w:tc>
        <w:tc>
          <w:tcPr>
            <w:tcW w:w="1800" w:type="dxa"/>
            <w:vAlign w:val="bottom"/>
            <w:shd w:val="clear" w:color="auto" w:fill="0CD973"/>
          </w:tcPr>
          <w:p>
            <w:pPr>
              <w:spacing w:after="0" w:line="20" w:lineRule="exact"/>
              <w:rPr>
                <w:sz w:val="1"/>
                <w:szCs w:val="1"/>
                <w:color w:val="auto"/>
              </w:rPr>
            </w:pPr>
          </w:p>
        </w:tc>
        <w:tc>
          <w:tcPr>
            <w:tcW w:w="520" w:type="dxa"/>
            <w:vAlign w:val="bottom"/>
            <w:shd w:val="clear" w:color="auto" w:fill="0CD973"/>
          </w:tcPr>
          <w:p>
            <w:pPr>
              <w:spacing w:after="0" w:line="20" w:lineRule="exact"/>
              <w:rPr>
                <w:sz w:val="1"/>
                <w:szCs w:val="1"/>
                <w:color w:val="auto"/>
              </w:rPr>
            </w:pPr>
          </w:p>
        </w:tc>
        <w:tc>
          <w:tcPr>
            <w:tcW w:w="1460" w:type="dxa"/>
            <w:vAlign w:val="bottom"/>
            <w:shd w:val="clear" w:color="auto" w:fill="0CD973"/>
          </w:tcPr>
          <w:p>
            <w:pPr>
              <w:spacing w:after="0" w:line="20" w:lineRule="exact"/>
              <w:rPr>
                <w:sz w:val="1"/>
                <w:szCs w:val="1"/>
                <w:color w:val="auto"/>
              </w:rPr>
            </w:pPr>
          </w:p>
        </w:tc>
        <w:tc>
          <w:tcPr>
            <w:tcW w:w="80" w:type="dxa"/>
            <w:vAlign w:val="bottom"/>
            <w:shd w:val="clear" w:color="auto" w:fill="0CD973"/>
          </w:tcPr>
          <w:p>
            <w:pPr>
              <w:spacing w:after="0" w:line="20" w:lineRule="exact"/>
              <w:rPr>
                <w:sz w:val="1"/>
                <w:szCs w:val="1"/>
                <w:color w:val="auto"/>
              </w:rPr>
            </w:pPr>
          </w:p>
        </w:tc>
        <w:tc>
          <w:tcPr>
            <w:tcW w:w="200" w:type="dxa"/>
            <w:vAlign w:val="bottom"/>
            <w:shd w:val="clear" w:color="auto" w:fill="0CD973"/>
          </w:tcPr>
          <w:p>
            <w:pPr>
              <w:spacing w:after="0" w:line="20" w:lineRule="exact"/>
              <w:rPr>
                <w:sz w:val="1"/>
                <w:szCs w:val="1"/>
                <w:color w:val="auto"/>
              </w:rPr>
            </w:pPr>
          </w:p>
        </w:tc>
        <w:tc>
          <w:tcPr>
            <w:tcW w:w="178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5844540</wp:posOffset>
            </wp:positionH>
            <wp:positionV relativeFrom="paragraph">
              <wp:posOffset>-888365</wp:posOffset>
            </wp:positionV>
            <wp:extent cx="67310" cy="69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7310" cy="6985"/>
                    </a:xfrm>
                    <a:prstGeom prst="rect">
                      <a:avLst/>
                    </a:prstGeom>
                    <a:noFill/>
                  </pic:spPr>
                </pic:pic>
              </a:graphicData>
            </a:graphic>
          </wp:anchor>
        </w:drawing>
        <w:drawing>
          <wp:anchor simplePos="0" relativeHeight="251657728" behindDoc="1" locked="0" layoutInCell="0" allowOverlap="1">
            <wp:simplePos x="0" y="0"/>
            <wp:positionH relativeFrom="column">
              <wp:posOffset>2334260</wp:posOffset>
            </wp:positionH>
            <wp:positionV relativeFrom="paragraph">
              <wp:posOffset>-1798320</wp:posOffset>
            </wp:positionV>
            <wp:extent cx="4837430" cy="69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837430" cy="6985"/>
                    </a:xfrm>
                    <a:prstGeom prst="rect">
                      <a:avLst/>
                    </a:prstGeom>
                    <a:noFill/>
                  </pic:spPr>
                </pic:pic>
              </a:graphicData>
            </a:graphic>
          </wp:anchor>
        </w:drawing>
      </w:r>
    </w:p>
    <w:p>
      <w:pPr>
        <w:spacing w:after="0" w:line="154" w:lineRule="exact"/>
        <w:rPr>
          <w:sz w:val="20"/>
          <w:szCs w:val="20"/>
          <w:color w:val="auto"/>
        </w:rPr>
      </w:pPr>
    </w:p>
    <w:p>
      <w:pPr>
        <w:jc w:val="both"/>
        <w:ind w:right="20"/>
        <w:spacing w:after="0" w:line="238" w:lineRule="auto"/>
        <w:rPr>
          <w:sz w:val="20"/>
          <w:szCs w:val="20"/>
          <w:color w:val="auto"/>
        </w:rPr>
      </w:pPr>
      <w:r>
        <w:rPr>
          <w:rFonts w:ascii="Calibri" w:cs="Calibri" w:eastAsia="Calibri" w:hAnsi="Calibri"/>
          <w:sz w:val="14"/>
          <w:szCs w:val="14"/>
          <w:color w:val="51555C"/>
        </w:rPr>
        <w:t>Our policy requires that derivatves used for hedging purposes be designated and efectve as a hedge of the identfed risk exposure at the incepton of the contract. Accumulated other comprehensive income (loss) includes unrealized gains or losses from the change in fair value measurement of our derivatve instruments each reportng period and the related income tax expense or beneft. Excluding net investment hedges, changes in the fair value measurements of the derivatve instruments and the related income tax expense or beneft are refected as adjustments to accumulated other comprehensive income (loss) untl the actual hedged expense is incurred or untl the hedge is terminated at which point the unrealized gain (loss) and related tax efects are reclassifed from accumulated other comprehensive income (loss) to current earnings. For net investment hedges, changes in the fair value measurements of the derivatve instruments and the related income tax expense or beneft are refected as adjustments to translaton adjustment, a component of accumulated other comprehensive income (loss), and recognized in earnings only when the hedged GBP investment is liquidated. The estmated accumulated other comprehensive income as of June 30, 2024 that is expected to be reclassifed into earnings within the next twelve months is $11.6 million. There were no inefectve portons of our interest rate swap or foreign currency forward derivatves during the six months ended June 30, 2024 and 2023. See Note 11 to these unaudited, condensed consolidated fnancial statements for a summary of the changes in accumulated other comprehensive income (loss) by component. We classify cash fows related to derivatve instruments as operatng actvites in the condensed consolidated statements of cash fows.</w:t>
      </w:r>
    </w:p>
    <w:p>
      <w:pPr>
        <w:spacing w:after="0" w:line="205" w:lineRule="exact"/>
        <w:rPr>
          <w:sz w:val="20"/>
          <w:szCs w:val="20"/>
          <w:color w:val="auto"/>
        </w:rPr>
      </w:pPr>
    </w:p>
    <w:p>
      <w:pPr>
        <w:ind w:left="20"/>
        <w:spacing w:after="0"/>
        <w:rPr>
          <w:sz w:val="20"/>
          <w:szCs w:val="20"/>
          <w:color w:val="auto"/>
        </w:rPr>
      </w:pPr>
      <w:r>
        <w:rPr>
          <w:rFonts w:ascii="Calibri" w:cs="Calibri" w:eastAsia="Calibri" w:hAnsi="Calibri"/>
          <w:sz w:val="17"/>
          <w:szCs w:val="17"/>
          <w:b w:val="1"/>
          <w:bCs w:val="1"/>
          <w:color w:val="006880"/>
        </w:rPr>
        <w:t>9. Commitments and Contngencies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27305</wp:posOffset>
            </wp:positionV>
            <wp:extent cx="7161530" cy="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51555C"/>
        </w:rPr>
        <w:t>Leases</w:t>
      </w:r>
    </w:p>
    <w:p>
      <w:pPr>
        <w:spacing w:after="0" w:line="126" w:lineRule="exact"/>
        <w:rPr>
          <w:sz w:val="20"/>
          <w:szCs w:val="20"/>
          <w:color w:val="auto"/>
        </w:rPr>
      </w:pPr>
    </w:p>
    <w:p>
      <w:pPr>
        <w:spacing w:after="0"/>
        <w:rPr>
          <w:sz w:val="20"/>
          <w:szCs w:val="20"/>
          <w:color w:val="auto"/>
        </w:rPr>
      </w:pPr>
      <w:r>
        <w:rPr>
          <w:rFonts w:ascii="Calibri" w:cs="Calibri" w:eastAsia="Calibri" w:hAnsi="Calibri"/>
          <w:sz w:val="14"/>
          <w:szCs w:val="14"/>
          <w:color w:val="51555C"/>
        </w:rPr>
        <w:t>We have operatng leases for corporate ofces, subleased ofces and certain equipment and furniture. As of June 30, 2024, we did not have any operatng leases that had not yet commenced.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6268720</wp:posOffset>
            </wp:positionH>
            <wp:positionV relativeFrom="paragraph">
              <wp:posOffset>187325</wp:posOffset>
            </wp:positionV>
            <wp:extent cx="518795" cy="134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8795" cy="134620"/>
                    </a:xfrm>
                    <a:prstGeom prst="rect">
                      <a:avLst/>
                    </a:prstGeom>
                    <a:noFill/>
                  </pic:spPr>
                </pic:pic>
              </a:graphicData>
            </a:graphic>
          </wp:anchor>
        </w:drawing>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0400" w:type="dxa"/>
            <w:vAlign w:val="bottom"/>
          </w:tcPr>
          <w:p>
            <w:pPr>
              <w:ind w:left="8160"/>
              <w:spacing w:after="0"/>
              <w:rPr>
                <w:sz w:val="20"/>
                <w:szCs w:val="20"/>
                <w:color w:val="auto"/>
              </w:rPr>
            </w:pPr>
            <w:r>
              <w:rPr>
                <w:rFonts w:ascii="Calibri" w:cs="Calibri" w:eastAsia="Calibri" w:hAnsi="Calibri"/>
                <w:sz w:val="11"/>
                <w:szCs w:val="11"/>
                <w:color w:val="51555C"/>
              </w:rPr>
              <w:t>Second Quarter 2024 Form 10-Q</w:t>
            </w:r>
          </w:p>
        </w:tc>
        <w:tc>
          <w:tcPr>
            <w:tcW w:w="880" w:type="dxa"/>
            <w:vAlign w:val="bottom"/>
          </w:tcPr>
          <w:p>
            <w:pPr>
              <w:jc w:val="right"/>
              <w:spacing w:after="0"/>
              <w:rPr>
                <w:sz w:val="20"/>
                <w:szCs w:val="20"/>
                <w:color w:val="auto"/>
              </w:rPr>
            </w:pPr>
            <w:r>
              <w:rPr>
                <w:rFonts w:ascii="Calibri" w:cs="Calibri" w:eastAsia="Calibri" w:hAnsi="Calibri"/>
                <w:sz w:val="11"/>
                <w:szCs w:val="11"/>
                <w:color w:val="51555C"/>
              </w:rPr>
              <w:t>17</w:t>
            </w:r>
          </w:p>
        </w:tc>
      </w:tr>
      <w:tr>
        <w:trPr>
          <w:trHeight w:val="281"/>
        </w:trPr>
        <w:tc>
          <w:tcPr>
            <w:tcW w:w="104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18" w:name="page19"/>
    <w:bookmarkEnd w:id="18"/>
    <w:p>
      <w:pPr>
        <w:spacing w:after="0"/>
        <w:rPr>
          <w:sz w:val="20"/>
          <w:szCs w:val="20"/>
          <w:color w:val="auto"/>
        </w:rPr>
      </w:pPr>
      <w:r>
        <w:rPr>
          <w:rFonts w:ascii="Calibri" w:cs="Calibri" w:eastAsia="Calibri" w:hAnsi="Calibri"/>
          <w:sz w:val="11"/>
          <w:szCs w:val="11"/>
          <w:u w:val="single" w:color="auto"/>
          <w:color w:val="7A04DD"/>
        </w:rPr>
        <w:t>Table of Contents</w:t>
      </w:r>
    </w:p>
    <w:p>
      <w:pPr>
        <w:spacing w:after="0" w:line="196" w:lineRule="exact"/>
        <w:rPr>
          <w:sz w:val="20"/>
          <w:szCs w:val="20"/>
          <w:color w:val="auto"/>
        </w:rPr>
      </w:pPr>
    </w:p>
    <w:p>
      <w:pPr>
        <w:jc w:val="center"/>
        <w:ind w:right="20"/>
        <w:spacing w:after="0"/>
        <w:rPr>
          <w:sz w:val="20"/>
          <w:szCs w:val="20"/>
          <w:color w:val="auto"/>
        </w:rPr>
      </w:pPr>
      <w:r>
        <w:rPr>
          <w:rFonts w:ascii="Calibri" w:cs="Calibri" w:eastAsia="Calibri" w:hAnsi="Calibri"/>
          <w:sz w:val="14"/>
          <w:szCs w:val="14"/>
          <w:b w:val="1"/>
          <w:bCs w:val="1"/>
          <w:color w:val="51555C"/>
        </w:rPr>
        <w:t>Blackbaud, Inc.</w:t>
      </w:r>
    </w:p>
    <w:p>
      <w:pPr>
        <w:jc w:val="center"/>
        <w:ind w:right="20"/>
        <w:spacing w:after="0" w:line="238" w:lineRule="auto"/>
        <w:rPr>
          <w:sz w:val="20"/>
          <w:szCs w:val="20"/>
          <w:color w:val="auto"/>
        </w:rPr>
      </w:pPr>
      <w:r>
        <w:rPr>
          <w:rFonts w:ascii="Calibri" w:cs="Calibri" w:eastAsia="Calibri" w:hAnsi="Calibri"/>
          <w:sz w:val="14"/>
          <w:szCs w:val="14"/>
          <w:b w:val="1"/>
          <w:bCs w:val="1"/>
          <w:color w:val="51555C"/>
        </w:rPr>
        <w:t>Notes to Condensed Consolidated Financial Statements</w:t>
      </w:r>
    </w:p>
    <w:p>
      <w:pPr>
        <w:jc w:val="center"/>
        <w:ind w:right="20"/>
        <w:spacing w:after="0"/>
        <w:rPr>
          <w:sz w:val="20"/>
          <w:szCs w:val="20"/>
          <w:color w:val="auto"/>
        </w:rPr>
      </w:pPr>
      <w:r>
        <w:rPr>
          <w:rFonts w:ascii="Calibri" w:cs="Calibri" w:eastAsia="Calibri" w:hAnsi="Calibri"/>
          <w:sz w:val="14"/>
          <w:szCs w:val="14"/>
          <w:b w:val="1"/>
          <w:bCs w:val="1"/>
          <w:color w:val="51555C"/>
        </w:rPr>
        <w:t>(Unaudited)</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Calibri" w:cs="Calibri" w:eastAsia="Calibri" w:hAnsi="Calibri"/>
          <w:sz w:val="14"/>
          <w:szCs w:val="14"/>
          <w:color w:val="51555C"/>
        </w:rPr>
        <w:t>The following table summarizes the components of our lease expense:</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3950" w:type="dxa"/>
            <w:vAlign w:val="bottom"/>
            <w:shd w:val="clear" w:color="auto" w:fill="004054"/>
          </w:tcPr>
          <w:p>
            <w:pPr>
              <w:spacing w:after="0"/>
              <w:rPr>
                <w:sz w:val="12"/>
                <w:szCs w:val="12"/>
                <w:color w:val="auto"/>
              </w:rPr>
            </w:pPr>
          </w:p>
        </w:tc>
        <w:tc>
          <w:tcPr>
            <w:tcW w:w="1850" w:type="dxa"/>
            <w:vAlign w:val="bottom"/>
            <w:shd w:val="clear" w:color="auto" w:fill="004054"/>
          </w:tcPr>
          <w:p>
            <w:pPr>
              <w:spacing w:after="0"/>
              <w:rPr>
                <w:sz w:val="12"/>
                <w:szCs w:val="12"/>
                <w:color w:val="auto"/>
              </w:rPr>
            </w:pPr>
          </w:p>
        </w:tc>
        <w:tc>
          <w:tcPr>
            <w:tcW w:w="176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Three months ended</w:t>
            </w:r>
          </w:p>
        </w:tc>
        <w:tc>
          <w:tcPr>
            <w:tcW w:w="100" w:type="dxa"/>
            <w:vAlign w:val="bottom"/>
          </w:tcPr>
          <w:p>
            <w:pPr>
              <w:spacing w:after="0"/>
              <w:rPr>
                <w:sz w:val="12"/>
                <w:szCs w:val="12"/>
                <w:color w:val="auto"/>
              </w:rPr>
            </w:pPr>
          </w:p>
        </w:tc>
        <w:tc>
          <w:tcPr>
            <w:tcW w:w="1860" w:type="dxa"/>
            <w:vAlign w:val="bottom"/>
            <w:shd w:val="clear" w:color="auto" w:fill="004054"/>
          </w:tcPr>
          <w:p>
            <w:pPr>
              <w:spacing w:after="0"/>
              <w:rPr>
                <w:sz w:val="12"/>
                <w:szCs w:val="12"/>
                <w:color w:val="auto"/>
              </w:rPr>
            </w:pPr>
          </w:p>
        </w:tc>
        <w:tc>
          <w:tcPr>
            <w:tcW w:w="178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Six months ended</w:t>
            </w:r>
          </w:p>
        </w:tc>
      </w:tr>
      <w:tr>
        <w:trPr>
          <w:trHeight w:val="135"/>
        </w:trPr>
        <w:tc>
          <w:tcPr>
            <w:tcW w:w="3950" w:type="dxa"/>
            <w:vAlign w:val="bottom"/>
            <w:shd w:val="clear" w:color="auto" w:fill="004054"/>
          </w:tcPr>
          <w:p>
            <w:pPr>
              <w:spacing w:after="0"/>
              <w:rPr>
                <w:sz w:val="11"/>
                <w:szCs w:val="11"/>
                <w:color w:val="auto"/>
              </w:rPr>
            </w:pPr>
          </w:p>
        </w:tc>
        <w:tc>
          <w:tcPr>
            <w:tcW w:w="1850" w:type="dxa"/>
            <w:vAlign w:val="bottom"/>
            <w:shd w:val="clear" w:color="auto" w:fill="004054"/>
          </w:tcPr>
          <w:p>
            <w:pPr>
              <w:spacing w:after="0"/>
              <w:rPr>
                <w:sz w:val="11"/>
                <w:szCs w:val="11"/>
                <w:color w:val="auto"/>
              </w:rPr>
            </w:pPr>
          </w:p>
        </w:tc>
        <w:tc>
          <w:tcPr>
            <w:tcW w:w="176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June 30,</w:t>
            </w:r>
          </w:p>
        </w:tc>
        <w:tc>
          <w:tcPr>
            <w:tcW w:w="100" w:type="dxa"/>
            <w:vAlign w:val="bottom"/>
          </w:tcPr>
          <w:p>
            <w:pPr>
              <w:spacing w:after="0"/>
              <w:rPr>
                <w:sz w:val="11"/>
                <w:szCs w:val="11"/>
                <w:color w:val="auto"/>
              </w:rPr>
            </w:pPr>
          </w:p>
        </w:tc>
        <w:tc>
          <w:tcPr>
            <w:tcW w:w="1860" w:type="dxa"/>
            <w:vAlign w:val="bottom"/>
            <w:shd w:val="clear" w:color="auto" w:fill="004054"/>
          </w:tcPr>
          <w:p>
            <w:pPr>
              <w:spacing w:after="0"/>
              <w:rPr>
                <w:sz w:val="11"/>
                <w:szCs w:val="11"/>
                <w:color w:val="auto"/>
              </w:rPr>
            </w:pPr>
          </w:p>
        </w:tc>
        <w:tc>
          <w:tcPr>
            <w:tcW w:w="178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June 30,</w:t>
            </w:r>
          </w:p>
        </w:tc>
      </w:tr>
      <w:tr>
        <w:trPr>
          <w:trHeight w:val="191"/>
        </w:trPr>
        <w:tc>
          <w:tcPr>
            <w:tcW w:w="3950" w:type="dxa"/>
            <w:vAlign w:val="bottom"/>
            <w:shd w:val="clear" w:color="auto" w:fill="004054"/>
          </w:tcPr>
          <w:p>
            <w:pPr>
              <w:ind w:left="20"/>
              <w:spacing w:after="0"/>
              <w:rPr>
                <w:sz w:val="20"/>
                <w:szCs w:val="20"/>
                <w:color w:val="auto"/>
              </w:rPr>
            </w:pPr>
            <w:r>
              <w:rPr>
                <w:rFonts w:ascii="Calibri" w:cs="Calibri" w:eastAsia="Calibri" w:hAnsi="Calibri"/>
                <w:sz w:val="11"/>
                <w:szCs w:val="11"/>
                <w:b w:val="1"/>
                <w:bCs w:val="1"/>
                <w:color w:val="FFFFFF"/>
              </w:rPr>
              <w:t>(dollars in thousands)</w:t>
            </w:r>
          </w:p>
        </w:tc>
        <w:tc>
          <w:tcPr>
            <w:tcW w:w="185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2024</w:t>
            </w:r>
          </w:p>
        </w:tc>
        <w:tc>
          <w:tcPr>
            <w:tcW w:w="176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2023</w:t>
            </w:r>
          </w:p>
        </w:tc>
        <w:tc>
          <w:tcPr>
            <w:tcW w:w="100" w:type="dxa"/>
            <w:vAlign w:val="bottom"/>
          </w:tcPr>
          <w:p>
            <w:pPr>
              <w:spacing w:after="0"/>
              <w:rPr>
                <w:sz w:val="16"/>
                <w:szCs w:val="16"/>
                <w:color w:val="auto"/>
              </w:rPr>
            </w:pPr>
          </w:p>
        </w:tc>
        <w:tc>
          <w:tcPr>
            <w:tcW w:w="186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2024</w:t>
            </w:r>
          </w:p>
        </w:tc>
        <w:tc>
          <w:tcPr>
            <w:tcW w:w="178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2023</w:t>
            </w:r>
          </w:p>
        </w:tc>
      </w:tr>
      <w:tr>
        <w:trPr>
          <w:trHeight w:val="57"/>
        </w:trPr>
        <w:tc>
          <w:tcPr>
            <w:tcW w:w="3950" w:type="dxa"/>
            <w:vAlign w:val="bottom"/>
            <w:shd w:val="clear" w:color="auto" w:fill="004054"/>
          </w:tcPr>
          <w:p>
            <w:pPr>
              <w:spacing w:after="0"/>
              <w:rPr>
                <w:sz w:val="4"/>
                <w:szCs w:val="4"/>
                <w:color w:val="auto"/>
              </w:rPr>
            </w:pPr>
          </w:p>
        </w:tc>
        <w:tc>
          <w:tcPr>
            <w:tcW w:w="1850" w:type="dxa"/>
            <w:vAlign w:val="bottom"/>
            <w:shd w:val="clear" w:color="auto" w:fill="004054"/>
          </w:tcPr>
          <w:p>
            <w:pPr>
              <w:spacing w:after="0"/>
              <w:rPr>
                <w:sz w:val="4"/>
                <w:szCs w:val="4"/>
                <w:color w:val="auto"/>
              </w:rPr>
            </w:pPr>
          </w:p>
        </w:tc>
        <w:tc>
          <w:tcPr>
            <w:tcW w:w="1760" w:type="dxa"/>
            <w:vAlign w:val="bottom"/>
            <w:shd w:val="clear" w:color="auto" w:fill="004054"/>
          </w:tcPr>
          <w:p>
            <w:pPr>
              <w:spacing w:after="0"/>
              <w:rPr>
                <w:sz w:val="4"/>
                <w:szCs w:val="4"/>
                <w:color w:val="auto"/>
              </w:rPr>
            </w:pPr>
          </w:p>
        </w:tc>
        <w:tc>
          <w:tcPr>
            <w:tcW w:w="100" w:type="dxa"/>
            <w:vAlign w:val="bottom"/>
          </w:tcPr>
          <w:p>
            <w:pPr>
              <w:spacing w:after="0"/>
              <w:rPr>
                <w:sz w:val="4"/>
                <w:szCs w:val="4"/>
                <w:color w:val="auto"/>
              </w:rPr>
            </w:pPr>
          </w:p>
        </w:tc>
        <w:tc>
          <w:tcPr>
            <w:tcW w:w="1860" w:type="dxa"/>
            <w:vAlign w:val="bottom"/>
            <w:shd w:val="clear" w:color="auto" w:fill="004054"/>
          </w:tcPr>
          <w:p>
            <w:pPr>
              <w:spacing w:after="0"/>
              <w:rPr>
                <w:sz w:val="4"/>
                <w:szCs w:val="4"/>
                <w:color w:val="auto"/>
              </w:rPr>
            </w:pPr>
          </w:p>
        </w:tc>
        <w:tc>
          <w:tcPr>
            <w:tcW w:w="1780" w:type="dxa"/>
            <w:vAlign w:val="bottom"/>
            <w:shd w:val="clear" w:color="auto" w:fill="004054"/>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7161530" cy="1682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1530" cy="168275"/>
                    </a:xfrm>
                    <a:prstGeom prst="rect">
                      <a:avLst/>
                    </a:prstGeom>
                    <a:noFill/>
                  </pic:spPr>
                </pic:pic>
              </a:graphicData>
            </a:graphic>
          </wp:anchor>
        </w:drawing>
        <w:drawing>
          <wp:anchor simplePos="0" relativeHeight="251657728" behindDoc="1" locked="0" layoutInCell="0" allowOverlap="1">
            <wp:simplePos x="0" y="0"/>
            <wp:positionH relativeFrom="column">
              <wp:posOffset>2502535</wp:posOffset>
            </wp:positionH>
            <wp:positionV relativeFrom="paragraph">
              <wp:posOffset>-127635</wp:posOffset>
            </wp:positionV>
            <wp:extent cx="4669155" cy="69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669155" cy="6985"/>
                    </a:xfrm>
                    <a:prstGeom prst="rect">
                      <a:avLst/>
                    </a:prstGeom>
                    <a:noFill/>
                  </pic:spPr>
                </pic:pic>
              </a:graphicData>
            </a:graphic>
          </wp:anchor>
        </w:drawing>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940" w:type="dxa"/>
            <w:vAlign w:val="bottom"/>
          </w:tcPr>
          <w:p>
            <w:pPr>
              <w:ind w:left="20"/>
              <w:spacing w:after="0"/>
              <w:rPr>
                <w:sz w:val="20"/>
                <w:szCs w:val="20"/>
                <w:color w:val="auto"/>
              </w:rPr>
            </w:pPr>
            <w:r>
              <w:rPr>
                <w:rFonts w:ascii="Calibri" w:cs="Calibri" w:eastAsia="Calibri" w:hAnsi="Calibri"/>
                <w:sz w:val="14"/>
                <w:szCs w:val="14"/>
                <w:color w:val="51555C"/>
              </w:rPr>
              <w:t>Operatng lease cost</w:t>
            </w:r>
            <w:r>
              <w:rPr>
                <w:rFonts w:ascii="Calibri" w:cs="Calibri" w:eastAsia="Calibri" w:hAnsi="Calibri"/>
                <w:sz w:val="18"/>
                <w:szCs w:val="18"/>
                <w:color w:val="51555C"/>
                <w:vertAlign w:val="superscript"/>
              </w:rPr>
              <w:t>(1)</w:t>
            </w:r>
          </w:p>
        </w:tc>
        <w:tc>
          <w:tcPr>
            <w:tcW w:w="980" w:type="dxa"/>
            <w:vAlign w:val="bottom"/>
          </w:tcPr>
          <w:p>
            <w:pPr>
              <w:jc w:val="right"/>
              <w:ind w:right="829"/>
              <w:spacing w:after="0"/>
              <w:rPr>
                <w:sz w:val="20"/>
                <w:szCs w:val="20"/>
                <w:color w:val="auto"/>
              </w:rPr>
            </w:pPr>
            <w:r>
              <w:rPr>
                <w:rFonts w:ascii="Calibri" w:cs="Calibri" w:eastAsia="Calibri" w:hAnsi="Calibri"/>
                <w:sz w:val="14"/>
                <w:szCs w:val="14"/>
                <w:color w:val="51555C"/>
                <w:w w:val="83"/>
              </w:rPr>
              <w:t>$</w:t>
            </w:r>
          </w:p>
        </w:tc>
        <w:tc>
          <w:tcPr>
            <w:tcW w:w="880" w:type="dxa"/>
            <w:vAlign w:val="bottom"/>
          </w:tcPr>
          <w:p>
            <w:pPr>
              <w:jc w:val="right"/>
              <w:spacing w:after="0"/>
              <w:rPr>
                <w:sz w:val="20"/>
                <w:szCs w:val="20"/>
                <w:color w:val="auto"/>
              </w:rPr>
            </w:pPr>
            <w:r>
              <w:rPr>
                <w:rFonts w:ascii="Calibri" w:cs="Calibri" w:eastAsia="Calibri" w:hAnsi="Calibri"/>
                <w:sz w:val="14"/>
                <w:szCs w:val="14"/>
                <w:color w:val="51555C"/>
              </w:rPr>
              <w:t>1,625</w:t>
            </w:r>
          </w:p>
        </w:tc>
        <w:tc>
          <w:tcPr>
            <w:tcW w:w="740" w:type="dxa"/>
            <w:vAlign w:val="bottom"/>
          </w:tcPr>
          <w:p>
            <w:pPr>
              <w:jc w:val="right"/>
              <w:ind w:right="589"/>
              <w:spacing w:after="0"/>
              <w:rPr>
                <w:sz w:val="20"/>
                <w:szCs w:val="20"/>
                <w:color w:val="auto"/>
              </w:rPr>
            </w:pPr>
            <w:r>
              <w:rPr>
                <w:rFonts w:ascii="Calibri" w:cs="Calibri" w:eastAsia="Calibri" w:hAnsi="Calibri"/>
                <w:sz w:val="14"/>
                <w:szCs w:val="14"/>
                <w:color w:val="51555C"/>
                <w:w w:val="83"/>
              </w:rPr>
              <w:t>$</w:t>
            </w:r>
          </w:p>
        </w:tc>
        <w:tc>
          <w:tcPr>
            <w:tcW w:w="1020" w:type="dxa"/>
            <w:vAlign w:val="bottom"/>
          </w:tcPr>
          <w:p>
            <w:pPr>
              <w:jc w:val="right"/>
              <w:spacing w:after="0"/>
              <w:rPr>
                <w:sz w:val="20"/>
                <w:szCs w:val="20"/>
                <w:color w:val="auto"/>
              </w:rPr>
            </w:pPr>
            <w:r>
              <w:rPr>
                <w:rFonts w:ascii="Calibri" w:cs="Calibri" w:eastAsia="Calibri" w:hAnsi="Calibri"/>
                <w:sz w:val="14"/>
                <w:szCs w:val="14"/>
                <w:color w:val="51555C"/>
              </w:rPr>
              <w:t>2,304</w:t>
            </w:r>
          </w:p>
        </w:tc>
        <w:tc>
          <w:tcPr>
            <w:tcW w:w="100" w:type="dxa"/>
            <w:vAlign w:val="bottom"/>
          </w:tcPr>
          <w:p>
            <w:pPr>
              <w:spacing w:after="0"/>
              <w:rPr>
                <w:sz w:val="19"/>
                <w:szCs w:val="19"/>
                <w:color w:val="auto"/>
              </w:rPr>
            </w:pPr>
          </w:p>
        </w:tc>
        <w:tc>
          <w:tcPr>
            <w:tcW w:w="760" w:type="dxa"/>
            <w:vAlign w:val="bottom"/>
          </w:tcPr>
          <w:p>
            <w:pPr>
              <w:jc w:val="right"/>
              <w:ind w:right="609"/>
              <w:spacing w:after="0"/>
              <w:rPr>
                <w:sz w:val="20"/>
                <w:szCs w:val="20"/>
                <w:color w:val="auto"/>
              </w:rPr>
            </w:pPr>
            <w:r>
              <w:rPr>
                <w:rFonts w:ascii="Calibri" w:cs="Calibri" w:eastAsia="Calibri" w:hAnsi="Calibri"/>
                <w:sz w:val="14"/>
                <w:szCs w:val="14"/>
                <w:color w:val="51555C"/>
                <w:w w:val="83"/>
              </w:rPr>
              <w:t>$</w:t>
            </w:r>
          </w:p>
        </w:tc>
        <w:tc>
          <w:tcPr>
            <w:tcW w:w="1100" w:type="dxa"/>
            <w:vAlign w:val="bottom"/>
          </w:tcPr>
          <w:p>
            <w:pPr>
              <w:jc w:val="right"/>
              <w:spacing w:after="0"/>
              <w:rPr>
                <w:sz w:val="20"/>
                <w:szCs w:val="20"/>
                <w:color w:val="auto"/>
              </w:rPr>
            </w:pPr>
            <w:r>
              <w:rPr>
                <w:rFonts w:ascii="Calibri" w:cs="Calibri" w:eastAsia="Calibri" w:hAnsi="Calibri"/>
                <w:sz w:val="14"/>
                <w:szCs w:val="14"/>
                <w:color w:val="51555C"/>
              </w:rPr>
              <w:t>3,611</w:t>
            </w:r>
          </w:p>
        </w:tc>
        <w:tc>
          <w:tcPr>
            <w:tcW w:w="520" w:type="dxa"/>
            <w:vAlign w:val="bottom"/>
          </w:tcPr>
          <w:p>
            <w:pPr>
              <w:jc w:val="right"/>
              <w:ind w:right="369"/>
              <w:spacing w:after="0"/>
              <w:rPr>
                <w:sz w:val="20"/>
                <w:szCs w:val="20"/>
                <w:color w:val="auto"/>
              </w:rPr>
            </w:pPr>
            <w:r>
              <w:rPr>
                <w:rFonts w:ascii="Calibri" w:cs="Calibri" w:eastAsia="Calibri" w:hAnsi="Calibri"/>
                <w:sz w:val="14"/>
                <w:szCs w:val="14"/>
                <w:color w:val="51555C"/>
                <w:w w:val="83"/>
              </w:rPr>
              <w:t>$</w:t>
            </w:r>
          </w:p>
        </w:tc>
        <w:tc>
          <w:tcPr>
            <w:tcW w:w="1240" w:type="dxa"/>
            <w:vAlign w:val="bottom"/>
          </w:tcPr>
          <w:p>
            <w:pPr>
              <w:jc w:val="right"/>
              <w:spacing w:after="0"/>
              <w:rPr>
                <w:sz w:val="20"/>
                <w:szCs w:val="20"/>
                <w:color w:val="auto"/>
              </w:rPr>
            </w:pPr>
            <w:r>
              <w:rPr>
                <w:rFonts w:ascii="Calibri" w:cs="Calibri" w:eastAsia="Calibri" w:hAnsi="Calibri"/>
                <w:sz w:val="14"/>
                <w:szCs w:val="14"/>
                <w:color w:val="51555C"/>
              </w:rPr>
              <w:t>4,689</w:t>
            </w:r>
          </w:p>
        </w:tc>
        <w:tc>
          <w:tcPr>
            <w:tcW w:w="20" w:type="dxa"/>
            <w:vAlign w:val="bottom"/>
          </w:tcPr>
          <w:p>
            <w:pPr>
              <w:spacing w:after="0"/>
              <w:rPr>
                <w:sz w:val="19"/>
                <w:szCs w:val="19"/>
                <w:color w:val="auto"/>
              </w:rPr>
            </w:pPr>
          </w:p>
        </w:tc>
      </w:tr>
      <w:tr>
        <w:trPr>
          <w:trHeight w:val="174"/>
        </w:trPr>
        <w:tc>
          <w:tcPr>
            <w:tcW w:w="3940" w:type="dxa"/>
            <w:vAlign w:val="bottom"/>
          </w:tcPr>
          <w:p>
            <w:pPr>
              <w:ind w:left="20"/>
              <w:spacing w:after="0"/>
              <w:rPr>
                <w:sz w:val="20"/>
                <w:szCs w:val="20"/>
                <w:color w:val="auto"/>
              </w:rPr>
            </w:pPr>
            <w:r>
              <w:rPr>
                <w:rFonts w:ascii="Calibri" w:cs="Calibri" w:eastAsia="Calibri" w:hAnsi="Calibri"/>
                <w:sz w:val="14"/>
                <w:szCs w:val="14"/>
                <w:color w:val="51555C"/>
              </w:rPr>
              <w:t>Variable lease cost</w:t>
            </w:r>
          </w:p>
        </w:tc>
        <w:tc>
          <w:tcPr>
            <w:tcW w:w="9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alibri" w:cs="Calibri" w:eastAsia="Calibri" w:hAnsi="Calibri"/>
                <w:sz w:val="14"/>
                <w:szCs w:val="14"/>
                <w:color w:val="51555C"/>
              </w:rPr>
              <w:t>299</w:t>
            </w:r>
          </w:p>
        </w:tc>
        <w:tc>
          <w:tcPr>
            <w:tcW w:w="7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alibri" w:cs="Calibri" w:eastAsia="Calibri" w:hAnsi="Calibri"/>
                <w:sz w:val="14"/>
                <w:szCs w:val="14"/>
                <w:color w:val="51555C"/>
              </w:rPr>
              <w:t>395</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alibri" w:cs="Calibri" w:eastAsia="Calibri" w:hAnsi="Calibri"/>
                <w:sz w:val="14"/>
                <w:szCs w:val="14"/>
                <w:color w:val="51555C"/>
              </w:rPr>
              <w:t>612</w:t>
            </w:r>
          </w:p>
        </w:tc>
        <w:tc>
          <w:tcPr>
            <w:tcW w:w="5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Calibri" w:cs="Calibri" w:eastAsia="Calibri" w:hAnsi="Calibri"/>
                <w:sz w:val="14"/>
                <w:szCs w:val="14"/>
                <w:color w:val="51555C"/>
              </w:rPr>
              <w:t>827</w:t>
            </w:r>
          </w:p>
        </w:tc>
        <w:tc>
          <w:tcPr>
            <w:tcW w:w="20" w:type="dxa"/>
            <w:vAlign w:val="bottom"/>
          </w:tcPr>
          <w:p>
            <w:pPr>
              <w:spacing w:after="0"/>
              <w:rPr>
                <w:sz w:val="15"/>
                <w:szCs w:val="15"/>
                <w:color w:val="auto"/>
              </w:rPr>
            </w:pPr>
          </w:p>
        </w:tc>
      </w:tr>
      <w:tr>
        <w:trPr>
          <w:trHeight w:val="40"/>
        </w:trPr>
        <w:tc>
          <w:tcPr>
            <w:tcW w:w="39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12"/>
        </w:trPr>
        <w:tc>
          <w:tcPr>
            <w:tcW w:w="394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4"/>
                <w:szCs w:val="14"/>
                <w:color w:val="51555C"/>
              </w:rPr>
              <w:t>Sublease income</w:t>
            </w:r>
          </w:p>
        </w:tc>
        <w:tc>
          <w:tcPr>
            <w:tcW w:w="980" w:type="dxa"/>
            <w:vAlign w:val="bottom"/>
            <w:tcBorders>
              <w:bottom w:val="single" w:sz="8" w:color="EBFBFF"/>
            </w:tcBorders>
            <w:shd w:val="clear" w:color="auto" w:fill="EBFBFF"/>
          </w:tcPr>
          <w:p>
            <w:pPr>
              <w:spacing w:after="0"/>
              <w:rPr>
                <w:sz w:val="18"/>
                <w:szCs w:val="18"/>
                <w:color w:val="auto"/>
              </w:rPr>
            </w:pPr>
          </w:p>
        </w:tc>
        <w:tc>
          <w:tcPr>
            <w:tcW w:w="8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(906)</w:t>
            </w:r>
          </w:p>
        </w:tc>
        <w:tc>
          <w:tcPr>
            <w:tcW w:w="740" w:type="dxa"/>
            <w:vAlign w:val="bottom"/>
            <w:tcBorders>
              <w:bottom w:val="single" w:sz="8" w:color="EBFBFF"/>
            </w:tcBorders>
            <w:shd w:val="clear" w:color="auto" w:fill="EBFBFF"/>
          </w:tcPr>
          <w:p>
            <w:pPr>
              <w:spacing w:after="0"/>
              <w:rPr>
                <w:sz w:val="18"/>
                <w:szCs w:val="18"/>
                <w:color w:val="auto"/>
              </w:rPr>
            </w:pPr>
          </w:p>
        </w:tc>
        <w:tc>
          <w:tcPr>
            <w:tcW w:w="10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(854)</w:t>
            </w:r>
          </w:p>
        </w:tc>
        <w:tc>
          <w:tcPr>
            <w:tcW w:w="100" w:type="dxa"/>
            <w:vAlign w:val="bottom"/>
            <w:tcBorders>
              <w:bottom w:val="single" w:sz="8" w:color="EBFBFF"/>
            </w:tcBorders>
            <w:shd w:val="clear" w:color="auto" w:fill="EBFBFF"/>
          </w:tcPr>
          <w:p>
            <w:pPr>
              <w:spacing w:after="0"/>
              <w:rPr>
                <w:sz w:val="18"/>
                <w:szCs w:val="18"/>
                <w:color w:val="auto"/>
              </w:rPr>
            </w:pPr>
          </w:p>
        </w:tc>
        <w:tc>
          <w:tcPr>
            <w:tcW w:w="760" w:type="dxa"/>
            <w:vAlign w:val="bottom"/>
            <w:tcBorders>
              <w:bottom w:val="single" w:sz="8" w:color="EBFBFF"/>
            </w:tcBorders>
            <w:shd w:val="clear" w:color="auto" w:fill="EBFBFF"/>
          </w:tcPr>
          <w:p>
            <w:pPr>
              <w:spacing w:after="0"/>
              <w:rPr>
                <w:sz w:val="18"/>
                <w:szCs w:val="18"/>
                <w:color w:val="auto"/>
              </w:rPr>
            </w:pPr>
          </w:p>
        </w:tc>
        <w:tc>
          <w:tcPr>
            <w:tcW w:w="11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(1,604)</w:t>
            </w:r>
          </w:p>
        </w:tc>
        <w:tc>
          <w:tcPr>
            <w:tcW w:w="520" w:type="dxa"/>
            <w:vAlign w:val="bottom"/>
            <w:tcBorders>
              <w:bottom w:val="single" w:sz="8" w:color="EBFBFF"/>
            </w:tcBorders>
            <w:shd w:val="clear" w:color="auto" w:fill="EBFBFF"/>
          </w:tcPr>
          <w:p>
            <w:pPr>
              <w:spacing w:after="0"/>
              <w:rPr>
                <w:sz w:val="18"/>
                <w:szCs w:val="18"/>
                <w:color w:val="auto"/>
              </w:rPr>
            </w:pPr>
          </w:p>
        </w:tc>
        <w:tc>
          <w:tcPr>
            <w:tcW w:w="12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(1,665)</w:t>
            </w:r>
          </w:p>
        </w:tc>
        <w:tc>
          <w:tcPr>
            <w:tcW w:w="20" w:type="dxa"/>
            <w:vAlign w:val="bottom"/>
          </w:tcPr>
          <w:p>
            <w:pPr>
              <w:spacing w:after="0"/>
              <w:rPr>
                <w:sz w:val="18"/>
                <w:szCs w:val="18"/>
                <w:color w:val="auto"/>
              </w:rPr>
            </w:pPr>
          </w:p>
        </w:tc>
      </w:tr>
      <w:tr>
        <w:trPr>
          <w:trHeight w:val="163"/>
        </w:trPr>
        <w:tc>
          <w:tcPr>
            <w:tcW w:w="3940" w:type="dxa"/>
            <w:vAlign w:val="bottom"/>
          </w:tcPr>
          <w:p>
            <w:pPr>
              <w:ind w:left="100"/>
              <w:spacing w:after="0" w:line="152" w:lineRule="exact"/>
              <w:rPr>
                <w:sz w:val="20"/>
                <w:szCs w:val="20"/>
                <w:color w:val="auto"/>
              </w:rPr>
            </w:pPr>
            <w:r>
              <w:rPr>
                <w:rFonts w:ascii="Calibri" w:cs="Calibri" w:eastAsia="Calibri" w:hAnsi="Calibri"/>
                <w:sz w:val="14"/>
                <w:szCs w:val="14"/>
                <w:color w:val="51555C"/>
              </w:rPr>
              <w:t>Net lease cost</w:t>
            </w:r>
          </w:p>
        </w:tc>
        <w:tc>
          <w:tcPr>
            <w:tcW w:w="980" w:type="dxa"/>
            <w:vAlign w:val="bottom"/>
            <w:tcBorders>
              <w:top w:val="single" w:sz="8" w:color="51555C"/>
            </w:tcBorders>
          </w:tcPr>
          <w:p>
            <w:pPr>
              <w:jc w:val="right"/>
              <w:ind w:right="829"/>
              <w:spacing w:after="0" w:line="163" w:lineRule="exact"/>
              <w:rPr>
                <w:sz w:val="20"/>
                <w:szCs w:val="20"/>
                <w:color w:val="auto"/>
              </w:rPr>
            </w:pPr>
            <w:r>
              <w:rPr>
                <w:rFonts w:ascii="Calibri" w:cs="Calibri" w:eastAsia="Calibri" w:hAnsi="Calibri"/>
                <w:sz w:val="14"/>
                <w:szCs w:val="14"/>
                <w:color w:val="51555C"/>
                <w:w w:val="83"/>
              </w:rPr>
              <w:t>$</w:t>
            </w:r>
          </w:p>
        </w:tc>
        <w:tc>
          <w:tcPr>
            <w:tcW w:w="880" w:type="dxa"/>
            <w:vAlign w:val="bottom"/>
            <w:tcBorders>
              <w:top w:val="single" w:sz="8" w:color="51555C"/>
            </w:tcBorders>
          </w:tcPr>
          <w:p>
            <w:pPr>
              <w:jc w:val="right"/>
              <w:spacing w:after="0" w:line="163" w:lineRule="exact"/>
              <w:rPr>
                <w:sz w:val="20"/>
                <w:szCs w:val="20"/>
                <w:color w:val="auto"/>
              </w:rPr>
            </w:pPr>
            <w:r>
              <w:rPr>
                <w:rFonts w:ascii="Calibri" w:cs="Calibri" w:eastAsia="Calibri" w:hAnsi="Calibri"/>
                <w:sz w:val="14"/>
                <w:szCs w:val="14"/>
                <w:color w:val="51555C"/>
              </w:rPr>
              <w:t>1,018</w:t>
            </w:r>
          </w:p>
        </w:tc>
        <w:tc>
          <w:tcPr>
            <w:tcW w:w="740" w:type="dxa"/>
            <w:vAlign w:val="bottom"/>
            <w:tcBorders>
              <w:top w:val="single" w:sz="8" w:color="51555C"/>
            </w:tcBorders>
          </w:tcPr>
          <w:p>
            <w:pPr>
              <w:jc w:val="right"/>
              <w:ind w:right="589"/>
              <w:spacing w:after="0" w:line="163" w:lineRule="exact"/>
              <w:rPr>
                <w:sz w:val="20"/>
                <w:szCs w:val="20"/>
                <w:color w:val="auto"/>
              </w:rPr>
            </w:pPr>
            <w:r>
              <w:rPr>
                <w:rFonts w:ascii="Calibri" w:cs="Calibri" w:eastAsia="Calibri" w:hAnsi="Calibri"/>
                <w:sz w:val="14"/>
                <w:szCs w:val="14"/>
                <w:color w:val="51555C"/>
                <w:w w:val="83"/>
              </w:rPr>
              <w:t>$</w:t>
            </w:r>
          </w:p>
        </w:tc>
        <w:tc>
          <w:tcPr>
            <w:tcW w:w="1020" w:type="dxa"/>
            <w:vAlign w:val="bottom"/>
            <w:tcBorders>
              <w:top w:val="single" w:sz="8" w:color="51555C"/>
            </w:tcBorders>
          </w:tcPr>
          <w:p>
            <w:pPr>
              <w:jc w:val="right"/>
              <w:spacing w:after="0" w:line="163" w:lineRule="exact"/>
              <w:rPr>
                <w:sz w:val="20"/>
                <w:szCs w:val="20"/>
                <w:color w:val="auto"/>
              </w:rPr>
            </w:pPr>
            <w:r>
              <w:rPr>
                <w:rFonts w:ascii="Calibri" w:cs="Calibri" w:eastAsia="Calibri" w:hAnsi="Calibri"/>
                <w:sz w:val="14"/>
                <w:szCs w:val="14"/>
                <w:color w:val="51555C"/>
              </w:rPr>
              <w:t>1,845</w:t>
            </w:r>
          </w:p>
        </w:tc>
        <w:tc>
          <w:tcPr>
            <w:tcW w:w="100" w:type="dxa"/>
            <w:vAlign w:val="bottom"/>
          </w:tcPr>
          <w:p>
            <w:pPr>
              <w:spacing w:after="0"/>
              <w:rPr>
                <w:sz w:val="14"/>
                <w:szCs w:val="14"/>
                <w:color w:val="auto"/>
              </w:rPr>
            </w:pPr>
          </w:p>
        </w:tc>
        <w:tc>
          <w:tcPr>
            <w:tcW w:w="760" w:type="dxa"/>
            <w:vAlign w:val="bottom"/>
            <w:tcBorders>
              <w:top w:val="single" w:sz="8" w:color="51555C"/>
            </w:tcBorders>
          </w:tcPr>
          <w:p>
            <w:pPr>
              <w:jc w:val="right"/>
              <w:ind w:right="609"/>
              <w:spacing w:after="0" w:line="163" w:lineRule="exact"/>
              <w:rPr>
                <w:sz w:val="20"/>
                <w:szCs w:val="20"/>
                <w:color w:val="auto"/>
              </w:rPr>
            </w:pPr>
            <w:r>
              <w:rPr>
                <w:rFonts w:ascii="Calibri" w:cs="Calibri" w:eastAsia="Calibri" w:hAnsi="Calibri"/>
                <w:sz w:val="14"/>
                <w:szCs w:val="14"/>
                <w:color w:val="51555C"/>
                <w:w w:val="83"/>
              </w:rPr>
              <w:t>$</w:t>
            </w:r>
          </w:p>
        </w:tc>
        <w:tc>
          <w:tcPr>
            <w:tcW w:w="1100" w:type="dxa"/>
            <w:vAlign w:val="bottom"/>
            <w:tcBorders>
              <w:top w:val="single" w:sz="8" w:color="51555C"/>
            </w:tcBorders>
          </w:tcPr>
          <w:p>
            <w:pPr>
              <w:jc w:val="right"/>
              <w:spacing w:after="0" w:line="163" w:lineRule="exact"/>
              <w:rPr>
                <w:sz w:val="20"/>
                <w:szCs w:val="20"/>
                <w:color w:val="auto"/>
              </w:rPr>
            </w:pPr>
            <w:r>
              <w:rPr>
                <w:rFonts w:ascii="Calibri" w:cs="Calibri" w:eastAsia="Calibri" w:hAnsi="Calibri"/>
                <w:sz w:val="14"/>
                <w:szCs w:val="14"/>
                <w:color w:val="51555C"/>
              </w:rPr>
              <w:t>2,619</w:t>
            </w:r>
          </w:p>
        </w:tc>
        <w:tc>
          <w:tcPr>
            <w:tcW w:w="520" w:type="dxa"/>
            <w:vAlign w:val="bottom"/>
            <w:tcBorders>
              <w:top w:val="single" w:sz="8" w:color="51555C"/>
            </w:tcBorders>
          </w:tcPr>
          <w:p>
            <w:pPr>
              <w:jc w:val="right"/>
              <w:ind w:right="369"/>
              <w:spacing w:after="0" w:line="163" w:lineRule="exact"/>
              <w:rPr>
                <w:sz w:val="20"/>
                <w:szCs w:val="20"/>
                <w:color w:val="auto"/>
              </w:rPr>
            </w:pPr>
            <w:r>
              <w:rPr>
                <w:rFonts w:ascii="Calibri" w:cs="Calibri" w:eastAsia="Calibri" w:hAnsi="Calibri"/>
                <w:sz w:val="14"/>
                <w:szCs w:val="14"/>
                <w:color w:val="51555C"/>
                <w:w w:val="83"/>
              </w:rPr>
              <w:t>$</w:t>
            </w:r>
          </w:p>
        </w:tc>
        <w:tc>
          <w:tcPr>
            <w:tcW w:w="1240" w:type="dxa"/>
            <w:vAlign w:val="bottom"/>
            <w:tcBorders>
              <w:top w:val="single" w:sz="8" w:color="51555C"/>
            </w:tcBorders>
          </w:tcPr>
          <w:p>
            <w:pPr>
              <w:jc w:val="right"/>
              <w:spacing w:after="0" w:line="163" w:lineRule="exact"/>
              <w:rPr>
                <w:sz w:val="20"/>
                <w:szCs w:val="20"/>
                <w:color w:val="auto"/>
              </w:rPr>
            </w:pPr>
            <w:r>
              <w:rPr>
                <w:rFonts w:ascii="Calibri" w:cs="Calibri" w:eastAsia="Calibri" w:hAnsi="Calibri"/>
                <w:sz w:val="14"/>
                <w:szCs w:val="14"/>
                <w:color w:val="51555C"/>
              </w:rPr>
              <w:t>3,851</w:t>
            </w:r>
          </w:p>
        </w:tc>
        <w:tc>
          <w:tcPr>
            <w:tcW w:w="20" w:type="dxa"/>
            <w:vAlign w:val="bottom"/>
          </w:tcPr>
          <w:p>
            <w:pPr>
              <w:spacing w:after="0"/>
              <w:rPr>
                <w:sz w:val="14"/>
                <w:szCs w:val="14"/>
                <w:color w:val="auto"/>
              </w:rPr>
            </w:pPr>
          </w:p>
        </w:tc>
      </w:tr>
      <w:tr>
        <w:trPr>
          <w:trHeight w:val="40"/>
        </w:trPr>
        <w:tc>
          <w:tcPr>
            <w:tcW w:w="3940" w:type="dxa"/>
            <w:vAlign w:val="bottom"/>
            <w:tcBorders>
              <w:bottom w:val="single" w:sz="8" w:color="0CD973"/>
            </w:tcBorders>
          </w:tcPr>
          <w:p>
            <w:pPr>
              <w:spacing w:after="0"/>
              <w:rPr>
                <w:sz w:val="3"/>
                <w:szCs w:val="3"/>
                <w:color w:val="auto"/>
              </w:rPr>
            </w:pPr>
          </w:p>
        </w:tc>
        <w:tc>
          <w:tcPr>
            <w:tcW w:w="980" w:type="dxa"/>
            <w:vAlign w:val="bottom"/>
            <w:tcBorders>
              <w:bottom w:val="single" w:sz="8" w:color="0CD973"/>
            </w:tcBorders>
          </w:tcPr>
          <w:p>
            <w:pPr>
              <w:spacing w:after="0"/>
              <w:rPr>
                <w:sz w:val="3"/>
                <w:szCs w:val="3"/>
                <w:color w:val="auto"/>
              </w:rPr>
            </w:pPr>
          </w:p>
        </w:tc>
        <w:tc>
          <w:tcPr>
            <w:tcW w:w="880" w:type="dxa"/>
            <w:vAlign w:val="bottom"/>
            <w:tcBorders>
              <w:bottom w:val="single" w:sz="8" w:color="0CD973"/>
            </w:tcBorders>
          </w:tcPr>
          <w:p>
            <w:pPr>
              <w:spacing w:after="0"/>
              <w:rPr>
                <w:sz w:val="3"/>
                <w:szCs w:val="3"/>
                <w:color w:val="auto"/>
              </w:rPr>
            </w:pPr>
          </w:p>
        </w:tc>
        <w:tc>
          <w:tcPr>
            <w:tcW w:w="740" w:type="dxa"/>
            <w:vAlign w:val="bottom"/>
            <w:tcBorders>
              <w:bottom w:val="single" w:sz="8" w:color="0CD973"/>
            </w:tcBorders>
          </w:tcPr>
          <w:p>
            <w:pPr>
              <w:spacing w:after="0"/>
              <w:rPr>
                <w:sz w:val="3"/>
                <w:szCs w:val="3"/>
                <w:color w:val="auto"/>
              </w:rPr>
            </w:pPr>
          </w:p>
        </w:tc>
        <w:tc>
          <w:tcPr>
            <w:tcW w:w="1020" w:type="dxa"/>
            <w:vAlign w:val="bottom"/>
            <w:tcBorders>
              <w:bottom w:val="single" w:sz="8" w:color="0CD973"/>
            </w:tcBorders>
          </w:tcPr>
          <w:p>
            <w:pPr>
              <w:spacing w:after="0"/>
              <w:rPr>
                <w:sz w:val="3"/>
                <w:szCs w:val="3"/>
                <w:color w:val="auto"/>
              </w:rPr>
            </w:pPr>
          </w:p>
        </w:tc>
        <w:tc>
          <w:tcPr>
            <w:tcW w:w="100" w:type="dxa"/>
            <w:vAlign w:val="bottom"/>
            <w:tcBorders>
              <w:bottom w:val="single" w:sz="8" w:color="0CD973"/>
            </w:tcBorders>
          </w:tcPr>
          <w:p>
            <w:pPr>
              <w:spacing w:after="0"/>
              <w:rPr>
                <w:sz w:val="3"/>
                <w:szCs w:val="3"/>
                <w:color w:val="auto"/>
              </w:rPr>
            </w:pPr>
          </w:p>
        </w:tc>
        <w:tc>
          <w:tcPr>
            <w:tcW w:w="760" w:type="dxa"/>
            <w:vAlign w:val="bottom"/>
            <w:tcBorders>
              <w:bottom w:val="single" w:sz="8" w:color="0CD973"/>
            </w:tcBorders>
          </w:tcPr>
          <w:p>
            <w:pPr>
              <w:spacing w:after="0"/>
              <w:rPr>
                <w:sz w:val="3"/>
                <w:szCs w:val="3"/>
                <w:color w:val="auto"/>
              </w:rPr>
            </w:pPr>
          </w:p>
        </w:tc>
        <w:tc>
          <w:tcPr>
            <w:tcW w:w="1100" w:type="dxa"/>
            <w:vAlign w:val="bottom"/>
            <w:tcBorders>
              <w:bottom w:val="single" w:sz="8" w:color="0CD973"/>
            </w:tcBorders>
          </w:tcPr>
          <w:p>
            <w:pPr>
              <w:spacing w:after="0"/>
              <w:rPr>
                <w:sz w:val="3"/>
                <w:szCs w:val="3"/>
                <w:color w:val="auto"/>
              </w:rPr>
            </w:pPr>
          </w:p>
        </w:tc>
        <w:tc>
          <w:tcPr>
            <w:tcW w:w="520" w:type="dxa"/>
            <w:vAlign w:val="bottom"/>
            <w:tcBorders>
              <w:bottom w:val="single" w:sz="8" w:color="0CD973"/>
            </w:tcBorders>
          </w:tcPr>
          <w:p>
            <w:pPr>
              <w:spacing w:after="0"/>
              <w:rPr>
                <w:sz w:val="3"/>
                <w:szCs w:val="3"/>
                <w:color w:val="auto"/>
              </w:rPr>
            </w:pPr>
          </w:p>
        </w:tc>
        <w:tc>
          <w:tcPr>
            <w:tcW w:w="1240" w:type="dxa"/>
            <w:vAlign w:val="bottom"/>
            <w:tcBorders>
              <w:bottom w:val="single" w:sz="8" w:color="0CD973"/>
            </w:tcBorders>
          </w:tcPr>
          <w:p>
            <w:pPr>
              <w:spacing w:after="0"/>
              <w:rPr>
                <w:sz w:val="3"/>
                <w:szCs w:val="3"/>
                <w:color w:val="auto"/>
              </w:rPr>
            </w:pPr>
          </w:p>
        </w:tc>
        <w:tc>
          <w:tcPr>
            <w:tcW w:w="20" w:type="dxa"/>
            <w:vAlign w:val="bottom"/>
          </w:tcPr>
          <w:p>
            <w:pPr>
              <w:spacing w:after="0"/>
              <w:rPr>
                <w:sz w:val="3"/>
                <w:szCs w:val="3"/>
                <w:color w:val="auto"/>
              </w:rPr>
            </w:pPr>
          </w:p>
        </w:tc>
      </w:tr>
      <w:tr>
        <w:trPr>
          <w:trHeight w:val="167"/>
        </w:trPr>
        <w:tc>
          <w:tcPr>
            <w:tcW w:w="3940" w:type="dxa"/>
            <w:vAlign w:val="bottom"/>
          </w:tcPr>
          <w:p>
            <w:pPr>
              <w:spacing w:after="0"/>
              <w:rPr>
                <w:sz w:val="20"/>
                <w:szCs w:val="20"/>
                <w:color w:val="auto"/>
              </w:rPr>
            </w:pPr>
            <w:r>
              <w:rPr>
                <w:rFonts w:ascii="Calibri" w:cs="Calibri" w:eastAsia="Calibri" w:hAnsi="Calibri"/>
                <w:sz w:val="11"/>
                <w:szCs w:val="11"/>
                <w:color w:val="51555C"/>
              </w:rPr>
              <w:t>(1)  Includes short-term lease costs, which were immaterial.</w:t>
            </w: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03"/>
        </w:trPr>
        <w:tc>
          <w:tcPr>
            <w:tcW w:w="4920" w:type="dxa"/>
            <w:vAlign w:val="bottom"/>
            <w:gridSpan w:val="2"/>
          </w:tcPr>
          <w:p>
            <w:pPr>
              <w:spacing w:after="0"/>
              <w:rPr>
                <w:sz w:val="20"/>
                <w:szCs w:val="20"/>
                <w:color w:val="auto"/>
              </w:rPr>
            </w:pPr>
            <w:r>
              <w:rPr>
                <w:rFonts w:ascii="Calibri" w:cs="Calibri" w:eastAsia="Calibri" w:hAnsi="Calibri"/>
                <w:sz w:val="14"/>
                <w:szCs w:val="14"/>
                <w:color w:val="51555C"/>
              </w:rPr>
              <w:t>Maturites of our operatng lease liabilites as of June 30, 2024 were as follows:</w:t>
            </w: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3"/>
        </w:trPr>
        <w:tc>
          <w:tcPr>
            <w:tcW w:w="3940" w:type="dxa"/>
            <w:vAlign w:val="bottom"/>
          </w:tcPr>
          <w:p>
            <w:pPr>
              <w:spacing w:after="0"/>
              <w:rPr>
                <w:sz w:val="7"/>
                <w:szCs w:val="7"/>
                <w:color w:val="auto"/>
              </w:rPr>
            </w:pPr>
          </w:p>
        </w:tc>
        <w:tc>
          <w:tcPr>
            <w:tcW w:w="980" w:type="dxa"/>
            <w:vAlign w:val="bottom"/>
          </w:tcPr>
          <w:p>
            <w:pPr>
              <w:spacing w:after="0"/>
              <w:rPr>
                <w:sz w:val="7"/>
                <w:szCs w:val="7"/>
                <w:color w:val="auto"/>
              </w:rPr>
            </w:pPr>
          </w:p>
        </w:tc>
        <w:tc>
          <w:tcPr>
            <w:tcW w:w="8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45"/>
        </w:trPr>
        <w:tc>
          <w:tcPr>
            <w:tcW w:w="3940" w:type="dxa"/>
            <w:vAlign w:val="bottom"/>
            <w:shd w:val="clear" w:color="auto" w:fill="004054"/>
          </w:tcPr>
          <w:p>
            <w:pPr>
              <w:ind w:left="20"/>
              <w:spacing w:after="0"/>
              <w:rPr>
                <w:sz w:val="20"/>
                <w:szCs w:val="20"/>
                <w:color w:val="auto"/>
              </w:rPr>
            </w:pPr>
            <w:r>
              <w:rPr>
                <w:rFonts w:ascii="Calibri" w:cs="Calibri" w:eastAsia="Calibri" w:hAnsi="Calibri"/>
                <w:sz w:val="11"/>
                <w:szCs w:val="11"/>
                <w:b w:val="1"/>
                <w:bCs w:val="1"/>
                <w:color w:val="FFFFFF"/>
              </w:rPr>
              <w:t>Years ending December 31,</w:t>
            </w:r>
          </w:p>
        </w:tc>
        <w:tc>
          <w:tcPr>
            <w:tcW w:w="980" w:type="dxa"/>
            <w:vAlign w:val="bottom"/>
            <w:shd w:val="clear" w:color="auto" w:fill="004054"/>
          </w:tcPr>
          <w:p>
            <w:pPr>
              <w:spacing w:after="0"/>
              <w:rPr>
                <w:sz w:val="12"/>
                <w:szCs w:val="12"/>
                <w:color w:val="auto"/>
              </w:rPr>
            </w:pPr>
          </w:p>
        </w:tc>
        <w:tc>
          <w:tcPr>
            <w:tcW w:w="880" w:type="dxa"/>
            <w:vAlign w:val="bottom"/>
            <w:shd w:val="clear" w:color="auto" w:fill="004054"/>
          </w:tcPr>
          <w:p>
            <w:pPr>
              <w:spacing w:after="0"/>
              <w:rPr>
                <w:sz w:val="12"/>
                <w:szCs w:val="12"/>
                <w:color w:val="auto"/>
              </w:rPr>
            </w:pPr>
          </w:p>
        </w:tc>
        <w:tc>
          <w:tcPr>
            <w:tcW w:w="740" w:type="dxa"/>
            <w:vAlign w:val="bottom"/>
            <w:shd w:val="clear" w:color="auto" w:fill="004054"/>
          </w:tcPr>
          <w:p>
            <w:pPr>
              <w:spacing w:after="0"/>
              <w:rPr>
                <w:sz w:val="12"/>
                <w:szCs w:val="12"/>
                <w:color w:val="auto"/>
              </w:rPr>
            </w:pPr>
          </w:p>
        </w:tc>
        <w:tc>
          <w:tcPr>
            <w:tcW w:w="1020" w:type="dxa"/>
            <w:vAlign w:val="bottom"/>
            <w:shd w:val="clear" w:color="auto" w:fill="004054"/>
          </w:tcPr>
          <w:p>
            <w:pPr>
              <w:spacing w:after="0"/>
              <w:rPr>
                <w:sz w:val="12"/>
                <w:szCs w:val="12"/>
                <w:color w:val="auto"/>
              </w:rPr>
            </w:pPr>
          </w:p>
        </w:tc>
        <w:tc>
          <w:tcPr>
            <w:tcW w:w="100" w:type="dxa"/>
            <w:vAlign w:val="bottom"/>
            <w:shd w:val="clear" w:color="auto" w:fill="004054"/>
          </w:tcPr>
          <w:p>
            <w:pPr>
              <w:spacing w:after="0"/>
              <w:rPr>
                <w:sz w:val="12"/>
                <w:szCs w:val="12"/>
                <w:color w:val="auto"/>
              </w:rPr>
            </w:pPr>
          </w:p>
        </w:tc>
        <w:tc>
          <w:tcPr>
            <w:tcW w:w="760" w:type="dxa"/>
            <w:vAlign w:val="bottom"/>
            <w:shd w:val="clear" w:color="auto" w:fill="004054"/>
          </w:tcPr>
          <w:p>
            <w:pPr>
              <w:spacing w:after="0"/>
              <w:rPr>
                <w:sz w:val="12"/>
                <w:szCs w:val="12"/>
                <w:color w:val="auto"/>
              </w:rPr>
            </w:pPr>
          </w:p>
        </w:tc>
        <w:tc>
          <w:tcPr>
            <w:tcW w:w="1100" w:type="dxa"/>
            <w:vAlign w:val="bottom"/>
            <w:shd w:val="clear" w:color="auto" w:fill="004054"/>
          </w:tcPr>
          <w:p>
            <w:pPr>
              <w:spacing w:after="0"/>
              <w:rPr>
                <w:sz w:val="12"/>
                <w:szCs w:val="12"/>
                <w:color w:val="auto"/>
              </w:rPr>
            </w:pPr>
          </w:p>
        </w:tc>
        <w:tc>
          <w:tcPr>
            <w:tcW w:w="520" w:type="dxa"/>
            <w:vAlign w:val="bottom"/>
            <w:shd w:val="clear" w:color="auto" w:fill="004054"/>
          </w:tcPr>
          <w:p>
            <w:pPr>
              <w:spacing w:after="0"/>
              <w:rPr>
                <w:sz w:val="12"/>
                <w:szCs w:val="12"/>
                <w:color w:val="auto"/>
              </w:rPr>
            </w:pPr>
          </w:p>
        </w:tc>
        <w:tc>
          <w:tcPr>
            <w:tcW w:w="1240" w:type="dxa"/>
            <w:vAlign w:val="bottom"/>
            <w:shd w:val="clear" w:color="auto" w:fill="004054"/>
          </w:tcPr>
          <w:p>
            <w:pPr>
              <w:spacing w:after="0"/>
              <w:rPr>
                <w:sz w:val="12"/>
                <w:szCs w:val="12"/>
                <w:color w:val="auto"/>
              </w:rPr>
            </w:pPr>
          </w:p>
        </w:tc>
        <w:tc>
          <w:tcPr>
            <w:tcW w:w="20" w:type="dxa"/>
            <w:vAlign w:val="bottom"/>
            <w:shd w:val="clear" w:color="auto" w:fill="004054"/>
          </w:tcPr>
          <w:p>
            <w:pPr>
              <w:spacing w:after="0"/>
              <w:rPr>
                <w:sz w:val="12"/>
                <w:szCs w:val="12"/>
                <w:color w:val="auto"/>
              </w:rPr>
            </w:pPr>
          </w:p>
        </w:tc>
      </w:tr>
      <w:tr>
        <w:trPr>
          <w:trHeight w:val="175"/>
        </w:trPr>
        <w:tc>
          <w:tcPr>
            <w:tcW w:w="3940" w:type="dxa"/>
            <w:vAlign w:val="bottom"/>
            <w:tcBorders>
              <w:bottom w:val="single" w:sz="8" w:color="004054"/>
            </w:tcBorders>
            <w:shd w:val="clear" w:color="auto" w:fill="004054"/>
          </w:tcPr>
          <w:p>
            <w:pPr>
              <w:ind w:left="20"/>
              <w:spacing w:after="0"/>
              <w:rPr>
                <w:sz w:val="20"/>
                <w:szCs w:val="20"/>
                <w:color w:val="auto"/>
              </w:rPr>
            </w:pPr>
            <w:r>
              <w:rPr>
                <w:rFonts w:ascii="Calibri" w:cs="Calibri" w:eastAsia="Calibri" w:hAnsi="Calibri"/>
                <w:sz w:val="11"/>
                <w:szCs w:val="11"/>
                <w:b w:val="1"/>
                <w:bCs w:val="1"/>
                <w:color w:val="FFFFFF"/>
              </w:rPr>
              <w:t>(dollars in thousands)</w:t>
            </w:r>
          </w:p>
        </w:tc>
        <w:tc>
          <w:tcPr>
            <w:tcW w:w="980" w:type="dxa"/>
            <w:vAlign w:val="bottom"/>
            <w:tcBorders>
              <w:bottom w:val="single" w:sz="8" w:color="004054"/>
            </w:tcBorders>
            <w:shd w:val="clear" w:color="auto" w:fill="004054"/>
          </w:tcPr>
          <w:p>
            <w:pPr>
              <w:spacing w:after="0"/>
              <w:rPr>
                <w:sz w:val="15"/>
                <w:szCs w:val="15"/>
                <w:color w:val="auto"/>
              </w:rPr>
            </w:pPr>
          </w:p>
        </w:tc>
        <w:tc>
          <w:tcPr>
            <w:tcW w:w="880" w:type="dxa"/>
            <w:vAlign w:val="bottom"/>
            <w:tcBorders>
              <w:bottom w:val="single" w:sz="8" w:color="004054"/>
            </w:tcBorders>
            <w:shd w:val="clear" w:color="auto" w:fill="004054"/>
          </w:tcPr>
          <w:p>
            <w:pPr>
              <w:spacing w:after="0"/>
              <w:rPr>
                <w:sz w:val="15"/>
                <w:szCs w:val="15"/>
                <w:color w:val="auto"/>
              </w:rPr>
            </w:pPr>
          </w:p>
        </w:tc>
        <w:tc>
          <w:tcPr>
            <w:tcW w:w="740" w:type="dxa"/>
            <w:vAlign w:val="bottom"/>
            <w:tcBorders>
              <w:bottom w:val="single" w:sz="8" w:color="004054"/>
            </w:tcBorders>
            <w:shd w:val="clear" w:color="auto" w:fill="004054"/>
          </w:tcPr>
          <w:p>
            <w:pPr>
              <w:spacing w:after="0"/>
              <w:rPr>
                <w:sz w:val="15"/>
                <w:szCs w:val="15"/>
                <w:color w:val="auto"/>
              </w:rPr>
            </w:pPr>
          </w:p>
        </w:tc>
        <w:tc>
          <w:tcPr>
            <w:tcW w:w="1020" w:type="dxa"/>
            <w:vAlign w:val="bottom"/>
            <w:tcBorders>
              <w:bottom w:val="single" w:sz="8" w:color="004054"/>
            </w:tcBorders>
            <w:shd w:val="clear" w:color="auto" w:fill="004054"/>
          </w:tcPr>
          <w:p>
            <w:pPr>
              <w:spacing w:after="0"/>
              <w:rPr>
                <w:sz w:val="15"/>
                <w:szCs w:val="15"/>
                <w:color w:val="auto"/>
              </w:rPr>
            </w:pPr>
          </w:p>
        </w:tc>
        <w:tc>
          <w:tcPr>
            <w:tcW w:w="100" w:type="dxa"/>
            <w:vAlign w:val="bottom"/>
            <w:tcBorders>
              <w:bottom w:val="single" w:sz="8" w:color="004054"/>
            </w:tcBorders>
            <w:shd w:val="clear" w:color="auto" w:fill="004054"/>
          </w:tcPr>
          <w:p>
            <w:pPr>
              <w:spacing w:after="0"/>
              <w:rPr>
                <w:sz w:val="15"/>
                <w:szCs w:val="15"/>
                <w:color w:val="auto"/>
              </w:rPr>
            </w:pPr>
          </w:p>
        </w:tc>
        <w:tc>
          <w:tcPr>
            <w:tcW w:w="760" w:type="dxa"/>
            <w:vAlign w:val="bottom"/>
            <w:tcBorders>
              <w:bottom w:val="single" w:sz="8" w:color="004054"/>
            </w:tcBorders>
            <w:shd w:val="clear" w:color="auto" w:fill="004054"/>
          </w:tcPr>
          <w:p>
            <w:pPr>
              <w:spacing w:after="0"/>
              <w:rPr>
                <w:sz w:val="15"/>
                <w:szCs w:val="15"/>
                <w:color w:val="auto"/>
              </w:rPr>
            </w:pPr>
          </w:p>
        </w:tc>
        <w:tc>
          <w:tcPr>
            <w:tcW w:w="1100" w:type="dxa"/>
            <w:vAlign w:val="bottom"/>
            <w:tcBorders>
              <w:bottom w:val="single" w:sz="8" w:color="004054"/>
            </w:tcBorders>
            <w:shd w:val="clear" w:color="auto" w:fill="004054"/>
          </w:tcPr>
          <w:p>
            <w:pPr>
              <w:spacing w:after="0"/>
              <w:rPr>
                <w:sz w:val="15"/>
                <w:szCs w:val="15"/>
                <w:color w:val="auto"/>
              </w:rPr>
            </w:pPr>
          </w:p>
        </w:tc>
        <w:tc>
          <w:tcPr>
            <w:tcW w:w="520" w:type="dxa"/>
            <w:vAlign w:val="bottom"/>
            <w:tcBorders>
              <w:bottom w:val="single" w:sz="8" w:color="004054"/>
            </w:tcBorders>
            <w:shd w:val="clear" w:color="auto" w:fill="004054"/>
          </w:tcPr>
          <w:p>
            <w:pPr>
              <w:spacing w:after="0"/>
              <w:rPr>
                <w:sz w:val="15"/>
                <w:szCs w:val="15"/>
                <w:color w:val="auto"/>
              </w:rPr>
            </w:pPr>
          </w:p>
        </w:tc>
        <w:tc>
          <w:tcPr>
            <w:tcW w:w="1240" w:type="dxa"/>
            <w:vAlign w:val="bottom"/>
            <w:tcBorders>
              <w:bottom w:val="single" w:sz="8" w:color="004054"/>
            </w:tcBorders>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Operatng leases</w:t>
            </w:r>
          </w:p>
        </w:tc>
        <w:tc>
          <w:tcPr>
            <w:tcW w:w="20" w:type="dxa"/>
            <w:vAlign w:val="bottom"/>
            <w:tcBorders>
              <w:bottom w:val="single" w:sz="8" w:color="004054"/>
            </w:tcBorders>
            <w:shd w:val="clear" w:color="auto" w:fill="004054"/>
          </w:tcPr>
          <w:p>
            <w:pPr>
              <w:spacing w:after="0"/>
              <w:rPr>
                <w:sz w:val="15"/>
                <w:szCs w:val="15"/>
                <w:color w:val="auto"/>
              </w:rPr>
            </w:pPr>
          </w:p>
        </w:tc>
      </w:tr>
      <w:tr>
        <w:trPr>
          <w:trHeight w:val="192"/>
        </w:trPr>
        <w:tc>
          <w:tcPr>
            <w:tcW w:w="394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4"/>
                <w:szCs w:val="14"/>
                <w:color w:val="51555C"/>
              </w:rPr>
              <w:t>2024 - remaining</w:t>
            </w:r>
          </w:p>
        </w:tc>
        <w:tc>
          <w:tcPr>
            <w:tcW w:w="980" w:type="dxa"/>
            <w:vAlign w:val="bottom"/>
            <w:tcBorders>
              <w:bottom w:val="single" w:sz="8" w:color="EBFBFF"/>
            </w:tcBorders>
            <w:shd w:val="clear" w:color="auto" w:fill="EBFBFF"/>
          </w:tcPr>
          <w:p>
            <w:pPr>
              <w:spacing w:after="0"/>
              <w:rPr>
                <w:sz w:val="16"/>
                <w:szCs w:val="16"/>
                <w:color w:val="auto"/>
              </w:rPr>
            </w:pPr>
          </w:p>
        </w:tc>
        <w:tc>
          <w:tcPr>
            <w:tcW w:w="880" w:type="dxa"/>
            <w:vAlign w:val="bottom"/>
            <w:tcBorders>
              <w:bottom w:val="single" w:sz="8" w:color="EBFBFF"/>
            </w:tcBorders>
            <w:shd w:val="clear" w:color="auto" w:fill="EBFBFF"/>
          </w:tcPr>
          <w:p>
            <w:pPr>
              <w:spacing w:after="0"/>
              <w:rPr>
                <w:sz w:val="16"/>
                <w:szCs w:val="16"/>
                <w:color w:val="auto"/>
              </w:rPr>
            </w:pPr>
          </w:p>
        </w:tc>
        <w:tc>
          <w:tcPr>
            <w:tcW w:w="740" w:type="dxa"/>
            <w:vAlign w:val="bottom"/>
            <w:tcBorders>
              <w:bottom w:val="single" w:sz="8" w:color="EBFBFF"/>
            </w:tcBorders>
            <w:shd w:val="clear" w:color="auto" w:fill="EBFBFF"/>
          </w:tcPr>
          <w:p>
            <w:pPr>
              <w:spacing w:after="0"/>
              <w:rPr>
                <w:sz w:val="16"/>
                <w:szCs w:val="16"/>
                <w:color w:val="auto"/>
              </w:rPr>
            </w:pPr>
          </w:p>
        </w:tc>
        <w:tc>
          <w:tcPr>
            <w:tcW w:w="1020" w:type="dxa"/>
            <w:vAlign w:val="bottom"/>
            <w:tcBorders>
              <w:bottom w:val="single" w:sz="8" w:color="EBFBFF"/>
            </w:tcBorders>
            <w:shd w:val="clear" w:color="auto" w:fill="EBFBFF"/>
          </w:tcPr>
          <w:p>
            <w:pPr>
              <w:spacing w:after="0"/>
              <w:rPr>
                <w:sz w:val="16"/>
                <w:szCs w:val="16"/>
                <w:color w:val="auto"/>
              </w:rPr>
            </w:pPr>
          </w:p>
        </w:tc>
        <w:tc>
          <w:tcPr>
            <w:tcW w:w="100" w:type="dxa"/>
            <w:vAlign w:val="bottom"/>
            <w:tcBorders>
              <w:bottom w:val="single" w:sz="8" w:color="EBFBFF"/>
            </w:tcBorders>
            <w:shd w:val="clear" w:color="auto" w:fill="EBFBFF"/>
          </w:tcPr>
          <w:p>
            <w:pPr>
              <w:spacing w:after="0"/>
              <w:rPr>
                <w:sz w:val="16"/>
                <w:szCs w:val="16"/>
                <w:color w:val="auto"/>
              </w:rPr>
            </w:pPr>
          </w:p>
        </w:tc>
        <w:tc>
          <w:tcPr>
            <w:tcW w:w="760" w:type="dxa"/>
            <w:vAlign w:val="bottom"/>
            <w:tcBorders>
              <w:bottom w:val="single" w:sz="8" w:color="EBFBFF"/>
            </w:tcBorders>
            <w:shd w:val="clear" w:color="auto" w:fill="EBFBFF"/>
          </w:tcPr>
          <w:p>
            <w:pPr>
              <w:spacing w:after="0"/>
              <w:rPr>
                <w:sz w:val="16"/>
                <w:szCs w:val="16"/>
                <w:color w:val="auto"/>
              </w:rPr>
            </w:pPr>
          </w:p>
        </w:tc>
        <w:tc>
          <w:tcPr>
            <w:tcW w:w="1100" w:type="dxa"/>
            <w:vAlign w:val="bottom"/>
            <w:tcBorders>
              <w:bottom w:val="single" w:sz="8" w:color="EBFBFF"/>
            </w:tcBorders>
            <w:shd w:val="clear" w:color="auto" w:fill="EBFBFF"/>
          </w:tcPr>
          <w:p>
            <w:pPr>
              <w:spacing w:after="0"/>
              <w:rPr>
                <w:sz w:val="16"/>
                <w:szCs w:val="16"/>
                <w:color w:val="auto"/>
              </w:rPr>
            </w:pPr>
          </w:p>
        </w:tc>
        <w:tc>
          <w:tcPr>
            <w:tcW w:w="520" w:type="dxa"/>
            <w:vAlign w:val="bottom"/>
            <w:tcBorders>
              <w:bottom w:val="single" w:sz="8" w:color="EBFBFF"/>
            </w:tcBorders>
            <w:shd w:val="clear" w:color="auto" w:fill="EBFBFF"/>
          </w:tcPr>
          <w:p>
            <w:pPr>
              <w:jc w:val="right"/>
              <w:ind w:right="369"/>
              <w:spacing w:after="0"/>
              <w:rPr>
                <w:sz w:val="20"/>
                <w:szCs w:val="20"/>
                <w:color w:val="auto"/>
              </w:rPr>
            </w:pPr>
            <w:r>
              <w:rPr>
                <w:rFonts w:ascii="Calibri" w:cs="Calibri" w:eastAsia="Calibri" w:hAnsi="Calibri"/>
                <w:sz w:val="14"/>
                <w:szCs w:val="14"/>
                <w:color w:val="51555C"/>
                <w:w w:val="83"/>
              </w:rPr>
              <w:t>$</w:t>
            </w:r>
          </w:p>
        </w:tc>
        <w:tc>
          <w:tcPr>
            <w:tcW w:w="12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3,376</w:t>
            </w:r>
          </w:p>
        </w:tc>
        <w:tc>
          <w:tcPr>
            <w:tcW w:w="20" w:type="dxa"/>
            <w:vAlign w:val="bottom"/>
          </w:tcPr>
          <w:p>
            <w:pPr>
              <w:spacing w:after="0"/>
              <w:rPr>
                <w:sz w:val="16"/>
                <w:szCs w:val="16"/>
                <w:color w:val="auto"/>
              </w:rPr>
            </w:pPr>
          </w:p>
        </w:tc>
      </w:tr>
      <w:tr>
        <w:trPr>
          <w:trHeight w:val="172"/>
        </w:trPr>
        <w:tc>
          <w:tcPr>
            <w:tcW w:w="3940" w:type="dxa"/>
            <w:vAlign w:val="bottom"/>
          </w:tcPr>
          <w:p>
            <w:pPr>
              <w:ind w:left="20"/>
              <w:spacing w:after="0"/>
              <w:rPr>
                <w:sz w:val="20"/>
                <w:szCs w:val="20"/>
                <w:color w:val="auto"/>
              </w:rPr>
            </w:pPr>
            <w:r>
              <w:rPr>
                <w:rFonts w:ascii="Calibri" w:cs="Calibri" w:eastAsia="Calibri" w:hAnsi="Calibri"/>
                <w:sz w:val="14"/>
                <w:szCs w:val="14"/>
                <w:color w:val="51555C"/>
              </w:rPr>
              <w:t>2025</w:t>
            </w: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alibri" w:cs="Calibri" w:eastAsia="Calibri" w:hAnsi="Calibri"/>
                <w:sz w:val="14"/>
                <w:szCs w:val="14"/>
                <w:color w:val="51555C"/>
              </w:rPr>
              <w:t>6,258</w:t>
            </w:r>
          </w:p>
        </w:tc>
        <w:tc>
          <w:tcPr>
            <w:tcW w:w="20" w:type="dxa"/>
            <w:vAlign w:val="bottom"/>
          </w:tcPr>
          <w:p>
            <w:pPr>
              <w:spacing w:after="0"/>
              <w:rPr>
                <w:sz w:val="14"/>
                <w:szCs w:val="14"/>
                <w:color w:val="auto"/>
              </w:rPr>
            </w:pPr>
          </w:p>
        </w:tc>
      </w:tr>
      <w:tr>
        <w:trPr>
          <w:trHeight w:val="40"/>
        </w:trPr>
        <w:tc>
          <w:tcPr>
            <w:tcW w:w="39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92"/>
        </w:trPr>
        <w:tc>
          <w:tcPr>
            <w:tcW w:w="394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4"/>
                <w:szCs w:val="14"/>
                <w:color w:val="51555C"/>
              </w:rPr>
              <w:t>2026</w:t>
            </w:r>
          </w:p>
        </w:tc>
        <w:tc>
          <w:tcPr>
            <w:tcW w:w="980" w:type="dxa"/>
            <w:vAlign w:val="bottom"/>
            <w:tcBorders>
              <w:bottom w:val="single" w:sz="8" w:color="EBFBFF"/>
            </w:tcBorders>
            <w:shd w:val="clear" w:color="auto" w:fill="EBFBFF"/>
          </w:tcPr>
          <w:p>
            <w:pPr>
              <w:spacing w:after="0"/>
              <w:rPr>
                <w:sz w:val="16"/>
                <w:szCs w:val="16"/>
                <w:color w:val="auto"/>
              </w:rPr>
            </w:pPr>
          </w:p>
        </w:tc>
        <w:tc>
          <w:tcPr>
            <w:tcW w:w="880" w:type="dxa"/>
            <w:vAlign w:val="bottom"/>
            <w:tcBorders>
              <w:bottom w:val="single" w:sz="8" w:color="EBFBFF"/>
            </w:tcBorders>
            <w:shd w:val="clear" w:color="auto" w:fill="EBFBFF"/>
          </w:tcPr>
          <w:p>
            <w:pPr>
              <w:spacing w:after="0"/>
              <w:rPr>
                <w:sz w:val="16"/>
                <w:szCs w:val="16"/>
                <w:color w:val="auto"/>
              </w:rPr>
            </w:pPr>
          </w:p>
        </w:tc>
        <w:tc>
          <w:tcPr>
            <w:tcW w:w="740" w:type="dxa"/>
            <w:vAlign w:val="bottom"/>
            <w:tcBorders>
              <w:bottom w:val="single" w:sz="8" w:color="EBFBFF"/>
            </w:tcBorders>
            <w:shd w:val="clear" w:color="auto" w:fill="EBFBFF"/>
          </w:tcPr>
          <w:p>
            <w:pPr>
              <w:spacing w:after="0"/>
              <w:rPr>
                <w:sz w:val="16"/>
                <w:szCs w:val="16"/>
                <w:color w:val="auto"/>
              </w:rPr>
            </w:pPr>
          </w:p>
        </w:tc>
        <w:tc>
          <w:tcPr>
            <w:tcW w:w="1020" w:type="dxa"/>
            <w:vAlign w:val="bottom"/>
            <w:tcBorders>
              <w:bottom w:val="single" w:sz="8" w:color="EBFBFF"/>
            </w:tcBorders>
            <w:shd w:val="clear" w:color="auto" w:fill="EBFBFF"/>
          </w:tcPr>
          <w:p>
            <w:pPr>
              <w:spacing w:after="0"/>
              <w:rPr>
                <w:sz w:val="16"/>
                <w:szCs w:val="16"/>
                <w:color w:val="auto"/>
              </w:rPr>
            </w:pPr>
          </w:p>
        </w:tc>
        <w:tc>
          <w:tcPr>
            <w:tcW w:w="100" w:type="dxa"/>
            <w:vAlign w:val="bottom"/>
            <w:tcBorders>
              <w:bottom w:val="single" w:sz="8" w:color="EBFBFF"/>
            </w:tcBorders>
            <w:shd w:val="clear" w:color="auto" w:fill="EBFBFF"/>
          </w:tcPr>
          <w:p>
            <w:pPr>
              <w:spacing w:after="0"/>
              <w:rPr>
                <w:sz w:val="16"/>
                <w:szCs w:val="16"/>
                <w:color w:val="auto"/>
              </w:rPr>
            </w:pPr>
          </w:p>
        </w:tc>
        <w:tc>
          <w:tcPr>
            <w:tcW w:w="760" w:type="dxa"/>
            <w:vAlign w:val="bottom"/>
            <w:tcBorders>
              <w:bottom w:val="single" w:sz="8" w:color="EBFBFF"/>
            </w:tcBorders>
            <w:shd w:val="clear" w:color="auto" w:fill="EBFBFF"/>
          </w:tcPr>
          <w:p>
            <w:pPr>
              <w:spacing w:after="0"/>
              <w:rPr>
                <w:sz w:val="16"/>
                <w:szCs w:val="16"/>
                <w:color w:val="auto"/>
              </w:rPr>
            </w:pPr>
          </w:p>
        </w:tc>
        <w:tc>
          <w:tcPr>
            <w:tcW w:w="1100" w:type="dxa"/>
            <w:vAlign w:val="bottom"/>
            <w:tcBorders>
              <w:bottom w:val="single" w:sz="8" w:color="EBFBFF"/>
            </w:tcBorders>
            <w:shd w:val="clear" w:color="auto" w:fill="EBFBFF"/>
          </w:tcPr>
          <w:p>
            <w:pPr>
              <w:spacing w:after="0"/>
              <w:rPr>
                <w:sz w:val="16"/>
                <w:szCs w:val="16"/>
                <w:color w:val="auto"/>
              </w:rPr>
            </w:pPr>
          </w:p>
        </w:tc>
        <w:tc>
          <w:tcPr>
            <w:tcW w:w="520" w:type="dxa"/>
            <w:vAlign w:val="bottom"/>
            <w:tcBorders>
              <w:bottom w:val="single" w:sz="8" w:color="EBFBFF"/>
            </w:tcBorders>
            <w:shd w:val="clear" w:color="auto" w:fill="EBFBFF"/>
          </w:tcPr>
          <w:p>
            <w:pPr>
              <w:spacing w:after="0"/>
              <w:rPr>
                <w:sz w:val="16"/>
                <w:szCs w:val="16"/>
                <w:color w:val="auto"/>
              </w:rPr>
            </w:pPr>
          </w:p>
        </w:tc>
        <w:tc>
          <w:tcPr>
            <w:tcW w:w="12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6,106</w:t>
            </w:r>
          </w:p>
        </w:tc>
        <w:tc>
          <w:tcPr>
            <w:tcW w:w="20" w:type="dxa"/>
            <w:vAlign w:val="bottom"/>
          </w:tcPr>
          <w:p>
            <w:pPr>
              <w:spacing w:after="0"/>
              <w:rPr>
                <w:sz w:val="16"/>
                <w:szCs w:val="16"/>
                <w:color w:val="auto"/>
              </w:rPr>
            </w:pPr>
          </w:p>
        </w:tc>
      </w:tr>
      <w:tr>
        <w:trPr>
          <w:trHeight w:val="172"/>
        </w:trPr>
        <w:tc>
          <w:tcPr>
            <w:tcW w:w="3940" w:type="dxa"/>
            <w:vAlign w:val="bottom"/>
          </w:tcPr>
          <w:p>
            <w:pPr>
              <w:ind w:left="20"/>
              <w:spacing w:after="0"/>
              <w:rPr>
                <w:sz w:val="20"/>
                <w:szCs w:val="20"/>
                <w:color w:val="auto"/>
              </w:rPr>
            </w:pPr>
            <w:r>
              <w:rPr>
                <w:rFonts w:ascii="Calibri" w:cs="Calibri" w:eastAsia="Calibri" w:hAnsi="Calibri"/>
                <w:sz w:val="14"/>
                <w:szCs w:val="14"/>
                <w:color w:val="51555C"/>
              </w:rPr>
              <w:t>2027</w:t>
            </w: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alibri" w:cs="Calibri" w:eastAsia="Calibri" w:hAnsi="Calibri"/>
                <w:sz w:val="14"/>
                <w:szCs w:val="14"/>
                <w:color w:val="51555C"/>
              </w:rPr>
              <w:t>6,207</w:t>
            </w:r>
          </w:p>
        </w:tc>
        <w:tc>
          <w:tcPr>
            <w:tcW w:w="20" w:type="dxa"/>
            <w:vAlign w:val="bottom"/>
          </w:tcPr>
          <w:p>
            <w:pPr>
              <w:spacing w:after="0"/>
              <w:rPr>
                <w:sz w:val="14"/>
                <w:szCs w:val="14"/>
                <w:color w:val="auto"/>
              </w:rPr>
            </w:pPr>
          </w:p>
        </w:tc>
      </w:tr>
      <w:tr>
        <w:trPr>
          <w:trHeight w:val="40"/>
        </w:trPr>
        <w:tc>
          <w:tcPr>
            <w:tcW w:w="39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92"/>
        </w:trPr>
        <w:tc>
          <w:tcPr>
            <w:tcW w:w="394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4"/>
                <w:szCs w:val="14"/>
                <w:color w:val="51555C"/>
              </w:rPr>
              <w:t>2028</w:t>
            </w:r>
          </w:p>
        </w:tc>
        <w:tc>
          <w:tcPr>
            <w:tcW w:w="980" w:type="dxa"/>
            <w:vAlign w:val="bottom"/>
            <w:tcBorders>
              <w:bottom w:val="single" w:sz="8" w:color="EBFBFF"/>
            </w:tcBorders>
            <w:shd w:val="clear" w:color="auto" w:fill="EBFBFF"/>
          </w:tcPr>
          <w:p>
            <w:pPr>
              <w:spacing w:after="0"/>
              <w:rPr>
                <w:sz w:val="16"/>
                <w:szCs w:val="16"/>
                <w:color w:val="auto"/>
              </w:rPr>
            </w:pPr>
          </w:p>
        </w:tc>
        <w:tc>
          <w:tcPr>
            <w:tcW w:w="880" w:type="dxa"/>
            <w:vAlign w:val="bottom"/>
            <w:tcBorders>
              <w:bottom w:val="single" w:sz="8" w:color="EBFBFF"/>
            </w:tcBorders>
            <w:shd w:val="clear" w:color="auto" w:fill="EBFBFF"/>
          </w:tcPr>
          <w:p>
            <w:pPr>
              <w:spacing w:after="0"/>
              <w:rPr>
                <w:sz w:val="16"/>
                <w:szCs w:val="16"/>
                <w:color w:val="auto"/>
              </w:rPr>
            </w:pPr>
          </w:p>
        </w:tc>
        <w:tc>
          <w:tcPr>
            <w:tcW w:w="740" w:type="dxa"/>
            <w:vAlign w:val="bottom"/>
            <w:tcBorders>
              <w:bottom w:val="single" w:sz="8" w:color="EBFBFF"/>
            </w:tcBorders>
            <w:shd w:val="clear" w:color="auto" w:fill="EBFBFF"/>
          </w:tcPr>
          <w:p>
            <w:pPr>
              <w:spacing w:after="0"/>
              <w:rPr>
                <w:sz w:val="16"/>
                <w:szCs w:val="16"/>
                <w:color w:val="auto"/>
              </w:rPr>
            </w:pPr>
          </w:p>
        </w:tc>
        <w:tc>
          <w:tcPr>
            <w:tcW w:w="1020" w:type="dxa"/>
            <w:vAlign w:val="bottom"/>
            <w:tcBorders>
              <w:bottom w:val="single" w:sz="8" w:color="EBFBFF"/>
            </w:tcBorders>
            <w:shd w:val="clear" w:color="auto" w:fill="EBFBFF"/>
          </w:tcPr>
          <w:p>
            <w:pPr>
              <w:spacing w:after="0"/>
              <w:rPr>
                <w:sz w:val="16"/>
                <w:szCs w:val="16"/>
                <w:color w:val="auto"/>
              </w:rPr>
            </w:pPr>
          </w:p>
        </w:tc>
        <w:tc>
          <w:tcPr>
            <w:tcW w:w="100" w:type="dxa"/>
            <w:vAlign w:val="bottom"/>
            <w:tcBorders>
              <w:bottom w:val="single" w:sz="8" w:color="EBFBFF"/>
            </w:tcBorders>
            <w:shd w:val="clear" w:color="auto" w:fill="EBFBFF"/>
          </w:tcPr>
          <w:p>
            <w:pPr>
              <w:spacing w:after="0"/>
              <w:rPr>
                <w:sz w:val="16"/>
                <w:szCs w:val="16"/>
                <w:color w:val="auto"/>
              </w:rPr>
            </w:pPr>
          </w:p>
        </w:tc>
        <w:tc>
          <w:tcPr>
            <w:tcW w:w="760" w:type="dxa"/>
            <w:vAlign w:val="bottom"/>
            <w:tcBorders>
              <w:bottom w:val="single" w:sz="8" w:color="EBFBFF"/>
            </w:tcBorders>
            <w:shd w:val="clear" w:color="auto" w:fill="EBFBFF"/>
          </w:tcPr>
          <w:p>
            <w:pPr>
              <w:spacing w:after="0"/>
              <w:rPr>
                <w:sz w:val="16"/>
                <w:szCs w:val="16"/>
                <w:color w:val="auto"/>
              </w:rPr>
            </w:pPr>
          </w:p>
        </w:tc>
        <w:tc>
          <w:tcPr>
            <w:tcW w:w="1100" w:type="dxa"/>
            <w:vAlign w:val="bottom"/>
            <w:tcBorders>
              <w:bottom w:val="single" w:sz="8" w:color="EBFBFF"/>
            </w:tcBorders>
            <w:shd w:val="clear" w:color="auto" w:fill="EBFBFF"/>
          </w:tcPr>
          <w:p>
            <w:pPr>
              <w:spacing w:after="0"/>
              <w:rPr>
                <w:sz w:val="16"/>
                <w:szCs w:val="16"/>
                <w:color w:val="auto"/>
              </w:rPr>
            </w:pPr>
          </w:p>
        </w:tc>
        <w:tc>
          <w:tcPr>
            <w:tcW w:w="520" w:type="dxa"/>
            <w:vAlign w:val="bottom"/>
            <w:tcBorders>
              <w:bottom w:val="single" w:sz="8" w:color="EBFBFF"/>
            </w:tcBorders>
            <w:shd w:val="clear" w:color="auto" w:fill="EBFBFF"/>
          </w:tcPr>
          <w:p>
            <w:pPr>
              <w:spacing w:after="0"/>
              <w:rPr>
                <w:sz w:val="16"/>
                <w:szCs w:val="16"/>
                <w:color w:val="auto"/>
              </w:rPr>
            </w:pPr>
          </w:p>
        </w:tc>
        <w:tc>
          <w:tcPr>
            <w:tcW w:w="12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6,101</w:t>
            </w:r>
          </w:p>
        </w:tc>
        <w:tc>
          <w:tcPr>
            <w:tcW w:w="20" w:type="dxa"/>
            <w:vAlign w:val="bottom"/>
          </w:tcPr>
          <w:p>
            <w:pPr>
              <w:spacing w:after="0"/>
              <w:rPr>
                <w:sz w:val="16"/>
                <w:szCs w:val="16"/>
                <w:color w:val="auto"/>
              </w:rPr>
            </w:pPr>
          </w:p>
        </w:tc>
      </w:tr>
      <w:tr>
        <w:trPr>
          <w:trHeight w:val="172"/>
        </w:trPr>
        <w:tc>
          <w:tcPr>
            <w:tcW w:w="3940" w:type="dxa"/>
            <w:vAlign w:val="bottom"/>
          </w:tcPr>
          <w:p>
            <w:pPr>
              <w:ind w:left="20"/>
              <w:spacing w:after="0"/>
              <w:rPr>
                <w:sz w:val="20"/>
                <w:szCs w:val="20"/>
                <w:color w:val="auto"/>
              </w:rPr>
            </w:pPr>
            <w:r>
              <w:rPr>
                <w:rFonts w:ascii="Calibri" w:cs="Calibri" w:eastAsia="Calibri" w:hAnsi="Calibri"/>
                <w:sz w:val="14"/>
                <w:szCs w:val="14"/>
                <w:color w:val="51555C"/>
              </w:rPr>
              <w:t>Thereafer</w:t>
            </w: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alibri" w:cs="Calibri" w:eastAsia="Calibri" w:hAnsi="Calibri"/>
                <w:sz w:val="14"/>
                <w:szCs w:val="14"/>
                <w:color w:val="51555C"/>
              </w:rPr>
              <w:t>20,689</w:t>
            </w:r>
          </w:p>
        </w:tc>
        <w:tc>
          <w:tcPr>
            <w:tcW w:w="20" w:type="dxa"/>
            <w:vAlign w:val="bottom"/>
          </w:tcPr>
          <w:p>
            <w:pPr>
              <w:spacing w:after="0"/>
              <w:rPr>
                <w:sz w:val="14"/>
                <w:szCs w:val="14"/>
                <w:color w:val="auto"/>
              </w:rPr>
            </w:pPr>
          </w:p>
        </w:tc>
      </w:tr>
      <w:tr>
        <w:trPr>
          <w:trHeight w:val="40"/>
        </w:trPr>
        <w:tc>
          <w:tcPr>
            <w:tcW w:w="3940" w:type="dxa"/>
            <w:vAlign w:val="bottom"/>
            <w:tcBorders>
              <w:bottom w:val="single" w:sz="8" w:color="EBFBFF"/>
            </w:tcBorders>
          </w:tcPr>
          <w:p>
            <w:pPr>
              <w:spacing w:after="0"/>
              <w:rPr>
                <w:sz w:val="3"/>
                <w:szCs w:val="3"/>
                <w:color w:val="auto"/>
              </w:rPr>
            </w:pPr>
          </w:p>
        </w:tc>
        <w:tc>
          <w:tcPr>
            <w:tcW w:w="980" w:type="dxa"/>
            <w:vAlign w:val="bottom"/>
            <w:tcBorders>
              <w:bottom w:val="single" w:sz="8" w:color="EBFBFF"/>
            </w:tcBorders>
          </w:tcPr>
          <w:p>
            <w:pPr>
              <w:spacing w:after="0"/>
              <w:rPr>
                <w:sz w:val="3"/>
                <w:szCs w:val="3"/>
                <w:color w:val="auto"/>
              </w:rPr>
            </w:pPr>
          </w:p>
        </w:tc>
        <w:tc>
          <w:tcPr>
            <w:tcW w:w="880" w:type="dxa"/>
            <w:vAlign w:val="bottom"/>
            <w:tcBorders>
              <w:bottom w:val="single" w:sz="8" w:color="EBFBFF"/>
            </w:tcBorders>
          </w:tcPr>
          <w:p>
            <w:pPr>
              <w:spacing w:after="0"/>
              <w:rPr>
                <w:sz w:val="3"/>
                <w:szCs w:val="3"/>
                <w:color w:val="auto"/>
              </w:rPr>
            </w:pPr>
          </w:p>
        </w:tc>
        <w:tc>
          <w:tcPr>
            <w:tcW w:w="740" w:type="dxa"/>
            <w:vAlign w:val="bottom"/>
            <w:tcBorders>
              <w:bottom w:val="single" w:sz="8" w:color="EBFBFF"/>
            </w:tcBorders>
          </w:tcPr>
          <w:p>
            <w:pPr>
              <w:spacing w:after="0"/>
              <w:rPr>
                <w:sz w:val="3"/>
                <w:szCs w:val="3"/>
                <w:color w:val="auto"/>
              </w:rPr>
            </w:pPr>
          </w:p>
        </w:tc>
        <w:tc>
          <w:tcPr>
            <w:tcW w:w="1020" w:type="dxa"/>
            <w:vAlign w:val="bottom"/>
            <w:tcBorders>
              <w:bottom w:val="single" w:sz="8" w:color="EBFBFF"/>
            </w:tcBorders>
          </w:tcPr>
          <w:p>
            <w:pPr>
              <w:spacing w:after="0"/>
              <w:rPr>
                <w:sz w:val="3"/>
                <w:szCs w:val="3"/>
                <w:color w:val="auto"/>
              </w:rPr>
            </w:pPr>
          </w:p>
        </w:tc>
        <w:tc>
          <w:tcPr>
            <w:tcW w:w="100" w:type="dxa"/>
            <w:vAlign w:val="bottom"/>
            <w:tcBorders>
              <w:bottom w:val="single" w:sz="8" w:color="EBFBFF"/>
            </w:tcBorders>
          </w:tcPr>
          <w:p>
            <w:pPr>
              <w:spacing w:after="0"/>
              <w:rPr>
                <w:sz w:val="3"/>
                <w:szCs w:val="3"/>
                <w:color w:val="auto"/>
              </w:rPr>
            </w:pPr>
          </w:p>
        </w:tc>
        <w:tc>
          <w:tcPr>
            <w:tcW w:w="760" w:type="dxa"/>
            <w:vAlign w:val="bottom"/>
            <w:tcBorders>
              <w:bottom w:val="single" w:sz="8" w:color="EBFBFF"/>
            </w:tcBorders>
          </w:tcPr>
          <w:p>
            <w:pPr>
              <w:spacing w:after="0"/>
              <w:rPr>
                <w:sz w:val="3"/>
                <w:szCs w:val="3"/>
                <w:color w:val="auto"/>
              </w:rPr>
            </w:pPr>
          </w:p>
        </w:tc>
        <w:tc>
          <w:tcPr>
            <w:tcW w:w="1100" w:type="dxa"/>
            <w:vAlign w:val="bottom"/>
            <w:tcBorders>
              <w:bottom w:val="single" w:sz="8" w:color="EBFBFF"/>
            </w:tcBorders>
          </w:tcPr>
          <w:p>
            <w:pPr>
              <w:spacing w:after="0"/>
              <w:rPr>
                <w:sz w:val="3"/>
                <w:szCs w:val="3"/>
                <w:color w:val="auto"/>
              </w:rPr>
            </w:pPr>
          </w:p>
        </w:tc>
        <w:tc>
          <w:tcPr>
            <w:tcW w:w="520" w:type="dxa"/>
            <w:vAlign w:val="bottom"/>
            <w:tcBorders>
              <w:bottom w:val="single" w:sz="8" w:color="51555C"/>
            </w:tcBorders>
          </w:tcPr>
          <w:p>
            <w:pPr>
              <w:spacing w:after="0"/>
              <w:rPr>
                <w:sz w:val="3"/>
                <w:szCs w:val="3"/>
                <w:color w:val="auto"/>
              </w:rPr>
            </w:pPr>
          </w:p>
        </w:tc>
        <w:tc>
          <w:tcPr>
            <w:tcW w:w="1240" w:type="dxa"/>
            <w:vAlign w:val="bottom"/>
            <w:tcBorders>
              <w:bottom w:val="single" w:sz="8" w:color="51555C"/>
            </w:tcBorders>
          </w:tcPr>
          <w:p>
            <w:pPr>
              <w:spacing w:after="0"/>
              <w:rPr>
                <w:sz w:val="3"/>
                <w:szCs w:val="3"/>
                <w:color w:val="auto"/>
              </w:rPr>
            </w:pPr>
          </w:p>
        </w:tc>
        <w:tc>
          <w:tcPr>
            <w:tcW w:w="20" w:type="dxa"/>
            <w:vAlign w:val="bottom"/>
          </w:tcPr>
          <w:p>
            <w:pPr>
              <w:spacing w:after="0"/>
              <w:rPr>
                <w:sz w:val="3"/>
                <w:szCs w:val="3"/>
                <w:color w:val="auto"/>
              </w:rPr>
            </w:pPr>
          </w:p>
        </w:tc>
      </w:tr>
      <w:tr>
        <w:trPr>
          <w:trHeight w:val="183"/>
        </w:trPr>
        <w:tc>
          <w:tcPr>
            <w:tcW w:w="3940" w:type="dxa"/>
            <w:vAlign w:val="bottom"/>
            <w:tcBorders>
              <w:bottom w:val="single" w:sz="8" w:color="EBFBFF"/>
            </w:tcBorders>
            <w:shd w:val="clear" w:color="auto" w:fill="EBFBFF"/>
          </w:tcPr>
          <w:p>
            <w:pPr>
              <w:ind w:left="20"/>
              <w:spacing w:after="0" w:line="163" w:lineRule="exact"/>
              <w:rPr>
                <w:sz w:val="20"/>
                <w:szCs w:val="20"/>
                <w:color w:val="auto"/>
              </w:rPr>
            </w:pPr>
            <w:r>
              <w:rPr>
                <w:rFonts w:ascii="Calibri" w:cs="Calibri" w:eastAsia="Calibri" w:hAnsi="Calibri"/>
                <w:sz w:val="14"/>
                <w:szCs w:val="14"/>
                <w:color w:val="51555C"/>
              </w:rPr>
              <w:t>Total lease payments</w:t>
            </w:r>
          </w:p>
        </w:tc>
        <w:tc>
          <w:tcPr>
            <w:tcW w:w="980" w:type="dxa"/>
            <w:vAlign w:val="bottom"/>
            <w:tcBorders>
              <w:bottom w:val="single" w:sz="8" w:color="EBFBFF"/>
            </w:tcBorders>
            <w:shd w:val="clear" w:color="auto" w:fill="EBFBFF"/>
          </w:tcPr>
          <w:p>
            <w:pPr>
              <w:spacing w:after="0"/>
              <w:rPr>
                <w:sz w:val="15"/>
                <w:szCs w:val="15"/>
                <w:color w:val="auto"/>
              </w:rPr>
            </w:pPr>
          </w:p>
        </w:tc>
        <w:tc>
          <w:tcPr>
            <w:tcW w:w="880" w:type="dxa"/>
            <w:vAlign w:val="bottom"/>
            <w:tcBorders>
              <w:bottom w:val="single" w:sz="8" w:color="EBFBFF"/>
            </w:tcBorders>
            <w:shd w:val="clear" w:color="auto" w:fill="EBFBFF"/>
          </w:tcPr>
          <w:p>
            <w:pPr>
              <w:spacing w:after="0"/>
              <w:rPr>
                <w:sz w:val="15"/>
                <w:szCs w:val="15"/>
                <w:color w:val="auto"/>
              </w:rPr>
            </w:pPr>
          </w:p>
        </w:tc>
        <w:tc>
          <w:tcPr>
            <w:tcW w:w="740" w:type="dxa"/>
            <w:vAlign w:val="bottom"/>
            <w:tcBorders>
              <w:bottom w:val="single" w:sz="8" w:color="EBFBFF"/>
            </w:tcBorders>
            <w:shd w:val="clear" w:color="auto" w:fill="EBFBFF"/>
          </w:tcPr>
          <w:p>
            <w:pPr>
              <w:spacing w:after="0"/>
              <w:rPr>
                <w:sz w:val="15"/>
                <w:szCs w:val="15"/>
                <w:color w:val="auto"/>
              </w:rPr>
            </w:pPr>
          </w:p>
        </w:tc>
        <w:tc>
          <w:tcPr>
            <w:tcW w:w="1020" w:type="dxa"/>
            <w:vAlign w:val="bottom"/>
            <w:tcBorders>
              <w:bottom w:val="single" w:sz="8" w:color="EBFBFF"/>
            </w:tcBorders>
            <w:shd w:val="clear" w:color="auto" w:fill="EBFBFF"/>
          </w:tcPr>
          <w:p>
            <w:pPr>
              <w:spacing w:after="0"/>
              <w:rPr>
                <w:sz w:val="15"/>
                <w:szCs w:val="15"/>
                <w:color w:val="auto"/>
              </w:rPr>
            </w:pPr>
          </w:p>
        </w:tc>
        <w:tc>
          <w:tcPr>
            <w:tcW w:w="100" w:type="dxa"/>
            <w:vAlign w:val="bottom"/>
            <w:tcBorders>
              <w:bottom w:val="single" w:sz="8" w:color="EBFBFF"/>
            </w:tcBorders>
            <w:shd w:val="clear" w:color="auto" w:fill="EBFBFF"/>
          </w:tcPr>
          <w:p>
            <w:pPr>
              <w:spacing w:after="0"/>
              <w:rPr>
                <w:sz w:val="15"/>
                <w:szCs w:val="15"/>
                <w:color w:val="auto"/>
              </w:rPr>
            </w:pPr>
          </w:p>
        </w:tc>
        <w:tc>
          <w:tcPr>
            <w:tcW w:w="760" w:type="dxa"/>
            <w:vAlign w:val="bottom"/>
            <w:tcBorders>
              <w:bottom w:val="single" w:sz="8" w:color="EBFBFF"/>
            </w:tcBorders>
            <w:shd w:val="clear" w:color="auto" w:fill="EBFBFF"/>
          </w:tcPr>
          <w:p>
            <w:pPr>
              <w:spacing w:after="0"/>
              <w:rPr>
                <w:sz w:val="15"/>
                <w:szCs w:val="15"/>
                <w:color w:val="auto"/>
              </w:rPr>
            </w:pPr>
          </w:p>
        </w:tc>
        <w:tc>
          <w:tcPr>
            <w:tcW w:w="1100" w:type="dxa"/>
            <w:vAlign w:val="bottom"/>
            <w:tcBorders>
              <w:bottom w:val="single" w:sz="8" w:color="EBFBFF"/>
            </w:tcBorders>
            <w:shd w:val="clear" w:color="auto" w:fill="EBFBFF"/>
          </w:tcPr>
          <w:p>
            <w:pPr>
              <w:spacing w:after="0"/>
              <w:rPr>
                <w:sz w:val="15"/>
                <w:szCs w:val="15"/>
                <w:color w:val="auto"/>
              </w:rPr>
            </w:pPr>
          </w:p>
        </w:tc>
        <w:tc>
          <w:tcPr>
            <w:tcW w:w="520" w:type="dxa"/>
            <w:vAlign w:val="bottom"/>
            <w:tcBorders>
              <w:bottom w:val="single" w:sz="8" w:color="EBFBFF"/>
            </w:tcBorders>
            <w:shd w:val="clear" w:color="auto" w:fill="EBFBFF"/>
          </w:tcPr>
          <w:p>
            <w:pPr>
              <w:spacing w:after="0"/>
              <w:rPr>
                <w:sz w:val="15"/>
                <w:szCs w:val="15"/>
                <w:color w:val="auto"/>
              </w:rPr>
            </w:pPr>
          </w:p>
        </w:tc>
        <w:tc>
          <w:tcPr>
            <w:tcW w:w="1240" w:type="dxa"/>
            <w:vAlign w:val="bottom"/>
            <w:tcBorders>
              <w:bottom w:val="single" w:sz="8" w:color="EBFBFF"/>
            </w:tcBorders>
            <w:shd w:val="clear" w:color="auto" w:fill="EBFBFF"/>
          </w:tcPr>
          <w:p>
            <w:pPr>
              <w:jc w:val="right"/>
              <w:spacing w:after="0" w:line="163" w:lineRule="exact"/>
              <w:rPr>
                <w:sz w:val="20"/>
                <w:szCs w:val="20"/>
                <w:color w:val="auto"/>
              </w:rPr>
            </w:pPr>
            <w:r>
              <w:rPr>
                <w:rFonts w:ascii="Calibri" w:cs="Calibri" w:eastAsia="Calibri" w:hAnsi="Calibri"/>
                <w:sz w:val="14"/>
                <w:szCs w:val="14"/>
                <w:color w:val="51555C"/>
              </w:rPr>
              <w:t>48,737</w:t>
            </w:r>
          </w:p>
        </w:tc>
        <w:tc>
          <w:tcPr>
            <w:tcW w:w="20" w:type="dxa"/>
            <w:vAlign w:val="bottom"/>
          </w:tcPr>
          <w:p>
            <w:pPr>
              <w:spacing w:after="0"/>
              <w:rPr>
                <w:sz w:val="15"/>
                <w:szCs w:val="15"/>
                <w:color w:val="auto"/>
              </w:rPr>
            </w:pPr>
          </w:p>
        </w:tc>
      </w:tr>
      <w:tr>
        <w:trPr>
          <w:trHeight w:val="172"/>
        </w:trPr>
        <w:tc>
          <w:tcPr>
            <w:tcW w:w="3940" w:type="dxa"/>
            <w:vAlign w:val="bottom"/>
          </w:tcPr>
          <w:p>
            <w:pPr>
              <w:ind w:left="20"/>
              <w:spacing w:after="0"/>
              <w:rPr>
                <w:sz w:val="20"/>
                <w:szCs w:val="20"/>
                <w:color w:val="auto"/>
              </w:rPr>
            </w:pPr>
            <w:r>
              <w:rPr>
                <w:rFonts w:ascii="Calibri" w:cs="Calibri" w:eastAsia="Calibri" w:hAnsi="Calibri"/>
                <w:sz w:val="14"/>
                <w:szCs w:val="14"/>
                <w:color w:val="51555C"/>
              </w:rPr>
              <w:t>Less: Amount representng interest</w:t>
            </w: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alibri" w:cs="Calibri" w:eastAsia="Calibri" w:hAnsi="Calibri"/>
                <w:sz w:val="14"/>
                <w:szCs w:val="14"/>
                <w:color w:val="51555C"/>
              </w:rPr>
              <w:t>7,560</w:t>
            </w:r>
          </w:p>
        </w:tc>
        <w:tc>
          <w:tcPr>
            <w:tcW w:w="20" w:type="dxa"/>
            <w:vAlign w:val="bottom"/>
          </w:tcPr>
          <w:p>
            <w:pPr>
              <w:spacing w:after="0"/>
              <w:rPr>
                <w:sz w:val="14"/>
                <w:szCs w:val="14"/>
                <w:color w:val="auto"/>
              </w:rPr>
            </w:pPr>
          </w:p>
        </w:tc>
      </w:tr>
      <w:tr>
        <w:trPr>
          <w:trHeight w:val="40"/>
        </w:trPr>
        <w:tc>
          <w:tcPr>
            <w:tcW w:w="3940" w:type="dxa"/>
            <w:vAlign w:val="bottom"/>
            <w:tcBorders>
              <w:bottom w:val="single" w:sz="8" w:color="EBFBFF"/>
            </w:tcBorders>
          </w:tcPr>
          <w:p>
            <w:pPr>
              <w:spacing w:after="0"/>
              <w:rPr>
                <w:sz w:val="3"/>
                <w:szCs w:val="3"/>
                <w:color w:val="auto"/>
              </w:rPr>
            </w:pPr>
          </w:p>
        </w:tc>
        <w:tc>
          <w:tcPr>
            <w:tcW w:w="980" w:type="dxa"/>
            <w:vAlign w:val="bottom"/>
            <w:tcBorders>
              <w:bottom w:val="single" w:sz="8" w:color="EBFBFF"/>
            </w:tcBorders>
          </w:tcPr>
          <w:p>
            <w:pPr>
              <w:spacing w:after="0"/>
              <w:rPr>
                <w:sz w:val="3"/>
                <w:szCs w:val="3"/>
                <w:color w:val="auto"/>
              </w:rPr>
            </w:pPr>
          </w:p>
        </w:tc>
        <w:tc>
          <w:tcPr>
            <w:tcW w:w="880" w:type="dxa"/>
            <w:vAlign w:val="bottom"/>
            <w:tcBorders>
              <w:bottom w:val="single" w:sz="8" w:color="EBFBFF"/>
            </w:tcBorders>
          </w:tcPr>
          <w:p>
            <w:pPr>
              <w:spacing w:after="0"/>
              <w:rPr>
                <w:sz w:val="3"/>
                <w:szCs w:val="3"/>
                <w:color w:val="auto"/>
              </w:rPr>
            </w:pPr>
          </w:p>
        </w:tc>
        <w:tc>
          <w:tcPr>
            <w:tcW w:w="740" w:type="dxa"/>
            <w:vAlign w:val="bottom"/>
            <w:tcBorders>
              <w:bottom w:val="single" w:sz="8" w:color="EBFBFF"/>
            </w:tcBorders>
          </w:tcPr>
          <w:p>
            <w:pPr>
              <w:spacing w:after="0"/>
              <w:rPr>
                <w:sz w:val="3"/>
                <w:szCs w:val="3"/>
                <w:color w:val="auto"/>
              </w:rPr>
            </w:pPr>
          </w:p>
        </w:tc>
        <w:tc>
          <w:tcPr>
            <w:tcW w:w="1020" w:type="dxa"/>
            <w:vAlign w:val="bottom"/>
            <w:tcBorders>
              <w:bottom w:val="single" w:sz="8" w:color="EBFBFF"/>
            </w:tcBorders>
          </w:tcPr>
          <w:p>
            <w:pPr>
              <w:spacing w:after="0"/>
              <w:rPr>
                <w:sz w:val="3"/>
                <w:szCs w:val="3"/>
                <w:color w:val="auto"/>
              </w:rPr>
            </w:pPr>
          </w:p>
        </w:tc>
        <w:tc>
          <w:tcPr>
            <w:tcW w:w="100" w:type="dxa"/>
            <w:vAlign w:val="bottom"/>
            <w:tcBorders>
              <w:bottom w:val="single" w:sz="8" w:color="EBFBFF"/>
            </w:tcBorders>
          </w:tcPr>
          <w:p>
            <w:pPr>
              <w:spacing w:after="0"/>
              <w:rPr>
                <w:sz w:val="3"/>
                <w:szCs w:val="3"/>
                <w:color w:val="auto"/>
              </w:rPr>
            </w:pPr>
          </w:p>
        </w:tc>
        <w:tc>
          <w:tcPr>
            <w:tcW w:w="760" w:type="dxa"/>
            <w:vAlign w:val="bottom"/>
            <w:tcBorders>
              <w:bottom w:val="single" w:sz="8" w:color="EBFBFF"/>
            </w:tcBorders>
          </w:tcPr>
          <w:p>
            <w:pPr>
              <w:spacing w:after="0"/>
              <w:rPr>
                <w:sz w:val="3"/>
                <w:szCs w:val="3"/>
                <w:color w:val="auto"/>
              </w:rPr>
            </w:pPr>
          </w:p>
        </w:tc>
        <w:tc>
          <w:tcPr>
            <w:tcW w:w="1100" w:type="dxa"/>
            <w:vAlign w:val="bottom"/>
            <w:tcBorders>
              <w:bottom w:val="single" w:sz="8" w:color="EBFBFF"/>
            </w:tcBorders>
          </w:tcPr>
          <w:p>
            <w:pPr>
              <w:spacing w:after="0"/>
              <w:rPr>
                <w:sz w:val="3"/>
                <w:szCs w:val="3"/>
                <w:color w:val="auto"/>
              </w:rPr>
            </w:pPr>
          </w:p>
        </w:tc>
        <w:tc>
          <w:tcPr>
            <w:tcW w:w="520" w:type="dxa"/>
            <w:vAlign w:val="bottom"/>
            <w:tcBorders>
              <w:bottom w:val="single" w:sz="8" w:color="51555C"/>
            </w:tcBorders>
          </w:tcPr>
          <w:p>
            <w:pPr>
              <w:spacing w:after="0"/>
              <w:rPr>
                <w:sz w:val="3"/>
                <w:szCs w:val="3"/>
                <w:color w:val="auto"/>
              </w:rPr>
            </w:pPr>
          </w:p>
        </w:tc>
        <w:tc>
          <w:tcPr>
            <w:tcW w:w="1240" w:type="dxa"/>
            <w:vAlign w:val="bottom"/>
            <w:tcBorders>
              <w:bottom w:val="single" w:sz="8" w:color="51555C"/>
            </w:tcBorders>
          </w:tcPr>
          <w:p>
            <w:pPr>
              <w:spacing w:after="0"/>
              <w:rPr>
                <w:sz w:val="3"/>
                <w:szCs w:val="3"/>
                <w:color w:val="auto"/>
              </w:rPr>
            </w:pPr>
          </w:p>
        </w:tc>
        <w:tc>
          <w:tcPr>
            <w:tcW w:w="20" w:type="dxa"/>
            <w:vAlign w:val="bottom"/>
          </w:tcPr>
          <w:p>
            <w:pPr>
              <w:spacing w:after="0"/>
              <w:rPr>
                <w:sz w:val="3"/>
                <w:szCs w:val="3"/>
                <w:color w:val="auto"/>
              </w:rPr>
            </w:pPr>
          </w:p>
        </w:tc>
      </w:tr>
      <w:tr>
        <w:trPr>
          <w:trHeight w:val="183"/>
        </w:trPr>
        <w:tc>
          <w:tcPr>
            <w:tcW w:w="3940" w:type="dxa"/>
            <w:vAlign w:val="bottom"/>
            <w:tcBorders>
              <w:bottom w:val="single" w:sz="8" w:color="EBFBFF"/>
            </w:tcBorders>
            <w:shd w:val="clear" w:color="auto" w:fill="EBFBFF"/>
          </w:tcPr>
          <w:p>
            <w:pPr>
              <w:ind w:left="20"/>
              <w:spacing w:after="0" w:line="163" w:lineRule="exact"/>
              <w:rPr>
                <w:sz w:val="20"/>
                <w:szCs w:val="20"/>
                <w:color w:val="auto"/>
              </w:rPr>
            </w:pPr>
            <w:r>
              <w:rPr>
                <w:rFonts w:ascii="Calibri" w:cs="Calibri" w:eastAsia="Calibri" w:hAnsi="Calibri"/>
                <w:sz w:val="14"/>
                <w:szCs w:val="14"/>
                <w:color w:val="51555C"/>
              </w:rPr>
              <w:t>Present value of future payments</w:t>
            </w:r>
          </w:p>
        </w:tc>
        <w:tc>
          <w:tcPr>
            <w:tcW w:w="980" w:type="dxa"/>
            <w:vAlign w:val="bottom"/>
            <w:tcBorders>
              <w:bottom w:val="single" w:sz="8" w:color="EBFBFF"/>
            </w:tcBorders>
            <w:shd w:val="clear" w:color="auto" w:fill="EBFBFF"/>
          </w:tcPr>
          <w:p>
            <w:pPr>
              <w:spacing w:after="0"/>
              <w:rPr>
                <w:sz w:val="15"/>
                <w:szCs w:val="15"/>
                <w:color w:val="auto"/>
              </w:rPr>
            </w:pPr>
          </w:p>
        </w:tc>
        <w:tc>
          <w:tcPr>
            <w:tcW w:w="880" w:type="dxa"/>
            <w:vAlign w:val="bottom"/>
            <w:tcBorders>
              <w:bottom w:val="single" w:sz="8" w:color="EBFBFF"/>
            </w:tcBorders>
            <w:shd w:val="clear" w:color="auto" w:fill="EBFBFF"/>
          </w:tcPr>
          <w:p>
            <w:pPr>
              <w:spacing w:after="0"/>
              <w:rPr>
                <w:sz w:val="15"/>
                <w:szCs w:val="15"/>
                <w:color w:val="auto"/>
              </w:rPr>
            </w:pPr>
          </w:p>
        </w:tc>
        <w:tc>
          <w:tcPr>
            <w:tcW w:w="740" w:type="dxa"/>
            <w:vAlign w:val="bottom"/>
            <w:tcBorders>
              <w:bottom w:val="single" w:sz="8" w:color="EBFBFF"/>
            </w:tcBorders>
            <w:shd w:val="clear" w:color="auto" w:fill="EBFBFF"/>
          </w:tcPr>
          <w:p>
            <w:pPr>
              <w:spacing w:after="0"/>
              <w:rPr>
                <w:sz w:val="15"/>
                <w:szCs w:val="15"/>
                <w:color w:val="auto"/>
              </w:rPr>
            </w:pPr>
          </w:p>
        </w:tc>
        <w:tc>
          <w:tcPr>
            <w:tcW w:w="1020" w:type="dxa"/>
            <w:vAlign w:val="bottom"/>
            <w:tcBorders>
              <w:bottom w:val="single" w:sz="8" w:color="EBFBFF"/>
            </w:tcBorders>
            <w:shd w:val="clear" w:color="auto" w:fill="EBFBFF"/>
          </w:tcPr>
          <w:p>
            <w:pPr>
              <w:spacing w:after="0"/>
              <w:rPr>
                <w:sz w:val="15"/>
                <w:szCs w:val="15"/>
                <w:color w:val="auto"/>
              </w:rPr>
            </w:pPr>
          </w:p>
        </w:tc>
        <w:tc>
          <w:tcPr>
            <w:tcW w:w="100" w:type="dxa"/>
            <w:vAlign w:val="bottom"/>
            <w:tcBorders>
              <w:bottom w:val="single" w:sz="8" w:color="EBFBFF"/>
            </w:tcBorders>
            <w:shd w:val="clear" w:color="auto" w:fill="EBFBFF"/>
          </w:tcPr>
          <w:p>
            <w:pPr>
              <w:spacing w:after="0"/>
              <w:rPr>
                <w:sz w:val="15"/>
                <w:szCs w:val="15"/>
                <w:color w:val="auto"/>
              </w:rPr>
            </w:pPr>
          </w:p>
        </w:tc>
        <w:tc>
          <w:tcPr>
            <w:tcW w:w="760" w:type="dxa"/>
            <w:vAlign w:val="bottom"/>
            <w:tcBorders>
              <w:bottom w:val="single" w:sz="8" w:color="EBFBFF"/>
            </w:tcBorders>
            <w:shd w:val="clear" w:color="auto" w:fill="EBFBFF"/>
          </w:tcPr>
          <w:p>
            <w:pPr>
              <w:spacing w:after="0"/>
              <w:rPr>
                <w:sz w:val="15"/>
                <w:szCs w:val="15"/>
                <w:color w:val="auto"/>
              </w:rPr>
            </w:pPr>
          </w:p>
        </w:tc>
        <w:tc>
          <w:tcPr>
            <w:tcW w:w="1100" w:type="dxa"/>
            <w:vAlign w:val="bottom"/>
            <w:tcBorders>
              <w:bottom w:val="single" w:sz="8" w:color="EBFBFF"/>
            </w:tcBorders>
            <w:shd w:val="clear" w:color="auto" w:fill="EBFBFF"/>
          </w:tcPr>
          <w:p>
            <w:pPr>
              <w:spacing w:after="0"/>
              <w:rPr>
                <w:sz w:val="15"/>
                <w:szCs w:val="15"/>
                <w:color w:val="auto"/>
              </w:rPr>
            </w:pPr>
          </w:p>
        </w:tc>
        <w:tc>
          <w:tcPr>
            <w:tcW w:w="520" w:type="dxa"/>
            <w:vAlign w:val="bottom"/>
            <w:tcBorders>
              <w:bottom w:val="single" w:sz="8" w:color="EBFBFF"/>
            </w:tcBorders>
            <w:shd w:val="clear" w:color="auto" w:fill="EBFBFF"/>
          </w:tcPr>
          <w:p>
            <w:pPr>
              <w:jc w:val="right"/>
              <w:ind w:right="369"/>
              <w:spacing w:after="0" w:line="163" w:lineRule="exact"/>
              <w:rPr>
                <w:sz w:val="20"/>
                <w:szCs w:val="20"/>
                <w:color w:val="auto"/>
              </w:rPr>
            </w:pPr>
            <w:r>
              <w:rPr>
                <w:rFonts w:ascii="Calibri" w:cs="Calibri" w:eastAsia="Calibri" w:hAnsi="Calibri"/>
                <w:sz w:val="14"/>
                <w:szCs w:val="14"/>
                <w:color w:val="51555C"/>
                <w:w w:val="83"/>
              </w:rPr>
              <w:t>$</w:t>
            </w:r>
          </w:p>
        </w:tc>
        <w:tc>
          <w:tcPr>
            <w:tcW w:w="1240" w:type="dxa"/>
            <w:vAlign w:val="bottom"/>
            <w:tcBorders>
              <w:bottom w:val="single" w:sz="8" w:color="EBFBFF"/>
            </w:tcBorders>
            <w:shd w:val="clear" w:color="auto" w:fill="EBFBFF"/>
          </w:tcPr>
          <w:p>
            <w:pPr>
              <w:jc w:val="right"/>
              <w:spacing w:after="0" w:line="163" w:lineRule="exact"/>
              <w:rPr>
                <w:sz w:val="20"/>
                <w:szCs w:val="20"/>
                <w:color w:val="auto"/>
              </w:rPr>
            </w:pPr>
            <w:r>
              <w:rPr>
                <w:rFonts w:ascii="Calibri" w:cs="Calibri" w:eastAsia="Calibri" w:hAnsi="Calibri"/>
                <w:sz w:val="14"/>
                <w:szCs w:val="14"/>
                <w:color w:val="51555C"/>
              </w:rPr>
              <w:t>41,177</w:t>
            </w:r>
          </w:p>
        </w:tc>
        <w:tc>
          <w:tcPr>
            <w:tcW w:w="20" w:type="dxa"/>
            <w:vAlign w:val="bottom"/>
          </w:tcPr>
          <w:p>
            <w:pPr>
              <w:spacing w:after="0"/>
              <w:rPr>
                <w:sz w:val="15"/>
                <w:szCs w:val="15"/>
                <w:color w:val="auto"/>
              </w:rPr>
            </w:pPr>
          </w:p>
        </w:tc>
      </w:tr>
      <w:tr>
        <w:trPr>
          <w:trHeight w:val="20"/>
        </w:trPr>
        <w:tc>
          <w:tcPr>
            <w:tcW w:w="3940" w:type="dxa"/>
            <w:vAlign w:val="bottom"/>
            <w:shd w:val="clear" w:color="auto" w:fill="0CD973"/>
          </w:tcPr>
          <w:p>
            <w:pPr>
              <w:spacing w:after="0" w:line="20" w:lineRule="exact"/>
              <w:rPr>
                <w:sz w:val="1"/>
                <w:szCs w:val="1"/>
                <w:color w:val="auto"/>
              </w:rPr>
            </w:pPr>
          </w:p>
        </w:tc>
        <w:tc>
          <w:tcPr>
            <w:tcW w:w="980" w:type="dxa"/>
            <w:vAlign w:val="bottom"/>
            <w:shd w:val="clear" w:color="auto" w:fill="0CD973"/>
          </w:tcPr>
          <w:p>
            <w:pPr>
              <w:spacing w:after="0" w:line="20" w:lineRule="exact"/>
              <w:rPr>
                <w:sz w:val="1"/>
                <w:szCs w:val="1"/>
                <w:color w:val="auto"/>
              </w:rPr>
            </w:pPr>
          </w:p>
        </w:tc>
        <w:tc>
          <w:tcPr>
            <w:tcW w:w="880" w:type="dxa"/>
            <w:vAlign w:val="bottom"/>
            <w:shd w:val="clear" w:color="auto" w:fill="0CD973"/>
          </w:tcPr>
          <w:p>
            <w:pPr>
              <w:spacing w:after="0" w:line="20" w:lineRule="exact"/>
              <w:rPr>
                <w:sz w:val="1"/>
                <w:szCs w:val="1"/>
                <w:color w:val="auto"/>
              </w:rPr>
            </w:pPr>
          </w:p>
        </w:tc>
        <w:tc>
          <w:tcPr>
            <w:tcW w:w="740" w:type="dxa"/>
            <w:vAlign w:val="bottom"/>
            <w:shd w:val="clear" w:color="auto" w:fill="0CD973"/>
          </w:tcPr>
          <w:p>
            <w:pPr>
              <w:spacing w:after="0" w:line="20" w:lineRule="exact"/>
              <w:rPr>
                <w:sz w:val="1"/>
                <w:szCs w:val="1"/>
                <w:color w:val="auto"/>
              </w:rPr>
            </w:pPr>
          </w:p>
        </w:tc>
        <w:tc>
          <w:tcPr>
            <w:tcW w:w="1020" w:type="dxa"/>
            <w:vAlign w:val="bottom"/>
            <w:shd w:val="clear" w:color="auto" w:fill="0CD973"/>
          </w:tcPr>
          <w:p>
            <w:pPr>
              <w:spacing w:after="0" w:line="20" w:lineRule="exact"/>
              <w:rPr>
                <w:sz w:val="1"/>
                <w:szCs w:val="1"/>
                <w:color w:val="auto"/>
              </w:rPr>
            </w:pPr>
          </w:p>
        </w:tc>
        <w:tc>
          <w:tcPr>
            <w:tcW w:w="100" w:type="dxa"/>
            <w:vAlign w:val="bottom"/>
            <w:shd w:val="clear" w:color="auto" w:fill="0CD973"/>
          </w:tcPr>
          <w:p>
            <w:pPr>
              <w:spacing w:after="0" w:line="20" w:lineRule="exact"/>
              <w:rPr>
                <w:sz w:val="1"/>
                <w:szCs w:val="1"/>
                <w:color w:val="auto"/>
              </w:rPr>
            </w:pPr>
          </w:p>
        </w:tc>
        <w:tc>
          <w:tcPr>
            <w:tcW w:w="760" w:type="dxa"/>
            <w:vAlign w:val="bottom"/>
            <w:shd w:val="clear" w:color="auto" w:fill="0CD973"/>
          </w:tcPr>
          <w:p>
            <w:pPr>
              <w:spacing w:after="0" w:line="20" w:lineRule="exact"/>
              <w:rPr>
                <w:sz w:val="1"/>
                <w:szCs w:val="1"/>
                <w:color w:val="auto"/>
              </w:rPr>
            </w:pPr>
          </w:p>
        </w:tc>
        <w:tc>
          <w:tcPr>
            <w:tcW w:w="1100" w:type="dxa"/>
            <w:vAlign w:val="bottom"/>
            <w:shd w:val="clear" w:color="auto" w:fill="0CD973"/>
          </w:tcPr>
          <w:p>
            <w:pPr>
              <w:spacing w:after="0" w:line="20" w:lineRule="exact"/>
              <w:rPr>
                <w:sz w:val="1"/>
                <w:szCs w:val="1"/>
                <w:color w:val="auto"/>
              </w:rPr>
            </w:pPr>
          </w:p>
        </w:tc>
        <w:tc>
          <w:tcPr>
            <w:tcW w:w="520" w:type="dxa"/>
            <w:vAlign w:val="bottom"/>
            <w:shd w:val="clear" w:color="auto" w:fill="0CD973"/>
          </w:tcPr>
          <w:p>
            <w:pPr>
              <w:spacing w:after="0" w:line="20" w:lineRule="exact"/>
              <w:rPr>
                <w:sz w:val="1"/>
                <w:szCs w:val="1"/>
                <w:color w:val="auto"/>
              </w:rPr>
            </w:pPr>
          </w:p>
        </w:tc>
        <w:tc>
          <w:tcPr>
            <w:tcW w:w="124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51555C"/>
        </w:rPr>
        <w:t>Other commitments</w:t>
      </w:r>
    </w:p>
    <w:p>
      <w:pPr>
        <w:spacing w:after="0" w:line="129" w:lineRule="exact"/>
        <w:rPr>
          <w:sz w:val="20"/>
          <w:szCs w:val="20"/>
          <w:color w:val="auto"/>
        </w:rPr>
      </w:pPr>
    </w:p>
    <w:p>
      <w:pPr>
        <w:jc w:val="both"/>
        <w:ind w:right="20"/>
        <w:spacing w:after="0" w:line="237" w:lineRule="auto"/>
        <w:rPr>
          <w:sz w:val="20"/>
          <w:szCs w:val="20"/>
          <w:color w:val="auto"/>
        </w:rPr>
      </w:pPr>
      <w:r>
        <w:rPr>
          <w:rFonts w:ascii="Calibri" w:cs="Calibri" w:eastAsia="Calibri" w:hAnsi="Calibri"/>
          <w:sz w:val="14"/>
          <w:szCs w:val="14"/>
          <w:color w:val="51555C"/>
        </w:rPr>
        <w:t>The term loans under the 2024 Credit Facilites require periodic principal payments. The balance of the term loans and any amounts drawn on the revolving credit loans are due upon maturity of the 2024 Credit Facilites in April 2029. The Real Estate Loans also require periodic principal payments and the balance of the Real Estate Loans are due upon maturity in April 2038.</w:t>
      </w:r>
    </w:p>
    <w:p>
      <w:pPr>
        <w:spacing w:after="0" w:line="129" w:lineRule="exact"/>
        <w:rPr>
          <w:sz w:val="20"/>
          <w:szCs w:val="20"/>
          <w:color w:val="auto"/>
        </w:rPr>
      </w:pPr>
    </w:p>
    <w:p>
      <w:pPr>
        <w:jc w:val="both"/>
        <w:ind w:right="20"/>
        <w:spacing w:after="0" w:line="270" w:lineRule="auto"/>
        <w:rPr>
          <w:sz w:val="20"/>
          <w:szCs w:val="20"/>
          <w:color w:val="auto"/>
        </w:rPr>
      </w:pPr>
      <w:r>
        <w:rPr>
          <w:rFonts w:ascii="Calibri" w:cs="Calibri" w:eastAsia="Calibri" w:hAnsi="Calibri"/>
          <w:sz w:val="13"/>
          <w:szCs w:val="13"/>
          <w:color w:val="51555C"/>
        </w:rPr>
        <w:t>We have contractual obligatons for third-party technology used in our solutons and for other services we purchase as part of our normal operatons. In certain cases, these arrangements require a minimum annual purchase commitment by us. As of June 30, 2024, the remaining aggregate minimum purchase commitment under these arrangements was approximately $228.0 million through 2029.</w:t>
      </w:r>
    </w:p>
    <w:p>
      <w:pPr>
        <w:spacing w:after="0" w:line="107"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51555C"/>
        </w:rPr>
        <w:t>Soluton and service indemnifcatons</w:t>
      </w:r>
    </w:p>
    <w:p>
      <w:pPr>
        <w:spacing w:after="0" w:line="129" w:lineRule="exact"/>
        <w:rPr>
          <w:sz w:val="20"/>
          <w:szCs w:val="20"/>
          <w:color w:val="auto"/>
        </w:rPr>
      </w:pPr>
    </w:p>
    <w:p>
      <w:pPr>
        <w:jc w:val="both"/>
        <w:ind w:right="20"/>
        <w:spacing w:after="0" w:line="237" w:lineRule="auto"/>
        <w:rPr>
          <w:sz w:val="20"/>
          <w:szCs w:val="20"/>
          <w:color w:val="auto"/>
        </w:rPr>
      </w:pPr>
      <w:r>
        <w:rPr>
          <w:rFonts w:ascii="Calibri" w:cs="Calibri" w:eastAsia="Calibri" w:hAnsi="Calibri"/>
          <w:sz w:val="14"/>
          <w:szCs w:val="14"/>
          <w:color w:val="51555C"/>
        </w:rPr>
        <w:t>In the ordinary course of business, we provide certain indemnifcatons of varying scope to customers against claims of intellectual property infringement made by third partes arising from the use of our solutons or services. We have not identfed any losses that might be covered by these indemnifcatons.</w:t>
      </w:r>
    </w:p>
    <w:p>
      <w:pPr>
        <w:spacing w:after="0" w:line="266" w:lineRule="exact"/>
        <w:rPr>
          <w:sz w:val="20"/>
          <w:szCs w:val="20"/>
          <w:color w:val="auto"/>
        </w:rPr>
      </w:pPr>
    </w:p>
    <w:p>
      <w:pPr>
        <w:ind w:left="20"/>
        <w:spacing w:after="0"/>
        <w:tabs>
          <w:tab w:leader="none" w:pos="589" w:val="left"/>
        </w:tabs>
        <w:rPr>
          <w:sz w:val="20"/>
          <w:szCs w:val="20"/>
          <w:color w:val="auto"/>
        </w:rPr>
      </w:pPr>
      <w:r>
        <w:rPr>
          <w:rFonts w:ascii="Calibri" w:cs="Calibri" w:eastAsia="Calibri" w:hAnsi="Calibri"/>
          <w:sz w:val="11"/>
          <w:szCs w:val="11"/>
          <w:color w:val="51555C"/>
        </w:rPr>
        <w:t>18</w:t>
      </w:r>
      <w:r>
        <w:rPr>
          <w:sz w:val="20"/>
          <w:szCs w:val="20"/>
          <w:color w:val="auto"/>
        </w:rPr>
        <w:tab/>
      </w:r>
      <w:r>
        <w:rPr>
          <w:sz w:val="1"/>
          <w:szCs w:val="1"/>
          <w:color w:val="auto"/>
        </w:rPr>
        <w:drawing>
          <wp:inline distT="0" distB="0" distL="0" distR="0">
            <wp:extent cx="511810" cy="134620"/>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1810" cy="134620"/>
                    </a:xfrm>
                    <a:prstGeom prst="rect">
                      <a:avLst/>
                    </a:prstGeom>
                    <a:noFill/>
                    <a:ln>
                      <a:noFill/>
                    </a:ln>
                  </pic:spPr>
                </pic:pic>
              </a:graphicData>
            </a:graphic>
          </wp:inline>
        </w:drawing>
      </w:r>
      <w:r>
        <w:rPr>
          <w:rFonts w:ascii="Calibri" w:cs="Calibri" w:eastAsia="Calibri" w:hAnsi="Calibri"/>
          <w:sz w:val="11"/>
          <w:szCs w:val="11"/>
          <w:color w:val="51555C"/>
        </w:rPr>
        <w:t xml:space="preserve">    Second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135255</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19" w:name="page20"/>
    <w:bookmarkEnd w:id="19"/>
    <w:p>
      <w:pPr>
        <w:spacing w:after="0"/>
        <w:rPr>
          <w:sz w:val="20"/>
          <w:szCs w:val="20"/>
          <w:color w:val="auto"/>
        </w:rPr>
      </w:pPr>
      <w:r>
        <w:rPr>
          <w:rFonts w:ascii="Calibri" w:cs="Calibri" w:eastAsia="Calibri" w:hAnsi="Calibri"/>
          <w:sz w:val="11"/>
          <w:szCs w:val="11"/>
          <w:u w:val="single" w:color="auto"/>
          <w:color w:val="7A04DD"/>
        </w:rPr>
        <w:t>Table of Contents</w:t>
      </w:r>
    </w:p>
    <w:p>
      <w:pPr>
        <w:spacing w:after="0" w:line="196" w:lineRule="exact"/>
        <w:rPr>
          <w:sz w:val="20"/>
          <w:szCs w:val="20"/>
          <w:color w:val="auto"/>
        </w:rPr>
      </w:pPr>
    </w:p>
    <w:p>
      <w:pPr>
        <w:jc w:val="center"/>
        <w:ind w:right="20"/>
        <w:spacing w:after="0"/>
        <w:rPr>
          <w:sz w:val="20"/>
          <w:szCs w:val="20"/>
          <w:color w:val="auto"/>
        </w:rPr>
      </w:pPr>
      <w:r>
        <w:rPr>
          <w:rFonts w:ascii="Calibri" w:cs="Calibri" w:eastAsia="Calibri" w:hAnsi="Calibri"/>
          <w:sz w:val="14"/>
          <w:szCs w:val="14"/>
          <w:b w:val="1"/>
          <w:bCs w:val="1"/>
          <w:color w:val="51555C"/>
        </w:rPr>
        <w:t>Blackbaud, Inc.</w:t>
      </w:r>
    </w:p>
    <w:p>
      <w:pPr>
        <w:jc w:val="center"/>
        <w:ind w:right="20"/>
        <w:spacing w:after="0" w:line="238" w:lineRule="auto"/>
        <w:rPr>
          <w:sz w:val="20"/>
          <w:szCs w:val="20"/>
          <w:color w:val="auto"/>
        </w:rPr>
      </w:pPr>
      <w:r>
        <w:rPr>
          <w:rFonts w:ascii="Calibri" w:cs="Calibri" w:eastAsia="Calibri" w:hAnsi="Calibri"/>
          <w:sz w:val="14"/>
          <w:szCs w:val="14"/>
          <w:b w:val="1"/>
          <w:bCs w:val="1"/>
          <w:color w:val="51555C"/>
        </w:rPr>
        <w:t>Notes to Condensed Consolidated Financial Statements</w:t>
      </w:r>
    </w:p>
    <w:p>
      <w:pPr>
        <w:jc w:val="center"/>
        <w:ind w:right="20"/>
        <w:spacing w:after="0"/>
        <w:rPr>
          <w:sz w:val="20"/>
          <w:szCs w:val="20"/>
          <w:color w:val="auto"/>
        </w:rPr>
      </w:pPr>
      <w:r>
        <w:rPr>
          <w:rFonts w:ascii="Calibri" w:cs="Calibri" w:eastAsia="Calibri" w:hAnsi="Calibri"/>
          <w:sz w:val="14"/>
          <w:szCs w:val="14"/>
          <w:b w:val="1"/>
          <w:bCs w:val="1"/>
          <w:color w:val="51555C"/>
        </w:rPr>
        <w:t>(Unaudited)</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51555C"/>
        </w:rPr>
        <w:t>Legal proceedings</w:t>
      </w:r>
    </w:p>
    <w:p>
      <w:pPr>
        <w:spacing w:after="0" w:line="129" w:lineRule="exact"/>
        <w:rPr>
          <w:sz w:val="20"/>
          <w:szCs w:val="20"/>
          <w:color w:val="auto"/>
        </w:rPr>
      </w:pPr>
    </w:p>
    <w:p>
      <w:pPr>
        <w:jc w:val="both"/>
        <w:ind w:right="20"/>
        <w:spacing w:after="0" w:line="238" w:lineRule="auto"/>
        <w:rPr>
          <w:sz w:val="20"/>
          <w:szCs w:val="20"/>
          <w:color w:val="auto"/>
        </w:rPr>
      </w:pPr>
      <w:r>
        <w:rPr>
          <w:rFonts w:ascii="Calibri" w:cs="Calibri" w:eastAsia="Calibri" w:hAnsi="Calibri"/>
          <w:sz w:val="14"/>
          <w:szCs w:val="14"/>
          <w:color w:val="51555C"/>
        </w:rPr>
        <w:t>We are subject to legal proceedings and claims that arise in the ordinary course of business, as well as certain other non-ordinary course proceedings, claims and investgatons, as described below. We make a provision for a loss contngency when it is both probable that a material liability has been incurred and the amount of the loss can be reasonably estmated. If only a range of estmated losses can be determined, we accrue an amount within the range that, in our judgment, refects the most likely outcome; if none of the estmates within that range is a beter estmate than any other amount, we accrue the low end of the range. For proceedings in which an unfavorable outcome is reasonably possible but not probable and an estmate of the loss or range of losses arising from the proceeding can be made, we disclose such an estmate, if material. If such a loss or range of losses is not reasonably estmable, we disclose that fact. We review any such loss contngency provisions at least quarterly and adjust them to refect the impacts of negotatons, setlements, rulings, advice of legal counsel and other informaton and events pertaining to a partcular case. We recognize insurance recoveries, if any, when they are probable of receipt. All associated costs due to third-party service providers and consultants, including legal fees, are expensed as incurred.</w:t>
      </w:r>
    </w:p>
    <w:p>
      <w:pPr>
        <w:spacing w:after="0" w:line="129" w:lineRule="exact"/>
        <w:rPr>
          <w:sz w:val="20"/>
          <w:szCs w:val="20"/>
          <w:color w:val="auto"/>
        </w:rPr>
      </w:pPr>
    </w:p>
    <w:p>
      <w:pPr>
        <w:jc w:val="both"/>
        <w:ind w:right="20"/>
        <w:spacing w:after="0" w:line="237" w:lineRule="auto"/>
        <w:rPr>
          <w:sz w:val="20"/>
          <w:szCs w:val="20"/>
          <w:color w:val="auto"/>
        </w:rPr>
      </w:pPr>
      <w:r>
        <w:rPr>
          <w:rFonts w:ascii="Calibri" w:cs="Calibri" w:eastAsia="Calibri" w:hAnsi="Calibri"/>
          <w:sz w:val="14"/>
          <w:szCs w:val="14"/>
          <w:color w:val="51555C"/>
        </w:rPr>
        <w:t>Legal proceedings are inherently unpredictable. However, we believe that we have valid defenses with respect to the legal maters pending or threatened against us and intend to defend ourselves vigorously against all claims asserted. It is possible that our consolidated fnancial positon, results of operatons or cash fows could be materially negatvely afected in any partcular period by an unfavorable resoluton of one or more of such legal proceedings.</w:t>
      </w:r>
    </w:p>
    <w:p>
      <w:pPr>
        <w:spacing w:after="0" w:line="127" w:lineRule="exact"/>
        <w:rPr>
          <w:sz w:val="20"/>
          <w:szCs w:val="20"/>
          <w:color w:val="auto"/>
        </w:rPr>
      </w:pPr>
    </w:p>
    <w:p>
      <w:pPr>
        <w:spacing w:after="0"/>
        <w:rPr>
          <w:sz w:val="20"/>
          <w:szCs w:val="20"/>
          <w:color w:val="auto"/>
        </w:rPr>
      </w:pPr>
      <w:r>
        <w:rPr>
          <w:rFonts w:ascii="Calibri" w:cs="Calibri" w:eastAsia="Calibri" w:hAnsi="Calibri"/>
          <w:sz w:val="14"/>
          <w:szCs w:val="14"/>
          <w:u w:val="single" w:color="auto"/>
          <w:color w:val="51555C"/>
        </w:rPr>
        <w:t>Security incident</w:t>
      </w:r>
    </w:p>
    <w:p>
      <w:pPr>
        <w:spacing w:after="0" w:line="129" w:lineRule="exact"/>
        <w:rPr>
          <w:sz w:val="20"/>
          <w:szCs w:val="20"/>
          <w:color w:val="auto"/>
        </w:rPr>
      </w:pPr>
    </w:p>
    <w:p>
      <w:pPr>
        <w:jc w:val="both"/>
        <w:ind w:right="20"/>
        <w:spacing w:after="0" w:line="237" w:lineRule="auto"/>
        <w:rPr>
          <w:sz w:val="20"/>
          <w:szCs w:val="20"/>
          <w:color w:val="auto"/>
        </w:rPr>
      </w:pPr>
      <w:r>
        <w:rPr>
          <w:rFonts w:ascii="Calibri" w:cs="Calibri" w:eastAsia="Calibri" w:hAnsi="Calibri"/>
          <w:sz w:val="14"/>
          <w:szCs w:val="14"/>
          <w:color w:val="51555C"/>
        </w:rPr>
        <w:t>As previously disclosed, we are subject to risks and uncertaintes as a result of a ransomware atack against us in May 2020 in which a cybercriminal removed a copy of a subset of data from our self-hosted environment (the "Security Incident"). Based on the nature of the Security Incident, our research and third party (including law enforcement) investgaton, we do not believe that any data went beyond the cybercriminal, has been misused, or has been disseminated or otherwise made available publicly. Our investgaton into the Security Incident remains ongoing.</w:t>
      </w:r>
    </w:p>
    <w:p>
      <w:pPr>
        <w:spacing w:after="0" w:line="130" w:lineRule="exact"/>
        <w:rPr>
          <w:sz w:val="20"/>
          <w:szCs w:val="20"/>
          <w:color w:val="auto"/>
        </w:rPr>
      </w:pPr>
    </w:p>
    <w:p>
      <w:pPr>
        <w:jc w:val="both"/>
        <w:ind w:right="20"/>
        <w:spacing w:after="0" w:line="237" w:lineRule="auto"/>
        <w:rPr>
          <w:sz w:val="20"/>
          <w:szCs w:val="20"/>
          <w:color w:val="auto"/>
        </w:rPr>
      </w:pPr>
      <w:r>
        <w:rPr>
          <w:rFonts w:ascii="Calibri" w:cs="Calibri" w:eastAsia="Calibri" w:hAnsi="Calibri"/>
          <w:sz w:val="14"/>
          <w:szCs w:val="14"/>
          <w:color w:val="51555C"/>
        </w:rPr>
        <w:t>As a result of the Security Incident, we are currently subject to certain legal proceedings, claims and investgatons, as discussed below, and could be the subject of additonal legal proceedings, claims, inquiries and investgatons in the future that might result in adverse judgments, setlements, fnes, penaltes or other resoluton. To limit our exposure to losses related to claims against us, including data breaches such as the Security Incident, we maintain $50 million of insurance above a $250 thousand deductble payable by us. As noted below, this coverage reduced our fnancial exposure related to the Security Incident in prior years.</w:t>
      </w:r>
    </w:p>
    <w:p>
      <w:pPr>
        <w:spacing w:after="0" w:line="128" w:lineRule="exact"/>
        <w:rPr>
          <w:sz w:val="20"/>
          <w:szCs w:val="20"/>
          <w:color w:val="auto"/>
        </w:rPr>
      </w:pPr>
    </w:p>
    <w:p>
      <w:pPr>
        <w:spacing w:after="0"/>
        <w:rPr>
          <w:sz w:val="20"/>
          <w:szCs w:val="20"/>
          <w:color w:val="auto"/>
        </w:rPr>
      </w:pPr>
      <w:r>
        <w:rPr>
          <w:rFonts w:ascii="Calibri" w:cs="Calibri" w:eastAsia="Calibri" w:hAnsi="Calibri"/>
          <w:sz w:val="14"/>
          <w:szCs w:val="14"/>
          <w:color w:val="51555C"/>
        </w:rPr>
        <w:t>We recorded expenses and ofsetng insurance recoveries related to the Security Incident as follows: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5460" w:type="dxa"/>
            <w:vAlign w:val="bottom"/>
            <w:shd w:val="clear" w:color="auto" w:fill="004054"/>
          </w:tcPr>
          <w:p>
            <w:pPr>
              <w:spacing w:after="0"/>
              <w:rPr>
                <w:sz w:val="12"/>
                <w:szCs w:val="12"/>
                <w:color w:val="auto"/>
              </w:rPr>
            </w:pPr>
          </w:p>
        </w:tc>
        <w:tc>
          <w:tcPr>
            <w:tcW w:w="1440" w:type="dxa"/>
            <w:vAlign w:val="bottom"/>
            <w:shd w:val="clear" w:color="auto" w:fill="004054"/>
          </w:tcPr>
          <w:p>
            <w:pPr>
              <w:spacing w:after="0"/>
              <w:rPr>
                <w:sz w:val="12"/>
                <w:szCs w:val="12"/>
                <w:color w:val="auto"/>
              </w:rPr>
            </w:pPr>
          </w:p>
        </w:tc>
        <w:tc>
          <w:tcPr>
            <w:tcW w:w="144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Three months ended</w:t>
            </w:r>
          </w:p>
        </w:tc>
        <w:tc>
          <w:tcPr>
            <w:tcW w:w="80" w:type="dxa"/>
            <w:vAlign w:val="bottom"/>
          </w:tcPr>
          <w:p>
            <w:pPr>
              <w:spacing w:after="0"/>
              <w:rPr>
                <w:sz w:val="12"/>
                <w:szCs w:val="12"/>
                <w:color w:val="auto"/>
              </w:rPr>
            </w:pPr>
          </w:p>
        </w:tc>
        <w:tc>
          <w:tcPr>
            <w:tcW w:w="1440" w:type="dxa"/>
            <w:vAlign w:val="bottom"/>
            <w:shd w:val="clear" w:color="auto" w:fill="004054"/>
          </w:tcPr>
          <w:p>
            <w:pPr>
              <w:spacing w:after="0"/>
              <w:rPr>
                <w:sz w:val="12"/>
                <w:szCs w:val="12"/>
                <w:color w:val="auto"/>
              </w:rPr>
            </w:pPr>
          </w:p>
        </w:tc>
        <w:tc>
          <w:tcPr>
            <w:tcW w:w="144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Six months ended</w:t>
            </w:r>
          </w:p>
        </w:tc>
      </w:tr>
      <w:tr>
        <w:trPr>
          <w:trHeight w:val="135"/>
        </w:trPr>
        <w:tc>
          <w:tcPr>
            <w:tcW w:w="5460" w:type="dxa"/>
            <w:vAlign w:val="bottom"/>
            <w:shd w:val="clear" w:color="auto" w:fill="004054"/>
          </w:tcPr>
          <w:p>
            <w:pPr>
              <w:spacing w:after="0"/>
              <w:rPr>
                <w:sz w:val="11"/>
                <w:szCs w:val="11"/>
                <w:color w:val="auto"/>
              </w:rPr>
            </w:pPr>
          </w:p>
        </w:tc>
        <w:tc>
          <w:tcPr>
            <w:tcW w:w="1440" w:type="dxa"/>
            <w:vAlign w:val="bottom"/>
            <w:shd w:val="clear" w:color="auto" w:fill="004054"/>
          </w:tcPr>
          <w:p>
            <w:pPr>
              <w:spacing w:after="0"/>
              <w:rPr>
                <w:sz w:val="11"/>
                <w:szCs w:val="11"/>
                <w:color w:val="auto"/>
              </w:rPr>
            </w:pPr>
          </w:p>
        </w:tc>
        <w:tc>
          <w:tcPr>
            <w:tcW w:w="144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June 30,</w:t>
            </w:r>
          </w:p>
        </w:tc>
        <w:tc>
          <w:tcPr>
            <w:tcW w:w="80" w:type="dxa"/>
            <w:vAlign w:val="bottom"/>
          </w:tcPr>
          <w:p>
            <w:pPr>
              <w:spacing w:after="0"/>
              <w:rPr>
                <w:sz w:val="11"/>
                <w:szCs w:val="11"/>
                <w:color w:val="auto"/>
              </w:rPr>
            </w:pPr>
          </w:p>
        </w:tc>
        <w:tc>
          <w:tcPr>
            <w:tcW w:w="1440" w:type="dxa"/>
            <w:vAlign w:val="bottom"/>
            <w:shd w:val="clear" w:color="auto" w:fill="004054"/>
          </w:tcPr>
          <w:p>
            <w:pPr>
              <w:spacing w:after="0"/>
              <w:rPr>
                <w:sz w:val="11"/>
                <w:szCs w:val="11"/>
                <w:color w:val="auto"/>
              </w:rPr>
            </w:pPr>
          </w:p>
        </w:tc>
        <w:tc>
          <w:tcPr>
            <w:tcW w:w="144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June 30,</w:t>
            </w:r>
          </w:p>
        </w:tc>
      </w:tr>
      <w:tr>
        <w:trPr>
          <w:trHeight w:val="191"/>
        </w:trPr>
        <w:tc>
          <w:tcPr>
            <w:tcW w:w="5460" w:type="dxa"/>
            <w:vAlign w:val="bottom"/>
            <w:shd w:val="clear" w:color="auto" w:fill="004054"/>
          </w:tcPr>
          <w:p>
            <w:pPr>
              <w:ind w:left="20"/>
              <w:spacing w:after="0"/>
              <w:rPr>
                <w:sz w:val="20"/>
                <w:szCs w:val="20"/>
                <w:color w:val="auto"/>
              </w:rPr>
            </w:pPr>
            <w:r>
              <w:rPr>
                <w:rFonts w:ascii="Calibri" w:cs="Calibri" w:eastAsia="Calibri" w:hAnsi="Calibri"/>
                <w:sz w:val="11"/>
                <w:szCs w:val="11"/>
                <w:b w:val="1"/>
                <w:bCs w:val="1"/>
                <w:color w:val="FFFFFF"/>
              </w:rPr>
              <w:t>(dollars in thousands)</w:t>
            </w:r>
          </w:p>
        </w:tc>
        <w:tc>
          <w:tcPr>
            <w:tcW w:w="144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2024</w:t>
            </w:r>
          </w:p>
        </w:tc>
        <w:tc>
          <w:tcPr>
            <w:tcW w:w="144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2023</w:t>
            </w:r>
          </w:p>
        </w:tc>
        <w:tc>
          <w:tcPr>
            <w:tcW w:w="80" w:type="dxa"/>
            <w:vAlign w:val="bottom"/>
          </w:tcPr>
          <w:p>
            <w:pPr>
              <w:spacing w:after="0"/>
              <w:rPr>
                <w:sz w:val="16"/>
                <w:szCs w:val="16"/>
                <w:color w:val="auto"/>
              </w:rPr>
            </w:pPr>
          </w:p>
        </w:tc>
        <w:tc>
          <w:tcPr>
            <w:tcW w:w="144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2024</w:t>
            </w:r>
          </w:p>
        </w:tc>
        <w:tc>
          <w:tcPr>
            <w:tcW w:w="144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2023</w:t>
            </w:r>
          </w:p>
        </w:tc>
      </w:tr>
      <w:tr>
        <w:trPr>
          <w:trHeight w:val="57"/>
        </w:trPr>
        <w:tc>
          <w:tcPr>
            <w:tcW w:w="5460" w:type="dxa"/>
            <w:vAlign w:val="bottom"/>
            <w:shd w:val="clear" w:color="auto" w:fill="004054"/>
          </w:tcPr>
          <w:p>
            <w:pPr>
              <w:spacing w:after="0"/>
              <w:rPr>
                <w:sz w:val="4"/>
                <w:szCs w:val="4"/>
                <w:color w:val="auto"/>
              </w:rPr>
            </w:pPr>
          </w:p>
        </w:tc>
        <w:tc>
          <w:tcPr>
            <w:tcW w:w="1440" w:type="dxa"/>
            <w:vAlign w:val="bottom"/>
            <w:shd w:val="clear" w:color="auto" w:fill="004054"/>
          </w:tcPr>
          <w:p>
            <w:pPr>
              <w:spacing w:after="0"/>
              <w:rPr>
                <w:sz w:val="4"/>
                <w:szCs w:val="4"/>
                <w:color w:val="auto"/>
              </w:rPr>
            </w:pPr>
          </w:p>
        </w:tc>
        <w:tc>
          <w:tcPr>
            <w:tcW w:w="1440" w:type="dxa"/>
            <w:vAlign w:val="bottom"/>
            <w:shd w:val="clear" w:color="auto" w:fill="004054"/>
          </w:tcPr>
          <w:p>
            <w:pPr>
              <w:spacing w:after="0"/>
              <w:rPr>
                <w:sz w:val="4"/>
                <w:szCs w:val="4"/>
                <w:color w:val="auto"/>
              </w:rPr>
            </w:pPr>
          </w:p>
        </w:tc>
        <w:tc>
          <w:tcPr>
            <w:tcW w:w="80" w:type="dxa"/>
            <w:vAlign w:val="bottom"/>
          </w:tcPr>
          <w:p>
            <w:pPr>
              <w:spacing w:after="0"/>
              <w:rPr>
                <w:sz w:val="4"/>
                <w:szCs w:val="4"/>
                <w:color w:val="auto"/>
              </w:rPr>
            </w:pPr>
          </w:p>
        </w:tc>
        <w:tc>
          <w:tcPr>
            <w:tcW w:w="1440" w:type="dxa"/>
            <w:vAlign w:val="bottom"/>
            <w:shd w:val="clear" w:color="auto" w:fill="004054"/>
          </w:tcPr>
          <w:p>
            <w:pPr>
              <w:spacing w:after="0"/>
              <w:rPr>
                <w:sz w:val="4"/>
                <w:szCs w:val="4"/>
                <w:color w:val="auto"/>
              </w:rPr>
            </w:pPr>
          </w:p>
        </w:tc>
        <w:tc>
          <w:tcPr>
            <w:tcW w:w="1440" w:type="dxa"/>
            <w:vAlign w:val="bottom"/>
            <w:shd w:val="clear" w:color="auto" w:fill="004054"/>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7161530" cy="1416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1530" cy="141605"/>
                    </a:xfrm>
                    <a:prstGeom prst="rect">
                      <a:avLst/>
                    </a:prstGeom>
                    <a:noFill/>
                  </pic:spPr>
                </pic:pic>
              </a:graphicData>
            </a:graphic>
          </wp:anchor>
        </w:drawing>
        <w:drawing>
          <wp:anchor simplePos="0" relativeHeight="251657728" behindDoc="1" locked="0" layoutInCell="0" allowOverlap="1">
            <wp:simplePos x="0" y="0"/>
            <wp:positionH relativeFrom="column">
              <wp:posOffset>3465830</wp:posOffset>
            </wp:positionH>
            <wp:positionV relativeFrom="paragraph">
              <wp:posOffset>-127635</wp:posOffset>
            </wp:positionV>
            <wp:extent cx="3705225" cy="69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705225" cy="698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1"/>
        </w:trPr>
        <w:tc>
          <w:tcPr>
            <w:tcW w:w="5460" w:type="dxa"/>
            <w:vAlign w:val="bottom"/>
          </w:tcPr>
          <w:p>
            <w:pPr>
              <w:ind w:left="20"/>
              <w:spacing w:after="0"/>
              <w:rPr>
                <w:sz w:val="20"/>
                <w:szCs w:val="20"/>
                <w:color w:val="auto"/>
              </w:rPr>
            </w:pPr>
            <w:r>
              <w:rPr>
                <w:rFonts w:ascii="Calibri" w:cs="Calibri" w:eastAsia="Calibri" w:hAnsi="Calibri"/>
                <w:sz w:val="14"/>
                <w:szCs w:val="14"/>
                <w:color w:val="51555C"/>
              </w:rPr>
              <w:t>Gross expense</w:t>
            </w:r>
          </w:p>
        </w:tc>
        <w:tc>
          <w:tcPr>
            <w:tcW w:w="580" w:type="dxa"/>
            <w:vAlign w:val="bottom"/>
          </w:tcPr>
          <w:p>
            <w:pPr>
              <w:jc w:val="right"/>
              <w:ind w:right="429"/>
              <w:spacing w:after="0"/>
              <w:rPr>
                <w:sz w:val="20"/>
                <w:szCs w:val="20"/>
                <w:color w:val="auto"/>
              </w:rPr>
            </w:pPr>
            <w:r>
              <w:rPr>
                <w:rFonts w:ascii="Calibri" w:cs="Calibri" w:eastAsia="Calibri" w:hAnsi="Calibri"/>
                <w:sz w:val="14"/>
                <w:szCs w:val="14"/>
                <w:color w:val="51555C"/>
                <w:w w:val="83"/>
              </w:rPr>
              <w:t>$</w:t>
            </w:r>
          </w:p>
        </w:tc>
        <w:tc>
          <w:tcPr>
            <w:tcW w:w="840" w:type="dxa"/>
            <w:vAlign w:val="bottom"/>
          </w:tcPr>
          <w:p>
            <w:pPr>
              <w:jc w:val="right"/>
              <w:spacing w:after="0"/>
              <w:rPr>
                <w:sz w:val="20"/>
                <w:szCs w:val="20"/>
                <w:color w:val="auto"/>
              </w:rPr>
            </w:pPr>
            <w:r>
              <w:rPr>
                <w:rFonts w:ascii="Calibri" w:cs="Calibri" w:eastAsia="Calibri" w:hAnsi="Calibri"/>
                <w:sz w:val="14"/>
                <w:szCs w:val="14"/>
                <w:color w:val="51555C"/>
              </w:rPr>
              <w:t>1,822</w:t>
            </w:r>
          </w:p>
        </w:tc>
        <w:tc>
          <w:tcPr>
            <w:tcW w:w="560" w:type="dxa"/>
            <w:vAlign w:val="bottom"/>
          </w:tcPr>
          <w:p>
            <w:pPr>
              <w:jc w:val="right"/>
              <w:ind w:right="389"/>
              <w:spacing w:after="0"/>
              <w:rPr>
                <w:sz w:val="20"/>
                <w:szCs w:val="20"/>
                <w:color w:val="auto"/>
              </w:rPr>
            </w:pPr>
            <w:r>
              <w:rPr>
                <w:rFonts w:ascii="Calibri" w:cs="Calibri" w:eastAsia="Calibri" w:hAnsi="Calibri"/>
                <w:sz w:val="14"/>
                <w:szCs w:val="14"/>
                <w:color w:val="51555C"/>
              </w:rPr>
              <w:t>$</w:t>
            </w:r>
          </w:p>
        </w:tc>
        <w:tc>
          <w:tcPr>
            <w:tcW w:w="880" w:type="dxa"/>
            <w:vAlign w:val="bottom"/>
          </w:tcPr>
          <w:p>
            <w:pPr>
              <w:jc w:val="right"/>
              <w:spacing w:after="0"/>
              <w:rPr>
                <w:sz w:val="20"/>
                <w:szCs w:val="20"/>
                <w:color w:val="auto"/>
              </w:rPr>
            </w:pPr>
            <w:r>
              <w:rPr>
                <w:rFonts w:ascii="Calibri" w:cs="Calibri" w:eastAsia="Calibri" w:hAnsi="Calibri"/>
                <w:sz w:val="14"/>
                <w:szCs w:val="14"/>
                <w:color w:val="51555C"/>
              </w:rPr>
              <w:t>26,777</w:t>
            </w:r>
          </w:p>
        </w:tc>
        <w:tc>
          <w:tcPr>
            <w:tcW w:w="100" w:type="dxa"/>
            <w:vAlign w:val="bottom"/>
          </w:tcPr>
          <w:p>
            <w:pPr>
              <w:spacing w:after="0"/>
              <w:rPr>
                <w:sz w:val="14"/>
                <w:szCs w:val="14"/>
                <w:color w:val="auto"/>
              </w:rPr>
            </w:pPr>
          </w:p>
        </w:tc>
        <w:tc>
          <w:tcPr>
            <w:tcW w:w="500" w:type="dxa"/>
            <w:vAlign w:val="bottom"/>
          </w:tcPr>
          <w:p>
            <w:pPr>
              <w:jc w:val="right"/>
              <w:ind w:right="349"/>
              <w:spacing w:after="0"/>
              <w:rPr>
                <w:sz w:val="20"/>
                <w:szCs w:val="20"/>
                <w:color w:val="auto"/>
              </w:rPr>
            </w:pPr>
            <w:r>
              <w:rPr>
                <w:rFonts w:ascii="Calibri" w:cs="Calibri" w:eastAsia="Calibri" w:hAnsi="Calibri"/>
                <w:sz w:val="14"/>
                <w:szCs w:val="14"/>
                <w:color w:val="51555C"/>
                <w:w w:val="83"/>
              </w:rPr>
              <w:t>$</w:t>
            </w:r>
          </w:p>
        </w:tc>
        <w:tc>
          <w:tcPr>
            <w:tcW w:w="940" w:type="dxa"/>
            <w:vAlign w:val="bottom"/>
          </w:tcPr>
          <w:p>
            <w:pPr>
              <w:jc w:val="right"/>
              <w:spacing w:after="0"/>
              <w:rPr>
                <w:sz w:val="20"/>
                <w:szCs w:val="20"/>
                <w:color w:val="auto"/>
              </w:rPr>
            </w:pPr>
            <w:r>
              <w:rPr>
                <w:rFonts w:ascii="Calibri" w:cs="Calibri" w:eastAsia="Calibri" w:hAnsi="Calibri"/>
                <w:sz w:val="14"/>
                <w:szCs w:val="14"/>
                <w:color w:val="51555C"/>
              </w:rPr>
              <w:t>12,145</w:t>
            </w:r>
          </w:p>
        </w:tc>
        <w:tc>
          <w:tcPr>
            <w:tcW w:w="420" w:type="dxa"/>
            <w:vAlign w:val="bottom"/>
          </w:tcPr>
          <w:p>
            <w:pPr>
              <w:jc w:val="right"/>
              <w:ind w:right="269"/>
              <w:spacing w:after="0"/>
              <w:rPr>
                <w:sz w:val="20"/>
                <w:szCs w:val="20"/>
                <w:color w:val="auto"/>
              </w:rPr>
            </w:pPr>
            <w:r>
              <w:rPr>
                <w:rFonts w:ascii="Calibri" w:cs="Calibri" w:eastAsia="Calibri" w:hAnsi="Calibri"/>
                <w:sz w:val="14"/>
                <w:szCs w:val="14"/>
                <w:color w:val="51555C"/>
                <w:w w:val="83"/>
              </w:rPr>
              <w:t>$</w:t>
            </w:r>
          </w:p>
        </w:tc>
        <w:tc>
          <w:tcPr>
            <w:tcW w:w="1000" w:type="dxa"/>
            <w:vAlign w:val="bottom"/>
          </w:tcPr>
          <w:p>
            <w:pPr>
              <w:jc w:val="right"/>
              <w:spacing w:after="0"/>
              <w:rPr>
                <w:sz w:val="20"/>
                <w:szCs w:val="20"/>
                <w:color w:val="auto"/>
              </w:rPr>
            </w:pPr>
            <w:r>
              <w:rPr>
                <w:rFonts w:ascii="Calibri" w:cs="Calibri" w:eastAsia="Calibri" w:hAnsi="Calibri"/>
                <w:sz w:val="14"/>
                <w:szCs w:val="14"/>
                <w:color w:val="51555C"/>
              </w:rPr>
              <w:t>44,560</w:t>
            </w:r>
          </w:p>
        </w:tc>
        <w:tc>
          <w:tcPr>
            <w:tcW w:w="20" w:type="dxa"/>
            <w:vAlign w:val="bottom"/>
          </w:tcPr>
          <w:p>
            <w:pPr>
              <w:spacing w:after="0"/>
              <w:rPr>
                <w:sz w:val="14"/>
                <w:szCs w:val="14"/>
                <w:color w:val="auto"/>
              </w:rPr>
            </w:pPr>
          </w:p>
        </w:tc>
      </w:tr>
      <w:tr>
        <w:trPr>
          <w:trHeight w:val="212"/>
        </w:trPr>
        <w:tc>
          <w:tcPr>
            <w:tcW w:w="5460" w:type="dxa"/>
            <w:vAlign w:val="bottom"/>
          </w:tcPr>
          <w:p>
            <w:pPr>
              <w:ind w:left="20"/>
              <w:spacing w:after="0"/>
              <w:rPr>
                <w:sz w:val="20"/>
                <w:szCs w:val="20"/>
                <w:color w:val="auto"/>
              </w:rPr>
            </w:pPr>
            <w:r>
              <w:rPr>
                <w:rFonts w:ascii="Calibri" w:cs="Calibri" w:eastAsia="Calibri" w:hAnsi="Calibri"/>
                <w:sz w:val="14"/>
                <w:szCs w:val="14"/>
                <w:color w:val="51555C"/>
              </w:rPr>
              <w:t>Ofsetng insurance recoveries</w:t>
            </w:r>
          </w:p>
        </w:tc>
        <w:tc>
          <w:tcPr>
            <w:tcW w:w="5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Calibri" w:cs="Calibri" w:eastAsia="Calibri" w:hAnsi="Calibri"/>
                <w:sz w:val="14"/>
                <w:szCs w:val="14"/>
                <w:color w:val="51555C"/>
              </w:rPr>
              <w:t>—</w:t>
            </w:r>
          </w:p>
        </w:tc>
        <w:tc>
          <w:tcPr>
            <w:tcW w:w="5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Calibri" w:cs="Calibri" w:eastAsia="Calibri" w:hAnsi="Calibri"/>
                <w:sz w:val="14"/>
                <w:szCs w:val="14"/>
                <w:color w:val="51555C"/>
              </w:rPr>
              <w:t>—</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Calibri" w:cs="Calibri" w:eastAsia="Calibri" w:hAnsi="Calibri"/>
                <w:sz w:val="14"/>
                <w:szCs w:val="14"/>
                <w:color w:val="51555C"/>
              </w:rPr>
              <w:t>—</w:t>
            </w: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Calibri" w:cs="Calibri" w:eastAsia="Calibri" w:hAnsi="Calibri"/>
                <w:sz w:val="14"/>
                <w:szCs w:val="14"/>
                <w:color w:val="51555C"/>
              </w:rPr>
              <w:t>—</w:t>
            </w:r>
          </w:p>
        </w:tc>
        <w:tc>
          <w:tcPr>
            <w:tcW w:w="20" w:type="dxa"/>
            <w:vAlign w:val="bottom"/>
          </w:tcPr>
          <w:p>
            <w:pPr>
              <w:spacing w:after="0"/>
              <w:rPr>
                <w:sz w:val="18"/>
                <w:szCs w:val="18"/>
                <w:color w:val="auto"/>
              </w:rPr>
            </w:pPr>
          </w:p>
        </w:tc>
      </w:tr>
      <w:tr>
        <w:trPr>
          <w:trHeight w:val="40"/>
        </w:trPr>
        <w:tc>
          <w:tcPr>
            <w:tcW w:w="5460" w:type="dxa"/>
            <w:vAlign w:val="bottom"/>
            <w:tcBorders>
              <w:bottom w:val="single" w:sz="8" w:color="EBFBFF"/>
            </w:tcBorders>
          </w:tcPr>
          <w:p>
            <w:pPr>
              <w:spacing w:after="0"/>
              <w:rPr>
                <w:sz w:val="3"/>
                <w:szCs w:val="3"/>
                <w:color w:val="auto"/>
              </w:rPr>
            </w:pPr>
          </w:p>
        </w:tc>
        <w:tc>
          <w:tcPr>
            <w:tcW w:w="580" w:type="dxa"/>
            <w:vAlign w:val="bottom"/>
            <w:tcBorders>
              <w:bottom w:val="single" w:sz="8" w:color="51555C"/>
            </w:tcBorders>
          </w:tcPr>
          <w:p>
            <w:pPr>
              <w:spacing w:after="0"/>
              <w:rPr>
                <w:sz w:val="3"/>
                <w:szCs w:val="3"/>
                <w:color w:val="auto"/>
              </w:rPr>
            </w:pPr>
          </w:p>
        </w:tc>
        <w:tc>
          <w:tcPr>
            <w:tcW w:w="840" w:type="dxa"/>
            <w:vAlign w:val="bottom"/>
            <w:tcBorders>
              <w:bottom w:val="single" w:sz="8" w:color="51555C"/>
            </w:tcBorders>
          </w:tcPr>
          <w:p>
            <w:pPr>
              <w:spacing w:after="0"/>
              <w:rPr>
                <w:sz w:val="3"/>
                <w:szCs w:val="3"/>
                <w:color w:val="auto"/>
              </w:rPr>
            </w:pPr>
          </w:p>
        </w:tc>
        <w:tc>
          <w:tcPr>
            <w:tcW w:w="560" w:type="dxa"/>
            <w:vAlign w:val="bottom"/>
            <w:tcBorders>
              <w:bottom w:val="single" w:sz="8" w:color="51555C"/>
            </w:tcBorders>
          </w:tcPr>
          <w:p>
            <w:pPr>
              <w:spacing w:after="0"/>
              <w:rPr>
                <w:sz w:val="3"/>
                <w:szCs w:val="3"/>
                <w:color w:val="auto"/>
              </w:rPr>
            </w:pPr>
          </w:p>
        </w:tc>
        <w:tc>
          <w:tcPr>
            <w:tcW w:w="880" w:type="dxa"/>
            <w:vAlign w:val="bottom"/>
            <w:tcBorders>
              <w:bottom w:val="single" w:sz="8" w:color="51555C"/>
            </w:tcBorders>
          </w:tcPr>
          <w:p>
            <w:pPr>
              <w:spacing w:after="0"/>
              <w:rPr>
                <w:sz w:val="3"/>
                <w:szCs w:val="3"/>
                <w:color w:val="auto"/>
              </w:rPr>
            </w:pPr>
          </w:p>
        </w:tc>
        <w:tc>
          <w:tcPr>
            <w:tcW w:w="100" w:type="dxa"/>
            <w:vAlign w:val="bottom"/>
            <w:tcBorders>
              <w:bottom w:val="single" w:sz="8" w:color="EBFBFF"/>
            </w:tcBorders>
          </w:tcPr>
          <w:p>
            <w:pPr>
              <w:spacing w:after="0"/>
              <w:rPr>
                <w:sz w:val="3"/>
                <w:szCs w:val="3"/>
                <w:color w:val="auto"/>
              </w:rPr>
            </w:pPr>
          </w:p>
        </w:tc>
        <w:tc>
          <w:tcPr>
            <w:tcW w:w="500" w:type="dxa"/>
            <w:vAlign w:val="bottom"/>
            <w:tcBorders>
              <w:bottom w:val="single" w:sz="8" w:color="51555C"/>
            </w:tcBorders>
          </w:tcPr>
          <w:p>
            <w:pPr>
              <w:spacing w:after="0"/>
              <w:rPr>
                <w:sz w:val="3"/>
                <w:szCs w:val="3"/>
                <w:color w:val="auto"/>
              </w:rPr>
            </w:pPr>
          </w:p>
        </w:tc>
        <w:tc>
          <w:tcPr>
            <w:tcW w:w="940" w:type="dxa"/>
            <w:vAlign w:val="bottom"/>
            <w:tcBorders>
              <w:bottom w:val="single" w:sz="8" w:color="51555C"/>
            </w:tcBorders>
          </w:tcPr>
          <w:p>
            <w:pPr>
              <w:spacing w:after="0"/>
              <w:rPr>
                <w:sz w:val="3"/>
                <w:szCs w:val="3"/>
                <w:color w:val="auto"/>
              </w:rPr>
            </w:pPr>
          </w:p>
        </w:tc>
        <w:tc>
          <w:tcPr>
            <w:tcW w:w="420" w:type="dxa"/>
            <w:vAlign w:val="bottom"/>
            <w:tcBorders>
              <w:bottom w:val="single" w:sz="8" w:color="51555C"/>
            </w:tcBorders>
          </w:tcPr>
          <w:p>
            <w:pPr>
              <w:spacing w:after="0"/>
              <w:rPr>
                <w:sz w:val="3"/>
                <w:szCs w:val="3"/>
                <w:color w:val="auto"/>
              </w:rPr>
            </w:pPr>
          </w:p>
        </w:tc>
        <w:tc>
          <w:tcPr>
            <w:tcW w:w="1000" w:type="dxa"/>
            <w:vAlign w:val="bottom"/>
            <w:tcBorders>
              <w:bottom w:val="single" w:sz="8" w:color="51555C"/>
            </w:tcBorders>
          </w:tcPr>
          <w:p>
            <w:pPr>
              <w:spacing w:after="0"/>
              <w:rPr>
                <w:sz w:val="3"/>
                <w:szCs w:val="3"/>
                <w:color w:val="auto"/>
              </w:rPr>
            </w:pPr>
          </w:p>
        </w:tc>
        <w:tc>
          <w:tcPr>
            <w:tcW w:w="20" w:type="dxa"/>
            <w:vAlign w:val="bottom"/>
          </w:tcPr>
          <w:p>
            <w:pPr>
              <w:spacing w:after="0"/>
              <w:rPr>
                <w:sz w:val="3"/>
                <w:szCs w:val="3"/>
                <w:color w:val="auto"/>
              </w:rPr>
            </w:pPr>
          </w:p>
        </w:tc>
      </w:tr>
      <w:tr>
        <w:trPr>
          <w:trHeight w:val="208"/>
        </w:trPr>
        <w:tc>
          <w:tcPr>
            <w:tcW w:w="5460" w:type="dxa"/>
            <w:vAlign w:val="bottom"/>
            <w:tcBorders>
              <w:bottom w:val="single" w:sz="8" w:color="EBFBFF"/>
            </w:tcBorders>
            <w:shd w:val="clear" w:color="auto" w:fill="EBFBFF"/>
          </w:tcPr>
          <w:p>
            <w:pPr>
              <w:ind w:left="100"/>
              <w:spacing w:after="0" w:line="152" w:lineRule="exact"/>
              <w:rPr>
                <w:sz w:val="20"/>
                <w:szCs w:val="20"/>
                <w:color w:val="auto"/>
              </w:rPr>
            </w:pPr>
            <w:r>
              <w:rPr>
                <w:rFonts w:ascii="Calibri" w:cs="Calibri" w:eastAsia="Calibri" w:hAnsi="Calibri"/>
                <w:sz w:val="14"/>
                <w:szCs w:val="14"/>
                <w:color w:val="51555C"/>
              </w:rPr>
              <w:t>Net expense</w:t>
            </w:r>
          </w:p>
        </w:tc>
        <w:tc>
          <w:tcPr>
            <w:tcW w:w="580" w:type="dxa"/>
            <w:vAlign w:val="bottom"/>
            <w:tcBorders>
              <w:bottom w:val="single" w:sz="8" w:color="EBFBFF"/>
            </w:tcBorders>
            <w:shd w:val="clear" w:color="auto" w:fill="EBFBFF"/>
          </w:tcPr>
          <w:p>
            <w:pPr>
              <w:jc w:val="right"/>
              <w:ind w:right="429"/>
              <w:spacing w:after="0" w:line="163" w:lineRule="exact"/>
              <w:rPr>
                <w:sz w:val="20"/>
                <w:szCs w:val="20"/>
                <w:color w:val="auto"/>
              </w:rPr>
            </w:pPr>
            <w:r>
              <w:rPr>
                <w:rFonts w:ascii="Calibri" w:cs="Calibri" w:eastAsia="Calibri" w:hAnsi="Calibri"/>
                <w:sz w:val="14"/>
                <w:szCs w:val="14"/>
                <w:color w:val="51555C"/>
                <w:w w:val="83"/>
              </w:rPr>
              <w:t>$</w:t>
            </w:r>
          </w:p>
        </w:tc>
        <w:tc>
          <w:tcPr>
            <w:tcW w:w="840" w:type="dxa"/>
            <w:vAlign w:val="bottom"/>
            <w:tcBorders>
              <w:bottom w:val="single" w:sz="8" w:color="EBFBFF"/>
            </w:tcBorders>
            <w:shd w:val="clear" w:color="auto" w:fill="EBFBFF"/>
          </w:tcPr>
          <w:p>
            <w:pPr>
              <w:jc w:val="right"/>
              <w:spacing w:after="0" w:line="163" w:lineRule="exact"/>
              <w:rPr>
                <w:sz w:val="20"/>
                <w:szCs w:val="20"/>
                <w:color w:val="auto"/>
              </w:rPr>
            </w:pPr>
            <w:r>
              <w:rPr>
                <w:rFonts w:ascii="Calibri" w:cs="Calibri" w:eastAsia="Calibri" w:hAnsi="Calibri"/>
                <w:sz w:val="14"/>
                <w:szCs w:val="14"/>
                <w:color w:val="51555C"/>
              </w:rPr>
              <w:t>1,822</w:t>
            </w:r>
          </w:p>
        </w:tc>
        <w:tc>
          <w:tcPr>
            <w:tcW w:w="560" w:type="dxa"/>
            <w:vAlign w:val="bottom"/>
            <w:tcBorders>
              <w:bottom w:val="single" w:sz="8" w:color="EBFBFF"/>
            </w:tcBorders>
            <w:shd w:val="clear" w:color="auto" w:fill="EBFBFF"/>
          </w:tcPr>
          <w:p>
            <w:pPr>
              <w:jc w:val="right"/>
              <w:ind w:right="389"/>
              <w:spacing w:after="0" w:line="163" w:lineRule="exact"/>
              <w:rPr>
                <w:sz w:val="20"/>
                <w:szCs w:val="20"/>
                <w:color w:val="auto"/>
              </w:rPr>
            </w:pPr>
            <w:r>
              <w:rPr>
                <w:rFonts w:ascii="Calibri" w:cs="Calibri" w:eastAsia="Calibri" w:hAnsi="Calibri"/>
                <w:sz w:val="14"/>
                <w:szCs w:val="14"/>
                <w:color w:val="51555C"/>
              </w:rPr>
              <w:t>$</w:t>
            </w:r>
          </w:p>
        </w:tc>
        <w:tc>
          <w:tcPr>
            <w:tcW w:w="880" w:type="dxa"/>
            <w:vAlign w:val="bottom"/>
            <w:tcBorders>
              <w:bottom w:val="single" w:sz="8" w:color="EBFBFF"/>
            </w:tcBorders>
            <w:shd w:val="clear" w:color="auto" w:fill="EBFBFF"/>
          </w:tcPr>
          <w:p>
            <w:pPr>
              <w:jc w:val="right"/>
              <w:spacing w:after="0" w:line="163" w:lineRule="exact"/>
              <w:rPr>
                <w:sz w:val="20"/>
                <w:szCs w:val="20"/>
                <w:color w:val="auto"/>
              </w:rPr>
            </w:pPr>
            <w:r>
              <w:rPr>
                <w:rFonts w:ascii="Calibri" w:cs="Calibri" w:eastAsia="Calibri" w:hAnsi="Calibri"/>
                <w:sz w:val="14"/>
                <w:szCs w:val="14"/>
                <w:color w:val="51555C"/>
              </w:rPr>
              <w:t>26,777</w:t>
            </w:r>
          </w:p>
        </w:tc>
        <w:tc>
          <w:tcPr>
            <w:tcW w:w="100" w:type="dxa"/>
            <w:vAlign w:val="bottom"/>
            <w:tcBorders>
              <w:bottom w:val="single" w:sz="8" w:color="EBFBFF"/>
            </w:tcBorders>
            <w:shd w:val="clear" w:color="auto" w:fill="EBFBFF"/>
          </w:tcPr>
          <w:p>
            <w:pPr>
              <w:spacing w:after="0"/>
              <w:rPr>
                <w:sz w:val="17"/>
                <w:szCs w:val="17"/>
                <w:color w:val="auto"/>
              </w:rPr>
            </w:pPr>
          </w:p>
        </w:tc>
        <w:tc>
          <w:tcPr>
            <w:tcW w:w="500" w:type="dxa"/>
            <w:vAlign w:val="bottom"/>
            <w:tcBorders>
              <w:bottom w:val="single" w:sz="8" w:color="EBFBFF"/>
            </w:tcBorders>
            <w:shd w:val="clear" w:color="auto" w:fill="EBFBFF"/>
          </w:tcPr>
          <w:p>
            <w:pPr>
              <w:jc w:val="right"/>
              <w:ind w:right="349"/>
              <w:spacing w:after="0" w:line="163" w:lineRule="exact"/>
              <w:rPr>
                <w:sz w:val="20"/>
                <w:szCs w:val="20"/>
                <w:color w:val="auto"/>
              </w:rPr>
            </w:pPr>
            <w:r>
              <w:rPr>
                <w:rFonts w:ascii="Calibri" w:cs="Calibri" w:eastAsia="Calibri" w:hAnsi="Calibri"/>
                <w:sz w:val="14"/>
                <w:szCs w:val="14"/>
                <w:color w:val="51555C"/>
                <w:w w:val="83"/>
              </w:rPr>
              <w:t>$</w:t>
            </w:r>
          </w:p>
        </w:tc>
        <w:tc>
          <w:tcPr>
            <w:tcW w:w="940" w:type="dxa"/>
            <w:vAlign w:val="bottom"/>
            <w:tcBorders>
              <w:bottom w:val="single" w:sz="8" w:color="EBFBFF"/>
            </w:tcBorders>
            <w:shd w:val="clear" w:color="auto" w:fill="EBFBFF"/>
          </w:tcPr>
          <w:p>
            <w:pPr>
              <w:jc w:val="right"/>
              <w:spacing w:after="0" w:line="163" w:lineRule="exact"/>
              <w:rPr>
                <w:sz w:val="20"/>
                <w:szCs w:val="20"/>
                <w:color w:val="auto"/>
              </w:rPr>
            </w:pPr>
            <w:r>
              <w:rPr>
                <w:rFonts w:ascii="Calibri" w:cs="Calibri" w:eastAsia="Calibri" w:hAnsi="Calibri"/>
                <w:sz w:val="14"/>
                <w:szCs w:val="14"/>
                <w:color w:val="51555C"/>
              </w:rPr>
              <w:t>12,145</w:t>
            </w:r>
          </w:p>
        </w:tc>
        <w:tc>
          <w:tcPr>
            <w:tcW w:w="420" w:type="dxa"/>
            <w:vAlign w:val="bottom"/>
            <w:tcBorders>
              <w:bottom w:val="single" w:sz="8" w:color="EBFBFF"/>
            </w:tcBorders>
            <w:shd w:val="clear" w:color="auto" w:fill="EBFBFF"/>
          </w:tcPr>
          <w:p>
            <w:pPr>
              <w:jc w:val="right"/>
              <w:ind w:right="269"/>
              <w:spacing w:after="0" w:line="163" w:lineRule="exact"/>
              <w:rPr>
                <w:sz w:val="20"/>
                <w:szCs w:val="20"/>
                <w:color w:val="auto"/>
              </w:rPr>
            </w:pPr>
            <w:r>
              <w:rPr>
                <w:rFonts w:ascii="Calibri" w:cs="Calibri" w:eastAsia="Calibri" w:hAnsi="Calibri"/>
                <w:sz w:val="14"/>
                <w:szCs w:val="14"/>
                <w:color w:val="51555C"/>
                <w:w w:val="83"/>
              </w:rPr>
              <w:t>$</w:t>
            </w:r>
          </w:p>
        </w:tc>
        <w:tc>
          <w:tcPr>
            <w:tcW w:w="1000" w:type="dxa"/>
            <w:vAlign w:val="bottom"/>
            <w:tcBorders>
              <w:bottom w:val="single" w:sz="8" w:color="EBFBFF"/>
            </w:tcBorders>
            <w:shd w:val="clear" w:color="auto" w:fill="EBFBFF"/>
          </w:tcPr>
          <w:p>
            <w:pPr>
              <w:jc w:val="right"/>
              <w:spacing w:after="0" w:line="163" w:lineRule="exact"/>
              <w:rPr>
                <w:sz w:val="20"/>
                <w:szCs w:val="20"/>
                <w:color w:val="auto"/>
              </w:rPr>
            </w:pPr>
            <w:r>
              <w:rPr>
                <w:rFonts w:ascii="Calibri" w:cs="Calibri" w:eastAsia="Calibri" w:hAnsi="Calibri"/>
                <w:sz w:val="14"/>
                <w:szCs w:val="14"/>
                <w:color w:val="51555C"/>
              </w:rPr>
              <w:t>44,560</w:t>
            </w:r>
          </w:p>
        </w:tc>
        <w:tc>
          <w:tcPr>
            <w:tcW w:w="20" w:type="dxa"/>
            <w:vAlign w:val="bottom"/>
          </w:tcPr>
          <w:p>
            <w:pPr>
              <w:spacing w:after="0"/>
              <w:rPr>
                <w:sz w:val="17"/>
                <w:szCs w:val="17"/>
                <w:color w:val="auto"/>
              </w:rPr>
            </w:pPr>
          </w:p>
        </w:tc>
      </w:tr>
      <w:tr>
        <w:trPr>
          <w:trHeight w:val="332"/>
        </w:trPr>
        <w:tc>
          <w:tcPr>
            <w:tcW w:w="6880" w:type="dxa"/>
            <w:vAlign w:val="bottom"/>
            <w:tcBorders>
              <w:top w:val="single" w:sz="8" w:color="0CD973"/>
            </w:tcBorders>
            <w:gridSpan w:val="3"/>
          </w:tcPr>
          <w:p>
            <w:pPr>
              <w:spacing w:after="0"/>
              <w:rPr>
                <w:sz w:val="20"/>
                <w:szCs w:val="20"/>
                <w:color w:val="auto"/>
              </w:rPr>
            </w:pPr>
            <w:r>
              <w:rPr>
                <w:rFonts w:ascii="Calibri" w:cs="Calibri" w:eastAsia="Calibri" w:hAnsi="Calibri"/>
                <w:sz w:val="14"/>
                <w:szCs w:val="14"/>
                <w:color w:val="51555C"/>
              </w:rPr>
              <w:t>The following summarizes our cumulatve expenses, insurance recoveries recognized and insurance recoveries paid as of:</w:t>
            </w:r>
          </w:p>
        </w:tc>
        <w:tc>
          <w:tcPr>
            <w:tcW w:w="560" w:type="dxa"/>
            <w:vAlign w:val="bottom"/>
            <w:tcBorders>
              <w:top w:val="single" w:sz="8" w:color="0CD973"/>
            </w:tcBorders>
          </w:tcPr>
          <w:p>
            <w:pPr>
              <w:spacing w:after="0"/>
              <w:rPr>
                <w:sz w:val="24"/>
                <w:szCs w:val="24"/>
                <w:color w:val="auto"/>
              </w:rPr>
            </w:pPr>
          </w:p>
        </w:tc>
        <w:tc>
          <w:tcPr>
            <w:tcW w:w="880" w:type="dxa"/>
            <w:vAlign w:val="bottom"/>
            <w:tcBorders>
              <w:top w:val="single" w:sz="8" w:color="0CD973"/>
            </w:tcBorders>
          </w:tcPr>
          <w:p>
            <w:pPr>
              <w:spacing w:after="0"/>
              <w:rPr>
                <w:sz w:val="24"/>
                <w:szCs w:val="24"/>
                <w:color w:val="auto"/>
              </w:rPr>
            </w:pPr>
          </w:p>
        </w:tc>
        <w:tc>
          <w:tcPr>
            <w:tcW w:w="100" w:type="dxa"/>
            <w:vAlign w:val="bottom"/>
            <w:tcBorders>
              <w:top w:val="single" w:sz="8" w:color="0CD973"/>
            </w:tcBorders>
          </w:tcPr>
          <w:p>
            <w:pPr>
              <w:spacing w:after="0"/>
              <w:rPr>
                <w:sz w:val="24"/>
                <w:szCs w:val="24"/>
                <w:color w:val="auto"/>
              </w:rPr>
            </w:pPr>
          </w:p>
        </w:tc>
        <w:tc>
          <w:tcPr>
            <w:tcW w:w="500" w:type="dxa"/>
            <w:vAlign w:val="bottom"/>
            <w:tcBorders>
              <w:top w:val="single" w:sz="8" w:color="0CD973"/>
            </w:tcBorders>
          </w:tcPr>
          <w:p>
            <w:pPr>
              <w:spacing w:after="0"/>
              <w:rPr>
                <w:sz w:val="24"/>
                <w:szCs w:val="24"/>
                <w:color w:val="auto"/>
              </w:rPr>
            </w:pPr>
          </w:p>
        </w:tc>
        <w:tc>
          <w:tcPr>
            <w:tcW w:w="940" w:type="dxa"/>
            <w:vAlign w:val="bottom"/>
            <w:tcBorders>
              <w:top w:val="single" w:sz="8" w:color="0CD973"/>
            </w:tcBorders>
          </w:tcPr>
          <w:p>
            <w:pPr>
              <w:spacing w:after="0"/>
              <w:rPr>
                <w:sz w:val="24"/>
                <w:szCs w:val="24"/>
                <w:color w:val="auto"/>
              </w:rPr>
            </w:pPr>
          </w:p>
        </w:tc>
        <w:tc>
          <w:tcPr>
            <w:tcW w:w="420" w:type="dxa"/>
            <w:vAlign w:val="bottom"/>
            <w:tcBorders>
              <w:top w:val="single" w:sz="8" w:color="0CD973"/>
            </w:tcBorders>
          </w:tcPr>
          <w:p>
            <w:pPr>
              <w:spacing w:after="0"/>
              <w:rPr>
                <w:sz w:val="24"/>
                <w:szCs w:val="24"/>
                <w:color w:val="auto"/>
              </w:rPr>
            </w:pPr>
          </w:p>
        </w:tc>
        <w:tc>
          <w:tcPr>
            <w:tcW w:w="1000" w:type="dxa"/>
            <w:vAlign w:val="bottom"/>
            <w:tcBorders>
              <w:top w:val="single" w:sz="8" w:color="0CD973"/>
            </w:tcBorders>
          </w:tcPr>
          <w:p>
            <w:pPr>
              <w:spacing w:after="0"/>
              <w:rPr>
                <w:sz w:val="24"/>
                <w:szCs w:val="24"/>
                <w:color w:val="auto"/>
              </w:rPr>
            </w:pPr>
          </w:p>
        </w:tc>
        <w:tc>
          <w:tcPr>
            <w:tcW w:w="20" w:type="dxa"/>
            <w:vAlign w:val="bottom"/>
          </w:tcPr>
          <w:p>
            <w:pPr>
              <w:spacing w:after="0"/>
              <w:rPr>
                <w:sz w:val="24"/>
                <w:szCs w:val="24"/>
                <w:color w:val="auto"/>
              </w:rPr>
            </w:pPr>
          </w:p>
        </w:tc>
      </w:tr>
      <w:tr>
        <w:trPr>
          <w:trHeight w:val="83"/>
        </w:trPr>
        <w:tc>
          <w:tcPr>
            <w:tcW w:w="5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9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45"/>
        </w:trPr>
        <w:tc>
          <w:tcPr>
            <w:tcW w:w="5460" w:type="dxa"/>
            <w:vAlign w:val="bottom"/>
            <w:shd w:val="clear" w:color="auto" w:fill="004054"/>
          </w:tcPr>
          <w:p>
            <w:pPr>
              <w:spacing w:after="0"/>
              <w:rPr>
                <w:sz w:val="12"/>
                <w:szCs w:val="12"/>
                <w:color w:val="auto"/>
              </w:rPr>
            </w:pPr>
          </w:p>
        </w:tc>
        <w:tc>
          <w:tcPr>
            <w:tcW w:w="580" w:type="dxa"/>
            <w:vAlign w:val="bottom"/>
            <w:shd w:val="clear" w:color="auto" w:fill="004054"/>
          </w:tcPr>
          <w:p>
            <w:pPr>
              <w:spacing w:after="0"/>
              <w:rPr>
                <w:sz w:val="12"/>
                <w:szCs w:val="12"/>
                <w:color w:val="auto"/>
              </w:rPr>
            </w:pPr>
          </w:p>
        </w:tc>
        <w:tc>
          <w:tcPr>
            <w:tcW w:w="840" w:type="dxa"/>
            <w:vAlign w:val="bottom"/>
            <w:shd w:val="clear" w:color="auto" w:fill="004054"/>
          </w:tcPr>
          <w:p>
            <w:pPr>
              <w:spacing w:after="0"/>
              <w:rPr>
                <w:sz w:val="12"/>
                <w:szCs w:val="12"/>
                <w:color w:val="auto"/>
              </w:rPr>
            </w:pPr>
          </w:p>
        </w:tc>
        <w:tc>
          <w:tcPr>
            <w:tcW w:w="560" w:type="dxa"/>
            <w:vAlign w:val="bottom"/>
            <w:shd w:val="clear" w:color="auto" w:fill="004054"/>
          </w:tcPr>
          <w:p>
            <w:pPr>
              <w:spacing w:after="0"/>
              <w:rPr>
                <w:sz w:val="12"/>
                <w:szCs w:val="12"/>
                <w:color w:val="auto"/>
              </w:rPr>
            </w:pPr>
          </w:p>
        </w:tc>
        <w:tc>
          <w:tcPr>
            <w:tcW w:w="880" w:type="dxa"/>
            <w:vAlign w:val="bottom"/>
            <w:shd w:val="clear" w:color="auto" w:fill="004054"/>
          </w:tcPr>
          <w:p>
            <w:pPr>
              <w:spacing w:after="0"/>
              <w:rPr>
                <w:sz w:val="12"/>
                <w:szCs w:val="12"/>
                <w:color w:val="auto"/>
              </w:rPr>
            </w:pPr>
          </w:p>
        </w:tc>
        <w:tc>
          <w:tcPr>
            <w:tcW w:w="100" w:type="dxa"/>
            <w:vAlign w:val="bottom"/>
            <w:shd w:val="clear" w:color="auto" w:fill="004054"/>
          </w:tcPr>
          <w:p>
            <w:pPr>
              <w:spacing w:after="0"/>
              <w:rPr>
                <w:sz w:val="12"/>
                <w:szCs w:val="12"/>
                <w:color w:val="auto"/>
              </w:rPr>
            </w:pPr>
          </w:p>
        </w:tc>
        <w:tc>
          <w:tcPr>
            <w:tcW w:w="500" w:type="dxa"/>
            <w:vAlign w:val="bottom"/>
            <w:shd w:val="clear" w:color="auto" w:fill="004054"/>
          </w:tcPr>
          <w:p>
            <w:pPr>
              <w:spacing w:after="0"/>
              <w:rPr>
                <w:sz w:val="12"/>
                <w:szCs w:val="12"/>
                <w:color w:val="auto"/>
              </w:rPr>
            </w:pPr>
          </w:p>
        </w:tc>
        <w:tc>
          <w:tcPr>
            <w:tcW w:w="94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June 30,</w:t>
            </w:r>
          </w:p>
        </w:tc>
        <w:tc>
          <w:tcPr>
            <w:tcW w:w="420" w:type="dxa"/>
            <w:vAlign w:val="bottom"/>
            <w:shd w:val="clear" w:color="auto" w:fill="004054"/>
          </w:tcPr>
          <w:p>
            <w:pPr>
              <w:spacing w:after="0"/>
              <w:rPr>
                <w:sz w:val="12"/>
                <w:szCs w:val="12"/>
                <w:color w:val="auto"/>
              </w:rPr>
            </w:pPr>
          </w:p>
        </w:tc>
        <w:tc>
          <w:tcPr>
            <w:tcW w:w="100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December 31,</w:t>
            </w:r>
          </w:p>
        </w:tc>
        <w:tc>
          <w:tcPr>
            <w:tcW w:w="20" w:type="dxa"/>
            <w:vAlign w:val="bottom"/>
            <w:shd w:val="clear" w:color="auto" w:fill="004054"/>
          </w:tcPr>
          <w:p>
            <w:pPr>
              <w:spacing w:after="0"/>
              <w:rPr>
                <w:sz w:val="12"/>
                <w:szCs w:val="12"/>
                <w:color w:val="auto"/>
              </w:rPr>
            </w:pPr>
          </w:p>
        </w:tc>
      </w:tr>
      <w:tr>
        <w:trPr>
          <w:trHeight w:val="175"/>
        </w:trPr>
        <w:tc>
          <w:tcPr>
            <w:tcW w:w="5460" w:type="dxa"/>
            <w:vAlign w:val="bottom"/>
            <w:tcBorders>
              <w:bottom w:val="single" w:sz="8" w:color="004054"/>
            </w:tcBorders>
            <w:shd w:val="clear" w:color="auto" w:fill="004054"/>
          </w:tcPr>
          <w:p>
            <w:pPr>
              <w:ind w:left="20"/>
              <w:spacing w:after="0"/>
              <w:rPr>
                <w:sz w:val="20"/>
                <w:szCs w:val="20"/>
                <w:color w:val="auto"/>
              </w:rPr>
            </w:pPr>
            <w:r>
              <w:rPr>
                <w:rFonts w:ascii="Calibri" w:cs="Calibri" w:eastAsia="Calibri" w:hAnsi="Calibri"/>
                <w:sz w:val="11"/>
                <w:szCs w:val="11"/>
                <w:b w:val="1"/>
                <w:bCs w:val="1"/>
                <w:color w:val="FFFFFF"/>
              </w:rPr>
              <w:t>(dollars in thousands)</w:t>
            </w:r>
          </w:p>
        </w:tc>
        <w:tc>
          <w:tcPr>
            <w:tcW w:w="580" w:type="dxa"/>
            <w:vAlign w:val="bottom"/>
            <w:tcBorders>
              <w:bottom w:val="single" w:sz="8" w:color="004054"/>
            </w:tcBorders>
            <w:shd w:val="clear" w:color="auto" w:fill="004054"/>
          </w:tcPr>
          <w:p>
            <w:pPr>
              <w:spacing w:after="0"/>
              <w:rPr>
                <w:sz w:val="15"/>
                <w:szCs w:val="15"/>
                <w:color w:val="auto"/>
              </w:rPr>
            </w:pPr>
          </w:p>
        </w:tc>
        <w:tc>
          <w:tcPr>
            <w:tcW w:w="840" w:type="dxa"/>
            <w:vAlign w:val="bottom"/>
            <w:tcBorders>
              <w:bottom w:val="single" w:sz="8" w:color="004054"/>
            </w:tcBorders>
            <w:shd w:val="clear" w:color="auto" w:fill="004054"/>
          </w:tcPr>
          <w:p>
            <w:pPr>
              <w:spacing w:after="0"/>
              <w:rPr>
                <w:sz w:val="15"/>
                <w:szCs w:val="15"/>
                <w:color w:val="auto"/>
              </w:rPr>
            </w:pPr>
          </w:p>
        </w:tc>
        <w:tc>
          <w:tcPr>
            <w:tcW w:w="560" w:type="dxa"/>
            <w:vAlign w:val="bottom"/>
            <w:tcBorders>
              <w:bottom w:val="single" w:sz="8" w:color="004054"/>
            </w:tcBorders>
            <w:shd w:val="clear" w:color="auto" w:fill="004054"/>
          </w:tcPr>
          <w:p>
            <w:pPr>
              <w:spacing w:after="0"/>
              <w:rPr>
                <w:sz w:val="15"/>
                <w:szCs w:val="15"/>
                <w:color w:val="auto"/>
              </w:rPr>
            </w:pPr>
          </w:p>
        </w:tc>
        <w:tc>
          <w:tcPr>
            <w:tcW w:w="880" w:type="dxa"/>
            <w:vAlign w:val="bottom"/>
            <w:tcBorders>
              <w:bottom w:val="single" w:sz="8" w:color="004054"/>
            </w:tcBorders>
            <w:shd w:val="clear" w:color="auto" w:fill="004054"/>
          </w:tcPr>
          <w:p>
            <w:pPr>
              <w:spacing w:after="0"/>
              <w:rPr>
                <w:sz w:val="15"/>
                <w:szCs w:val="15"/>
                <w:color w:val="auto"/>
              </w:rPr>
            </w:pPr>
          </w:p>
        </w:tc>
        <w:tc>
          <w:tcPr>
            <w:tcW w:w="100" w:type="dxa"/>
            <w:vAlign w:val="bottom"/>
            <w:tcBorders>
              <w:bottom w:val="single" w:sz="8" w:color="004054"/>
            </w:tcBorders>
            <w:shd w:val="clear" w:color="auto" w:fill="004054"/>
          </w:tcPr>
          <w:p>
            <w:pPr>
              <w:spacing w:after="0"/>
              <w:rPr>
                <w:sz w:val="15"/>
                <w:szCs w:val="15"/>
                <w:color w:val="auto"/>
              </w:rPr>
            </w:pPr>
          </w:p>
        </w:tc>
        <w:tc>
          <w:tcPr>
            <w:tcW w:w="500" w:type="dxa"/>
            <w:vAlign w:val="bottom"/>
            <w:tcBorders>
              <w:bottom w:val="single" w:sz="8" w:color="004054"/>
            </w:tcBorders>
            <w:shd w:val="clear" w:color="auto" w:fill="004054"/>
          </w:tcPr>
          <w:p>
            <w:pPr>
              <w:spacing w:after="0"/>
              <w:rPr>
                <w:sz w:val="15"/>
                <w:szCs w:val="15"/>
                <w:color w:val="auto"/>
              </w:rPr>
            </w:pPr>
          </w:p>
        </w:tc>
        <w:tc>
          <w:tcPr>
            <w:tcW w:w="940" w:type="dxa"/>
            <w:vAlign w:val="bottom"/>
            <w:tcBorders>
              <w:bottom w:val="single" w:sz="8" w:color="004054"/>
            </w:tcBorders>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2024</w:t>
            </w:r>
          </w:p>
        </w:tc>
        <w:tc>
          <w:tcPr>
            <w:tcW w:w="420" w:type="dxa"/>
            <w:vAlign w:val="bottom"/>
            <w:tcBorders>
              <w:bottom w:val="single" w:sz="8" w:color="004054"/>
            </w:tcBorders>
            <w:shd w:val="clear" w:color="auto" w:fill="004054"/>
          </w:tcPr>
          <w:p>
            <w:pPr>
              <w:spacing w:after="0"/>
              <w:rPr>
                <w:sz w:val="15"/>
                <w:szCs w:val="15"/>
                <w:color w:val="auto"/>
              </w:rPr>
            </w:pPr>
          </w:p>
        </w:tc>
        <w:tc>
          <w:tcPr>
            <w:tcW w:w="1000" w:type="dxa"/>
            <w:vAlign w:val="bottom"/>
            <w:tcBorders>
              <w:bottom w:val="single" w:sz="8" w:color="004054"/>
            </w:tcBorders>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2023</w:t>
            </w:r>
          </w:p>
        </w:tc>
        <w:tc>
          <w:tcPr>
            <w:tcW w:w="20" w:type="dxa"/>
            <w:vAlign w:val="bottom"/>
            <w:tcBorders>
              <w:bottom w:val="single" w:sz="8" w:color="004054"/>
            </w:tcBorders>
            <w:shd w:val="clear" w:color="auto" w:fill="004054"/>
          </w:tcPr>
          <w:p>
            <w:pPr>
              <w:spacing w:after="0"/>
              <w:rPr>
                <w:sz w:val="15"/>
                <w:szCs w:val="15"/>
                <w:color w:val="auto"/>
              </w:rPr>
            </w:pPr>
          </w:p>
        </w:tc>
      </w:tr>
      <w:tr>
        <w:trPr>
          <w:trHeight w:val="192"/>
        </w:trPr>
        <w:tc>
          <w:tcPr>
            <w:tcW w:w="546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4"/>
                <w:szCs w:val="14"/>
                <w:color w:val="51555C"/>
              </w:rPr>
              <w:t>Cumulatve gross expense</w:t>
            </w:r>
          </w:p>
        </w:tc>
        <w:tc>
          <w:tcPr>
            <w:tcW w:w="580" w:type="dxa"/>
            <w:vAlign w:val="bottom"/>
            <w:tcBorders>
              <w:bottom w:val="single" w:sz="8" w:color="EBFBFF"/>
            </w:tcBorders>
            <w:shd w:val="clear" w:color="auto" w:fill="EBFBFF"/>
          </w:tcPr>
          <w:p>
            <w:pPr>
              <w:spacing w:after="0"/>
              <w:rPr>
                <w:sz w:val="16"/>
                <w:szCs w:val="16"/>
                <w:color w:val="auto"/>
              </w:rPr>
            </w:pPr>
          </w:p>
        </w:tc>
        <w:tc>
          <w:tcPr>
            <w:tcW w:w="840" w:type="dxa"/>
            <w:vAlign w:val="bottom"/>
            <w:tcBorders>
              <w:bottom w:val="single" w:sz="8" w:color="EBFBFF"/>
            </w:tcBorders>
            <w:shd w:val="clear" w:color="auto" w:fill="EBFBFF"/>
          </w:tcPr>
          <w:p>
            <w:pPr>
              <w:spacing w:after="0"/>
              <w:rPr>
                <w:sz w:val="16"/>
                <w:szCs w:val="16"/>
                <w:color w:val="auto"/>
              </w:rPr>
            </w:pPr>
          </w:p>
        </w:tc>
        <w:tc>
          <w:tcPr>
            <w:tcW w:w="560" w:type="dxa"/>
            <w:vAlign w:val="bottom"/>
            <w:tcBorders>
              <w:bottom w:val="single" w:sz="8" w:color="EBFBFF"/>
            </w:tcBorders>
            <w:shd w:val="clear" w:color="auto" w:fill="EBFBFF"/>
          </w:tcPr>
          <w:p>
            <w:pPr>
              <w:spacing w:after="0"/>
              <w:rPr>
                <w:sz w:val="16"/>
                <w:szCs w:val="16"/>
                <w:color w:val="auto"/>
              </w:rPr>
            </w:pPr>
          </w:p>
        </w:tc>
        <w:tc>
          <w:tcPr>
            <w:tcW w:w="880" w:type="dxa"/>
            <w:vAlign w:val="bottom"/>
            <w:tcBorders>
              <w:bottom w:val="single" w:sz="8" w:color="EBFBFF"/>
            </w:tcBorders>
            <w:shd w:val="clear" w:color="auto" w:fill="EBFBFF"/>
          </w:tcPr>
          <w:p>
            <w:pPr>
              <w:spacing w:after="0"/>
              <w:rPr>
                <w:sz w:val="16"/>
                <w:szCs w:val="16"/>
                <w:color w:val="auto"/>
              </w:rPr>
            </w:pPr>
          </w:p>
        </w:tc>
        <w:tc>
          <w:tcPr>
            <w:tcW w:w="100" w:type="dxa"/>
            <w:vAlign w:val="bottom"/>
            <w:tcBorders>
              <w:bottom w:val="single" w:sz="8" w:color="EBFBFF"/>
            </w:tcBorders>
            <w:shd w:val="clear" w:color="auto" w:fill="EBFBFF"/>
          </w:tcPr>
          <w:p>
            <w:pPr>
              <w:spacing w:after="0"/>
              <w:rPr>
                <w:sz w:val="16"/>
                <w:szCs w:val="16"/>
                <w:color w:val="auto"/>
              </w:rPr>
            </w:pPr>
          </w:p>
        </w:tc>
        <w:tc>
          <w:tcPr>
            <w:tcW w:w="500" w:type="dxa"/>
            <w:vAlign w:val="bottom"/>
            <w:tcBorders>
              <w:bottom w:val="single" w:sz="8" w:color="EBFBFF"/>
            </w:tcBorders>
            <w:shd w:val="clear" w:color="auto" w:fill="EBFBFF"/>
          </w:tcPr>
          <w:p>
            <w:pPr>
              <w:jc w:val="right"/>
              <w:ind w:right="349"/>
              <w:spacing w:after="0"/>
              <w:rPr>
                <w:sz w:val="20"/>
                <w:szCs w:val="20"/>
                <w:color w:val="auto"/>
              </w:rPr>
            </w:pPr>
            <w:r>
              <w:rPr>
                <w:rFonts w:ascii="Calibri" w:cs="Calibri" w:eastAsia="Calibri" w:hAnsi="Calibri"/>
                <w:sz w:val="14"/>
                <w:szCs w:val="14"/>
                <w:color w:val="51555C"/>
                <w:w w:val="83"/>
              </w:rPr>
              <w:t>$</w:t>
            </w:r>
          </w:p>
        </w:tc>
        <w:tc>
          <w:tcPr>
            <w:tcW w:w="9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173,576</w:t>
            </w:r>
          </w:p>
        </w:tc>
        <w:tc>
          <w:tcPr>
            <w:tcW w:w="420" w:type="dxa"/>
            <w:vAlign w:val="bottom"/>
            <w:tcBorders>
              <w:bottom w:val="single" w:sz="8" w:color="EBFBFF"/>
            </w:tcBorders>
            <w:shd w:val="clear" w:color="auto" w:fill="EBFBFF"/>
          </w:tcPr>
          <w:p>
            <w:pPr>
              <w:jc w:val="right"/>
              <w:ind w:right="269"/>
              <w:spacing w:after="0"/>
              <w:rPr>
                <w:sz w:val="20"/>
                <w:szCs w:val="20"/>
                <w:color w:val="auto"/>
              </w:rPr>
            </w:pPr>
            <w:r>
              <w:rPr>
                <w:rFonts w:ascii="Calibri" w:cs="Calibri" w:eastAsia="Calibri" w:hAnsi="Calibri"/>
                <w:sz w:val="14"/>
                <w:szCs w:val="14"/>
                <w:color w:val="51555C"/>
                <w:w w:val="83"/>
              </w:rPr>
              <w:t>$</w:t>
            </w: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161,431</w:t>
            </w:r>
          </w:p>
        </w:tc>
        <w:tc>
          <w:tcPr>
            <w:tcW w:w="20" w:type="dxa"/>
            <w:vAlign w:val="bottom"/>
          </w:tcPr>
          <w:p>
            <w:pPr>
              <w:spacing w:after="0"/>
              <w:rPr>
                <w:sz w:val="16"/>
                <w:szCs w:val="16"/>
                <w:color w:val="auto"/>
              </w:rPr>
            </w:pPr>
          </w:p>
        </w:tc>
      </w:tr>
      <w:tr>
        <w:trPr>
          <w:trHeight w:val="172"/>
        </w:trPr>
        <w:tc>
          <w:tcPr>
            <w:tcW w:w="5460" w:type="dxa"/>
            <w:vAlign w:val="bottom"/>
          </w:tcPr>
          <w:p>
            <w:pPr>
              <w:ind w:left="20"/>
              <w:spacing w:after="0"/>
              <w:rPr>
                <w:sz w:val="20"/>
                <w:szCs w:val="20"/>
                <w:color w:val="auto"/>
              </w:rPr>
            </w:pPr>
            <w:r>
              <w:rPr>
                <w:rFonts w:ascii="Calibri" w:cs="Calibri" w:eastAsia="Calibri" w:hAnsi="Calibri"/>
                <w:sz w:val="14"/>
                <w:szCs w:val="14"/>
                <w:color w:val="51555C"/>
              </w:rPr>
              <w:t>Cumulatve ofsetng insurance recoveries recognized</w:t>
            </w: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alibri" w:cs="Calibri" w:eastAsia="Calibri" w:hAnsi="Calibri"/>
                <w:sz w:val="14"/>
                <w:szCs w:val="14"/>
                <w:color w:val="51555C"/>
              </w:rPr>
              <w:t>(50,000)</w:t>
            </w:r>
          </w:p>
        </w:tc>
        <w:tc>
          <w:tcPr>
            <w:tcW w:w="4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alibri" w:cs="Calibri" w:eastAsia="Calibri" w:hAnsi="Calibri"/>
                <w:sz w:val="14"/>
                <w:szCs w:val="14"/>
                <w:color w:val="51555C"/>
              </w:rPr>
              <w:t>(50,000)</w:t>
            </w:r>
          </w:p>
        </w:tc>
        <w:tc>
          <w:tcPr>
            <w:tcW w:w="20" w:type="dxa"/>
            <w:vAlign w:val="bottom"/>
          </w:tcPr>
          <w:p>
            <w:pPr>
              <w:spacing w:after="0"/>
              <w:rPr>
                <w:sz w:val="14"/>
                <w:szCs w:val="14"/>
                <w:color w:val="auto"/>
              </w:rPr>
            </w:pPr>
          </w:p>
        </w:tc>
      </w:tr>
      <w:tr>
        <w:trPr>
          <w:trHeight w:val="40"/>
        </w:trPr>
        <w:tc>
          <w:tcPr>
            <w:tcW w:w="5460" w:type="dxa"/>
            <w:vAlign w:val="bottom"/>
            <w:tcBorders>
              <w:bottom w:val="single" w:sz="8" w:color="EBFBFF"/>
            </w:tcBorders>
          </w:tcPr>
          <w:p>
            <w:pPr>
              <w:spacing w:after="0"/>
              <w:rPr>
                <w:sz w:val="3"/>
                <w:szCs w:val="3"/>
                <w:color w:val="auto"/>
              </w:rPr>
            </w:pPr>
          </w:p>
        </w:tc>
        <w:tc>
          <w:tcPr>
            <w:tcW w:w="580" w:type="dxa"/>
            <w:vAlign w:val="bottom"/>
            <w:tcBorders>
              <w:bottom w:val="single" w:sz="8" w:color="EBFBFF"/>
            </w:tcBorders>
          </w:tcPr>
          <w:p>
            <w:pPr>
              <w:spacing w:after="0"/>
              <w:rPr>
                <w:sz w:val="3"/>
                <w:szCs w:val="3"/>
                <w:color w:val="auto"/>
              </w:rPr>
            </w:pPr>
          </w:p>
        </w:tc>
        <w:tc>
          <w:tcPr>
            <w:tcW w:w="840" w:type="dxa"/>
            <w:vAlign w:val="bottom"/>
            <w:tcBorders>
              <w:bottom w:val="single" w:sz="8" w:color="EBFBFF"/>
            </w:tcBorders>
          </w:tcPr>
          <w:p>
            <w:pPr>
              <w:spacing w:after="0"/>
              <w:rPr>
                <w:sz w:val="3"/>
                <w:szCs w:val="3"/>
                <w:color w:val="auto"/>
              </w:rPr>
            </w:pPr>
          </w:p>
        </w:tc>
        <w:tc>
          <w:tcPr>
            <w:tcW w:w="560" w:type="dxa"/>
            <w:vAlign w:val="bottom"/>
            <w:tcBorders>
              <w:bottom w:val="single" w:sz="8" w:color="EBFBFF"/>
            </w:tcBorders>
          </w:tcPr>
          <w:p>
            <w:pPr>
              <w:spacing w:after="0"/>
              <w:rPr>
                <w:sz w:val="3"/>
                <w:szCs w:val="3"/>
                <w:color w:val="auto"/>
              </w:rPr>
            </w:pPr>
          </w:p>
        </w:tc>
        <w:tc>
          <w:tcPr>
            <w:tcW w:w="880" w:type="dxa"/>
            <w:vAlign w:val="bottom"/>
            <w:tcBorders>
              <w:bottom w:val="single" w:sz="8" w:color="EBFBFF"/>
            </w:tcBorders>
          </w:tcPr>
          <w:p>
            <w:pPr>
              <w:spacing w:after="0"/>
              <w:rPr>
                <w:sz w:val="3"/>
                <w:szCs w:val="3"/>
                <w:color w:val="auto"/>
              </w:rPr>
            </w:pPr>
          </w:p>
        </w:tc>
        <w:tc>
          <w:tcPr>
            <w:tcW w:w="100" w:type="dxa"/>
            <w:vAlign w:val="bottom"/>
            <w:tcBorders>
              <w:bottom w:val="single" w:sz="8" w:color="EBFBFF"/>
            </w:tcBorders>
          </w:tcPr>
          <w:p>
            <w:pPr>
              <w:spacing w:after="0"/>
              <w:rPr>
                <w:sz w:val="3"/>
                <w:szCs w:val="3"/>
                <w:color w:val="auto"/>
              </w:rPr>
            </w:pPr>
          </w:p>
        </w:tc>
        <w:tc>
          <w:tcPr>
            <w:tcW w:w="500" w:type="dxa"/>
            <w:vAlign w:val="bottom"/>
            <w:tcBorders>
              <w:bottom w:val="single" w:sz="8" w:color="51555C"/>
            </w:tcBorders>
          </w:tcPr>
          <w:p>
            <w:pPr>
              <w:spacing w:after="0"/>
              <w:rPr>
                <w:sz w:val="3"/>
                <w:szCs w:val="3"/>
                <w:color w:val="auto"/>
              </w:rPr>
            </w:pPr>
          </w:p>
        </w:tc>
        <w:tc>
          <w:tcPr>
            <w:tcW w:w="940" w:type="dxa"/>
            <w:vAlign w:val="bottom"/>
            <w:tcBorders>
              <w:bottom w:val="single" w:sz="8" w:color="51555C"/>
            </w:tcBorders>
          </w:tcPr>
          <w:p>
            <w:pPr>
              <w:spacing w:after="0"/>
              <w:rPr>
                <w:sz w:val="3"/>
                <w:szCs w:val="3"/>
                <w:color w:val="auto"/>
              </w:rPr>
            </w:pPr>
          </w:p>
        </w:tc>
        <w:tc>
          <w:tcPr>
            <w:tcW w:w="420" w:type="dxa"/>
            <w:vAlign w:val="bottom"/>
            <w:tcBorders>
              <w:bottom w:val="single" w:sz="8" w:color="51555C"/>
            </w:tcBorders>
          </w:tcPr>
          <w:p>
            <w:pPr>
              <w:spacing w:after="0"/>
              <w:rPr>
                <w:sz w:val="3"/>
                <w:szCs w:val="3"/>
                <w:color w:val="auto"/>
              </w:rPr>
            </w:pPr>
          </w:p>
        </w:tc>
        <w:tc>
          <w:tcPr>
            <w:tcW w:w="1000" w:type="dxa"/>
            <w:vAlign w:val="bottom"/>
            <w:tcBorders>
              <w:bottom w:val="single" w:sz="8" w:color="51555C"/>
            </w:tcBorders>
          </w:tcPr>
          <w:p>
            <w:pPr>
              <w:spacing w:after="0"/>
              <w:rPr>
                <w:sz w:val="3"/>
                <w:szCs w:val="3"/>
                <w:color w:val="auto"/>
              </w:rPr>
            </w:pPr>
          </w:p>
        </w:tc>
        <w:tc>
          <w:tcPr>
            <w:tcW w:w="20" w:type="dxa"/>
            <w:vAlign w:val="bottom"/>
          </w:tcPr>
          <w:p>
            <w:pPr>
              <w:spacing w:after="0"/>
              <w:rPr>
                <w:sz w:val="3"/>
                <w:szCs w:val="3"/>
                <w:color w:val="auto"/>
              </w:rPr>
            </w:pPr>
          </w:p>
        </w:tc>
      </w:tr>
      <w:tr>
        <w:trPr>
          <w:trHeight w:val="203"/>
        </w:trPr>
        <w:tc>
          <w:tcPr>
            <w:tcW w:w="5460" w:type="dxa"/>
            <w:vAlign w:val="bottom"/>
            <w:tcBorders>
              <w:bottom w:val="single" w:sz="8" w:color="EBFBFF"/>
            </w:tcBorders>
            <w:shd w:val="clear" w:color="auto" w:fill="EBFBFF"/>
          </w:tcPr>
          <w:p>
            <w:pPr>
              <w:ind w:left="100"/>
              <w:spacing w:after="0" w:line="152" w:lineRule="exact"/>
              <w:rPr>
                <w:sz w:val="20"/>
                <w:szCs w:val="20"/>
                <w:color w:val="auto"/>
              </w:rPr>
            </w:pPr>
            <w:r>
              <w:rPr>
                <w:rFonts w:ascii="Calibri" w:cs="Calibri" w:eastAsia="Calibri" w:hAnsi="Calibri"/>
                <w:sz w:val="14"/>
                <w:szCs w:val="14"/>
                <w:color w:val="51555C"/>
              </w:rPr>
              <w:t>Cumulatve net expense</w:t>
            </w:r>
          </w:p>
        </w:tc>
        <w:tc>
          <w:tcPr>
            <w:tcW w:w="580" w:type="dxa"/>
            <w:vAlign w:val="bottom"/>
            <w:tcBorders>
              <w:bottom w:val="single" w:sz="8" w:color="EBFBFF"/>
            </w:tcBorders>
            <w:shd w:val="clear" w:color="auto" w:fill="EBFBFF"/>
          </w:tcPr>
          <w:p>
            <w:pPr>
              <w:spacing w:after="0"/>
              <w:rPr>
                <w:sz w:val="17"/>
                <w:szCs w:val="17"/>
                <w:color w:val="auto"/>
              </w:rPr>
            </w:pPr>
          </w:p>
        </w:tc>
        <w:tc>
          <w:tcPr>
            <w:tcW w:w="840" w:type="dxa"/>
            <w:vAlign w:val="bottom"/>
            <w:tcBorders>
              <w:bottom w:val="single" w:sz="8" w:color="EBFBFF"/>
            </w:tcBorders>
            <w:shd w:val="clear" w:color="auto" w:fill="EBFBFF"/>
          </w:tcPr>
          <w:p>
            <w:pPr>
              <w:spacing w:after="0"/>
              <w:rPr>
                <w:sz w:val="17"/>
                <w:szCs w:val="17"/>
                <w:color w:val="auto"/>
              </w:rPr>
            </w:pPr>
          </w:p>
        </w:tc>
        <w:tc>
          <w:tcPr>
            <w:tcW w:w="560" w:type="dxa"/>
            <w:vAlign w:val="bottom"/>
            <w:tcBorders>
              <w:bottom w:val="single" w:sz="8" w:color="EBFBFF"/>
            </w:tcBorders>
            <w:shd w:val="clear" w:color="auto" w:fill="EBFBFF"/>
          </w:tcPr>
          <w:p>
            <w:pPr>
              <w:spacing w:after="0"/>
              <w:rPr>
                <w:sz w:val="17"/>
                <w:szCs w:val="17"/>
                <w:color w:val="auto"/>
              </w:rPr>
            </w:pPr>
          </w:p>
        </w:tc>
        <w:tc>
          <w:tcPr>
            <w:tcW w:w="880" w:type="dxa"/>
            <w:vAlign w:val="bottom"/>
            <w:tcBorders>
              <w:bottom w:val="single" w:sz="8" w:color="EBFBFF"/>
            </w:tcBorders>
            <w:shd w:val="clear" w:color="auto" w:fill="EBFBFF"/>
          </w:tcPr>
          <w:p>
            <w:pPr>
              <w:spacing w:after="0"/>
              <w:rPr>
                <w:sz w:val="17"/>
                <w:szCs w:val="17"/>
                <w:color w:val="auto"/>
              </w:rPr>
            </w:pPr>
          </w:p>
        </w:tc>
        <w:tc>
          <w:tcPr>
            <w:tcW w:w="100" w:type="dxa"/>
            <w:vAlign w:val="bottom"/>
            <w:tcBorders>
              <w:bottom w:val="single" w:sz="8" w:color="EBFBFF"/>
            </w:tcBorders>
            <w:shd w:val="clear" w:color="auto" w:fill="EBFBFF"/>
          </w:tcPr>
          <w:p>
            <w:pPr>
              <w:spacing w:after="0"/>
              <w:rPr>
                <w:sz w:val="17"/>
                <w:szCs w:val="17"/>
                <w:color w:val="auto"/>
              </w:rPr>
            </w:pPr>
          </w:p>
        </w:tc>
        <w:tc>
          <w:tcPr>
            <w:tcW w:w="500" w:type="dxa"/>
            <w:vAlign w:val="bottom"/>
            <w:tcBorders>
              <w:bottom w:val="single" w:sz="8" w:color="EBFBFF"/>
            </w:tcBorders>
            <w:shd w:val="clear" w:color="auto" w:fill="EBFBFF"/>
          </w:tcPr>
          <w:p>
            <w:pPr>
              <w:jc w:val="right"/>
              <w:ind w:right="349"/>
              <w:spacing w:after="0" w:line="163" w:lineRule="exact"/>
              <w:rPr>
                <w:sz w:val="20"/>
                <w:szCs w:val="20"/>
                <w:color w:val="auto"/>
              </w:rPr>
            </w:pPr>
            <w:r>
              <w:rPr>
                <w:rFonts w:ascii="Calibri" w:cs="Calibri" w:eastAsia="Calibri" w:hAnsi="Calibri"/>
                <w:sz w:val="14"/>
                <w:szCs w:val="14"/>
                <w:color w:val="51555C"/>
                <w:w w:val="83"/>
              </w:rPr>
              <w:t>$</w:t>
            </w:r>
          </w:p>
        </w:tc>
        <w:tc>
          <w:tcPr>
            <w:tcW w:w="940" w:type="dxa"/>
            <w:vAlign w:val="bottom"/>
            <w:tcBorders>
              <w:bottom w:val="single" w:sz="8" w:color="EBFBFF"/>
            </w:tcBorders>
            <w:shd w:val="clear" w:color="auto" w:fill="EBFBFF"/>
          </w:tcPr>
          <w:p>
            <w:pPr>
              <w:jc w:val="right"/>
              <w:spacing w:after="0" w:line="163" w:lineRule="exact"/>
              <w:rPr>
                <w:sz w:val="20"/>
                <w:szCs w:val="20"/>
                <w:color w:val="auto"/>
              </w:rPr>
            </w:pPr>
            <w:r>
              <w:rPr>
                <w:rFonts w:ascii="Calibri" w:cs="Calibri" w:eastAsia="Calibri" w:hAnsi="Calibri"/>
                <w:sz w:val="14"/>
                <w:szCs w:val="14"/>
                <w:color w:val="51555C"/>
              </w:rPr>
              <w:t>123,576</w:t>
            </w:r>
          </w:p>
        </w:tc>
        <w:tc>
          <w:tcPr>
            <w:tcW w:w="420" w:type="dxa"/>
            <w:vAlign w:val="bottom"/>
            <w:tcBorders>
              <w:bottom w:val="single" w:sz="8" w:color="EBFBFF"/>
            </w:tcBorders>
            <w:shd w:val="clear" w:color="auto" w:fill="EBFBFF"/>
          </w:tcPr>
          <w:p>
            <w:pPr>
              <w:jc w:val="right"/>
              <w:ind w:right="269"/>
              <w:spacing w:after="0" w:line="163" w:lineRule="exact"/>
              <w:rPr>
                <w:sz w:val="20"/>
                <w:szCs w:val="20"/>
                <w:color w:val="auto"/>
              </w:rPr>
            </w:pPr>
            <w:r>
              <w:rPr>
                <w:rFonts w:ascii="Calibri" w:cs="Calibri" w:eastAsia="Calibri" w:hAnsi="Calibri"/>
                <w:sz w:val="14"/>
                <w:szCs w:val="14"/>
                <w:color w:val="51555C"/>
                <w:w w:val="83"/>
              </w:rPr>
              <w:t>$</w:t>
            </w:r>
          </w:p>
        </w:tc>
        <w:tc>
          <w:tcPr>
            <w:tcW w:w="1000" w:type="dxa"/>
            <w:vAlign w:val="bottom"/>
            <w:tcBorders>
              <w:bottom w:val="single" w:sz="8" w:color="EBFBFF"/>
            </w:tcBorders>
            <w:shd w:val="clear" w:color="auto" w:fill="EBFBFF"/>
          </w:tcPr>
          <w:p>
            <w:pPr>
              <w:jc w:val="right"/>
              <w:spacing w:after="0" w:line="163" w:lineRule="exact"/>
              <w:rPr>
                <w:sz w:val="20"/>
                <w:szCs w:val="20"/>
                <w:color w:val="auto"/>
              </w:rPr>
            </w:pPr>
            <w:r>
              <w:rPr>
                <w:rFonts w:ascii="Calibri" w:cs="Calibri" w:eastAsia="Calibri" w:hAnsi="Calibri"/>
                <w:sz w:val="14"/>
                <w:szCs w:val="14"/>
                <w:color w:val="51555C"/>
              </w:rPr>
              <w:t>111,431</w:t>
            </w:r>
          </w:p>
        </w:tc>
        <w:tc>
          <w:tcPr>
            <w:tcW w:w="20" w:type="dxa"/>
            <w:vAlign w:val="bottom"/>
          </w:tcPr>
          <w:p>
            <w:pPr>
              <w:spacing w:after="0"/>
              <w:rPr>
                <w:sz w:val="17"/>
                <w:szCs w:val="17"/>
                <w:color w:val="auto"/>
              </w:rPr>
            </w:pPr>
          </w:p>
        </w:tc>
      </w:tr>
      <w:tr>
        <w:trPr>
          <w:trHeight w:val="192"/>
        </w:trPr>
        <w:tc>
          <w:tcPr>
            <w:tcW w:w="5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Borders>
              <w:top w:val="single" w:sz="8" w:color="51555C"/>
            </w:tcBorders>
          </w:tcPr>
          <w:p>
            <w:pPr>
              <w:spacing w:after="0"/>
              <w:rPr>
                <w:sz w:val="16"/>
                <w:szCs w:val="16"/>
                <w:color w:val="auto"/>
              </w:rPr>
            </w:pPr>
          </w:p>
        </w:tc>
        <w:tc>
          <w:tcPr>
            <w:tcW w:w="940" w:type="dxa"/>
            <w:vAlign w:val="bottom"/>
            <w:tcBorders>
              <w:top w:val="single" w:sz="8" w:color="51555C"/>
            </w:tcBorders>
          </w:tcPr>
          <w:p>
            <w:pPr>
              <w:spacing w:after="0"/>
              <w:rPr>
                <w:sz w:val="16"/>
                <w:szCs w:val="16"/>
                <w:color w:val="auto"/>
              </w:rPr>
            </w:pPr>
          </w:p>
        </w:tc>
        <w:tc>
          <w:tcPr>
            <w:tcW w:w="420" w:type="dxa"/>
            <w:vAlign w:val="bottom"/>
            <w:tcBorders>
              <w:top w:val="single" w:sz="8" w:color="51555C"/>
            </w:tcBorders>
          </w:tcPr>
          <w:p>
            <w:pPr>
              <w:spacing w:after="0"/>
              <w:rPr>
                <w:sz w:val="16"/>
                <w:szCs w:val="16"/>
                <w:color w:val="auto"/>
              </w:rPr>
            </w:pPr>
          </w:p>
        </w:tc>
        <w:tc>
          <w:tcPr>
            <w:tcW w:w="1000" w:type="dxa"/>
            <w:vAlign w:val="bottom"/>
            <w:tcBorders>
              <w:top w:val="single" w:sz="8" w:color="51555C"/>
            </w:tcBorders>
          </w:tcPr>
          <w:p>
            <w:pPr>
              <w:spacing w:after="0"/>
              <w:rPr>
                <w:sz w:val="16"/>
                <w:szCs w:val="16"/>
                <w:color w:val="auto"/>
              </w:rPr>
            </w:pPr>
          </w:p>
        </w:tc>
        <w:tc>
          <w:tcPr>
            <w:tcW w:w="20" w:type="dxa"/>
            <w:vAlign w:val="bottom"/>
          </w:tcPr>
          <w:p>
            <w:pPr>
              <w:spacing w:after="0"/>
              <w:rPr>
                <w:sz w:val="16"/>
                <w:szCs w:val="16"/>
                <w:color w:val="auto"/>
              </w:rPr>
            </w:pPr>
          </w:p>
        </w:tc>
      </w:tr>
      <w:tr>
        <w:trPr>
          <w:trHeight w:val="217"/>
        </w:trPr>
        <w:tc>
          <w:tcPr>
            <w:tcW w:w="546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4"/>
                <w:szCs w:val="14"/>
                <w:color w:val="51555C"/>
              </w:rPr>
              <w:t>Cumulatve ofsetng insurance recoveries paid</w:t>
            </w:r>
          </w:p>
        </w:tc>
        <w:tc>
          <w:tcPr>
            <w:tcW w:w="580" w:type="dxa"/>
            <w:vAlign w:val="bottom"/>
            <w:tcBorders>
              <w:bottom w:val="single" w:sz="8" w:color="EBFBFF"/>
            </w:tcBorders>
            <w:shd w:val="clear" w:color="auto" w:fill="EBFBFF"/>
          </w:tcPr>
          <w:p>
            <w:pPr>
              <w:spacing w:after="0"/>
              <w:rPr>
                <w:sz w:val="18"/>
                <w:szCs w:val="18"/>
                <w:color w:val="auto"/>
              </w:rPr>
            </w:pPr>
          </w:p>
        </w:tc>
        <w:tc>
          <w:tcPr>
            <w:tcW w:w="840" w:type="dxa"/>
            <w:vAlign w:val="bottom"/>
            <w:tcBorders>
              <w:bottom w:val="single" w:sz="8" w:color="EBFBFF"/>
            </w:tcBorders>
            <w:shd w:val="clear" w:color="auto" w:fill="EBFBFF"/>
          </w:tcPr>
          <w:p>
            <w:pPr>
              <w:spacing w:after="0"/>
              <w:rPr>
                <w:sz w:val="18"/>
                <w:szCs w:val="18"/>
                <w:color w:val="auto"/>
              </w:rPr>
            </w:pPr>
          </w:p>
        </w:tc>
        <w:tc>
          <w:tcPr>
            <w:tcW w:w="560" w:type="dxa"/>
            <w:vAlign w:val="bottom"/>
            <w:tcBorders>
              <w:bottom w:val="single" w:sz="8" w:color="EBFBFF"/>
            </w:tcBorders>
            <w:shd w:val="clear" w:color="auto" w:fill="EBFBFF"/>
          </w:tcPr>
          <w:p>
            <w:pPr>
              <w:spacing w:after="0"/>
              <w:rPr>
                <w:sz w:val="18"/>
                <w:szCs w:val="18"/>
                <w:color w:val="auto"/>
              </w:rPr>
            </w:pPr>
          </w:p>
        </w:tc>
        <w:tc>
          <w:tcPr>
            <w:tcW w:w="880" w:type="dxa"/>
            <w:vAlign w:val="bottom"/>
            <w:tcBorders>
              <w:bottom w:val="single" w:sz="8" w:color="EBFBFF"/>
            </w:tcBorders>
            <w:shd w:val="clear" w:color="auto" w:fill="EBFBFF"/>
          </w:tcPr>
          <w:p>
            <w:pPr>
              <w:spacing w:after="0"/>
              <w:rPr>
                <w:sz w:val="18"/>
                <w:szCs w:val="18"/>
                <w:color w:val="auto"/>
              </w:rPr>
            </w:pPr>
          </w:p>
        </w:tc>
        <w:tc>
          <w:tcPr>
            <w:tcW w:w="100" w:type="dxa"/>
            <w:vAlign w:val="bottom"/>
            <w:tcBorders>
              <w:bottom w:val="single" w:sz="8" w:color="EBFBFF"/>
            </w:tcBorders>
            <w:shd w:val="clear" w:color="auto" w:fill="EBFBFF"/>
          </w:tcPr>
          <w:p>
            <w:pPr>
              <w:spacing w:after="0"/>
              <w:rPr>
                <w:sz w:val="18"/>
                <w:szCs w:val="18"/>
                <w:color w:val="auto"/>
              </w:rPr>
            </w:pPr>
          </w:p>
        </w:tc>
        <w:tc>
          <w:tcPr>
            <w:tcW w:w="500" w:type="dxa"/>
            <w:vAlign w:val="bottom"/>
            <w:tcBorders>
              <w:bottom w:val="single" w:sz="8" w:color="EBFBFF"/>
            </w:tcBorders>
            <w:shd w:val="clear" w:color="auto" w:fill="EBFBFF"/>
          </w:tcPr>
          <w:p>
            <w:pPr>
              <w:jc w:val="right"/>
              <w:ind w:right="349"/>
              <w:spacing w:after="0"/>
              <w:rPr>
                <w:sz w:val="20"/>
                <w:szCs w:val="20"/>
                <w:color w:val="auto"/>
              </w:rPr>
            </w:pPr>
            <w:r>
              <w:rPr>
                <w:rFonts w:ascii="Calibri" w:cs="Calibri" w:eastAsia="Calibri" w:hAnsi="Calibri"/>
                <w:sz w:val="14"/>
                <w:szCs w:val="14"/>
                <w:color w:val="51555C"/>
                <w:w w:val="83"/>
              </w:rPr>
              <w:t>$</w:t>
            </w:r>
          </w:p>
        </w:tc>
        <w:tc>
          <w:tcPr>
            <w:tcW w:w="9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(50,000)</w:t>
            </w:r>
          </w:p>
        </w:tc>
        <w:tc>
          <w:tcPr>
            <w:tcW w:w="420" w:type="dxa"/>
            <w:vAlign w:val="bottom"/>
            <w:tcBorders>
              <w:bottom w:val="single" w:sz="8" w:color="EBFBFF"/>
            </w:tcBorders>
            <w:shd w:val="clear" w:color="auto" w:fill="EBFBFF"/>
          </w:tcPr>
          <w:p>
            <w:pPr>
              <w:jc w:val="right"/>
              <w:ind w:right="269"/>
              <w:spacing w:after="0"/>
              <w:rPr>
                <w:sz w:val="20"/>
                <w:szCs w:val="20"/>
                <w:color w:val="auto"/>
              </w:rPr>
            </w:pPr>
            <w:r>
              <w:rPr>
                <w:rFonts w:ascii="Calibri" w:cs="Calibri" w:eastAsia="Calibri" w:hAnsi="Calibri"/>
                <w:sz w:val="14"/>
                <w:szCs w:val="14"/>
                <w:color w:val="51555C"/>
                <w:w w:val="83"/>
              </w:rPr>
              <w:t>$</w:t>
            </w: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(50,000)</w:t>
            </w:r>
          </w:p>
        </w:tc>
        <w:tc>
          <w:tcPr>
            <w:tcW w:w="20" w:type="dxa"/>
            <w:vAlign w:val="bottom"/>
          </w:tcPr>
          <w:p>
            <w:pPr>
              <w:spacing w:after="0"/>
              <w:rPr>
                <w:sz w:val="18"/>
                <w:szCs w:val="18"/>
                <w:color w:val="auto"/>
              </w:rPr>
            </w:pPr>
          </w:p>
        </w:tc>
      </w:tr>
      <w:tr>
        <w:trPr>
          <w:trHeight w:val="507"/>
        </w:trPr>
        <w:tc>
          <w:tcPr>
            <w:tcW w:w="5460" w:type="dxa"/>
            <w:vAlign w:val="bottom"/>
            <w:tcBorders>
              <w:top w:val="single" w:sz="8" w:color="0CD973"/>
            </w:tcBorders>
          </w:tcPr>
          <w:p>
            <w:pPr>
              <w:spacing w:after="0"/>
              <w:rPr>
                <w:sz w:val="24"/>
                <w:szCs w:val="24"/>
                <w:color w:val="auto"/>
              </w:rPr>
            </w:pPr>
          </w:p>
        </w:tc>
        <w:tc>
          <w:tcPr>
            <w:tcW w:w="580" w:type="dxa"/>
            <w:vAlign w:val="bottom"/>
            <w:tcBorders>
              <w:top w:val="single" w:sz="8" w:color="0CD973"/>
            </w:tcBorders>
          </w:tcPr>
          <w:p>
            <w:pPr>
              <w:spacing w:after="0"/>
              <w:rPr>
                <w:sz w:val="24"/>
                <w:szCs w:val="24"/>
                <w:color w:val="auto"/>
              </w:rPr>
            </w:pPr>
          </w:p>
        </w:tc>
        <w:tc>
          <w:tcPr>
            <w:tcW w:w="840" w:type="dxa"/>
            <w:vAlign w:val="bottom"/>
            <w:tcBorders>
              <w:top w:val="single" w:sz="8" w:color="0CD973"/>
            </w:tcBorders>
          </w:tcPr>
          <w:p>
            <w:pPr>
              <w:spacing w:after="0"/>
              <w:rPr>
                <w:sz w:val="24"/>
                <w:szCs w:val="24"/>
                <w:color w:val="auto"/>
              </w:rPr>
            </w:pPr>
          </w:p>
        </w:tc>
        <w:tc>
          <w:tcPr>
            <w:tcW w:w="560" w:type="dxa"/>
            <w:vAlign w:val="bottom"/>
            <w:tcBorders>
              <w:top w:val="single" w:sz="8" w:color="0CD973"/>
            </w:tcBorders>
          </w:tcPr>
          <w:p>
            <w:pPr>
              <w:spacing w:after="0"/>
              <w:rPr>
                <w:sz w:val="24"/>
                <w:szCs w:val="24"/>
                <w:color w:val="auto"/>
              </w:rPr>
            </w:pPr>
          </w:p>
        </w:tc>
        <w:tc>
          <w:tcPr>
            <w:tcW w:w="2420" w:type="dxa"/>
            <w:vAlign w:val="bottom"/>
            <w:tcBorders>
              <w:top w:val="single" w:sz="8" w:color="0CD973"/>
            </w:tcBorders>
            <w:gridSpan w:val="4"/>
          </w:tcPr>
          <w:p>
            <w:pPr>
              <w:jc w:val="right"/>
              <w:ind w:right="152"/>
              <w:spacing w:after="0"/>
              <w:rPr>
                <w:sz w:val="20"/>
                <w:szCs w:val="20"/>
                <w:color w:val="auto"/>
              </w:rPr>
            </w:pPr>
            <w:r>
              <w:rPr>
                <w:rFonts w:ascii="Calibri" w:cs="Calibri" w:eastAsia="Calibri" w:hAnsi="Calibri"/>
                <w:sz w:val="11"/>
                <w:szCs w:val="11"/>
                <w:color w:val="51555C"/>
              </w:rPr>
              <w:t>Second Quarter 2024 Form 10-Q</w:t>
            </w:r>
          </w:p>
        </w:tc>
        <w:tc>
          <w:tcPr>
            <w:tcW w:w="420" w:type="dxa"/>
            <w:vAlign w:val="bottom"/>
            <w:tcBorders>
              <w:top w:val="single" w:sz="8" w:color="0CD973"/>
            </w:tcBorders>
          </w:tcPr>
          <w:p>
            <w:pPr>
              <w:spacing w:after="0"/>
              <w:rPr>
                <w:sz w:val="24"/>
                <w:szCs w:val="24"/>
                <w:color w:val="auto"/>
              </w:rPr>
            </w:pPr>
          </w:p>
        </w:tc>
        <w:tc>
          <w:tcPr>
            <w:tcW w:w="1000" w:type="dxa"/>
            <w:vAlign w:val="bottom"/>
            <w:tcBorders>
              <w:top w:val="single" w:sz="8" w:color="0CD973"/>
            </w:tcBorders>
          </w:tcPr>
          <w:p>
            <w:pPr>
              <w:jc w:val="right"/>
              <w:spacing w:after="0"/>
              <w:rPr>
                <w:sz w:val="20"/>
                <w:szCs w:val="20"/>
                <w:color w:val="auto"/>
              </w:rPr>
            </w:pPr>
            <w:r>
              <w:rPr>
                <w:rFonts w:ascii="Calibri" w:cs="Calibri" w:eastAsia="Calibri" w:hAnsi="Calibri"/>
                <w:sz w:val="11"/>
                <w:szCs w:val="11"/>
                <w:color w:val="51555C"/>
              </w:rPr>
              <w:t>19</w:t>
            </w:r>
          </w:p>
        </w:tc>
        <w:tc>
          <w:tcPr>
            <w:tcW w:w="20" w:type="dxa"/>
            <w:vAlign w:val="bottom"/>
          </w:tcPr>
          <w:p>
            <w:pPr>
              <w:spacing w:after="0"/>
              <w:rPr>
                <w:sz w:val="24"/>
                <w:szCs w:val="24"/>
                <w:color w:val="auto"/>
              </w:rPr>
            </w:pPr>
          </w:p>
        </w:tc>
      </w:tr>
      <w:tr>
        <w:trPr>
          <w:trHeight w:val="281"/>
        </w:trPr>
        <w:tc>
          <w:tcPr>
            <w:tcW w:w="54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6268720</wp:posOffset>
            </wp:positionH>
            <wp:positionV relativeFrom="paragraph">
              <wp:posOffset>-295910</wp:posOffset>
            </wp:positionV>
            <wp:extent cx="518795" cy="134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8795" cy="13462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20" w:name="page21"/>
    <w:bookmarkEnd w:id="20"/>
    <w:p>
      <w:pPr>
        <w:spacing w:after="0"/>
        <w:rPr>
          <w:sz w:val="20"/>
          <w:szCs w:val="20"/>
          <w:color w:val="auto"/>
        </w:rPr>
      </w:pPr>
      <w:r>
        <w:rPr>
          <w:rFonts w:ascii="Calibri" w:cs="Calibri" w:eastAsia="Calibri" w:hAnsi="Calibri"/>
          <w:sz w:val="11"/>
          <w:szCs w:val="11"/>
          <w:u w:val="single" w:color="auto"/>
          <w:color w:val="7A04DD"/>
        </w:rPr>
        <w:t>Table of Contents</w:t>
      </w:r>
    </w:p>
    <w:p>
      <w:pPr>
        <w:spacing w:after="0" w:line="196" w:lineRule="exact"/>
        <w:rPr>
          <w:sz w:val="20"/>
          <w:szCs w:val="20"/>
          <w:color w:val="auto"/>
        </w:rPr>
      </w:pPr>
    </w:p>
    <w:p>
      <w:pPr>
        <w:jc w:val="center"/>
        <w:spacing w:after="0"/>
        <w:rPr>
          <w:sz w:val="20"/>
          <w:szCs w:val="20"/>
          <w:color w:val="auto"/>
        </w:rPr>
      </w:pPr>
      <w:r>
        <w:rPr>
          <w:rFonts w:ascii="Calibri" w:cs="Calibri" w:eastAsia="Calibri" w:hAnsi="Calibri"/>
          <w:sz w:val="14"/>
          <w:szCs w:val="14"/>
          <w:b w:val="1"/>
          <w:bCs w:val="1"/>
          <w:color w:val="51555C"/>
        </w:rPr>
        <w:t>Blackbaud, Inc.</w:t>
      </w:r>
    </w:p>
    <w:p>
      <w:pPr>
        <w:jc w:val="center"/>
        <w:spacing w:after="0" w:line="238" w:lineRule="auto"/>
        <w:rPr>
          <w:sz w:val="20"/>
          <w:szCs w:val="20"/>
          <w:color w:val="auto"/>
        </w:rPr>
      </w:pPr>
      <w:r>
        <w:rPr>
          <w:rFonts w:ascii="Calibri" w:cs="Calibri" w:eastAsia="Calibri" w:hAnsi="Calibri"/>
          <w:sz w:val="14"/>
          <w:szCs w:val="14"/>
          <w:b w:val="1"/>
          <w:bCs w:val="1"/>
          <w:color w:val="51555C"/>
        </w:rPr>
        <w:t>Notes to Condensed Consolidated Financial Statements</w:t>
      </w:r>
    </w:p>
    <w:p>
      <w:pPr>
        <w:jc w:val="center"/>
        <w:spacing w:after="0"/>
        <w:rPr>
          <w:sz w:val="20"/>
          <w:szCs w:val="20"/>
          <w:color w:val="auto"/>
        </w:rPr>
      </w:pPr>
      <w:r>
        <w:rPr>
          <w:rFonts w:ascii="Calibri" w:cs="Calibri" w:eastAsia="Calibri" w:hAnsi="Calibri"/>
          <w:sz w:val="14"/>
          <w:szCs w:val="14"/>
          <w:b w:val="1"/>
          <w:bCs w:val="1"/>
          <w:color w:val="51555C"/>
        </w:rPr>
        <w:t>(Unaudited)</w:t>
      </w:r>
    </w:p>
    <w:p>
      <w:pPr>
        <w:spacing w:after="0" w:line="200" w:lineRule="exact"/>
        <w:rPr>
          <w:sz w:val="20"/>
          <w:szCs w:val="20"/>
          <w:color w:val="auto"/>
        </w:rPr>
      </w:pPr>
    </w:p>
    <w:p>
      <w:pPr>
        <w:spacing w:after="0" w:line="246" w:lineRule="exact"/>
        <w:rPr>
          <w:sz w:val="20"/>
          <w:szCs w:val="20"/>
          <w:color w:val="auto"/>
        </w:rPr>
      </w:pPr>
    </w:p>
    <w:p>
      <w:pPr>
        <w:jc w:val="both"/>
        <w:spacing w:after="0" w:line="238" w:lineRule="auto"/>
        <w:rPr>
          <w:sz w:val="20"/>
          <w:szCs w:val="20"/>
          <w:color w:val="auto"/>
        </w:rPr>
      </w:pPr>
      <w:r>
        <w:rPr>
          <w:rFonts w:ascii="Calibri" w:cs="Calibri" w:eastAsia="Calibri" w:hAnsi="Calibri"/>
          <w:sz w:val="14"/>
          <w:szCs w:val="14"/>
          <w:color w:val="51555C"/>
        </w:rPr>
        <w:t>Recorded expenses have consisted primarily of payments to third-party service providers and consultants, including legal fees, setlement of the previously disclosed SEC investgaton, mult-state Atorneys General investgaton, and Atorney General of the State of California investgaton (discussed below), setlements of customer claims and accruals for certain loss contngencies. Not included in the expenses discussed above were costs associated with enhancements to our cybersecurity program. We present expenses and insurance recoveries related to the Security Incident in general and administratve expense on our unaudited, condensed consolidated statements of comprehensive income (loss) and as operatng actvites on our unaudited, condensed consolidated statements of cash fows. Total costs related to the Security Incident exceeded the limit of our insurance coverage during the frst quarter of 2022. We expect to contnue to experience signifcant expenses related to our response to the Security Incident, resoluton of legal proceedings, claims and investgatons, including those discussed below, and our eforts to further enhance our cybersecurity measures. For the three and six months ended June 30, 2024, we incurred net pre-tax expenses of $1.8 million and $12.1 million, respectvely, related to the Security Incident, which included $1.8 million and $5.1 million, respectvely, for ongoing legal fees and additonal accruals for loss contngencies of $0.0 million and $7.0 million, respectvely. During the six months ended June 30, 2024, we had net cash outlays of $5.8 million related to the Security Incident for ongoing legal fees. In line with our policy, legal fees are expensed as incurred. For full year 2024, we currently expect pre-tax expenses of approximately $5.0 million to $10.0 million and cash outlays of approximately $8.0 million to $13.0 million for ongoing legal fees related to the Security Incident. Not included in these ranges are our previous setlements or current accruals for loss contngencies related to the maters discussed below.</w:t>
      </w:r>
    </w:p>
    <w:p>
      <w:pPr>
        <w:spacing w:after="0" w:line="130" w:lineRule="exact"/>
        <w:rPr>
          <w:sz w:val="20"/>
          <w:szCs w:val="20"/>
          <w:color w:val="auto"/>
        </w:rPr>
      </w:pPr>
    </w:p>
    <w:p>
      <w:pPr>
        <w:jc w:val="both"/>
        <w:spacing w:after="0" w:line="237" w:lineRule="auto"/>
        <w:rPr>
          <w:sz w:val="20"/>
          <w:szCs w:val="20"/>
          <w:color w:val="auto"/>
        </w:rPr>
      </w:pPr>
      <w:r>
        <w:rPr>
          <w:rFonts w:ascii="Calibri" w:cs="Calibri" w:eastAsia="Calibri" w:hAnsi="Calibri"/>
          <w:sz w:val="14"/>
          <w:szCs w:val="14"/>
          <w:color w:val="51555C"/>
        </w:rPr>
        <w:t>As of June 30, 2024, we have recorded approximately $8.5 million in aggregate liabilites for loss contngencies, which included $6.8 million for our setlement with the Atorney General of the State of California on June 13, 2024, and other accruals based primarily on recent negotatons with certain customers related to the Security Incident that we believed we could reasonably estmate in accordance with our loss contngency procedures described above. Our liabilites for loss contngencies are recorded in accrued expenses and other current liabilites on our unaudited, condensed consolidated balance sheets. It is reasonably possible that our estmated actual losses may change in the near term for those maters and be materially in excess of the amounts accrued, but we are unable at this tme to reasonably estmate the possible additonal loss.</w:t>
      </w:r>
    </w:p>
    <w:p>
      <w:pPr>
        <w:spacing w:after="0" w:line="132" w:lineRule="exact"/>
        <w:rPr>
          <w:sz w:val="20"/>
          <w:szCs w:val="20"/>
          <w:color w:val="auto"/>
        </w:rPr>
      </w:pPr>
    </w:p>
    <w:p>
      <w:pPr>
        <w:jc w:val="both"/>
        <w:spacing w:after="0" w:line="237" w:lineRule="auto"/>
        <w:rPr>
          <w:sz w:val="20"/>
          <w:szCs w:val="20"/>
          <w:color w:val="auto"/>
        </w:rPr>
      </w:pPr>
      <w:r>
        <w:rPr>
          <w:rFonts w:ascii="Calibri" w:cs="Calibri" w:eastAsia="Calibri" w:hAnsi="Calibri"/>
          <w:sz w:val="14"/>
          <w:szCs w:val="14"/>
          <w:color w:val="51555C"/>
        </w:rPr>
        <w:t>There are other Security Incident-related maters, including customer claims, customer consttuent class actons and governmental investgatons, for which we have not recorded a liability for a loss contngency as of June 30, 2024 because we are unable at this tme to reasonably estmate the possible loss or range of loss. Each of these maters could, separately or in the aggregate, result in an adverse judgment, setlement, fne, penalty or other resoluton, the amount, scope and tming of which we are currently unable to predict, but could have a material adverse impact on our results of operatons, cash fows or fnancial conditon.</w:t>
      </w:r>
    </w:p>
    <w:p>
      <w:pPr>
        <w:spacing w:after="0" w:line="131" w:lineRule="exact"/>
        <w:rPr>
          <w:sz w:val="20"/>
          <w:szCs w:val="20"/>
          <w:color w:val="auto"/>
        </w:rPr>
      </w:pPr>
    </w:p>
    <w:p>
      <w:pPr>
        <w:jc w:val="both"/>
        <w:spacing w:after="0" w:line="260" w:lineRule="auto"/>
        <w:rPr>
          <w:sz w:val="20"/>
          <w:szCs w:val="20"/>
          <w:color w:val="auto"/>
        </w:rPr>
      </w:pPr>
      <w:r>
        <w:rPr>
          <w:rFonts w:ascii="Calibri" w:cs="Calibri" w:eastAsia="Calibri" w:hAnsi="Calibri"/>
          <w:sz w:val="13"/>
          <w:szCs w:val="13"/>
          <w:b w:val="1"/>
          <w:bCs w:val="1"/>
          <w:i w:val="1"/>
          <w:iCs w:val="1"/>
          <w:color w:val="51555C"/>
        </w:rPr>
        <w:t xml:space="preserve">Customer claims. </w:t>
      </w:r>
      <w:r>
        <w:rPr>
          <w:rFonts w:ascii="Calibri" w:cs="Calibri" w:eastAsia="Calibri" w:hAnsi="Calibri"/>
          <w:sz w:val="13"/>
          <w:szCs w:val="13"/>
          <w:color w:val="51555C"/>
        </w:rPr>
        <w:t>To date, we have received approximately 260 specifc requests from customers for reimbursement of expenses incurred by them related to the Security Incident, all of which have been</w:t>
      </w:r>
      <w:r>
        <w:rPr>
          <w:rFonts w:ascii="Calibri" w:cs="Calibri" w:eastAsia="Calibri" w:hAnsi="Calibri"/>
          <w:sz w:val="13"/>
          <w:szCs w:val="13"/>
          <w:b w:val="1"/>
          <w:bCs w:val="1"/>
          <w:i w:val="1"/>
          <w:iCs w:val="1"/>
          <w:color w:val="51555C"/>
        </w:rPr>
        <w:t xml:space="preserve"> </w:t>
      </w:r>
      <w:r>
        <w:rPr>
          <w:rFonts w:ascii="Calibri" w:cs="Calibri" w:eastAsia="Calibri" w:hAnsi="Calibri"/>
          <w:sz w:val="13"/>
          <w:szCs w:val="13"/>
          <w:color w:val="51555C"/>
        </w:rPr>
        <w:t>fully resolved and closed or are inactve and are considered by us to have been abandoned by the customers. We have also received approximately 400 reservatons of the right to seek expense recovery in the future from customers or their atorneys in the U.S., U.K. and Canada related to the Security Incident, none of which resulted in claims submited to us and are considered by us to have been abandoned by the customers. We have also received notces of proposed claims on behalf of a number of U.K. data subjects, which we are reviewing. In additon, insurance companies representng various customers’ interests through subrogaton claims have contacted us, and certain insurance companies have fled subrogaton claims in court, of which three cases remain actve and unresolved.</w:t>
      </w:r>
    </w:p>
    <w:p>
      <w:pPr>
        <w:spacing w:after="0" w:line="117" w:lineRule="exact"/>
        <w:rPr>
          <w:sz w:val="20"/>
          <w:szCs w:val="20"/>
          <w:color w:val="auto"/>
        </w:rPr>
      </w:pPr>
    </w:p>
    <w:p>
      <w:pPr>
        <w:jc w:val="both"/>
        <w:spacing w:after="0" w:line="237" w:lineRule="auto"/>
        <w:rPr>
          <w:sz w:val="20"/>
          <w:szCs w:val="20"/>
          <w:color w:val="auto"/>
        </w:rPr>
      </w:pPr>
      <w:r>
        <w:rPr>
          <w:rFonts w:ascii="Calibri" w:cs="Calibri" w:eastAsia="Calibri" w:hAnsi="Calibri"/>
          <w:sz w:val="14"/>
          <w:szCs w:val="14"/>
          <w:b w:val="1"/>
          <w:bCs w:val="1"/>
          <w:i w:val="1"/>
          <w:iCs w:val="1"/>
          <w:color w:val="51555C"/>
        </w:rPr>
        <w:t xml:space="preserve">Customer consttuent class actons. </w:t>
      </w:r>
      <w:r>
        <w:rPr>
          <w:rFonts w:ascii="Calibri" w:cs="Calibri" w:eastAsia="Calibri" w:hAnsi="Calibri"/>
          <w:sz w:val="14"/>
          <w:szCs w:val="14"/>
          <w:color w:val="51555C"/>
        </w:rPr>
        <w:t>Presently, we are a defendant in putatve consumer class acton cases in U.S. federal courts (which have been consolidated under mult district litgaton to a single</w:t>
      </w:r>
      <w:r>
        <w:rPr>
          <w:rFonts w:ascii="Calibri" w:cs="Calibri" w:eastAsia="Calibri" w:hAnsi="Calibri"/>
          <w:sz w:val="14"/>
          <w:szCs w:val="14"/>
          <w:b w:val="1"/>
          <w:bCs w:val="1"/>
          <w:i w:val="1"/>
          <w:iCs w:val="1"/>
          <w:color w:val="51555C"/>
        </w:rPr>
        <w:t xml:space="preserve"> </w:t>
      </w:r>
      <w:r>
        <w:rPr>
          <w:rFonts w:ascii="Calibri" w:cs="Calibri" w:eastAsia="Calibri" w:hAnsi="Calibri"/>
          <w:sz w:val="14"/>
          <w:szCs w:val="14"/>
          <w:color w:val="51555C"/>
        </w:rPr>
        <w:t>federal court) and in Canadian courts alleging harm from the Security Incident. The plaintfs in these cases, who purport to represent various classes of individual consttuents of our customers, generally claim to have been harmed by alleged actons and/or omissions by us in connecton with the Security Incident and assert a variety of common law and statutory claims seeking monetary damages, injunctve relief, costs and atorneys’ fees and other related relief.</w:t>
      </w:r>
    </w:p>
    <w:p>
      <w:pPr>
        <w:spacing w:after="0" w:line="131" w:lineRule="exact"/>
        <w:rPr>
          <w:sz w:val="20"/>
          <w:szCs w:val="20"/>
          <w:color w:val="auto"/>
        </w:rPr>
      </w:pPr>
    </w:p>
    <w:p>
      <w:pPr>
        <w:jc w:val="both"/>
        <w:spacing w:after="0" w:line="237" w:lineRule="auto"/>
        <w:rPr>
          <w:sz w:val="20"/>
          <w:szCs w:val="20"/>
          <w:color w:val="auto"/>
        </w:rPr>
      </w:pPr>
      <w:r>
        <w:rPr>
          <w:rFonts w:ascii="Calibri" w:cs="Calibri" w:eastAsia="Calibri" w:hAnsi="Calibri"/>
          <w:sz w:val="14"/>
          <w:szCs w:val="14"/>
          <w:color w:val="51555C"/>
        </w:rPr>
        <w:t>Lawsuits that are putatve class actons require a plaintf to satsfy a number of procedural requirements before proceeding to trial. These requirements include, among others, demonstraton to a court that the law proscribes in some manner our actvites, the making of factual allegatons sufcient to suggest that our actvites exceeded the limits of the law and a determinaton by the court—known as class certfcaton—that the law permits a group of individuals to pursue the case together as a class. If these procedural requirements are not met, the lawsuit cannot proceed as a class acton and the plaintf may lose the fnancial incentve to proceed with the case. We are currently engaged in court proceedings to</w:t>
      </w:r>
    </w:p>
    <w:p>
      <w:pPr>
        <w:spacing w:after="0" w:line="268" w:lineRule="exact"/>
        <w:rPr>
          <w:sz w:val="20"/>
          <w:szCs w:val="20"/>
          <w:color w:val="auto"/>
        </w:rPr>
      </w:pPr>
    </w:p>
    <w:p>
      <w:pPr>
        <w:ind w:left="20"/>
        <w:spacing w:after="0"/>
        <w:tabs>
          <w:tab w:leader="none" w:pos="589" w:val="left"/>
        </w:tabs>
        <w:rPr>
          <w:sz w:val="20"/>
          <w:szCs w:val="20"/>
          <w:color w:val="auto"/>
        </w:rPr>
      </w:pPr>
      <w:r>
        <w:rPr>
          <w:rFonts w:ascii="Calibri" w:cs="Calibri" w:eastAsia="Calibri" w:hAnsi="Calibri"/>
          <w:sz w:val="11"/>
          <w:szCs w:val="11"/>
          <w:color w:val="51555C"/>
        </w:rPr>
        <w:t>20</w:t>
      </w:r>
      <w:r>
        <w:rPr>
          <w:sz w:val="20"/>
          <w:szCs w:val="20"/>
          <w:color w:val="auto"/>
        </w:rPr>
        <w:tab/>
      </w:r>
      <w:r>
        <w:rPr>
          <w:sz w:val="1"/>
          <w:szCs w:val="1"/>
          <w:color w:val="auto"/>
        </w:rPr>
        <w:drawing>
          <wp:inline distT="0" distB="0" distL="0" distR="0">
            <wp:extent cx="511810" cy="134620"/>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1810" cy="134620"/>
                    </a:xfrm>
                    <a:prstGeom prst="rect">
                      <a:avLst/>
                    </a:prstGeom>
                    <a:noFill/>
                    <a:ln>
                      <a:noFill/>
                    </a:ln>
                  </pic:spPr>
                </pic:pic>
              </a:graphicData>
            </a:graphic>
          </wp:inline>
        </w:drawing>
      </w:r>
      <w:r>
        <w:rPr>
          <w:rFonts w:ascii="Calibri" w:cs="Calibri" w:eastAsia="Calibri" w:hAnsi="Calibri"/>
          <w:sz w:val="11"/>
          <w:szCs w:val="11"/>
          <w:color w:val="51555C"/>
        </w:rPr>
        <w:t xml:space="preserve">    Second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135255</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21" w:name="page22"/>
    <w:bookmarkEnd w:id="21"/>
    <w:p>
      <w:pPr>
        <w:spacing w:after="0"/>
        <w:rPr>
          <w:sz w:val="20"/>
          <w:szCs w:val="20"/>
          <w:color w:val="auto"/>
        </w:rPr>
      </w:pPr>
      <w:r>
        <w:rPr>
          <w:rFonts w:ascii="Calibri" w:cs="Calibri" w:eastAsia="Calibri" w:hAnsi="Calibri"/>
          <w:sz w:val="11"/>
          <w:szCs w:val="11"/>
          <w:u w:val="single" w:color="auto"/>
          <w:color w:val="7A04DD"/>
        </w:rPr>
        <w:t>Table of Contents</w:t>
      </w:r>
    </w:p>
    <w:p>
      <w:pPr>
        <w:spacing w:after="0" w:line="196" w:lineRule="exact"/>
        <w:rPr>
          <w:sz w:val="20"/>
          <w:szCs w:val="20"/>
          <w:color w:val="auto"/>
        </w:rPr>
      </w:pPr>
    </w:p>
    <w:p>
      <w:pPr>
        <w:jc w:val="center"/>
        <w:spacing w:after="0"/>
        <w:rPr>
          <w:sz w:val="20"/>
          <w:szCs w:val="20"/>
          <w:color w:val="auto"/>
        </w:rPr>
      </w:pPr>
      <w:r>
        <w:rPr>
          <w:rFonts w:ascii="Calibri" w:cs="Calibri" w:eastAsia="Calibri" w:hAnsi="Calibri"/>
          <w:sz w:val="14"/>
          <w:szCs w:val="14"/>
          <w:b w:val="1"/>
          <w:bCs w:val="1"/>
          <w:color w:val="51555C"/>
        </w:rPr>
        <w:t>Blackbaud, Inc.</w:t>
      </w:r>
    </w:p>
    <w:p>
      <w:pPr>
        <w:jc w:val="center"/>
        <w:spacing w:after="0" w:line="238" w:lineRule="auto"/>
        <w:rPr>
          <w:sz w:val="20"/>
          <w:szCs w:val="20"/>
          <w:color w:val="auto"/>
        </w:rPr>
      </w:pPr>
      <w:r>
        <w:rPr>
          <w:rFonts w:ascii="Calibri" w:cs="Calibri" w:eastAsia="Calibri" w:hAnsi="Calibri"/>
          <w:sz w:val="14"/>
          <w:szCs w:val="14"/>
          <w:b w:val="1"/>
          <w:bCs w:val="1"/>
          <w:color w:val="51555C"/>
        </w:rPr>
        <w:t>Notes to Condensed Consolidated Financial Statements</w:t>
      </w:r>
    </w:p>
    <w:p>
      <w:pPr>
        <w:jc w:val="center"/>
        <w:spacing w:after="0"/>
        <w:rPr>
          <w:sz w:val="20"/>
          <w:szCs w:val="20"/>
          <w:color w:val="auto"/>
        </w:rPr>
      </w:pPr>
      <w:r>
        <w:rPr>
          <w:rFonts w:ascii="Calibri" w:cs="Calibri" w:eastAsia="Calibri" w:hAnsi="Calibri"/>
          <w:sz w:val="14"/>
          <w:szCs w:val="14"/>
          <w:b w:val="1"/>
          <w:bCs w:val="1"/>
          <w:color w:val="51555C"/>
        </w:rPr>
        <w:t>(Unaudited)</w:t>
      </w:r>
    </w:p>
    <w:p>
      <w:pPr>
        <w:spacing w:after="0" w:line="200" w:lineRule="exact"/>
        <w:rPr>
          <w:sz w:val="20"/>
          <w:szCs w:val="20"/>
          <w:color w:val="auto"/>
        </w:rPr>
      </w:pPr>
    </w:p>
    <w:p>
      <w:pPr>
        <w:spacing w:after="0" w:line="246" w:lineRule="exact"/>
        <w:rPr>
          <w:sz w:val="20"/>
          <w:szCs w:val="20"/>
          <w:color w:val="auto"/>
        </w:rPr>
      </w:pPr>
    </w:p>
    <w:p>
      <w:pPr>
        <w:jc w:val="both"/>
        <w:spacing w:after="0" w:line="237" w:lineRule="auto"/>
        <w:rPr>
          <w:sz w:val="20"/>
          <w:szCs w:val="20"/>
          <w:color w:val="auto"/>
        </w:rPr>
      </w:pPr>
      <w:r>
        <w:rPr>
          <w:rFonts w:ascii="Calibri" w:cs="Calibri" w:eastAsia="Calibri" w:hAnsi="Calibri"/>
          <w:sz w:val="14"/>
          <w:szCs w:val="14"/>
          <w:color w:val="51555C"/>
        </w:rPr>
        <w:t>determine whether this will proceed as a class acton. Frequently, a court’s determinaton as to these procedural requirements is subject to appeal to a higher court. As a result of these uncertaintes, we may be unable to determine the probability of loss untl, or afer, a court has fnally determined that a plaintf has satsfed the applicable class acton procedural requirements.</w:t>
      </w:r>
    </w:p>
    <w:p>
      <w:pPr>
        <w:spacing w:after="0" w:line="129" w:lineRule="exact"/>
        <w:rPr>
          <w:sz w:val="20"/>
          <w:szCs w:val="20"/>
          <w:color w:val="auto"/>
        </w:rPr>
      </w:pPr>
    </w:p>
    <w:p>
      <w:pPr>
        <w:jc w:val="both"/>
        <w:spacing w:after="0" w:line="237" w:lineRule="auto"/>
        <w:rPr>
          <w:sz w:val="20"/>
          <w:szCs w:val="20"/>
          <w:color w:val="auto"/>
        </w:rPr>
      </w:pPr>
      <w:r>
        <w:rPr>
          <w:rFonts w:ascii="Calibri" w:cs="Calibri" w:eastAsia="Calibri" w:hAnsi="Calibri"/>
          <w:sz w:val="14"/>
          <w:szCs w:val="14"/>
          <w:color w:val="51555C"/>
        </w:rPr>
        <w:t>Furthermore, for putatve class actons, it is ofen not possible to reasonably estmate the possible loss or a range of loss amounts, even where we have determined that a loss is reasonably possible. Generally, class actons involve a large number of people and raise complex legal and factual issues that result in uncertainty as to their outcome and, ultmately, making it difcult for us to estmate the amount of damages that a plaintf might successfully prove. This analysis is further complicated by the fact that the plaintfs lack contractual privity with us.</w:t>
      </w:r>
    </w:p>
    <w:p>
      <w:pPr>
        <w:spacing w:after="0" w:line="130" w:lineRule="exact"/>
        <w:rPr>
          <w:sz w:val="20"/>
          <w:szCs w:val="20"/>
          <w:color w:val="auto"/>
        </w:rPr>
      </w:pPr>
    </w:p>
    <w:p>
      <w:pPr>
        <w:jc w:val="both"/>
        <w:spacing w:after="0" w:line="237" w:lineRule="auto"/>
        <w:rPr>
          <w:sz w:val="20"/>
          <w:szCs w:val="20"/>
          <w:color w:val="auto"/>
        </w:rPr>
      </w:pPr>
      <w:r>
        <w:rPr>
          <w:rFonts w:ascii="Calibri" w:cs="Calibri" w:eastAsia="Calibri" w:hAnsi="Calibri"/>
          <w:sz w:val="14"/>
          <w:szCs w:val="14"/>
          <w:color w:val="51555C"/>
        </w:rPr>
        <w:t>On May 14, 2024, the United States District Court for the District of South Carolina (the "Court") issued a memorandum opinion and order (1) denying the mult district litgaton plaintfs' moton for class certfcaton because of the plaintfs' failure to meet their burden of proof as to ascertainability, (2) grantng our moton to exclude the mult district litgaton plaintfs' expert on the issue of ascertainability, and (3) denying the mult district litgaton plaintfs' moton to exclude our expert on the issue of ascertainability. Further, the Court denied as moot all other pending motons. On May 28, 2024, the plaintfs fled a petton for permission to appeal under Rule 23(f) of the Federal Rules of Civil Procedure with the Fourth Circuit Court of Appeals (the “Fourth Circuit”) and we subsequently fled an oppositon to such petton. On July 30, 2024, the Fourth Circuit denied the plaintfs' petton. This litgaton remains ongoing.</w:t>
      </w:r>
    </w:p>
    <w:p>
      <w:pPr>
        <w:spacing w:after="0" w:line="132" w:lineRule="exact"/>
        <w:rPr>
          <w:sz w:val="20"/>
          <w:szCs w:val="20"/>
          <w:color w:val="auto"/>
        </w:rPr>
      </w:pPr>
    </w:p>
    <w:p>
      <w:pPr>
        <w:jc w:val="both"/>
        <w:spacing w:after="0" w:line="237" w:lineRule="auto"/>
        <w:rPr>
          <w:sz w:val="20"/>
          <w:szCs w:val="20"/>
          <w:color w:val="auto"/>
        </w:rPr>
      </w:pPr>
      <w:r>
        <w:rPr>
          <w:rFonts w:ascii="Calibri" w:cs="Calibri" w:eastAsia="Calibri" w:hAnsi="Calibri"/>
          <w:sz w:val="14"/>
          <w:szCs w:val="14"/>
          <w:b w:val="1"/>
          <w:bCs w:val="1"/>
          <w:i w:val="1"/>
          <w:iCs w:val="1"/>
          <w:color w:val="51555C"/>
        </w:rPr>
        <w:t xml:space="preserve">Governmental investgatons. </w:t>
      </w:r>
      <w:r>
        <w:rPr>
          <w:rFonts w:ascii="Calibri" w:cs="Calibri" w:eastAsia="Calibri" w:hAnsi="Calibri"/>
          <w:sz w:val="14"/>
          <w:szCs w:val="14"/>
          <w:color w:val="51555C"/>
        </w:rPr>
        <w:t>As previously disclosed, we are subject to an ongoing investgaton by the U.S. Department of Health and Human Services. We also responded to inquiries from the Ofce</w:t>
      </w:r>
      <w:r>
        <w:rPr>
          <w:rFonts w:ascii="Calibri" w:cs="Calibri" w:eastAsia="Calibri" w:hAnsi="Calibri"/>
          <w:sz w:val="14"/>
          <w:szCs w:val="14"/>
          <w:b w:val="1"/>
          <w:bCs w:val="1"/>
          <w:i w:val="1"/>
          <w:iCs w:val="1"/>
          <w:color w:val="51555C"/>
        </w:rPr>
        <w:t xml:space="preserve"> </w:t>
      </w:r>
      <w:r>
        <w:rPr>
          <w:rFonts w:ascii="Calibri" w:cs="Calibri" w:eastAsia="Calibri" w:hAnsi="Calibri"/>
          <w:sz w:val="14"/>
          <w:szCs w:val="14"/>
          <w:color w:val="51555C"/>
        </w:rPr>
        <w:t>of the Australian Informaton Commissioner in September 2020 and the Ofce of the Privacy Commissioner of Canada in October 2020.</w:t>
      </w:r>
    </w:p>
    <w:p>
      <w:pPr>
        <w:spacing w:after="0" w:line="129" w:lineRule="exact"/>
        <w:rPr>
          <w:sz w:val="20"/>
          <w:szCs w:val="20"/>
          <w:color w:val="auto"/>
        </w:rPr>
      </w:pPr>
    </w:p>
    <w:p>
      <w:pPr>
        <w:jc w:val="both"/>
        <w:spacing w:after="0" w:line="238" w:lineRule="auto"/>
        <w:rPr>
          <w:sz w:val="20"/>
          <w:szCs w:val="20"/>
          <w:color w:val="auto"/>
        </w:rPr>
      </w:pPr>
      <w:r>
        <w:rPr>
          <w:rFonts w:ascii="Calibri" w:cs="Calibri" w:eastAsia="Calibri" w:hAnsi="Calibri"/>
          <w:sz w:val="14"/>
          <w:szCs w:val="14"/>
          <w:color w:val="51555C"/>
        </w:rPr>
        <w:t>As previously disclosed, on June 13, 2024, we agreed to a Final Judgment and Permanent Injuncton with the Atorney General of the State of California (the "Final Judgment") relatng to the Security Incident. This setlement fully resolved the last remaining U.S. state atorney general investgaton into the Security Incident. Under the terms of the setlement, we agreed to comply with applicable laws; not to make misleading statements related to our data protecton, privacy, security, confdentality, integrity, breach notfcaton requirements, and similar maters; and to implement and improve certain cybersecurity programs and tools. The terms of the setlement with California are generally consistent with those to which we agreed in setling with the other 49 state Atorneys General and the District of Columbia on October 5, 2023, as discussed below. As part of the setlement, we also agreed to pay a total of $6.8 million to the State of California. This amount was fully accrued as a contngent liability in the Company's fnancial statements as of March 31, 2024 and June 30, 2024, and subsequently paid in the third quarter of 2024. Nothing contained in the Final Judgment is intended to be, and shall not in any event be construed or deemed to be, an admission or concession or evidence of any liability or wrongdoing whatsoever on the part of Blackbaud or any fact or violaton of law, rule, or regulaton. For more informaton, see the Final Judgment and Permanent Injuncton of the State of California, County of San Diego that was furnished as Exhibit 99.1 to our Current Report on Form 8-K fled with the SEC on June 14, 2024.</w:t>
      </w:r>
    </w:p>
    <w:p>
      <w:pPr>
        <w:spacing w:after="0" w:line="130" w:lineRule="exact"/>
        <w:rPr>
          <w:sz w:val="20"/>
          <w:szCs w:val="20"/>
          <w:color w:val="auto"/>
        </w:rPr>
      </w:pPr>
    </w:p>
    <w:p>
      <w:pPr>
        <w:jc w:val="both"/>
        <w:spacing w:after="0" w:line="237" w:lineRule="auto"/>
        <w:rPr>
          <w:sz w:val="20"/>
          <w:szCs w:val="20"/>
          <w:color w:val="auto"/>
        </w:rPr>
      </w:pPr>
      <w:r>
        <w:rPr>
          <w:rFonts w:ascii="Calibri" w:cs="Calibri" w:eastAsia="Calibri" w:hAnsi="Calibri"/>
          <w:sz w:val="14"/>
          <w:szCs w:val="14"/>
          <w:color w:val="51555C"/>
        </w:rPr>
        <w:t>On May 20, 2024, the U.S. Federal Trade Commission (the "FTC") fnalized an Order (the “FTC Order”) evidencing its setlement with us in connecton with the Security Incident. As part of the FTC Order, we were not fned and were not otherwise required to make any payment. Furthermore, we agreed to the FTC Order without admitng or denying any of the FTC’s allegatons, except as expressly stated otherwise in the FTC Order. The setlement described in the FTC Order fully resolved the FTC investgaton. For more informaton, see the form of proposed order that was furnished as Exhibit 99.2 to our Current Report on Form 8-K fled with the SEC on February 2, 2024 and is identcal in substance to the fnal FTC Order, and in Note 11 to our audited consolidated fnancial statements contained in our Annual Report on Form 10-K fled with the SEC on February 21, 2024.</w:t>
      </w:r>
    </w:p>
    <w:p>
      <w:pPr>
        <w:spacing w:after="0" w:line="132" w:lineRule="exact"/>
        <w:rPr>
          <w:sz w:val="20"/>
          <w:szCs w:val="20"/>
          <w:color w:val="auto"/>
        </w:rPr>
      </w:pPr>
    </w:p>
    <w:p>
      <w:pPr>
        <w:jc w:val="both"/>
        <w:spacing w:after="0" w:line="237" w:lineRule="auto"/>
        <w:rPr>
          <w:sz w:val="20"/>
          <w:szCs w:val="20"/>
          <w:color w:val="auto"/>
        </w:rPr>
      </w:pPr>
      <w:r>
        <w:rPr>
          <w:rFonts w:ascii="Calibri" w:cs="Calibri" w:eastAsia="Calibri" w:hAnsi="Calibri"/>
          <w:sz w:val="14"/>
          <w:szCs w:val="14"/>
          <w:color w:val="51555C"/>
        </w:rPr>
        <w:t>As previously disclosed, on October 5, 2023, we entered into separate, substantally similar Administratve Orders with each of 49 state Atorneys General and the District of Columbia relatng to the Security Incident which fully resolved the previously disclosed mult-state Civil Investgatve Demand and the separate Civil Investgatve Demand from the Ofce of the Indiana Atorney General relatng to the Security Incident.</w:t>
      </w:r>
    </w:p>
    <w:p>
      <w:pPr>
        <w:spacing w:after="0" w:line="127" w:lineRule="exact"/>
        <w:rPr>
          <w:sz w:val="20"/>
          <w:szCs w:val="20"/>
          <w:color w:val="auto"/>
        </w:rPr>
      </w:pPr>
    </w:p>
    <w:p>
      <w:pPr>
        <w:spacing w:after="0"/>
        <w:rPr>
          <w:sz w:val="20"/>
          <w:szCs w:val="20"/>
          <w:color w:val="auto"/>
        </w:rPr>
      </w:pPr>
      <w:r>
        <w:rPr>
          <w:rFonts w:ascii="Calibri" w:cs="Calibri" w:eastAsia="Calibri" w:hAnsi="Calibri"/>
          <w:sz w:val="14"/>
          <w:szCs w:val="14"/>
          <w:color w:val="51555C"/>
        </w:rPr>
        <w:t>On March 9, 2023, we reached a setlement with the SEC in connecton with the Security Incident that fully resolved the previously disclosed SEC investgaton of the Security Incident.</w:t>
      </w:r>
    </w:p>
    <w:p>
      <w:pPr>
        <w:spacing w:after="0" w:line="126" w:lineRule="exact"/>
        <w:rPr>
          <w:sz w:val="20"/>
          <w:szCs w:val="20"/>
          <w:color w:val="auto"/>
        </w:rPr>
      </w:pPr>
    </w:p>
    <w:p>
      <w:pPr>
        <w:spacing w:after="0"/>
        <w:rPr>
          <w:sz w:val="20"/>
          <w:szCs w:val="20"/>
          <w:color w:val="auto"/>
        </w:rPr>
      </w:pPr>
      <w:r>
        <w:rPr>
          <w:rFonts w:ascii="Calibri" w:cs="Calibri" w:eastAsia="Calibri" w:hAnsi="Calibri"/>
          <w:sz w:val="14"/>
          <w:szCs w:val="14"/>
          <w:color w:val="51555C"/>
        </w:rPr>
        <w:t>On September 28, 2021, the Informaton Commissioner’s Ofce in the United Kingdom under the U.K. Data Protecton Act 2018 notfed us that it has closed its investgaton of the Security Incident.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6268720</wp:posOffset>
            </wp:positionH>
            <wp:positionV relativeFrom="paragraph">
              <wp:posOffset>187325</wp:posOffset>
            </wp:positionV>
            <wp:extent cx="518795" cy="134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8795" cy="134620"/>
                    </a:xfrm>
                    <a:prstGeom prst="rect">
                      <a:avLst/>
                    </a:prstGeom>
                    <a:noFill/>
                  </pic:spPr>
                </pic:pic>
              </a:graphicData>
            </a:graphic>
          </wp:anchor>
        </w:drawing>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0400" w:type="dxa"/>
            <w:vAlign w:val="bottom"/>
          </w:tcPr>
          <w:p>
            <w:pPr>
              <w:ind w:left="8160"/>
              <w:spacing w:after="0"/>
              <w:rPr>
                <w:sz w:val="20"/>
                <w:szCs w:val="20"/>
                <w:color w:val="auto"/>
              </w:rPr>
            </w:pPr>
            <w:r>
              <w:rPr>
                <w:rFonts w:ascii="Calibri" w:cs="Calibri" w:eastAsia="Calibri" w:hAnsi="Calibri"/>
                <w:sz w:val="11"/>
                <w:szCs w:val="11"/>
                <w:color w:val="51555C"/>
              </w:rPr>
              <w:t>Second Quarter 2024 Form 10-Q</w:t>
            </w:r>
          </w:p>
        </w:tc>
        <w:tc>
          <w:tcPr>
            <w:tcW w:w="880" w:type="dxa"/>
            <w:vAlign w:val="bottom"/>
          </w:tcPr>
          <w:p>
            <w:pPr>
              <w:jc w:val="right"/>
              <w:spacing w:after="0"/>
              <w:rPr>
                <w:sz w:val="20"/>
                <w:szCs w:val="20"/>
                <w:color w:val="auto"/>
              </w:rPr>
            </w:pPr>
            <w:r>
              <w:rPr>
                <w:rFonts w:ascii="Calibri" w:cs="Calibri" w:eastAsia="Calibri" w:hAnsi="Calibri"/>
                <w:sz w:val="11"/>
                <w:szCs w:val="11"/>
                <w:color w:val="51555C"/>
              </w:rPr>
              <w:t>21</w:t>
            </w:r>
          </w:p>
        </w:tc>
      </w:tr>
      <w:tr>
        <w:trPr>
          <w:trHeight w:val="281"/>
        </w:trPr>
        <w:tc>
          <w:tcPr>
            <w:tcW w:w="104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22" w:name="page23"/>
    <w:bookmarkEnd w:id="22"/>
    <w:p>
      <w:pPr>
        <w:spacing w:after="0"/>
        <w:rPr>
          <w:sz w:val="20"/>
          <w:szCs w:val="20"/>
          <w:color w:val="auto"/>
        </w:rPr>
      </w:pPr>
      <w:r>
        <w:rPr>
          <w:rFonts w:ascii="Calibri" w:cs="Calibri" w:eastAsia="Calibri" w:hAnsi="Calibri"/>
          <w:sz w:val="11"/>
          <w:szCs w:val="11"/>
          <w:u w:val="single" w:color="auto"/>
          <w:color w:val="7A04DD"/>
        </w:rPr>
        <w:t>Table of Contents</w:t>
      </w:r>
    </w:p>
    <w:p>
      <w:pPr>
        <w:spacing w:after="0" w:line="196" w:lineRule="exact"/>
        <w:rPr>
          <w:sz w:val="20"/>
          <w:szCs w:val="20"/>
          <w:color w:val="auto"/>
        </w:rPr>
      </w:pPr>
    </w:p>
    <w:p>
      <w:pPr>
        <w:jc w:val="center"/>
        <w:ind w:right="20"/>
        <w:spacing w:after="0"/>
        <w:rPr>
          <w:sz w:val="20"/>
          <w:szCs w:val="20"/>
          <w:color w:val="auto"/>
        </w:rPr>
      </w:pPr>
      <w:r>
        <w:rPr>
          <w:rFonts w:ascii="Calibri" w:cs="Calibri" w:eastAsia="Calibri" w:hAnsi="Calibri"/>
          <w:sz w:val="14"/>
          <w:szCs w:val="14"/>
          <w:b w:val="1"/>
          <w:bCs w:val="1"/>
          <w:color w:val="51555C"/>
        </w:rPr>
        <w:t>Blackbaud, Inc.</w:t>
      </w:r>
    </w:p>
    <w:p>
      <w:pPr>
        <w:jc w:val="center"/>
        <w:ind w:right="20"/>
        <w:spacing w:after="0" w:line="238" w:lineRule="auto"/>
        <w:rPr>
          <w:sz w:val="20"/>
          <w:szCs w:val="20"/>
          <w:color w:val="auto"/>
        </w:rPr>
      </w:pPr>
      <w:r>
        <w:rPr>
          <w:rFonts w:ascii="Calibri" w:cs="Calibri" w:eastAsia="Calibri" w:hAnsi="Calibri"/>
          <w:sz w:val="14"/>
          <w:szCs w:val="14"/>
          <w:b w:val="1"/>
          <w:bCs w:val="1"/>
          <w:color w:val="51555C"/>
        </w:rPr>
        <w:t>Notes to Condensed Consolidated Financial Statements</w:t>
      </w:r>
    </w:p>
    <w:p>
      <w:pPr>
        <w:jc w:val="center"/>
        <w:ind w:right="20"/>
        <w:spacing w:after="0"/>
        <w:rPr>
          <w:sz w:val="20"/>
          <w:szCs w:val="20"/>
          <w:color w:val="auto"/>
        </w:rPr>
      </w:pPr>
      <w:r>
        <w:rPr>
          <w:rFonts w:ascii="Calibri" w:cs="Calibri" w:eastAsia="Calibri" w:hAnsi="Calibri"/>
          <w:sz w:val="14"/>
          <w:szCs w:val="14"/>
          <w:b w:val="1"/>
          <w:bCs w:val="1"/>
          <w:color w:val="51555C"/>
        </w:rPr>
        <w:t>(Unaudited)</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Calibri" w:cs="Calibri" w:eastAsia="Calibri" w:hAnsi="Calibri"/>
          <w:sz w:val="14"/>
          <w:szCs w:val="14"/>
          <w:color w:val="51555C"/>
        </w:rPr>
        <w:t>On September 24, 2021, we received notce from the Spanish Data Protecton Authority that it has concluded its investgaton of the Security Incident.</w:t>
      </w:r>
    </w:p>
    <w:p>
      <w:pPr>
        <w:spacing w:after="0" w:line="126" w:lineRule="exact"/>
        <w:rPr>
          <w:sz w:val="20"/>
          <w:szCs w:val="20"/>
          <w:color w:val="auto"/>
        </w:rPr>
      </w:pPr>
    </w:p>
    <w:p>
      <w:pPr>
        <w:spacing w:after="0"/>
        <w:rPr>
          <w:sz w:val="20"/>
          <w:szCs w:val="20"/>
          <w:color w:val="auto"/>
        </w:rPr>
      </w:pPr>
      <w:r>
        <w:rPr>
          <w:rFonts w:ascii="Calibri" w:cs="Calibri" w:eastAsia="Calibri" w:hAnsi="Calibri"/>
          <w:sz w:val="14"/>
          <w:szCs w:val="14"/>
          <w:color w:val="51555C"/>
        </w:rPr>
        <w:t>On January 15, 2021, we were notfed by the Data Protecton Commission of Ireland that it has concluded its investgaton of the Security Incident.</w:t>
      </w:r>
    </w:p>
    <w:p>
      <w:pPr>
        <w:spacing w:after="0" w:line="129" w:lineRule="exact"/>
        <w:rPr>
          <w:sz w:val="20"/>
          <w:szCs w:val="20"/>
          <w:color w:val="auto"/>
        </w:rPr>
      </w:pPr>
    </w:p>
    <w:p>
      <w:pPr>
        <w:jc w:val="both"/>
        <w:ind w:right="20"/>
        <w:spacing w:after="0" w:line="237" w:lineRule="auto"/>
        <w:rPr>
          <w:sz w:val="20"/>
          <w:szCs w:val="20"/>
          <w:color w:val="auto"/>
        </w:rPr>
      </w:pPr>
      <w:r>
        <w:rPr>
          <w:rFonts w:ascii="Calibri" w:cs="Calibri" w:eastAsia="Calibri" w:hAnsi="Calibri"/>
          <w:sz w:val="14"/>
          <w:szCs w:val="14"/>
          <w:color w:val="51555C"/>
        </w:rPr>
        <w:t>For more informaton about these completed government investgatons and related actons, see Note 11 to our audited consolidated fnancial statements contained in our Annual Report on Form 10-K fled with the SEC on February 21, 2024.</w:t>
      </w:r>
    </w:p>
    <w:p>
      <w:pPr>
        <w:spacing w:after="0" w:line="129" w:lineRule="exact"/>
        <w:rPr>
          <w:sz w:val="20"/>
          <w:szCs w:val="20"/>
          <w:color w:val="auto"/>
        </w:rPr>
      </w:pPr>
    </w:p>
    <w:p>
      <w:pPr>
        <w:jc w:val="both"/>
        <w:ind w:right="20"/>
        <w:spacing w:after="0" w:line="237" w:lineRule="auto"/>
        <w:rPr>
          <w:sz w:val="20"/>
          <w:szCs w:val="20"/>
          <w:color w:val="auto"/>
        </w:rPr>
      </w:pPr>
      <w:r>
        <w:rPr>
          <w:rFonts w:ascii="Calibri" w:cs="Calibri" w:eastAsia="Calibri" w:hAnsi="Calibri"/>
          <w:sz w:val="14"/>
          <w:szCs w:val="14"/>
          <w:color w:val="51555C"/>
        </w:rPr>
        <w:t>We contnue to cooperate with all ongoing investgatons, which include various requests for documents, policies, narratves and communicatons, as well as requests to interview or depose various Company-related personnel. As noted above, each of these separate governmental investgatons could result in adverse judgments, setlements, fnes, penaltes or other resoluton, the amount, scope and tming of which we are currently unable to predict, but could have a material adverse impact on our results of operatons, cash fows or fnancial conditon.</w:t>
      </w:r>
    </w:p>
    <w:p>
      <w:pPr>
        <w:spacing w:after="0" w:line="205" w:lineRule="exact"/>
        <w:rPr>
          <w:sz w:val="20"/>
          <w:szCs w:val="20"/>
          <w:color w:val="auto"/>
        </w:rPr>
      </w:pPr>
    </w:p>
    <w:p>
      <w:pPr>
        <w:ind w:left="20"/>
        <w:spacing w:after="0"/>
        <w:rPr>
          <w:sz w:val="20"/>
          <w:szCs w:val="20"/>
          <w:color w:val="auto"/>
        </w:rPr>
      </w:pPr>
      <w:r>
        <w:rPr>
          <w:rFonts w:ascii="Calibri" w:cs="Calibri" w:eastAsia="Calibri" w:hAnsi="Calibri"/>
          <w:sz w:val="17"/>
          <w:szCs w:val="17"/>
          <w:b w:val="1"/>
          <w:bCs w:val="1"/>
          <w:color w:val="006880"/>
        </w:rPr>
        <w:t>10.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27305</wp:posOffset>
            </wp:positionV>
            <wp:extent cx="7161530" cy="69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Calibri" w:cs="Calibri" w:eastAsia="Calibri" w:hAnsi="Calibri"/>
          <w:sz w:val="14"/>
          <w:szCs w:val="14"/>
          <w:color w:val="51555C"/>
        </w:rPr>
        <w:t>Our income tax provision (beneft) and efectve income tax rates, including the efects of period-specifc events, were:</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5360" w:type="dxa"/>
            <w:vAlign w:val="bottom"/>
            <w:shd w:val="clear" w:color="auto" w:fill="004054"/>
          </w:tcPr>
          <w:p>
            <w:pPr>
              <w:spacing w:after="0"/>
              <w:rPr>
                <w:sz w:val="12"/>
                <w:szCs w:val="12"/>
                <w:color w:val="auto"/>
              </w:rPr>
            </w:pPr>
          </w:p>
        </w:tc>
        <w:tc>
          <w:tcPr>
            <w:tcW w:w="540" w:type="dxa"/>
            <w:vAlign w:val="bottom"/>
            <w:shd w:val="clear" w:color="auto" w:fill="004054"/>
          </w:tcPr>
          <w:p>
            <w:pPr>
              <w:spacing w:after="0"/>
              <w:rPr>
                <w:sz w:val="12"/>
                <w:szCs w:val="12"/>
                <w:color w:val="auto"/>
              </w:rPr>
            </w:pPr>
          </w:p>
        </w:tc>
        <w:tc>
          <w:tcPr>
            <w:tcW w:w="900" w:type="dxa"/>
            <w:vAlign w:val="bottom"/>
            <w:shd w:val="clear" w:color="auto" w:fill="004054"/>
          </w:tcPr>
          <w:p>
            <w:pPr>
              <w:spacing w:after="0"/>
              <w:rPr>
                <w:sz w:val="12"/>
                <w:szCs w:val="12"/>
                <w:color w:val="auto"/>
              </w:rPr>
            </w:pPr>
          </w:p>
        </w:tc>
        <w:tc>
          <w:tcPr>
            <w:tcW w:w="280" w:type="dxa"/>
            <w:vAlign w:val="bottom"/>
            <w:shd w:val="clear" w:color="auto" w:fill="004054"/>
          </w:tcPr>
          <w:p>
            <w:pPr>
              <w:spacing w:after="0"/>
              <w:rPr>
                <w:sz w:val="12"/>
                <w:szCs w:val="12"/>
                <w:color w:val="auto"/>
              </w:rPr>
            </w:pPr>
          </w:p>
        </w:tc>
        <w:tc>
          <w:tcPr>
            <w:tcW w:w="1200" w:type="dxa"/>
            <w:vAlign w:val="bottom"/>
            <w:tcBorders>
              <w:right w:val="single" w:sz="8" w:color="004054"/>
            </w:tcBorders>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Three months ended</w:t>
            </w:r>
          </w:p>
        </w:tc>
        <w:tc>
          <w:tcPr>
            <w:tcW w:w="80" w:type="dxa"/>
            <w:vAlign w:val="bottom"/>
          </w:tcPr>
          <w:p>
            <w:pPr>
              <w:spacing w:after="0"/>
              <w:rPr>
                <w:sz w:val="12"/>
                <w:szCs w:val="12"/>
                <w:color w:val="auto"/>
              </w:rPr>
            </w:pPr>
          </w:p>
        </w:tc>
        <w:tc>
          <w:tcPr>
            <w:tcW w:w="540" w:type="dxa"/>
            <w:vAlign w:val="bottom"/>
            <w:shd w:val="clear" w:color="auto" w:fill="004054"/>
          </w:tcPr>
          <w:p>
            <w:pPr>
              <w:spacing w:after="0"/>
              <w:rPr>
                <w:sz w:val="12"/>
                <w:szCs w:val="12"/>
                <w:color w:val="auto"/>
              </w:rPr>
            </w:pPr>
          </w:p>
        </w:tc>
        <w:tc>
          <w:tcPr>
            <w:tcW w:w="920" w:type="dxa"/>
            <w:vAlign w:val="bottom"/>
            <w:shd w:val="clear" w:color="auto" w:fill="004054"/>
          </w:tcPr>
          <w:p>
            <w:pPr>
              <w:spacing w:after="0"/>
              <w:rPr>
                <w:sz w:val="12"/>
                <w:szCs w:val="12"/>
                <w:color w:val="auto"/>
              </w:rPr>
            </w:pPr>
          </w:p>
        </w:tc>
        <w:tc>
          <w:tcPr>
            <w:tcW w:w="340" w:type="dxa"/>
            <w:vAlign w:val="bottom"/>
            <w:shd w:val="clear" w:color="auto" w:fill="004054"/>
          </w:tcPr>
          <w:p>
            <w:pPr>
              <w:spacing w:after="0"/>
              <w:rPr>
                <w:sz w:val="12"/>
                <w:szCs w:val="12"/>
                <w:color w:val="auto"/>
              </w:rPr>
            </w:pPr>
          </w:p>
        </w:tc>
        <w:tc>
          <w:tcPr>
            <w:tcW w:w="112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Six months ended</w:t>
            </w:r>
          </w:p>
        </w:tc>
        <w:tc>
          <w:tcPr>
            <w:tcW w:w="20" w:type="dxa"/>
            <w:vAlign w:val="bottom"/>
            <w:shd w:val="clear" w:color="auto" w:fill="004054"/>
          </w:tcPr>
          <w:p>
            <w:pPr>
              <w:spacing w:after="0"/>
              <w:rPr>
                <w:sz w:val="12"/>
                <w:szCs w:val="12"/>
                <w:color w:val="auto"/>
              </w:rPr>
            </w:pPr>
          </w:p>
        </w:tc>
      </w:tr>
      <w:tr>
        <w:trPr>
          <w:trHeight w:val="135"/>
        </w:trPr>
        <w:tc>
          <w:tcPr>
            <w:tcW w:w="5360" w:type="dxa"/>
            <w:vAlign w:val="bottom"/>
            <w:shd w:val="clear" w:color="auto" w:fill="004054"/>
          </w:tcPr>
          <w:p>
            <w:pPr>
              <w:spacing w:after="0"/>
              <w:rPr>
                <w:sz w:val="11"/>
                <w:szCs w:val="11"/>
                <w:color w:val="auto"/>
              </w:rPr>
            </w:pPr>
          </w:p>
        </w:tc>
        <w:tc>
          <w:tcPr>
            <w:tcW w:w="540" w:type="dxa"/>
            <w:vAlign w:val="bottom"/>
            <w:shd w:val="clear" w:color="auto" w:fill="004054"/>
          </w:tcPr>
          <w:p>
            <w:pPr>
              <w:spacing w:after="0"/>
              <w:rPr>
                <w:sz w:val="11"/>
                <w:szCs w:val="11"/>
                <w:color w:val="auto"/>
              </w:rPr>
            </w:pPr>
          </w:p>
        </w:tc>
        <w:tc>
          <w:tcPr>
            <w:tcW w:w="900" w:type="dxa"/>
            <w:vAlign w:val="bottom"/>
            <w:shd w:val="clear" w:color="auto" w:fill="004054"/>
          </w:tcPr>
          <w:p>
            <w:pPr>
              <w:spacing w:after="0"/>
              <w:rPr>
                <w:sz w:val="11"/>
                <w:szCs w:val="11"/>
                <w:color w:val="auto"/>
              </w:rPr>
            </w:pPr>
          </w:p>
        </w:tc>
        <w:tc>
          <w:tcPr>
            <w:tcW w:w="280" w:type="dxa"/>
            <w:vAlign w:val="bottom"/>
            <w:shd w:val="clear" w:color="auto" w:fill="004054"/>
          </w:tcPr>
          <w:p>
            <w:pPr>
              <w:spacing w:after="0"/>
              <w:rPr>
                <w:sz w:val="11"/>
                <w:szCs w:val="11"/>
                <w:color w:val="auto"/>
              </w:rPr>
            </w:pPr>
          </w:p>
        </w:tc>
        <w:tc>
          <w:tcPr>
            <w:tcW w:w="1200" w:type="dxa"/>
            <w:vAlign w:val="bottom"/>
            <w:tcBorders>
              <w:right w:val="single" w:sz="8" w:color="004054"/>
            </w:tcBorders>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June 30,</w:t>
            </w:r>
          </w:p>
        </w:tc>
        <w:tc>
          <w:tcPr>
            <w:tcW w:w="80" w:type="dxa"/>
            <w:vAlign w:val="bottom"/>
          </w:tcPr>
          <w:p>
            <w:pPr>
              <w:spacing w:after="0"/>
              <w:rPr>
                <w:sz w:val="11"/>
                <w:szCs w:val="11"/>
                <w:color w:val="auto"/>
              </w:rPr>
            </w:pPr>
          </w:p>
        </w:tc>
        <w:tc>
          <w:tcPr>
            <w:tcW w:w="540" w:type="dxa"/>
            <w:vAlign w:val="bottom"/>
            <w:shd w:val="clear" w:color="auto" w:fill="004054"/>
          </w:tcPr>
          <w:p>
            <w:pPr>
              <w:spacing w:after="0"/>
              <w:rPr>
                <w:sz w:val="11"/>
                <w:szCs w:val="11"/>
                <w:color w:val="auto"/>
              </w:rPr>
            </w:pPr>
          </w:p>
        </w:tc>
        <w:tc>
          <w:tcPr>
            <w:tcW w:w="920" w:type="dxa"/>
            <w:vAlign w:val="bottom"/>
            <w:shd w:val="clear" w:color="auto" w:fill="004054"/>
          </w:tcPr>
          <w:p>
            <w:pPr>
              <w:spacing w:after="0"/>
              <w:rPr>
                <w:sz w:val="11"/>
                <w:szCs w:val="11"/>
                <w:color w:val="auto"/>
              </w:rPr>
            </w:pPr>
          </w:p>
        </w:tc>
        <w:tc>
          <w:tcPr>
            <w:tcW w:w="340" w:type="dxa"/>
            <w:vAlign w:val="bottom"/>
            <w:shd w:val="clear" w:color="auto" w:fill="004054"/>
          </w:tcPr>
          <w:p>
            <w:pPr>
              <w:spacing w:after="0"/>
              <w:rPr>
                <w:sz w:val="11"/>
                <w:szCs w:val="11"/>
                <w:color w:val="auto"/>
              </w:rPr>
            </w:pPr>
          </w:p>
        </w:tc>
        <w:tc>
          <w:tcPr>
            <w:tcW w:w="112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June 30,</w:t>
            </w:r>
          </w:p>
        </w:tc>
        <w:tc>
          <w:tcPr>
            <w:tcW w:w="20" w:type="dxa"/>
            <w:vAlign w:val="bottom"/>
            <w:shd w:val="clear" w:color="auto" w:fill="004054"/>
          </w:tcPr>
          <w:p>
            <w:pPr>
              <w:spacing w:after="0"/>
              <w:rPr>
                <w:sz w:val="11"/>
                <w:szCs w:val="11"/>
                <w:color w:val="auto"/>
              </w:rPr>
            </w:pPr>
          </w:p>
        </w:tc>
      </w:tr>
      <w:tr>
        <w:trPr>
          <w:trHeight w:val="191"/>
        </w:trPr>
        <w:tc>
          <w:tcPr>
            <w:tcW w:w="5360" w:type="dxa"/>
            <w:vAlign w:val="bottom"/>
            <w:shd w:val="clear" w:color="auto" w:fill="004054"/>
          </w:tcPr>
          <w:p>
            <w:pPr>
              <w:ind w:left="20"/>
              <w:spacing w:after="0"/>
              <w:rPr>
                <w:sz w:val="20"/>
                <w:szCs w:val="20"/>
                <w:color w:val="auto"/>
              </w:rPr>
            </w:pPr>
            <w:r>
              <w:rPr>
                <w:rFonts w:ascii="Calibri" w:cs="Calibri" w:eastAsia="Calibri" w:hAnsi="Calibri"/>
                <w:sz w:val="11"/>
                <w:szCs w:val="11"/>
                <w:b w:val="1"/>
                <w:bCs w:val="1"/>
                <w:color w:val="FFFFFF"/>
              </w:rPr>
              <w:t>(dollars in thousands)</w:t>
            </w:r>
          </w:p>
        </w:tc>
        <w:tc>
          <w:tcPr>
            <w:tcW w:w="540" w:type="dxa"/>
            <w:vAlign w:val="bottom"/>
            <w:shd w:val="clear" w:color="auto" w:fill="004054"/>
          </w:tcPr>
          <w:p>
            <w:pPr>
              <w:spacing w:after="0"/>
              <w:rPr>
                <w:sz w:val="16"/>
                <w:szCs w:val="16"/>
                <w:color w:val="auto"/>
              </w:rPr>
            </w:pPr>
          </w:p>
        </w:tc>
        <w:tc>
          <w:tcPr>
            <w:tcW w:w="90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2024</w:t>
            </w:r>
          </w:p>
        </w:tc>
        <w:tc>
          <w:tcPr>
            <w:tcW w:w="280" w:type="dxa"/>
            <w:vAlign w:val="bottom"/>
            <w:shd w:val="clear" w:color="auto" w:fill="004054"/>
          </w:tcPr>
          <w:p>
            <w:pPr>
              <w:spacing w:after="0"/>
              <w:rPr>
                <w:sz w:val="16"/>
                <w:szCs w:val="16"/>
                <w:color w:val="auto"/>
              </w:rPr>
            </w:pPr>
          </w:p>
        </w:tc>
        <w:tc>
          <w:tcPr>
            <w:tcW w:w="1200" w:type="dxa"/>
            <w:vAlign w:val="bottom"/>
            <w:tcBorders>
              <w:right w:val="single" w:sz="8" w:color="004054"/>
            </w:tcBorders>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2023</w:t>
            </w:r>
          </w:p>
        </w:tc>
        <w:tc>
          <w:tcPr>
            <w:tcW w:w="80" w:type="dxa"/>
            <w:vAlign w:val="bottom"/>
          </w:tcPr>
          <w:p>
            <w:pPr>
              <w:spacing w:after="0"/>
              <w:rPr>
                <w:sz w:val="16"/>
                <w:szCs w:val="16"/>
                <w:color w:val="auto"/>
              </w:rPr>
            </w:pPr>
          </w:p>
        </w:tc>
        <w:tc>
          <w:tcPr>
            <w:tcW w:w="540" w:type="dxa"/>
            <w:vAlign w:val="bottom"/>
            <w:shd w:val="clear" w:color="auto" w:fill="004054"/>
          </w:tcPr>
          <w:p>
            <w:pPr>
              <w:spacing w:after="0"/>
              <w:rPr>
                <w:sz w:val="16"/>
                <w:szCs w:val="16"/>
                <w:color w:val="auto"/>
              </w:rPr>
            </w:pPr>
          </w:p>
        </w:tc>
        <w:tc>
          <w:tcPr>
            <w:tcW w:w="92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2024</w:t>
            </w:r>
          </w:p>
        </w:tc>
        <w:tc>
          <w:tcPr>
            <w:tcW w:w="340" w:type="dxa"/>
            <w:vAlign w:val="bottom"/>
            <w:shd w:val="clear" w:color="auto" w:fill="004054"/>
          </w:tcPr>
          <w:p>
            <w:pPr>
              <w:spacing w:after="0"/>
              <w:rPr>
                <w:sz w:val="16"/>
                <w:szCs w:val="16"/>
                <w:color w:val="auto"/>
              </w:rPr>
            </w:pPr>
          </w:p>
        </w:tc>
        <w:tc>
          <w:tcPr>
            <w:tcW w:w="112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2023</w:t>
            </w:r>
          </w:p>
        </w:tc>
        <w:tc>
          <w:tcPr>
            <w:tcW w:w="20" w:type="dxa"/>
            <w:vAlign w:val="bottom"/>
            <w:shd w:val="clear" w:color="auto" w:fill="004054"/>
          </w:tcPr>
          <w:p>
            <w:pPr>
              <w:spacing w:after="0"/>
              <w:rPr>
                <w:sz w:val="16"/>
                <w:szCs w:val="16"/>
                <w:color w:val="auto"/>
              </w:rPr>
            </w:pPr>
          </w:p>
        </w:tc>
      </w:tr>
      <w:tr>
        <w:trPr>
          <w:trHeight w:val="46"/>
        </w:trPr>
        <w:tc>
          <w:tcPr>
            <w:tcW w:w="5360" w:type="dxa"/>
            <w:vAlign w:val="bottom"/>
            <w:tcBorders>
              <w:bottom w:val="single" w:sz="8" w:color="004054"/>
            </w:tcBorders>
            <w:shd w:val="clear" w:color="auto" w:fill="004054"/>
          </w:tcPr>
          <w:p>
            <w:pPr>
              <w:spacing w:after="0"/>
              <w:rPr>
                <w:sz w:val="4"/>
                <w:szCs w:val="4"/>
                <w:color w:val="auto"/>
              </w:rPr>
            </w:pPr>
          </w:p>
        </w:tc>
        <w:tc>
          <w:tcPr>
            <w:tcW w:w="540" w:type="dxa"/>
            <w:vAlign w:val="bottom"/>
            <w:tcBorders>
              <w:bottom w:val="single" w:sz="8" w:color="004054"/>
            </w:tcBorders>
            <w:shd w:val="clear" w:color="auto" w:fill="004054"/>
          </w:tcPr>
          <w:p>
            <w:pPr>
              <w:spacing w:after="0"/>
              <w:rPr>
                <w:sz w:val="4"/>
                <w:szCs w:val="4"/>
                <w:color w:val="auto"/>
              </w:rPr>
            </w:pPr>
          </w:p>
        </w:tc>
        <w:tc>
          <w:tcPr>
            <w:tcW w:w="900" w:type="dxa"/>
            <w:vAlign w:val="bottom"/>
            <w:tcBorders>
              <w:bottom w:val="single" w:sz="8" w:color="004054"/>
            </w:tcBorders>
            <w:shd w:val="clear" w:color="auto" w:fill="004054"/>
          </w:tcPr>
          <w:p>
            <w:pPr>
              <w:spacing w:after="0"/>
              <w:rPr>
                <w:sz w:val="4"/>
                <w:szCs w:val="4"/>
                <w:color w:val="auto"/>
              </w:rPr>
            </w:pPr>
          </w:p>
        </w:tc>
        <w:tc>
          <w:tcPr>
            <w:tcW w:w="280" w:type="dxa"/>
            <w:vAlign w:val="bottom"/>
            <w:tcBorders>
              <w:bottom w:val="single" w:sz="8" w:color="004054"/>
            </w:tcBorders>
            <w:shd w:val="clear" w:color="auto" w:fill="004054"/>
          </w:tcPr>
          <w:p>
            <w:pPr>
              <w:spacing w:after="0"/>
              <w:rPr>
                <w:sz w:val="4"/>
                <w:szCs w:val="4"/>
                <w:color w:val="auto"/>
              </w:rPr>
            </w:pPr>
          </w:p>
        </w:tc>
        <w:tc>
          <w:tcPr>
            <w:tcW w:w="1200" w:type="dxa"/>
            <w:vAlign w:val="bottom"/>
            <w:tcBorders>
              <w:bottom w:val="single" w:sz="8" w:color="004054"/>
              <w:right w:val="single" w:sz="8" w:color="004054"/>
            </w:tcBorders>
            <w:shd w:val="clear" w:color="auto" w:fill="004054"/>
          </w:tcPr>
          <w:p>
            <w:pPr>
              <w:spacing w:after="0"/>
              <w:rPr>
                <w:sz w:val="4"/>
                <w:szCs w:val="4"/>
                <w:color w:val="auto"/>
              </w:rPr>
            </w:pPr>
          </w:p>
        </w:tc>
        <w:tc>
          <w:tcPr>
            <w:tcW w:w="80" w:type="dxa"/>
            <w:vAlign w:val="bottom"/>
            <w:tcBorders>
              <w:bottom w:val="single" w:sz="8" w:color="EBFBFF"/>
            </w:tcBorders>
          </w:tcPr>
          <w:p>
            <w:pPr>
              <w:spacing w:after="0"/>
              <w:rPr>
                <w:sz w:val="4"/>
                <w:szCs w:val="4"/>
                <w:color w:val="auto"/>
              </w:rPr>
            </w:pPr>
          </w:p>
        </w:tc>
        <w:tc>
          <w:tcPr>
            <w:tcW w:w="540" w:type="dxa"/>
            <w:vAlign w:val="bottom"/>
            <w:tcBorders>
              <w:bottom w:val="single" w:sz="8" w:color="004054"/>
            </w:tcBorders>
            <w:shd w:val="clear" w:color="auto" w:fill="004054"/>
          </w:tcPr>
          <w:p>
            <w:pPr>
              <w:spacing w:after="0"/>
              <w:rPr>
                <w:sz w:val="4"/>
                <w:szCs w:val="4"/>
                <w:color w:val="auto"/>
              </w:rPr>
            </w:pPr>
          </w:p>
        </w:tc>
        <w:tc>
          <w:tcPr>
            <w:tcW w:w="920" w:type="dxa"/>
            <w:vAlign w:val="bottom"/>
            <w:tcBorders>
              <w:bottom w:val="single" w:sz="8" w:color="004054"/>
            </w:tcBorders>
            <w:shd w:val="clear" w:color="auto" w:fill="004054"/>
          </w:tcPr>
          <w:p>
            <w:pPr>
              <w:spacing w:after="0"/>
              <w:rPr>
                <w:sz w:val="4"/>
                <w:szCs w:val="4"/>
                <w:color w:val="auto"/>
              </w:rPr>
            </w:pPr>
          </w:p>
        </w:tc>
        <w:tc>
          <w:tcPr>
            <w:tcW w:w="340" w:type="dxa"/>
            <w:vAlign w:val="bottom"/>
            <w:tcBorders>
              <w:bottom w:val="single" w:sz="8" w:color="004054"/>
            </w:tcBorders>
            <w:shd w:val="clear" w:color="auto" w:fill="004054"/>
          </w:tcPr>
          <w:p>
            <w:pPr>
              <w:spacing w:after="0"/>
              <w:rPr>
                <w:sz w:val="4"/>
                <w:szCs w:val="4"/>
                <w:color w:val="auto"/>
              </w:rPr>
            </w:pPr>
          </w:p>
        </w:tc>
        <w:tc>
          <w:tcPr>
            <w:tcW w:w="1120" w:type="dxa"/>
            <w:vAlign w:val="bottom"/>
            <w:tcBorders>
              <w:bottom w:val="single" w:sz="8" w:color="004054"/>
            </w:tcBorders>
            <w:shd w:val="clear" w:color="auto" w:fill="004054"/>
          </w:tcPr>
          <w:p>
            <w:pPr>
              <w:spacing w:after="0"/>
              <w:rPr>
                <w:sz w:val="4"/>
                <w:szCs w:val="4"/>
                <w:color w:val="auto"/>
              </w:rPr>
            </w:pPr>
          </w:p>
        </w:tc>
        <w:tc>
          <w:tcPr>
            <w:tcW w:w="20" w:type="dxa"/>
            <w:vAlign w:val="bottom"/>
            <w:tcBorders>
              <w:bottom w:val="single" w:sz="8" w:color="004054"/>
            </w:tcBorders>
            <w:shd w:val="clear" w:color="auto" w:fill="004054"/>
          </w:tcPr>
          <w:p>
            <w:pPr>
              <w:spacing w:after="0"/>
              <w:rPr>
                <w:sz w:val="4"/>
                <w:szCs w:val="4"/>
                <w:color w:val="auto"/>
              </w:rPr>
            </w:pPr>
          </w:p>
        </w:tc>
      </w:tr>
      <w:tr>
        <w:trPr>
          <w:trHeight w:val="183"/>
        </w:trPr>
        <w:tc>
          <w:tcPr>
            <w:tcW w:w="5360" w:type="dxa"/>
            <w:vAlign w:val="bottom"/>
            <w:tcBorders>
              <w:bottom w:val="single" w:sz="8" w:color="EBFBFF"/>
            </w:tcBorders>
            <w:shd w:val="clear" w:color="auto" w:fill="EBFBFF"/>
          </w:tcPr>
          <w:p>
            <w:pPr>
              <w:ind w:left="20"/>
              <w:spacing w:after="0" w:line="163" w:lineRule="exact"/>
              <w:rPr>
                <w:sz w:val="20"/>
                <w:szCs w:val="20"/>
                <w:color w:val="auto"/>
              </w:rPr>
            </w:pPr>
            <w:r>
              <w:rPr>
                <w:rFonts w:ascii="Calibri" w:cs="Calibri" w:eastAsia="Calibri" w:hAnsi="Calibri"/>
                <w:sz w:val="14"/>
                <w:szCs w:val="14"/>
                <w:color w:val="51555C"/>
              </w:rPr>
              <w:t>Income tax provision (beneft)</w:t>
            </w:r>
          </w:p>
        </w:tc>
        <w:tc>
          <w:tcPr>
            <w:tcW w:w="540" w:type="dxa"/>
            <w:vAlign w:val="bottom"/>
            <w:tcBorders>
              <w:bottom w:val="single" w:sz="8" w:color="EBFBFF"/>
            </w:tcBorders>
            <w:shd w:val="clear" w:color="auto" w:fill="EBFBFF"/>
          </w:tcPr>
          <w:p>
            <w:pPr>
              <w:jc w:val="right"/>
              <w:ind w:right="389"/>
              <w:spacing w:after="0" w:line="163" w:lineRule="exact"/>
              <w:rPr>
                <w:sz w:val="20"/>
                <w:szCs w:val="20"/>
                <w:color w:val="auto"/>
              </w:rPr>
            </w:pPr>
            <w:r>
              <w:rPr>
                <w:rFonts w:ascii="Calibri" w:cs="Calibri" w:eastAsia="Calibri" w:hAnsi="Calibri"/>
                <w:sz w:val="14"/>
                <w:szCs w:val="14"/>
                <w:color w:val="51555C"/>
                <w:w w:val="83"/>
              </w:rPr>
              <w:t>$</w:t>
            </w:r>
          </w:p>
        </w:tc>
        <w:tc>
          <w:tcPr>
            <w:tcW w:w="900" w:type="dxa"/>
            <w:vAlign w:val="bottom"/>
            <w:tcBorders>
              <w:bottom w:val="single" w:sz="8" w:color="EBFBFF"/>
            </w:tcBorders>
            <w:shd w:val="clear" w:color="auto" w:fill="EBFBFF"/>
          </w:tcPr>
          <w:p>
            <w:pPr>
              <w:jc w:val="right"/>
              <w:ind w:right="74"/>
              <w:spacing w:after="0" w:line="163" w:lineRule="exact"/>
              <w:rPr>
                <w:sz w:val="20"/>
                <w:szCs w:val="20"/>
                <w:color w:val="auto"/>
              </w:rPr>
            </w:pPr>
            <w:r>
              <w:rPr>
                <w:rFonts w:ascii="Calibri" w:cs="Calibri" w:eastAsia="Calibri" w:hAnsi="Calibri"/>
                <w:sz w:val="14"/>
                <w:szCs w:val="14"/>
                <w:color w:val="51555C"/>
              </w:rPr>
              <w:t>7,883</w:t>
            </w:r>
          </w:p>
        </w:tc>
        <w:tc>
          <w:tcPr>
            <w:tcW w:w="280" w:type="dxa"/>
            <w:vAlign w:val="bottom"/>
            <w:tcBorders>
              <w:bottom w:val="single" w:sz="8" w:color="EBFBFF"/>
            </w:tcBorders>
            <w:shd w:val="clear" w:color="auto" w:fill="EBFBFF"/>
          </w:tcPr>
          <w:p>
            <w:pPr>
              <w:jc w:val="right"/>
              <w:ind w:right="109"/>
              <w:spacing w:after="0" w:line="163" w:lineRule="exact"/>
              <w:rPr>
                <w:sz w:val="20"/>
                <w:szCs w:val="20"/>
                <w:color w:val="auto"/>
              </w:rPr>
            </w:pPr>
            <w:r>
              <w:rPr>
                <w:rFonts w:ascii="Calibri" w:cs="Calibri" w:eastAsia="Calibri" w:hAnsi="Calibri"/>
                <w:sz w:val="14"/>
                <w:szCs w:val="14"/>
                <w:color w:val="51555C"/>
              </w:rPr>
              <w:t>$</w:t>
            </w:r>
          </w:p>
        </w:tc>
        <w:tc>
          <w:tcPr>
            <w:tcW w:w="1200" w:type="dxa"/>
            <w:vAlign w:val="bottom"/>
            <w:tcBorders>
              <w:bottom w:val="single" w:sz="8" w:color="EBFBFF"/>
              <w:right w:val="single" w:sz="8" w:color="EBFBFF"/>
            </w:tcBorders>
            <w:shd w:val="clear" w:color="auto" w:fill="EBFBFF"/>
          </w:tcPr>
          <w:p>
            <w:pPr>
              <w:jc w:val="right"/>
              <w:ind w:right="58"/>
              <w:spacing w:after="0" w:line="163" w:lineRule="exact"/>
              <w:rPr>
                <w:sz w:val="20"/>
                <w:szCs w:val="20"/>
                <w:color w:val="auto"/>
              </w:rPr>
            </w:pPr>
            <w:r>
              <w:rPr>
                <w:rFonts w:ascii="Calibri" w:cs="Calibri" w:eastAsia="Calibri" w:hAnsi="Calibri"/>
                <w:sz w:val="14"/>
                <w:szCs w:val="14"/>
                <w:color w:val="51555C"/>
              </w:rPr>
              <w:t>(10,200)</w:t>
            </w:r>
          </w:p>
        </w:tc>
        <w:tc>
          <w:tcPr>
            <w:tcW w:w="620" w:type="dxa"/>
            <w:vAlign w:val="bottom"/>
            <w:tcBorders>
              <w:bottom w:val="single" w:sz="8" w:color="EBFBFF"/>
            </w:tcBorders>
            <w:gridSpan w:val="2"/>
            <w:shd w:val="clear" w:color="auto" w:fill="EBFBFF"/>
          </w:tcPr>
          <w:p>
            <w:pPr>
              <w:jc w:val="right"/>
              <w:ind w:right="440"/>
              <w:spacing w:after="0" w:line="163" w:lineRule="exact"/>
              <w:rPr>
                <w:sz w:val="20"/>
                <w:szCs w:val="20"/>
                <w:color w:val="auto"/>
              </w:rPr>
            </w:pPr>
            <w:r>
              <w:rPr>
                <w:rFonts w:ascii="Calibri" w:cs="Calibri" w:eastAsia="Calibri" w:hAnsi="Calibri"/>
                <w:sz w:val="14"/>
                <w:szCs w:val="14"/>
                <w:color w:val="51555C"/>
              </w:rPr>
              <w:t>$</w:t>
            </w:r>
          </w:p>
        </w:tc>
        <w:tc>
          <w:tcPr>
            <w:tcW w:w="920" w:type="dxa"/>
            <w:vAlign w:val="bottom"/>
            <w:tcBorders>
              <w:bottom w:val="single" w:sz="8" w:color="EBFBFF"/>
            </w:tcBorders>
            <w:shd w:val="clear" w:color="auto" w:fill="EBFBFF"/>
          </w:tcPr>
          <w:p>
            <w:pPr>
              <w:jc w:val="right"/>
              <w:ind w:right="74"/>
              <w:spacing w:after="0" w:line="163" w:lineRule="exact"/>
              <w:rPr>
                <w:sz w:val="20"/>
                <w:szCs w:val="20"/>
                <w:color w:val="auto"/>
              </w:rPr>
            </w:pPr>
            <w:r>
              <w:rPr>
                <w:rFonts w:ascii="Calibri" w:cs="Calibri" w:eastAsia="Calibri" w:hAnsi="Calibri"/>
                <w:sz w:val="14"/>
                <w:szCs w:val="14"/>
                <w:color w:val="51555C"/>
              </w:rPr>
              <w:t>6,427</w:t>
            </w:r>
          </w:p>
        </w:tc>
        <w:tc>
          <w:tcPr>
            <w:tcW w:w="340" w:type="dxa"/>
            <w:vAlign w:val="bottom"/>
            <w:tcBorders>
              <w:bottom w:val="single" w:sz="8" w:color="EBFBFF"/>
            </w:tcBorders>
            <w:shd w:val="clear" w:color="auto" w:fill="EBFBFF"/>
          </w:tcPr>
          <w:p>
            <w:pPr>
              <w:jc w:val="right"/>
              <w:ind w:right="189"/>
              <w:spacing w:after="0" w:line="163" w:lineRule="exact"/>
              <w:rPr>
                <w:sz w:val="20"/>
                <w:szCs w:val="20"/>
                <w:color w:val="auto"/>
              </w:rPr>
            </w:pPr>
            <w:r>
              <w:rPr>
                <w:rFonts w:ascii="Calibri" w:cs="Calibri" w:eastAsia="Calibri" w:hAnsi="Calibri"/>
                <w:sz w:val="14"/>
                <w:szCs w:val="14"/>
                <w:color w:val="51555C"/>
                <w:w w:val="83"/>
              </w:rPr>
              <w:t>$</w:t>
            </w:r>
          </w:p>
        </w:tc>
        <w:tc>
          <w:tcPr>
            <w:tcW w:w="1120" w:type="dxa"/>
            <w:vAlign w:val="bottom"/>
            <w:tcBorders>
              <w:bottom w:val="single" w:sz="8" w:color="EBFBFF"/>
            </w:tcBorders>
            <w:shd w:val="clear" w:color="auto" w:fill="EBFBFF"/>
          </w:tcPr>
          <w:p>
            <w:pPr>
              <w:jc w:val="right"/>
              <w:ind w:right="58"/>
              <w:spacing w:after="0" w:line="163" w:lineRule="exact"/>
              <w:rPr>
                <w:sz w:val="20"/>
                <w:szCs w:val="20"/>
                <w:color w:val="auto"/>
              </w:rPr>
            </w:pPr>
            <w:r>
              <w:rPr>
                <w:rFonts w:ascii="Calibri" w:cs="Calibri" w:eastAsia="Calibri" w:hAnsi="Calibri"/>
                <w:sz w:val="14"/>
                <w:szCs w:val="14"/>
                <w:color w:val="51555C"/>
              </w:rPr>
              <w:t>(14,101)</w:t>
            </w:r>
          </w:p>
        </w:tc>
        <w:tc>
          <w:tcPr>
            <w:tcW w:w="20" w:type="dxa"/>
            <w:vAlign w:val="bottom"/>
          </w:tcPr>
          <w:p>
            <w:pPr>
              <w:spacing w:after="0"/>
              <w:rPr>
                <w:sz w:val="15"/>
                <w:szCs w:val="15"/>
                <w:color w:val="auto"/>
              </w:rPr>
            </w:pPr>
          </w:p>
        </w:tc>
      </w:tr>
      <w:tr>
        <w:trPr>
          <w:trHeight w:val="172"/>
        </w:trPr>
        <w:tc>
          <w:tcPr>
            <w:tcW w:w="5360" w:type="dxa"/>
            <w:vAlign w:val="bottom"/>
          </w:tcPr>
          <w:p>
            <w:pPr>
              <w:ind w:left="20"/>
              <w:spacing w:after="0"/>
              <w:rPr>
                <w:sz w:val="20"/>
                <w:szCs w:val="20"/>
                <w:color w:val="auto"/>
              </w:rPr>
            </w:pPr>
            <w:r>
              <w:rPr>
                <w:rFonts w:ascii="Calibri" w:cs="Calibri" w:eastAsia="Calibri" w:hAnsi="Calibri"/>
                <w:sz w:val="14"/>
                <w:szCs w:val="14"/>
                <w:color w:val="51555C"/>
              </w:rPr>
              <w:t>Efectve income tax rate</w:t>
            </w:r>
          </w:p>
        </w:tc>
        <w:tc>
          <w:tcPr>
            <w:tcW w:w="5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alibri" w:cs="Calibri" w:eastAsia="Calibri" w:hAnsi="Calibri"/>
                <w:sz w:val="14"/>
                <w:szCs w:val="14"/>
                <w:color w:val="51555C"/>
              </w:rPr>
              <w:t>26.6 %</w:t>
            </w:r>
          </w:p>
        </w:tc>
        <w:tc>
          <w:tcPr>
            <w:tcW w:w="2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alibri" w:cs="Calibri" w:eastAsia="Calibri" w:hAnsi="Calibri"/>
                <w:sz w:val="14"/>
                <w:szCs w:val="14"/>
                <w:color w:val="51555C"/>
              </w:rPr>
              <w:t>126.0 %</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alibri" w:cs="Calibri" w:eastAsia="Calibri" w:hAnsi="Calibri"/>
                <w:sz w:val="14"/>
                <w:szCs w:val="14"/>
                <w:color w:val="51555C"/>
              </w:rPr>
              <w:t>19.2 %</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alibri" w:cs="Calibri" w:eastAsia="Calibri" w:hAnsi="Calibri"/>
                <w:sz w:val="14"/>
                <w:szCs w:val="14"/>
                <w:color w:val="51555C"/>
              </w:rPr>
              <w:t>52.8 %</w:t>
            </w:r>
          </w:p>
        </w:tc>
        <w:tc>
          <w:tcPr>
            <w:tcW w:w="20" w:type="dxa"/>
            <w:vAlign w:val="bottom"/>
          </w:tcPr>
          <w:p>
            <w:pPr>
              <w:spacing w:after="0"/>
              <w:rPr>
                <w:sz w:val="14"/>
                <w:szCs w:val="14"/>
                <w:color w:val="auto"/>
              </w:rPr>
            </w:pPr>
          </w:p>
        </w:tc>
      </w:tr>
      <w:tr>
        <w:trPr>
          <w:trHeight w:val="40"/>
        </w:trPr>
        <w:tc>
          <w:tcPr>
            <w:tcW w:w="5360" w:type="dxa"/>
            <w:vAlign w:val="bottom"/>
            <w:tcBorders>
              <w:bottom w:val="single" w:sz="8" w:color="0CD973"/>
            </w:tcBorders>
          </w:tcPr>
          <w:p>
            <w:pPr>
              <w:spacing w:after="0"/>
              <w:rPr>
                <w:sz w:val="3"/>
                <w:szCs w:val="3"/>
                <w:color w:val="auto"/>
              </w:rPr>
            </w:pPr>
          </w:p>
        </w:tc>
        <w:tc>
          <w:tcPr>
            <w:tcW w:w="540" w:type="dxa"/>
            <w:vAlign w:val="bottom"/>
            <w:tcBorders>
              <w:bottom w:val="single" w:sz="8" w:color="0CD973"/>
            </w:tcBorders>
          </w:tcPr>
          <w:p>
            <w:pPr>
              <w:spacing w:after="0"/>
              <w:rPr>
                <w:sz w:val="3"/>
                <w:szCs w:val="3"/>
                <w:color w:val="auto"/>
              </w:rPr>
            </w:pPr>
          </w:p>
        </w:tc>
        <w:tc>
          <w:tcPr>
            <w:tcW w:w="900" w:type="dxa"/>
            <w:vAlign w:val="bottom"/>
            <w:tcBorders>
              <w:bottom w:val="single" w:sz="8" w:color="0CD973"/>
            </w:tcBorders>
          </w:tcPr>
          <w:p>
            <w:pPr>
              <w:spacing w:after="0"/>
              <w:rPr>
                <w:sz w:val="3"/>
                <w:szCs w:val="3"/>
                <w:color w:val="auto"/>
              </w:rPr>
            </w:pPr>
          </w:p>
        </w:tc>
        <w:tc>
          <w:tcPr>
            <w:tcW w:w="280" w:type="dxa"/>
            <w:vAlign w:val="bottom"/>
            <w:tcBorders>
              <w:bottom w:val="single" w:sz="8" w:color="0CD973"/>
            </w:tcBorders>
          </w:tcPr>
          <w:p>
            <w:pPr>
              <w:spacing w:after="0"/>
              <w:rPr>
                <w:sz w:val="3"/>
                <w:szCs w:val="3"/>
                <w:color w:val="auto"/>
              </w:rPr>
            </w:pPr>
          </w:p>
        </w:tc>
        <w:tc>
          <w:tcPr>
            <w:tcW w:w="1200" w:type="dxa"/>
            <w:vAlign w:val="bottom"/>
            <w:tcBorders>
              <w:bottom w:val="single" w:sz="8" w:color="0CD973"/>
            </w:tcBorders>
          </w:tcPr>
          <w:p>
            <w:pPr>
              <w:spacing w:after="0"/>
              <w:rPr>
                <w:sz w:val="3"/>
                <w:szCs w:val="3"/>
                <w:color w:val="auto"/>
              </w:rPr>
            </w:pPr>
          </w:p>
        </w:tc>
        <w:tc>
          <w:tcPr>
            <w:tcW w:w="80" w:type="dxa"/>
            <w:vAlign w:val="bottom"/>
            <w:tcBorders>
              <w:bottom w:val="single" w:sz="8" w:color="0CD973"/>
            </w:tcBorders>
          </w:tcPr>
          <w:p>
            <w:pPr>
              <w:spacing w:after="0"/>
              <w:rPr>
                <w:sz w:val="3"/>
                <w:szCs w:val="3"/>
                <w:color w:val="auto"/>
              </w:rPr>
            </w:pPr>
          </w:p>
        </w:tc>
        <w:tc>
          <w:tcPr>
            <w:tcW w:w="540" w:type="dxa"/>
            <w:vAlign w:val="bottom"/>
            <w:tcBorders>
              <w:bottom w:val="single" w:sz="8" w:color="0CD973"/>
            </w:tcBorders>
          </w:tcPr>
          <w:p>
            <w:pPr>
              <w:spacing w:after="0"/>
              <w:rPr>
                <w:sz w:val="3"/>
                <w:szCs w:val="3"/>
                <w:color w:val="auto"/>
              </w:rPr>
            </w:pPr>
          </w:p>
        </w:tc>
        <w:tc>
          <w:tcPr>
            <w:tcW w:w="920" w:type="dxa"/>
            <w:vAlign w:val="bottom"/>
            <w:tcBorders>
              <w:bottom w:val="single" w:sz="8" w:color="0CD973"/>
            </w:tcBorders>
          </w:tcPr>
          <w:p>
            <w:pPr>
              <w:spacing w:after="0"/>
              <w:rPr>
                <w:sz w:val="3"/>
                <w:szCs w:val="3"/>
                <w:color w:val="auto"/>
              </w:rPr>
            </w:pPr>
          </w:p>
        </w:tc>
        <w:tc>
          <w:tcPr>
            <w:tcW w:w="340" w:type="dxa"/>
            <w:vAlign w:val="bottom"/>
            <w:tcBorders>
              <w:bottom w:val="single" w:sz="8" w:color="0CD973"/>
            </w:tcBorders>
          </w:tcPr>
          <w:p>
            <w:pPr>
              <w:spacing w:after="0"/>
              <w:rPr>
                <w:sz w:val="3"/>
                <w:szCs w:val="3"/>
                <w:color w:val="auto"/>
              </w:rPr>
            </w:pPr>
          </w:p>
        </w:tc>
        <w:tc>
          <w:tcPr>
            <w:tcW w:w="1120" w:type="dxa"/>
            <w:vAlign w:val="bottom"/>
            <w:tcBorders>
              <w:bottom w:val="single" w:sz="8" w:color="0CD973"/>
            </w:tcBorders>
          </w:tcPr>
          <w:p>
            <w:pPr>
              <w:spacing w:after="0"/>
              <w:rPr>
                <w:sz w:val="3"/>
                <w:szCs w:val="3"/>
                <w:color w:val="auto"/>
              </w:rPr>
            </w:pPr>
          </w:p>
        </w:tc>
        <w:tc>
          <w:tcPr>
            <w:tcW w:w="2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3398520</wp:posOffset>
            </wp:positionH>
            <wp:positionV relativeFrom="paragraph">
              <wp:posOffset>-403860</wp:posOffset>
            </wp:positionV>
            <wp:extent cx="3773170" cy="69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773170" cy="6985"/>
                    </a:xfrm>
                    <a:prstGeom prst="rect">
                      <a:avLst/>
                    </a:prstGeom>
                    <a:noFill/>
                  </pic:spPr>
                </pic:pic>
              </a:graphicData>
            </a:graphic>
          </wp:anchor>
        </w:drawing>
      </w:r>
    </w:p>
    <w:p>
      <w:pPr>
        <w:spacing w:after="0" w:line="164" w:lineRule="exact"/>
        <w:rPr>
          <w:sz w:val="20"/>
          <w:szCs w:val="20"/>
          <w:color w:val="auto"/>
        </w:rPr>
      </w:pPr>
    </w:p>
    <w:p>
      <w:pPr>
        <w:jc w:val="both"/>
        <w:ind w:right="20"/>
        <w:spacing w:after="0" w:line="237" w:lineRule="auto"/>
        <w:rPr>
          <w:sz w:val="20"/>
          <w:szCs w:val="20"/>
          <w:color w:val="auto"/>
        </w:rPr>
      </w:pPr>
      <w:r>
        <w:rPr>
          <w:rFonts w:ascii="Calibri" w:cs="Calibri" w:eastAsia="Calibri" w:hAnsi="Calibri"/>
          <w:sz w:val="14"/>
          <w:szCs w:val="14"/>
          <w:color w:val="51555C"/>
        </w:rPr>
        <w:t>The change in our efectve income tax rate for the three and six months ended June 30, 2024, when compared to the same periods in 2023 were largely driven by prior year pre-tax losses versus current year pre-tax income. Additonally, the 2024 periods were favorably impacted by benefts atributable to stock-based compensaton and research and development tax credits whereas stock-based compensaton negatvely impacted our efectve income tax rates for the 2023 periods. Lastly, the 2023 periods were negatvely impacted by non-deductble accruals related to security incident, which have impacted the 2024 periods to a much lesser degree.</w:t>
      </w:r>
    </w:p>
    <w:p>
      <w:pPr>
        <w:spacing w:after="0" w:line="206" w:lineRule="exact"/>
        <w:rPr>
          <w:sz w:val="20"/>
          <w:szCs w:val="20"/>
          <w:color w:val="auto"/>
        </w:rPr>
      </w:pPr>
    </w:p>
    <w:p>
      <w:pPr>
        <w:ind w:left="20"/>
        <w:spacing w:after="0"/>
        <w:rPr>
          <w:sz w:val="20"/>
          <w:szCs w:val="20"/>
          <w:color w:val="auto"/>
        </w:rPr>
      </w:pPr>
      <w:r>
        <w:rPr>
          <w:rFonts w:ascii="Calibri" w:cs="Calibri" w:eastAsia="Calibri" w:hAnsi="Calibri"/>
          <w:sz w:val="17"/>
          <w:szCs w:val="17"/>
          <w:b w:val="1"/>
          <w:bCs w:val="1"/>
          <w:color w:val="006880"/>
        </w:rPr>
        <w:t>11.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27305</wp:posOffset>
            </wp:positionV>
            <wp:extent cx="7161530" cy="69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51555C"/>
        </w:rPr>
        <w:t>Stock repurchase program</w:t>
      </w:r>
    </w:p>
    <w:p>
      <w:pPr>
        <w:spacing w:after="0" w:line="129" w:lineRule="exact"/>
        <w:rPr>
          <w:sz w:val="20"/>
          <w:szCs w:val="20"/>
          <w:color w:val="auto"/>
        </w:rPr>
      </w:pPr>
    </w:p>
    <w:p>
      <w:pPr>
        <w:jc w:val="both"/>
        <w:ind w:right="20"/>
        <w:spacing w:after="0" w:line="237" w:lineRule="auto"/>
        <w:rPr>
          <w:sz w:val="20"/>
          <w:szCs w:val="20"/>
          <w:color w:val="auto"/>
        </w:rPr>
      </w:pPr>
      <w:r>
        <w:rPr>
          <w:rFonts w:ascii="Calibri" w:cs="Calibri" w:eastAsia="Calibri" w:hAnsi="Calibri"/>
          <w:sz w:val="14"/>
          <w:szCs w:val="14"/>
          <w:color w:val="51555C"/>
        </w:rPr>
        <w:t>Under our stock repurchase program, we are authorized to repurchase shares from tme to tme in accordance with applicable laws both on the open market, including under trading plans established pursuant to Rule 10b5-1 under the Securites Exchange Act of 1934, as amended, and in privately negotated transactons. The tming and amount of repurchases depends on several factors, including market and business conditons, the trading price of our common stock and the nature of other investment opportunites. The repurchase program does not have an expiraton date and may be limited, suspended or discontnued at any tme without prior notce. Under the 2024 Credit Agreement, we have restrictons on our ability to repurchase shares of our common stock, which are summarized on page 47 in this report.</w:t>
      </w:r>
    </w:p>
    <w:p>
      <w:pPr>
        <w:spacing w:after="0" w:line="132" w:lineRule="exact"/>
        <w:rPr>
          <w:sz w:val="20"/>
          <w:szCs w:val="20"/>
          <w:color w:val="auto"/>
        </w:rPr>
      </w:pPr>
    </w:p>
    <w:p>
      <w:pPr>
        <w:jc w:val="both"/>
        <w:ind w:right="20"/>
        <w:spacing w:after="0" w:line="237" w:lineRule="auto"/>
        <w:rPr>
          <w:sz w:val="20"/>
          <w:szCs w:val="20"/>
          <w:color w:val="auto"/>
        </w:rPr>
      </w:pPr>
      <w:r>
        <w:rPr>
          <w:rFonts w:ascii="Calibri" w:cs="Calibri" w:eastAsia="Calibri" w:hAnsi="Calibri"/>
          <w:sz w:val="14"/>
          <w:szCs w:val="14"/>
          <w:color w:val="51555C"/>
        </w:rPr>
        <w:t>We account for purchases of treasury stock under the cost method. On January 17, 2024, our Board of Directors reauthorized, expanded and replenished our stock repurchase program by expanding the total capacity under the program from $250.0 million to $500.0 million available for repurchases.</w:t>
      </w:r>
    </w:p>
    <w:p>
      <w:pPr>
        <w:spacing w:after="0" w:line="129" w:lineRule="exact"/>
        <w:rPr>
          <w:sz w:val="20"/>
          <w:szCs w:val="20"/>
          <w:color w:val="auto"/>
        </w:rPr>
      </w:pPr>
    </w:p>
    <w:p>
      <w:pPr>
        <w:jc w:val="both"/>
        <w:ind w:right="20"/>
        <w:spacing w:after="0" w:line="260" w:lineRule="auto"/>
        <w:rPr>
          <w:sz w:val="20"/>
          <w:szCs w:val="20"/>
          <w:color w:val="auto"/>
        </w:rPr>
      </w:pPr>
      <w:r>
        <w:rPr>
          <w:rFonts w:ascii="Calibri" w:cs="Calibri" w:eastAsia="Calibri" w:hAnsi="Calibri"/>
          <w:sz w:val="13"/>
          <w:szCs w:val="13"/>
          <w:color w:val="51555C"/>
        </w:rPr>
        <w:t>In March 2024, we entered into an issuer forward repurchase transacton with a large fnancial insttuton to repurchase an aggregate $200 million of shares of our common stock (the "ASR Transacton"). Pursuant to the terms of the ASR Transacton, we provided the fnancial insttuton with a prepayment of $200 million and received an inital delivery of 2.1 million shares of our common stock, representng approximately 70% of the total shares then-expected to be repurchased under the ASR Transacton. The fnal number of shares of common stock delivered to us under the ASR Transacton will be based on the average of the daily volume-weighted average prices of the common stock during the term of the ASR Transacton, less a discount and subject to customary adjustments upon events afectng the common stock (e.g., dilutve or concentratve events, mergers and acquisitons, and market disruptons). At setlement, the fnancial insttuton may be required to deliver</w:t>
      </w:r>
    </w:p>
    <w:p>
      <w:pPr>
        <w:spacing w:after="0" w:line="253" w:lineRule="exact"/>
        <w:rPr>
          <w:sz w:val="20"/>
          <w:szCs w:val="20"/>
          <w:color w:val="auto"/>
        </w:rPr>
      </w:pPr>
    </w:p>
    <w:p>
      <w:pPr>
        <w:ind w:left="20"/>
        <w:spacing w:after="0"/>
        <w:tabs>
          <w:tab w:leader="none" w:pos="589" w:val="left"/>
        </w:tabs>
        <w:rPr>
          <w:sz w:val="20"/>
          <w:szCs w:val="20"/>
          <w:color w:val="auto"/>
        </w:rPr>
      </w:pPr>
      <w:r>
        <w:rPr>
          <w:rFonts w:ascii="Calibri" w:cs="Calibri" w:eastAsia="Calibri" w:hAnsi="Calibri"/>
          <w:sz w:val="11"/>
          <w:szCs w:val="11"/>
          <w:color w:val="51555C"/>
        </w:rPr>
        <w:t>22</w:t>
      </w:r>
      <w:r>
        <w:rPr>
          <w:sz w:val="20"/>
          <w:szCs w:val="20"/>
          <w:color w:val="auto"/>
        </w:rPr>
        <w:tab/>
      </w:r>
      <w:r>
        <w:rPr>
          <w:sz w:val="1"/>
          <w:szCs w:val="1"/>
          <w:color w:val="auto"/>
        </w:rPr>
        <w:drawing>
          <wp:inline distT="0" distB="0" distL="0" distR="0">
            <wp:extent cx="511810" cy="134620"/>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1810" cy="134620"/>
                    </a:xfrm>
                    <a:prstGeom prst="rect">
                      <a:avLst/>
                    </a:prstGeom>
                    <a:noFill/>
                    <a:ln>
                      <a:noFill/>
                    </a:ln>
                  </pic:spPr>
                </pic:pic>
              </a:graphicData>
            </a:graphic>
          </wp:inline>
        </w:drawing>
      </w:r>
      <w:r>
        <w:rPr>
          <w:rFonts w:ascii="Calibri" w:cs="Calibri" w:eastAsia="Calibri" w:hAnsi="Calibri"/>
          <w:sz w:val="11"/>
          <w:szCs w:val="11"/>
          <w:color w:val="51555C"/>
        </w:rPr>
        <w:t xml:space="preserve">    Second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135255</wp:posOffset>
            </wp:positionV>
            <wp:extent cx="718693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23" w:name="page24"/>
    <w:bookmarkEnd w:id="23"/>
    <w:p>
      <w:pPr>
        <w:spacing w:after="0"/>
        <w:rPr>
          <w:sz w:val="20"/>
          <w:szCs w:val="20"/>
          <w:color w:val="auto"/>
        </w:rPr>
      </w:pPr>
      <w:r>
        <w:rPr>
          <w:rFonts w:ascii="Calibri" w:cs="Calibri" w:eastAsia="Calibri" w:hAnsi="Calibri"/>
          <w:sz w:val="11"/>
          <w:szCs w:val="11"/>
          <w:u w:val="single" w:color="auto"/>
          <w:color w:val="7A04DD"/>
        </w:rPr>
        <w:t>Table of Contents</w:t>
      </w:r>
    </w:p>
    <w:p>
      <w:pPr>
        <w:spacing w:after="0" w:line="196" w:lineRule="exact"/>
        <w:rPr>
          <w:sz w:val="20"/>
          <w:szCs w:val="20"/>
          <w:color w:val="auto"/>
        </w:rPr>
      </w:pPr>
    </w:p>
    <w:p>
      <w:pPr>
        <w:jc w:val="center"/>
        <w:ind w:right="20"/>
        <w:spacing w:after="0"/>
        <w:rPr>
          <w:sz w:val="20"/>
          <w:szCs w:val="20"/>
          <w:color w:val="auto"/>
        </w:rPr>
      </w:pPr>
      <w:r>
        <w:rPr>
          <w:rFonts w:ascii="Calibri" w:cs="Calibri" w:eastAsia="Calibri" w:hAnsi="Calibri"/>
          <w:sz w:val="14"/>
          <w:szCs w:val="14"/>
          <w:b w:val="1"/>
          <w:bCs w:val="1"/>
          <w:color w:val="51555C"/>
        </w:rPr>
        <w:t>Blackbaud, Inc.</w:t>
      </w:r>
    </w:p>
    <w:p>
      <w:pPr>
        <w:jc w:val="center"/>
        <w:ind w:right="20"/>
        <w:spacing w:after="0" w:line="238" w:lineRule="auto"/>
        <w:rPr>
          <w:sz w:val="20"/>
          <w:szCs w:val="20"/>
          <w:color w:val="auto"/>
        </w:rPr>
      </w:pPr>
      <w:r>
        <w:rPr>
          <w:rFonts w:ascii="Calibri" w:cs="Calibri" w:eastAsia="Calibri" w:hAnsi="Calibri"/>
          <w:sz w:val="14"/>
          <w:szCs w:val="14"/>
          <w:b w:val="1"/>
          <w:bCs w:val="1"/>
          <w:color w:val="51555C"/>
        </w:rPr>
        <w:t>Notes to Condensed Consolidated Financial Statements</w:t>
      </w:r>
    </w:p>
    <w:p>
      <w:pPr>
        <w:jc w:val="center"/>
        <w:ind w:right="20"/>
        <w:spacing w:after="0"/>
        <w:rPr>
          <w:sz w:val="20"/>
          <w:szCs w:val="20"/>
          <w:color w:val="auto"/>
        </w:rPr>
      </w:pPr>
      <w:r>
        <w:rPr>
          <w:rFonts w:ascii="Calibri" w:cs="Calibri" w:eastAsia="Calibri" w:hAnsi="Calibri"/>
          <w:sz w:val="14"/>
          <w:szCs w:val="14"/>
          <w:b w:val="1"/>
          <w:bCs w:val="1"/>
          <w:color w:val="51555C"/>
        </w:rPr>
        <w:t>(Unaudited)</w:t>
      </w:r>
    </w:p>
    <w:p>
      <w:pPr>
        <w:spacing w:after="0" w:line="200" w:lineRule="exact"/>
        <w:rPr>
          <w:sz w:val="20"/>
          <w:szCs w:val="20"/>
          <w:color w:val="auto"/>
        </w:rPr>
      </w:pPr>
    </w:p>
    <w:p>
      <w:pPr>
        <w:spacing w:after="0" w:line="246" w:lineRule="exact"/>
        <w:rPr>
          <w:sz w:val="20"/>
          <w:szCs w:val="20"/>
          <w:color w:val="auto"/>
        </w:rPr>
      </w:pPr>
    </w:p>
    <w:p>
      <w:pPr>
        <w:jc w:val="both"/>
        <w:ind w:right="20"/>
        <w:spacing w:after="0" w:line="237" w:lineRule="auto"/>
        <w:rPr>
          <w:sz w:val="20"/>
          <w:szCs w:val="20"/>
          <w:color w:val="auto"/>
        </w:rPr>
      </w:pPr>
      <w:r>
        <w:rPr>
          <w:rFonts w:ascii="Calibri" w:cs="Calibri" w:eastAsia="Calibri" w:hAnsi="Calibri"/>
          <w:sz w:val="14"/>
          <w:szCs w:val="14"/>
          <w:color w:val="51555C"/>
        </w:rPr>
        <w:t>additonal shares of our common stock to us or, under certain circumstances, we may be required to deliver a cash payment or shares of our common stock to the fnancial insttuton, with the method of setlement at our electon. The fnal setlement of the ASR Transacton is scheduled to occur by the fourth quarter of 2024, unless setled earlier at the electon of the fnancial insttuton.</w:t>
      </w:r>
    </w:p>
    <w:p>
      <w:pPr>
        <w:spacing w:after="0" w:line="129" w:lineRule="exact"/>
        <w:rPr>
          <w:sz w:val="20"/>
          <w:szCs w:val="20"/>
          <w:color w:val="auto"/>
        </w:rPr>
      </w:pPr>
    </w:p>
    <w:p>
      <w:pPr>
        <w:jc w:val="both"/>
        <w:ind w:right="20"/>
        <w:spacing w:after="0" w:line="237" w:lineRule="auto"/>
        <w:rPr>
          <w:sz w:val="20"/>
          <w:szCs w:val="20"/>
          <w:color w:val="auto"/>
        </w:rPr>
      </w:pPr>
      <w:r>
        <w:rPr>
          <w:rFonts w:ascii="Calibri" w:cs="Calibri" w:eastAsia="Calibri" w:hAnsi="Calibri"/>
          <w:sz w:val="14"/>
          <w:szCs w:val="14"/>
          <w:color w:val="51555C"/>
        </w:rPr>
        <w:t>The diference of $52.2 million between the prepayment of $200 million and the value of the shares repurchased on the ASR Transacton date represents an unsetled prepaid forward contract indexed to our common stock and met all of the applicable criteria for equity classifcaton; therefore, it was not accounted for as a derivatve instrument as of June 30, 2024. Because of our ability to setle in shares, the $52.2 million prepaid forward contract was classifed as a reducton to additonal paid-in capital within our unaudited, condensed consolidated statement of stockholders' equity. We funded the ASR Transacton prepayment with borrowings pursuant to a revolving credit loan under the 2020 Credit Agreement.</w:t>
      </w:r>
    </w:p>
    <w:p>
      <w:pPr>
        <w:spacing w:after="0" w:line="131" w:lineRule="exact"/>
        <w:rPr>
          <w:sz w:val="20"/>
          <w:szCs w:val="20"/>
          <w:color w:val="auto"/>
        </w:rPr>
      </w:pPr>
    </w:p>
    <w:p>
      <w:pPr>
        <w:jc w:val="both"/>
        <w:ind w:right="20"/>
        <w:spacing w:after="0" w:line="237" w:lineRule="auto"/>
        <w:rPr>
          <w:sz w:val="20"/>
          <w:szCs w:val="20"/>
          <w:color w:val="auto"/>
        </w:rPr>
      </w:pPr>
      <w:r>
        <w:rPr>
          <w:rFonts w:ascii="Calibri" w:cs="Calibri" w:eastAsia="Calibri" w:hAnsi="Calibri"/>
          <w:sz w:val="14"/>
          <w:szCs w:val="14"/>
          <w:color w:val="51555C"/>
        </w:rPr>
        <w:t>During the three months ended June 30, 2024, we did not repurchase any shares. During the six months ended June 30, 2024, we repurchased an aggregate of 2,954,211 shares for $262.6 million, including the inital delivery of shares repurchased pursuant to the ASR Transacton. The remaining amount available to purchase stock under the approved stock repurchase program was $259.7 million as of June 30, 2024.</w:t>
      </w:r>
    </w:p>
    <w:p>
      <w:pPr>
        <w:spacing w:after="0" w:line="130" w:lineRule="exact"/>
        <w:rPr>
          <w:sz w:val="20"/>
          <w:szCs w:val="20"/>
          <w:color w:val="auto"/>
        </w:rPr>
      </w:pPr>
    </w:p>
    <w:p>
      <w:pPr>
        <w:jc w:val="both"/>
        <w:ind w:right="20"/>
        <w:spacing w:after="0" w:line="237" w:lineRule="auto"/>
        <w:rPr>
          <w:sz w:val="20"/>
          <w:szCs w:val="20"/>
          <w:color w:val="auto"/>
        </w:rPr>
      </w:pPr>
      <w:r>
        <w:rPr>
          <w:rFonts w:ascii="Calibri" w:cs="Calibri" w:eastAsia="Calibri" w:hAnsi="Calibri"/>
          <w:sz w:val="14"/>
          <w:szCs w:val="14"/>
          <w:color w:val="51555C"/>
        </w:rPr>
        <w:t>On July 16, 2024, our Board of Directors reauthorized, expanded and replenished our stock repurchase program by expanding the total capacity under the program from $500.0 million to $800.0 million available for repurchases. As of July 16, 2024, the amount available to purchase stock under the Company's repurchase program was $800.0 million. See Note 13 to these unaudited, condensed fnancial statements for additonal informaton.</w:t>
      </w:r>
    </w:p>
    <w:p>
      <w:pPr>
        <w:spacing w:after="0" w:line="127"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51555C"/>
        </w:rPr>
        <w:t>Changes in accumulated other comprehensive income (loss) by component</w:t>
      </w:r>
    </w:p>
    <w:p>
      <w:pPr>
        <w:spacing w:after="0" w:line="126" w:lineRule="exact"/>
        <w:rPr>
          <w:sz w:val="20"/>
          <w:szCs w:val="20"/>
          <w:color w:val="auto"/>
        </w:rPr>
      </w:pPr>
    </w:p>
    <w:p>
      <w:pPr>
        <w:spacing w:after="0"/>
        <w:rPr>
          <w:sz w:val="20"/>
          <w:szCs w:val="20"/>
          <w:color w:val="auto"/>
        </w:rPr>
      </w:pPr>
      <w:r>
        <w:rPr>
          <w:rFonts w:ascii="Calibri" w:cs="Calibri" w:eastAsia="Calibri" w:hAnsi="Calibri"/>
          <w:sz w:val="14"/>
          <w:szCs w:val="14"/>
          <w:color w:val="51555C"/>
        </w:rPr>
        <w:t>The changes in accumulated other comprehensive income (loss) by component, consisted of the following:</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6640" w:type="dxa"/>
            <w:vAlign w:val="bottom"/>
            <w:shd w:val="clear" w:color="auto" w:fill="004054"/>
          </w:tcPr>
          <w:p>
            <w:pPr>
              <w:spacing w:after="0"/>
              <w:rPr>
                <w:sz w:val="12"/>
                <w:szCs w:val="12"/>
                <w:color w:val="auto"/>
              </w:rPr>
            </w:pPr>
          </w:p>
        </w:tc>
        <w:tc>
          <w:tcPr>
            <w:tcW w:w="380" w:type="dxa"/>
            <w:vAlign w:val="bottom"/>
            <w:shd w:val="clear" w:color="auto" w:fill="004054"/>
          </w:tcPr>
          <w:p>
            <w:pPr>
              <w:spacing w:after="0"/>
              <w:rPr>
                <w:sz w:val="12"/>
                <w:szCs w:val="12"/>
                <w:color w:val="auto"/>
              </w:rPr>
            </w:pPr>
          </w:p>
        </w:tc>
        <w:tc>
          <w:tcPr>
            <w:tcW w:w="760" w:type="dxa"/>
            <w:vAlign w:val="bottom"/>
            <w:shd w:val="clear" w:color="auto" w:fill="004054"/>
          </w:tcPr>
          <w:p>
            <w:pPr>
              <w:spacing w:after="0"/>
              <w:rPr>
                <w:sz w:val="12"/>
                <w:szCs w:val="12"/>
                <w:color w:val="auto"/>
              </w:rPr>
            </w:pPr>
          </w:p>
        </w:tc>
        <w:tc>
          <w:tcPr>
            <w:tcW w:w="120" w:type="dxa"/>
            <w:vAlign w:val="bottom"/>
            <w:shd w:val="clear" w:color="auto" w:fill="004054"/>
          </w:tcPr>
          <w:p>
            <w:pPr>
              <w:spacing w:after="0"/>
              <w:rPr>
                <w:sz w:val="12"/>
                <w:szCs w:val="12"/>
                <w:color w:val="auto"/>
              </w:rPr>
            </w:pPr>
          </w:p>
        </w:tc>
        <w:tc>
          <w:tcPr>
            <w:tcW w:w="102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Three months ended</w:t>
            </w:r>
          </w:p>
        </w:tc>
        <w:tc>
          <w:tcPr>
            <w:tcW w:w="100" w:type="dxa"/>
            <w:vAlign w:val="bottom"/>
          </w:tcPr>
          <w:p>
            <w:pPr>
              <w:spacing w:after="0"/>
              <w:rPr>
                <w:sz w:val="12"/>
                <w:szCs w:val="12"/>
                <w:color w:val="auto"/>
              </w:rPr>
            </w:pPr>
          </w:p>
        </w:tc>
        <w:tc>
          <w:tcPr>
            <w:tcW w:w="640" w:type="dxa"/>
            <w:vAlign w:val="bottom"/>
            <w:shd w:val="clear" w:color="auto" w:fill="004054"/>
          </w:tcPr>
          <w:p>
            <w:pPr>
              <w:spacing w:after="0"/>
              <w:rPr>
                <w:sz w:val="12"/>
                <w:szCs w:val="12"/>
                <w:color w:val="auto"/>
              </w:rPr>
            </w:pPr>
          </w:p>
        </w:tc>
        <w:tc>
          <w:tcPr>
            <w:tcW w:w="480" w:type="dxa"/>
            <w:vAlign w:val="bottom"/>
            <w:shd w:val="clear" w:color="auto" w:fill="004054"/>
          </w:tcPr>
          <w:p>
            <w:pPr>
              <w:spacing w:after="0"/>
              <w:rPr>
                <w:sz w:val="12"/>
                <w:szCs w:val="12"/>
                <w:color w:val="auto"/>
              </w:rPr>
            </w:pPr>
          </w:p>
        </w:tc>
        <w:tc>
          <w:tcPr>
            <w:tcW w:w="200" w:type="dxa"/>
            <w:vAlign w:val="bottom"/>
            <w:shd w:val="clear" w:color="auto" w:fill="004054"/>
          </w:tcPr>
          <w:p>
            <w:pPr>
              <w:spacing w:after="0"/>
              <w:rPr>
                <w:sz w:val="12"/>
                <w:szCs w:val="12"/>
                <w:color w:val="auto"/>
              </w:rPr>
            </w:pPr>
          </w:p>
        </w:tc>
        <w:tc>
          <w:tcPr>
            <w:tcW w:w="94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Six months ended</w:t>
            </w:r>
          </w:p>
        </w:tc>
        <w:tc>
          <w:tcPr>
            <w:tcW w:w="20" w:type="dxa"/>
            <w:vAlign w:val="bottom"/>
            <w:shd w:val="clear" w:color="auto" w:fill="004054"/>
          </w:tcPr>
          <w:p>
            <w:pPr>
              <w:spacing w:after="0"/>
              <w:rPr>
                <w:sz w:val="12"/>
                <w:szCs w:val="12"/>
                <w:color w:val="auto"/>
              </w:rPr>
            </w:pPr>
          </w:p>
        </w:tc>
      </w:tr>
      <w:tr>
        <w:trPr>
          <w:trHeight w:val="135"/>
        </w:trPr>
        <w:tc>
          <w:tcPr>
            <w:tcW w:w="6640" w:type="dxa"/>
            <w:vAlign w:val="bottom"/>
            <w:shd w:val="clear" w:color="auto" w:fill="004054"/>
          </w:tcPr>
          <w:p>
            <w:pPr>
              <w:spacing w:after="0"/>
              <w:rPr>
                <w:sz w:val="11"/>
                <w:szCs w:val="11"/>
                <w:color w:val="auto"/>
              </w:rPr>
            </w:pPr>
          </w:p>
        </w:tc>
        <w:tc>
          <w:tcPr>
            <w:tcW w:w="380" w:type="dxa"/>
            <w:vAlign w:val="bottom"/>
            <w:shd w:val="clear" w:color="auto" w:fill="004054"/>
          </w:tcPr>
          <w:p>
            <w:pPr>
              <w:spacing w:after="0"/>
              <w:rPr>
                <w:sz w:val="11"/>
                <w:szCs w:val="11"/>
                <w:color w:val="auto"/>
              </w:rPr>
            </w:pPr>
          </w:p>
        </w:tc>
        <w:tc>
          <w:tcPr>
            <w:tcW w:w="760" w:type="dxa"/>
            <w:vAlign w:val="bottom"/>
            <w:shd w:val="clear" w:color="auto" w:fill="004054"/>
          </w:tcPr>
          <w:p>
            <w:pPr>
              <w:spacing w:after="0"/>
              <w:rPr>
                <w:sz w:val="11"/>
                <w:szCs w:val="11"/>
                <w:color w:val="auto"/>
              </w:rPr>
            </w:pPr>
          </w:p>
        </w:tc>
        <w:tc>
          <w:tcPr>
            <w:tcW w:w="120" w:type="dxa"/>
            <w:vAlign w:val="bottom"/>
            <w:shd w:val="clear" w:color="auto" w:fill="004054"/>
          </w:tcPr>
          <w:p>
            <w:pPr>
              <w:spacing w:after="0"/>
              <w:rPr>
                <w:sz w:val="11"/>
                <w:szCs w:val="11"/>
                <w:color w:val="auto"/>
              </w:rPr>
            </w:pPr>
          </w:p>
        </w:tc>
        <w:tc>
          <w:tcPr>
            <w:tcW w:w="102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June 30,</w:t>
            </w:r>
          </w:p>
        </w:tc>
        <w:tc>
          <w:tcPr>
            <w:tcW w:w="100" w:type="dxa"/>
            <w:vAlign w:val="bottom"/>
          </w:tcPr>
          <w:p>
            <w:pPr>
              <w:spacing w:after="0"/>
              <w:rPr>
                <w:sz w:val="11"/>
                <w:szCs w:val="11"/>
                <w:color w:val="auto"/>
              </w:rPr>
            </w:pPr>
          </w:p>
        </w:tc>
        <w:tc>
          <w:tcPr>
            <w:tcW w:w="640" w:type="dxa"/>
            <w:vAlign w:val="bottom"/>
            <w:shd w:val="clear" w:color="auto" w:fill="004054"/>
          </w:tcPr>
          <w:p>
            <w:pPr>
              <w:spacing w:after="0"/>
              <w:rPr>
                <w:sz w:val="11"/>
                <w:szCs w:val="11"/>
                <w:color w:val="auto"/>
              </w:rPr>
            </w:pPr>
          </w:p>
        </w:tc>
        <w:tc>
          <w:tcPr>
            <w:tcW w:w="480" w:type="dxa"/>
            <w:vAlign w:val="bottom"/>
            <w:shd w:val="clear" w:color="auto" w:fill="004054"/>
          </w:tcPr>
          <w:p>
            <w:pPr>
              <w:spacing w:after="0"/>
              <w:rPr>
                <w:sz w:val="11"/>
                <w:szCs w:val="11"/>
                <w:color w:val="auto"/>
              </w:rPr>
            </w:pPr>
          </w:p>
        </w:tc>
        <w:tc>
          <w:tcPr>
            <w:tcW w:w="200" w:type="dxa"/>
            <w:vAlign w:val="bottom"/>
            <w:shd w:val="clear" w:color="auto" w:fill="004054"/>
          </w:tcPr>
          <w:p>
            <w:pPr>
              <w:spacing w:after="0"/>
              <w:rPr>
                <w:sz w:val="11"/>
                <w:szCs w:val="11"/>
                <w:color w:val="auto"/>
              </w:rPr>
            </w:pPr>
          </w:p>
        </w:tc>
        <w:tc>
          <w:tcPr>
            <w:tcW w:w="94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June 30,</w:t>
            </w:r>
          </w:p>
        </w:tc>
        <w:tc>
          <w:tcPr>
            <w:tcW w:w="20" w:type="dxa"/>
            <w:vAlign w:val="bottom"/>
            <w:shd w:val="clear" w:color="auto" w:fill="004054"/>
          </w:tcPr>
          <w:p>
            <w:pPr>
              <w:spacing w:after="0"/>
              <w:rPr>
                <w:sz w:val="11"/>
                <w:szCs w:val="11"/>
                <w:color w:val="auto"/>
              </w:rPr>
            </w:pPr>
          </w:p>
        </w:tc>
      </w:tr>
      <w:tr>
        <w:trPr>
          <w:trHeight w:val="191"/>
        </w:trPr>
        <w:tc>
          <w:tcPr>
            <w:tcW w:w="6640" w:type="dxa"/>
            <w:vAlign w:val="bottom"/>
            <w:shd w:val="clear" w:color="auto" w:fill="004054"/>
          </w:tcPr>
          <w:p>
            <w:pPr>
              <w:ind w:left="20"/>
              <w:spacing w:after="0"/>
              <w:rPr>
                <w:sz w:val="20"/>
                <w:szCs w:val="20"/>
                <w:color w:val="auto"/>
              </w:rPr>
            </w:pPr>
            <w:r>
              <w:rPr>
                <w:rFonts w:ascii="Calibri" w:cs="Calibri" w:eastAsia="Calibri" w:hAnsi="Calibri"/>
                <w:sz w:val="11"/>
                <w:szCs w:val="11"/>
                <w:b w:val="1"/>
                <w:bCs w:val="1"/>
                <w:color w:val="FFFFFF"/>
              </w:rPr>
              <w:t>(in thousands)</w:t>
            </w:r>
          </w:p>
        </w:tc>
        <w:tc>
          <w:tcPr>
            <w:tcW w:w="380" w:type="dxa"/>
            <w:vAlign w:val="bottom"/>
            <w:shd w:val="clear" w:color="auto" w:fill="004054"/>
          </w:tcPr>
          <w:p>
            <w:pPr>
              <w:spacing w:after="0"/>
              <w:rPr>
                <w:sz w:val="16"/>
                <w:szCs w:val="16"/>
                <w:color w:val="auto"/>
              </w:rPr>
            </w:pPr>
          </w:p>
        </w:tc>
        <w:tc>
          <w:tcPr>
            <w:tcW w:w="76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2024</w:t>
            </w:r>
          </w:p>
        </w:tc>
        <w:tc>
          <w:tcPr>
            <w:tcW w:w="120" w:type="dxa"/>
            <w:vAlign w:val="bottom"/>
            <w:shd w:val="clear" w:color="auto" w:fill="004054"/>
          </w:tcPr>
          <w:p>
            <w:pPr>
              <w:spacing w:after="0"/>
              <w:rPr>
                <w:sz w:val="16"/>
                <w:szCs w:val="16"/>
                <w:color w:val="auto"/>
              </w:rPr>
            </w:pPr>
          </w:p>
        </w:tc>
        <w:tc>
          <w:tcPr>
            <w:tcW w:w="102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2023</w:t>
            </w:r>
          </w:p>
        </w:tc>
        <w:tc>
          <w:tcPr>
            <w:tcW w:w="100" w:type="dxa"/>
            <w:vAlign w:val="bottom"/>
          </w:tcPr>
          <w:p>
            <w:pPr>
              <w:spacing w:after="0"/>
              <w:rPr>
                <w:sz w:val="16"/>
                <w:szCs w:val="16"/>
                <w:color w:val="auto"/>
              </w:rPr>
            </w:pPr>
          </w:p>
        </w:tc>
        <w:tc>
          <w:tcPr>
            <w:tcW w:w="640" w:type="dxa"/>
            <w:vAlign w:val="bottom"/>
            <w:shd w:val="clear" w:color="auto" w:fill="004054"/>
          </w:tcPr>
          <w:p>
            <w:pPr>
              <w:spacing w:after="0"/>
              <w:rPr>
                <w:sz w:val="16"/>
                <w:szCs w:val="16"/>
                <w:color w:val="auto"/>
              </w:rPr>
            </w:pPr>
          </w:p>
        </w:tc>
        <w:tc>
          <w:tcPr>
            <w:tcW w:w="48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2024</w:t>
            </w:r>
          </w:p>
        </w:tc>
        <w:tc>
          <w:tcPr>
            <w:tcW w:w="200" w:type="dxa"/>
            <w:vAlign w:val="bottom"/>
            <w:shd w:val="clear" w:color="auto" w:fill="004054"/>
          </w:tcPr>
          <w:p>
            <w:pPr>
              <w:spacing w:after="0"/>
              <w:rPr>
                <w:sz w:val="16"/>
                <w:szCs w:val="16"/>
                <w:color w:val="auto"/>
              </w:rPr>
            </w:pPr>
          </w:p>
        </w:tc>
        <w:tc>
          <w:tcPr>
            <w:tcW w:w="94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2023</w:t>
            </w:r>
          </w:p>
        </w:tc>
        <w:tc>
          <w:tcPr>
            <w:tcW w:w="20" w:type="dxa"/>
            <w:vAlign w:val="bottom"/>
            <w:shd w:val="clear" w:color="auto" w:fill="004054"/>
          </w:tcPr>
          <w:p>
            <w:pPr>
              <w:spacing w:after="0"/>
              <w:rPr>
                <w:sz w:val="16"/>
                <w:szCs w:val="16"/>
                <w:color w:val="auto"/>
              </w:rPr>
            </w:pPr>
          </w:p>
        </w:tc>
      </w:tr>
      <w:tr>
        <w:trPr>
          <w:trHeight w:val="46"/>
        </w:trPr>
        <w:tc>
          <w:tcPr>
            <w:tcW w:w="6640" w:type="dxa"/>
            <w:vAlign w:val="bottom"/>
            <w:tcBorders>
              <w:bottom w:val="single" w:sz="8" w:color="004054"/>
            </w:tcBorders>
            <w:shd w:val="clear" w:color="auto" w:fill="004054"/>
          </w:tcPr>
          <w:p>
            <w:pPr>
              <w:spacing w:after="0"/>
              <w:rPr>
                <w:sz w:val="4"/>
                <w:szCs w:val="4"/>
                <w:color w:val="auto"/>
              </w:rPr>
            </w:pPr>
          </w:p>
        </w:tc>
        <w:tc>
          <w:tcPr>
            <w:tcW w:w="380" w:type="dxa"/>
            <w:vAlign w:val="bottom"/>
            <w:tcBorders>
              <w:bottom w:val="single" w:sz="8" w:color="004054"/>
            </w:tcBorders>
            <w:shd w:val="clear" w:color="auto" w:fill="004054"/>
          </w:tcPr>
          <w:p>
            <w:pPr>
              <w:spacing w:after="0"/>
              <w:rPr>
                <w:sz w:val="4"/>
                <w:szCs w:val="4"/>
                <w:color w:val="auto"/>
              </w:rPr>
            </w:pPr>
          </w:p>
        </w:tc>
        <w:tc>
          <w:tcPr>
            <w:tcW w:w="760" w:type="dxa"/>
            <w:vAlign w:val="bottom"/>
            <w:tcBorders>
              <w:bottom w:val="single" w:sz="8" w:color="004054"/>
            </w:tcBorders>
            <w:shd w:val="clear" w:color="auto" w:fill="004054"/>
          </w:tcPr>
          <w:p>
            <w:pPr>
              <w:spacing w:after="0"/>
              <w:rPr>
                <w:sz w:val="4"/>
                <w:szCs w:val="4"/>
                <w:color w:val="auto"/>
              </w:rPr>
            </w:pPr>
          </w:p>
        </w:tc>
        <w:tc>
          <w:tcPr>
            <w:tcW w:w="120" w:type="dxa"/>
            <w:vAlign w:val="bottom"/>
            <w:tcBorders>
              <w:bottom w:val="single" w:sz="8" w:color="004054"/>
            </w:tcBorders>
            <w:shd w:val="clear" w:color="auto" w:fill="004054"/>
          </w:tcPr>
          <w:p>
            <w:pPr>
              <w:spacing w:after="0"/>
              <w:rPr>
                <w:sz w:val="4"/>
                <w:szCs w:val="4"/>
                <w:color w:val="auto"/>
              </w:rPr>
            </w:pPr>
          </w:p>
        </w:tc>
        <w:tc>
          <w:tcPr>
            <w:tcW w:w="1020" w:type="dxa"/>
            <w:vAlign w:val="bottom"/>
            <w:tcBorders>
              <w:bottom w:val="single" w:sz="8" w:color="004054"/>
            </w:tcBorders>
            <w:shd w:val="clear" w:color="auto" w:fill="004054"/>
          </w:tcPr>
          <w:p>
            <w:pPr>
              <w:spacing w:after="0"/>
              <w:rPr>
                <w:sz w:val="4"/>
                <w:szCs w:val="4"/>
                <w:color w:val="auto"/>
              </w:rPr>
            </w:pPr>
          </w:p>
        </w:tc>
        <w:tc>
          <w:tcPr>
            <w:tcW w:w="100" w:type="dxa"/>
            <w:vAlign w:val="bottom"/>
            <w:tcBorders>
              <w:bottom w:val="single" w:sz="8" w:color="EBFBFF"/>
            </w:tcBorders>
          </w:tcPr>
          <w:p>
            <w:pPr>
              <w:spacing w:after="0"/>
              <w:rPr>
                <w:sz w:val="4"/>
                <w:szCs w:val="4"/>
                <w:color w:val="auto"/>
              </w:rPr>
            </w:pPr>
          </w:p>
        </w:tc>
        <w:tc>
          <w:tcPr>
            <w:tcW w:w="640" w:type="dxa"/>
            <w:vAlign w:val="bottom"/>
            <w:tcBorders>
              <w:bottom w:val="single" w:sz="8" w:color="004054"/>
            </w:tcBorders>
            <w:shd w:val="clear" w:color="auto" w:fill="004054"/>
          </w:tcPr>
          <w:p>
            <w:pPr>
              <w:spacing w:after="0"/>
              <w:rPr>
                <w:sz w:val="4"/>
                <w:szCs w:val="4"/>
                <w:color w:val="auto"/>
              </w:rPr>
            </w:pPr>
          </w:p>
        </w:tc>
        <w:tc>
          <w:tcPr>
            <w:tcW w:w="480" w:type="dxa"/>
            <w:vAlign w:val="bottom"/>
            <w:tcBorders>
              <w:bottom w:val="single" w:sz="8" w:color="004054"/>
            </w:tcBorders>
            <w:shd w:val="clear" w:color="auto" w:fill="004054"/>
          </w:tcPr>
          <w:p>
            <w:pPr>
              <w:spacing w:after="0"/>
              <w:rPr>
                <w:sz w:val="4"/>
                <w:szCs w:val="4"/>
                <w:color w:val="auto"/>
              </w:rPr>
            </w:pPr>
          </w:p>
        </w:tc>
        <w:tc>
          <w:tcPr>
            <w:tcW w:w="200" w:type="dxa"/>
            <w:vAlign w:val="bottom"/>
            <w:tcBorders>
              <w:bottom w:val="single" w:sz="8" w:color="004054"/>
            </w:tcBorders>
            <w:shd w:val="clear" w:color="auto" w:fill="004054"/>
          </w:tcPr>
          <w:p>
            <w:pPr>
              <w:spacing w:after="0"/>
              <w:rPr>
                <w:sz w:val="4"/>
                <w:szCs w:val="4"/>
                <w:color w:val="auto"/>
              </w:rPr>
            </w:pPr>
          </w:p>
        </w:tc>
        <w:tc>
          <w:tcPr>
            <w:tcW w:w="940" w:type="dxa"/>
            <w:vAlign w:val="bottom"/>
            <w:tcBorders>
              <w:bottom w:val="single" w:sz="8" w:color="004054"/>
            </w:tcBorders>
            <w:shd w:val="clear" w:color="auto" w:fill="004054"/>
          </w:tcPr>
          <w:p>
            <w:pPr>
              <w:spacing w:after="0"/>
              <w:rPr>
                <w:sz w:val="4"/>
                <w:szCs w:val="4"/>
                <w:color w:val="auto"/>
              </w:rPr>
            </w:pPr>
          </w:p>
        </w:tc>
        <w:tc>
          <w:tcPr>
            <w:tcW w:w="20" w:type="dxa"/>
            <w:vAlign w:val="bottom"/>
            <w:tcBorders>
              <w:bottom w:val="single" w:sz="8" w:color="004054"/>
            </w:tcBorders>
            <w:shd w:val="clear" w:color="auto" w:fill="004054"/>
          </w:tcPr>
          <w:p>
            <w:pPr>
              <w:spacing w:after="0"/>
              <w:rPr>
                <w:sz w:val="4"/>
                <w:szCs w:val="4"/>
                <w:color w:val="auto"/>
              </w:rPr>
            </w:pPr>
          </w:p>
        </w:tc>
      </w:tr>
      <w:tr>
        <w:trPr>
          <w:trHeight w:val="183"/>
        </w:trPr>
        <w:tc>
          <w:tcPr>
            <w:tcW w:w="6640" w:type="dxa"/>
            <w:vAlign w:val="bottom"/>
            <w:tcBorders>
              <w:bottom w:val="single" w:sz="8" w:color="EBFBFF"/>
            </w:tcBorders>
            <w:shd w:val="clear" w:color="auto" w:fill="EBFBFF"/>
          </w:tcPr>
          <w:p>
            <w:pPr>
              <w:ind w:left="20"/>
              <w:spacing w:after="0" w:line="163" w:lineRule="exact"/>
              <w:rPr>
                <w:sz w:val="20"/>
                <w:szCs w:val="20"/>
                <w:color w:val="auto"/>
              </w:rPr>
            </w:pPr>
            <w:r>
              <w:rPr>
                <w:rFonts w:ascii="Calibri" w:cs="Calibri" w:eastAsia="Calibri" w:hAnsi="Calibri"/>
                <w:sz w:val="14"/>
                <w:szCs w:val="14"/>
                <w:b w:val="1"/>
                <w:bCs w:val="1"/>
                <w:color w:val="51555C"/>
              </w:rPr>
              <w:t>Accumulated other comprehensive income (loss), beginning of period</w:t>
            </w:r>
          </w:p>
        </w:tc>
        <w:tc>
          <w:tcPr>
            <w:tcW w:w="380" w:type="dxa"/>
            <w:vAlign w:val="bottom"/>
            <w:tcBorders>
              <w:bottom w:val="single" w:sz="8" w:color="EBFBFF"/>
            </w:tcBorders>
            <w:shd w:val="clear" w:color="auto" w:fill="EBFBFF"/>
          </w:tcPr>
          <w:p>
            <w:pPr>
              <w:jc w:val="right"/>
              <w:ind w:right="209"/>
              <w:spacing w:after="0" w:line="163" w:lineRule="exact"/>
              <w:rPr>
                <w:sz w:val="20"/>
                <w:szCs w:val="20"/>
                <w:color w:val="auto"/>
              </w:rPr>
            </w:pPr>
            <w:r>
              <w:rPr>
                <w:rFonts w:ascii="Calibri" w:cs="Calibri" w:eastAsia="Calibri" w:hAnsi="Calibri"/>
                <w:sz w:val="14"/>
                <w:szCs w:val="14"/>
                <w:color w:val="51555C"/>
              </w:rPr>
              <w:t>$</w:t>
            </w:r>
          </w:p>
        </w:tc>
        <w:tc>
          <w:tcPr>
            <w:tcW w:w="760" w:type="dxa"/>
            <w:vAlign w:val="bottom"/>
            <w:tcBorders>
              <w:bottom w:val="single" w:sz="8" w:color="EBFBFF"/>
            </w:tcBorders>
            <w:shd w:val="clear" w:color="auto" w:fill="EBFBFF"/>
          </w:tcPr>
          <w:p>
            <w:pPr>
              <w:jc w:val="right"/>
              <w:spacing w:after="0" w:line="163" w:lineRule="exact"/>
              <w:rPr>
                <w:sz w:val="20"/>
                <w:szCs w:val="20"/>
                <w:color w:val="auto"/>
              </w:rPr>
            </w:pPr>
            <w:r>
              <w:rPr>
                <w:rFonts w:ascii="Calibri" w:cs="Calibri" w:eastAsia="Calibri" w:hAnsi="Calibri"/>
                <w:sz w:val="14"/>
                <w:szCs w:val="14"/>
                <w:color w:val="51555C"/>
              </w:rPr>
              <w:t>1,222</w:t>
            </w:r>
          </w:p>
        </w:tc>
        <w:tc>
          <w:tcPr>
            <w:tcW w:w="120" w:type="dxa"/>
            <w:vAlign w:val="bottom"/>
            <w:tcBorders>
              <w:bottom w:val="single" w:sz="8" w:color="EBFBFF"/>
            </w:tcBorders>
            <w:shd w:val="clear" w:color="auto" w:fill="EBFBFF"/>
          </w:tcPr>
          <w:p>
            <w:pPr>
              <w:jc w:val="right"/>
              <w:spacing w:after="0" w:line="163" w:lineRule="exact"/>
              <w:rPr>
                <w:sz w:val="20"/>
                <w:szCs w:val="20"/>
                <w:color w:val="auto"/>
              </w:rPr>
            </w:pPr>
            <w:r>
              <w:rPr>
                <w:rFonts w:ascii="Calibri" w:cs="Calibri" w:eastAsia="Calibri" w:hAnsi="Calibri"/>
                <w:sz w:val="14"/>
                <w:szCs w:val="14"/>
                <w:color w:val="51555C"/>
                <w:w w:val="83"/>
              </w:rPr>
              <w:t>$</w:t>
            </w:r>
          </w:p>
        </w:tc>
        <w:tc>
          <w:tcPr>
            <w:tcW w:w="1020" w:type="dxa"/>
            <w:vAlign w:val="bottom"/>
            <w:tcBorders>
              <w:bottom w:val="single" w:sz="8" w:color="EBFBFF"/>
            </w:tcBorders>
            <w:shd w:val="clear" w:color="auto" w:fill="EBFBFF"/>
          </w:tcPr>
          <w:p>
            <w:pPr>
              <w:jc w:val="right"/>
              <w:spacing w:after="0" w:line="163" w:lineRule="exact"/>
              <w:rPr>
                <w:sz w:val="20"/>
                <w:szCs w:val="20"/>
                <w:color w:val="auto"/>
              </w:rPr>
            </w:pPr>
            <w:r>
              <w:rPr>
                <w:rFonts w:ascii="Calibri" w:cs="Calibri" w:eastAsia="Calibri" w:hAnsi="Calibri"/>
                <w:sz w:val="14"/>
                <w:szCs w:val="14"/>
                <w:color w:val="51555C"/>
              </w:rPr>
              <w:t>404</w:t>
            </w:r>
          </w:p>
        </w:tc>
        <w:tc>
          <w:tcPr>
            <w:tcW w:w="740" w:type="dxa"/>
            <w:vAlign w:val="bottom"/>
            <w:tcBorders>
              <w:bottom w:val="single" w:sz="8" w:color="EBFBFF"/>
            </w:tcBorders>
            <w:gridSpan w:val="2"/>
            <w:shd w:val="clear" w:color="auto" w:fill="EBFBFF"/>
          </w:tcPr>
          <w:p>
            <w:pPr>
              <w:jc w:val="right"/>
              <w:ind w:right="489"/>
              <w:spacing w:after="0" w:line="163" w:lineRule="exact"/>
              <w:rPr>
                <w:sz w:val="20"/>
                <w:szCs w:val="20"/>
                <w:color w:val="auto"/>
              </w:rPr>
            </w:pPr>
            <w:r>
              <w:rPr>
                <w:rFonts w:ascii="Calibri" w:cs="Calibri" w:eastAsia="Calibri" w:hAnsi="Calibri"/>
                <w:sz w:val="14"/>
                <w:szCs w:val="14"/>
                <w:color w:val="51555C"/>
              </w:rPr>
              <w:t>$</w:t>
            </w:r>
          </w:p>
        </w:tc>
        <w:tc>
          <w:tcPr>
            <w:tcW w:w="480" w:type="dxa"/>
            <w:vAlign w:val="bottom"/>
            <w:tcBorders>
              <w:bottom w:val="single" w:sz="8" w:color="EBFBFF"/>
            </w:tcBorders>
            <w:shd w:val="clear" w:color="auto" w:fill="EBFBFF"/>
          </w:tcPr>
          <w:p>
            <w:pPr>
              <w:jc w:val="right"/>
              <w:spacing w:after="0" w:line="163" w:lineRule="exact"/>
              <w:rPr>
                <w:sz w:val="20"/>
                <w:szCs w:val="20"/>
                <w:color w:val="auto"/>
              </w:rPr>
            </w:pPr>
            <w:r>
              <w:rPr>
                <w:rFonts w:ascii="Calibri" w:cs="Calibri" w:eastAsia="Calibri" w:hAnsi="Calibri"/>
                <w:sz w:val="14"/>
                <w:szCs w:val="14"/>
                <w:color w:val="51555C"/>
              </w:rPr>
              <w:t>(1,688)</w:t>
            </w:r>
          </w:p>
        </w:tc>
        <w:tc>
          <w:tcPr>
            <w:tcW w:w="200" w:type="dxa"/>
            <w:vAlign w:val="bottom"/>
            <w:tcBorders>
              <w:bottom w:val="single" w:sz="8" w:color="EBFBFF"/>
            </w:tcBorders>
            <w:shd w:val="clear" w:color="auto" w:fill="EBFBFF"/>
          </w:tcPr>
          <w:p>
            <w:pPr>
              <w:jc w:val="right"/>
              <w:ind w:right="29"/>
              <w:spacing w:after="0" w:line="163" w:lineRule="exact"/>
              <w:rPr>
                <w:sz w:val="20"/>
                <w:szCs w:val="20"/>
                <w:color w:val="auto"/>
              </w:rPr>
            </w:pPr>
            <w:r>
              <w:rPr>
                <w:rFonts w:ascii="Calibri" w:cs="Calibri" w:eastAsia="Calibri" w:hAnsi="Calibri"/>
                <w:sz w:val="14"/>
                <w:szCs w:val="14"/>
                <w:color w:val="51555C"/>
              </w:rPr>
              <w:t>$</w:t>
            </w:r>
          </w:p>
        </w:tc>
        <w:tc>
          <w:tcPr>
            <w:tcW w:w="940" w:type="dxa"/>
            <w:vAlign w:val="bottom"/>
            <w:tcBorders>
              <w:bottom w:val="single" w:sz="8" w:color="EBFBFF"/>
            </w:tcBorders>
            <w:shd w:val="clear" w:color="auto" w:fill="EBFBFF"/>
          </w:tcPr>
          <w:p>
            <w:pPr>
              <w:jc w:val="right"/>
              <w:spacing w:after="0" w:line="163" w:lineRule="exact"/>
              <w:rPr>
                <w:sz w:val="20"/>
                <w:szCs w:val="20"/>
                <w:color w:val="auto"/>
              </w:rPr>
            </w:pPr>
            <w:r>
              <w:rPr>
                <w:rFonts w:ascii="Calibri" w:cs="Calibri" w:eastAsia="Calibri" w:hAnsi="Calibri"/>
                <w:sz w:val="14"/>
                <w:szCs w:val="14"/>
                <w:color w:val="51555C"/>
              </w:rPr>
              <w:t>8,938</w:t>
            </w:r>
          </w:p>
        </w:tc>
        <w:tc>
          <w:tcPr>
            <w:tcW w:w="20" w:type="dxa"/>
            <w:vAlign w:val="bottom"/>
          </w:tcPr>
          <w:p>
            <w:pPr>
              <w:spacing w:after="0"/>
              <w:rPr>
                <w:sz w:val="15"/>
                <w:szCs w:val="15"/>
                <w:color w:val="auto"/>
              </w:rPr>
            </w:pPr>
          </w:p>
        </w:tc>
      </w:tr>
      <w:tr>
        <w:trPr>
          <w:trHeight w:val="172"/>
        </w:trPr>
        <w:tc>
          <w:tcPr>
            <w:tcW w:w="6640" w:type="dxa"/>
            <w:vAlign w:val="bottom"/>
          </w:tcPr>
          <w:p>
            <w:pPr>
              <w:ind w:left="20"/>
              <w:spacing w:after="0"/>
              <w:rPr>
                <w:sz w:val="20"/>
                <w:szCs w:val="20"/>
                <w:color w:val="auto"/>
              </w:rPr>
            </w:pPr>
            <w:r>
              <w:rPr>
                <w:rFonts w:ascii="Calibri" w:cs="Calibri" w:eastAsia="Calibri" w:hAnsi="Calibri"/>
                <w:sz w:val="14"/>
                <w:szCs w:val="14"/>
                <w:b w:val="1"/>
                <w:bCs w:val="1"/>
                <w:color w:val="51555C"/>
              </w:rPr>
              <w:t>By component:</w:t>
            </w: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40"/>
        </w:trPr>
        <w:tc>
          <w:tcPr>
            <w:tcW w:w="664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92"/>
        </w:trPr>
        <w:tc>
          <w:tcPr>
            <w:tcW w:w="6640" w:type="dxa"/>
            <w:vAlign w:val="bottom"/>
            <w:tcBorders>
              <w:bottom w:val="single" w:sz="8" w:color="EBFBFF"/>
            </w:tcBorders>
            <w:shd w:val="clear" w:color="auto" w:fill="EBFBFF"/>
          </w:tcPr>
          <w:p>
            <w:pPr>
              <w:ind w:left="120"/>
              <w:spacing w:after="0"/>
              <w:rPr>
                <w:sz w:val="20"/>
                <w:szCs w:val="20"/>
                <w:color w:val="auto"/>
              </w:rPr>
            </w:pPr>
            <w:r>
              <w:rPr>
                <w:rFonts w:ascii="Calibri" w:cs="Calibri" w:eastAsia="Calibri" w:hAnsi="Calibri"/>
                <w:sz w:val="14"/>
                <w:szCs w:val="14"/>
                <w:b w:val="1"/>
                <w:bCs w:val="1"/>
                <w:color w:val="51555C"/>
              </w:rPr>
              <w:t>Gains and losses on cash fow hedges:</w:t>
            </w:r>
          </w:p>
        </w:tc>
        <w:tc>
          <w:tcPr>
            <w:tcW w:w="380" w:type="dxa"/>
            <w:vAlign w:val="bottom"/>
            <w:tcBorders>
              <w:bottom w:val="single" w:sz="8" w:color="EBFBFF"/>
            </w:tcBorders>
            <w:shd w:val="clear" w:color="auto" w:fill="EBFBFF"/>
          </w:tcPr>
          <w:p>
            <w:pPr>
              <w:spacing w:after="0"/>
              <w:rPr>
                <w:sz w:val="16"/>
                <w:szCs w:val="16"/>
                <w:color w:val="auto"/>
              </w:rPr>
            </w:pPr>
          </w:p>
        </w:tc>
        <w:tc>
          <w:tcPr>
            <w:tcW w:w="760" w:type="dxa"/>
            <w:vAlign w:val="bottom"/>
            <w:tcBorders>
              <w:bottom w:val="single" w:sz="8" w:color="EBFBFF"/>
            </w:tcBorders>
            <w:shd w:val="clear" w:color="auto" w:fill="EBFBFF"/>
          </w:tcPr>
          <w:p>
            <w:pPr>
              <w:spacing w:after="0"/>
              <w:rPr>
                <w:sz w:val="16"/>
                <w:szCs w:val="16"/>
                <w:color w:val="auto"/>
              </w:rPr>
            </w:pPr>
          </w:p>
        </w:tc>
        <w:tc>
          <w:tcPr>
            <w:tcW w:w="120" w:type="dxa"/>
            <w:vAlign w:val="bottom"/>
            <w:tcBorders>
              <w:bottom w:val="single" w:sz="8" w:color="EBFBFF"/>
            </w:tcBorders>
            <w:shd w:val="clear" w:color="auto" w:fill="EBFBFF"/>
          </w:tcPr>
          <w:p>
            <w:pPr>
              <w:spacing w:after="0"/>
              <w:rPr>
                <w:sz w:val="16"/>
                <w:szCs w:val="16"/>
                <w:color w:val="auto"/>
              </w:rPr>
            </w:pPr>
          </w:p>
        </w:tc>
        <w:tc>
          <w:tcPr>
            <w:tcW w:w="1020" w:type="dxa"/>
            <w:vAlign w:val="bottom"/>
            <w:tcBorders>
              <w:bottom w:val="single" w:sz="8" w:color="EBFBFF"/>
            </w:tcBorders>
            <w:shd w:val="clear" w:color="auto" w:fill="EBFBFF"/>
          </w:tcPr>
          <w:p>
            <w:pPr>
              <w:spacing w:after="0"/>
              <w:rPr>
                <w:sz w:val="16"/>
                <w:szCs w:val="16"/>
                <w:color w:val="auto"/>
              </w:rPr>
            </w:pPr>
          </w:p>
        </w:tc>
        <w:tc>
          <w:tcPr>
            <w:tcW w:w="100" w:type="dxa"/>
            <w:vAlign w:val="bottom"/>
            <w:tcBorders>
              <w:bottom w:val="single" w:sz="8" w:color="EBFBFF"/>
            </w:tcBorders>
            <w:shd w:val="clear" w:color="auto" w:fill="EBFBFF"/>
          </w:tcPr>
          <w:p>
            <w:pPr>
              <w:spacing w:after="0"/>
              <w:rPr>
                <w:sz w:val="16"/>
                <w:szCs w:val="16"/>
                <w:color w:val="auto"/>
              </w:rPr>
            </w:pPr>
          </w:p>
        </w:tc>
        <w:tc>
          <w:tcPr>
            <w:tcW w:w="640" w:type="dxa"/>
            <w:vAlign w:val="bottom"/>
            <w:tcBorders>
              <w:bottom w:val="single" w:sz="8" w:color="EBFBFF"/>
            </w:tcBorders>
            <w:shd w:val="clear" w:color="auto" w:fill="EBFBFF"/>
          </w:tcPr>
          <w:p>
            <w:pPr>
              <w:spacing w:after="0"/>
              <w:rPr>
                <w:sz w:val="16"/>
                <w:szCs w:val="16"/>
                <w:color w:val="auto"/>
              </w:rPr>
            </w:pPr>
          </w:p>
        </w:tc>
        <w:tc>
          <w:tcPr>
            <w:tcW w:w="480" w:type="dxa"/>
            <w:vAlign w:val="bottom"/>
            <w:tcBorders>
              <w:bottom w:val="single" w:sz="8" w:color="EBFBFF"/>
            </w:tcBorders>
            <w:shd w:val="clear" w:color="auto" w:fill="EBFBFF"/>
          </w:tcPr>
          <w:p>
            <w:pPr>
              <w:spacing w:after="0"/>
              <w:rPr>
                <w:sz w:val="16"/>
                <w:szCs w:val="16"/>
                <w:color w:val="auto"/>
              </w:rPr>
            </w:pPr>
          </w:p>
        </w:tc>
        <w:tc>
          <w:tcPr>
            <w:tcW w:w="200" w:type="dxa"/>
            <w:vAlign w:val="bottom"/>
            <w:tcBorders>
              <w:bottom w:val="single" w:sz="8" w:color="EBFBFF"/>
            </w:tcBorders>
            <w:shd w:val="clear" w:color="auto" w:fill="EBFBFF"/>
          </w:tcPr>
          <w:p>
            <w:pPr>
              <w:spacing w:after="0"/>
              <w:rPr>
                <w:sz w:val="16"/>
                <w:szCs w:val="16"/>
                <w:color w:val="auto"/>
              </w:rPr>
            </w:pPr>
          </w:p>
        </w:tc>
        <w:tc>
          <w:tcPr>
            <w:tcW w:w="940" w:type="dxa"/>
            <w:vAlign w:val="bottom"/>
            <w:tcBorders>
              <w:bottom w:val="single" w:sz="8" w:color="EBFBFF"/>
            </w:tcBorders>
            <w:shd w:val="clear" w:color="auto" w:fill="EBFBFF"/>
          </w:tcPr>
          <w:p>
            <w:pPr>
              <w:spacing w:after="0"/>
              <w:rPr>
                <w:sz w:val="16"/>
                <w:szCs w:val="16"/>
                <w:color w:val="auto"/>
              </w:rPr>
            </w:pPr>
          </w:p>
        </w:tc>
        <w:tc>
          <w:tcPr>
            <w:tcW w:w="20" w:type="dxa"/>
            <w:vAlign w:val="bottom"/>
          </w:tcPr>
          <w:p>
            <w:pPr>
              <w:spacing w:after="0"/>
              <w:rPr>
                <w:sz w:val="16"/>
                <w:szCs w:val="16"/>
                <w:color w:val="auto"/>
              </w:rPr>
            </w:pPr>
          </w:p>
        </w:tc>
      </w:tr>
      <w:tr>
        <w:trPr>
          <w:trHeight w:val="172"/>
        </w:trPr>
        <w:tc>
          <w:tcPr>
            <w:tcW w:w="6640" w:type="dxa"/>
            <w:vAlign w:val="bottom"/>
          </w:tcPr>
          <w:p>
            <w:pPr>
              <w:ind w:left="180"/>
              <w:spacing w:after="0"/>
              <w:rPr>
                <w:sz w:val="20"/>
                <w:szCs w:val="20"/>
                <w:color w:val="auto"/>
              </w:rPr>
            </w:pPr>
            <w:r>
              <w:rPr>
                <w:rFonts w:ascii="Calibri" w:cs="Calibri" w:eastAsia="Calibri" w:hAnsi="Calibri"/>
                <w:sz w:val="14"/>
                <w:szCs w:val="14"/>
                <w:color w:val="51555C"/>
              </w:rPr>
              <w:t>Accumulated other comprehensive income balance, beginning of period</w:t>
            </w:r>
          </w:p>
        </w:tc>
        <w:tc>
          <w:tcPr>
            <w:tcW w:w="380" w:type="dxa"/>
            <w:vAlign w:val="bottom"/>
          </w:tcPr>
          <w:p>
            <w:pPr>
              <w:jc w:val="right"/>
              <w:ind w:right="209"/>
              <w:spacing w:after="0"/>
              <w:rPr>
                <w:sz w:val="20"/>
                <w:szCs w:val="20"/>
                <w:color w:val="auto"/>
              </w:rPr>
            </w:pPr>
            <w:r>
              <w:rPr>
                <w:rFonts w:ascii="Calibri" w:cs="Calibri" w:eastAsia="Calibri" w:hAnsi="Calibri"/>
                <w:sz w:val="14"/>
                <w:szCs w:val="14"/>
                <w:color w:val="51555C"/>
              </w:rPr>
              <w:t>$</w:t>
            </w:r>
          </w:p>
        </w:tc>
        <w:tc>
          <w:tcPr>
            <w:tcW w:w="760" w:type="dxa"/>
            <w:vAlign w:val="bottom"/>
          </w:tcPr>
          <w:p>
            <w:pPr>
              <w:jc w:val="right"/>
              <w:spacing w:after="0"/>
              <w:rPr>
                <w:sz w:val="20"/>
                <w:szCs w:val="20"/>
                <w:color w:val="auto"/>
              </w:rPr>
            </w:pPr>
            <w:r>
              <w:rPr>
                <w:rFonts w:ascii="Calibri" w:cs="Calibri" w:eastAsia="Calibri" w:hAnsi="Calibri"/>
                <w:sz w:val="14"/>
                <w:szCs w:val="14"/>
                <w:color w:val="51555C"/>
              </w:rPr>
              <w:t>12,253</w:t>
            </w:r>
          </w:p>
        </w:tc>
        <w:tc>
          <w:tcPr>
            <w:tcW w:w="120" w:type="dxa"/>
            <w:vAlign w:val="bottom"/>
          </w:tcPr>
          <w:p>
            <w:pPr>
              <w:jc w:val="right"/>
              <w:spacing w:after="0"/>
              <w:rPr>
                <w:sz w:val="20"/>
                <w:szCs w:val="20"/>
                <w:color w:val="auto"/>
              </w:rPr>
            </w:pPr>
            <w:r>
              <w:rPr>
                <w:rFonts w:ascii="Calibri" w:cs="Calibri" w:eastAsia="Calibri" w:hAnsi="Calibri"/>
                <w:sz w:val="14"/>
                <w:szCs w:val="14"/>
                <w:color w:val="51555C"/>
                <w:w w:val="83"/>
              </w:rPr>
              <w:t>$</w:t>
            </w:r>
          </w:p>
        </w:tc>
        <w:tc>
          <w:tcPr>
            <w:tcW w:w="1020" w:type="dxa"/>
            <w:vAlign w:val="bottom"/>
          </w:tcPr>
          <w:p>
            <w:pPr>
              <w:jc w:val="right"/>
              <w:spacing w:after="0"/>
              <w:rPr>
                <w:sz w:val="20"/>
                <w:szCs w:val="20"/>
                <w:color w:val="auto"/>
              </w:rPr>
            </w:pPr>
            <w:r>
              <w:rPr>
                <w:rFonts w:ascii="Calibri" w:cs="Calibri" w:eastAsia="Calibri" w:hAnsi="Calibri"/>
                <w:sz w:val="14"/>
                <w:szCs w:val="14"/>
                <w:color w:val="51555C"/>
              </w:rPr>
              <w:t>13,141</w:t>
            </w:r>
          </w:p>
        </w:tc>
        <w:tc>
          <w:tcPr>
            <w:tcW w:w="740" w:type="dxa"/>
            <w:vAlign w:val="bottom"/>
            <w:gridSpan w:val="2"/>
          </w:tcPr>
          <w:p>
            <w:pPr>
              <w:jc w:val="right"/>
              <w:ind w:right="489"/>
              <w:spacing w:after="0"/>
              <w:rPr>
                <w:sz w:val="20"/>
                <w:szCs w:val="20"/>
                <w:color w:val="auto"/>
              </w:rPr>
            </w:pPr>
            <w:r>
              <w:rPr>
                <w:rFonts w:ascii="Calibri" w:cs="Calibri" w:eastAsia="Calibri" w:hAnsi="Calibri"/>
                <w:sz w:val="14"/>
                <w:szCs w:val="14"/>
                <w:color w:val="51555C"/>
              </w:rPr>
              <w:t>$</w:t>
            </w:r>
          </w:p>
        </w:tc>
        <w:tc>
          <w:tcPr>
            <w:tcW w:w="480" w:type="dxa"/>
            <w:vAlign w:val="bottom"/>
          </w:tcPr>
          <w:p>
            <w:pPr>
              <w:jc w:val="right"/>
              <w:spacing w:after="0"/>
              <w:rPr>
                <w:sz w:val="20"/>
                <w:szCs w:val="20"/>
                <w:color w:val="auto"/>
              </w:rPr>
            </w:pPr>
            <w:r>
              <w:rPr>
                <w:rFonts w:ascii="Calibri" w:cs="Calibri" w:eastAsia="Calibri" w:hAnsi="Calibri"/>
                <w:sz w:val="14"/>
                <w:szCs w:val="14"/>
                <w:color w:val="51555C"/>
              </w:rPr>
              <w:t>8,158</w:t>
            </w:r>
          </w:p>
        </w:tc>
        <w:tc>
          <w:tcPr>
            <w:tcW w:w="200" w:type="dxa"/>
            <w:vAlign w:val="bottom"/>
          </w:tcPr>
          <w:p>
            <w:pPr>
              <w:jc w:val="right"/>
              <w:ind w:right="29"/>
              <w:spacing w:after="0"/>
              <w:rPr>
                <w:sz w:val="20"/>
                <w:szCs w:val="20"/>
                <w:color w:val="auto"/>
              </w:rPr>
            </w:pPr>
            <w:r>
              <w:rPr>
                <w:rFonts w:ascii="Calibri" w:cs="Calibri" w:eastAsia="Calibri" w:hAnsi="Calibri"/>
                <w:sz w:val="14"/>
                <w:szCs w:val="14"/>
                <w:color w:val="51555C"/>
              </w:rPr>
              <w:t>$</w:t>
            </w:r>
          </w:p>
        </w:tc>
        <w:tc>
          <w:tcPr>
            <w:tcW w:w="940" w:type="dxa"/>
            <w:vAlign w:val="bottom"/>
          </w:tcPr>
          <w:p>
            <w:pPr>
              <w:jc w:val="right"/>
              <w:spacing w:after="0"/>
              <w:rPr>
                <w:sz w:val="20"/>
                <w:szCs w:val="20"/>
                <w:color w:val="auto"/>
              </w:rPr>
            </w:pPr>
            <w:r>
              <w:rPr>
                <w:rFonts w:ascii="Calibri" w:cs="Calibri" w:eastAsia="Calibri" w:hAnsi="Calibri"/>
                <w:sz w:val="14"/>
                <w:szCs w:val="14"/>
                <w:color w:val="51555C"/>
              </w:rPr>
              <w:t>23,833</w:t>
            </w:r>
          </w:p>
        </w:tc>
        <w:tc>
          <w:tcPr>
            <w:tcW w:w="20" w:type="dxa"/>
            <w:vAlign w:val="bottom"/>
          </w:tcPr>
          <w:p>
            <w:pPr>
              <w:spacing w:after="0"/>
              <w:rPr>
                <w:sz w:val="14"/>
                <w:szCs w:val="14"/>
                <w:color w:val="auto"/>
              </w:rPr>
            </w:pPr>
          </w:p>
        </w:tc>
      </w:tr>
      <w:tr>
        <w:trPr>
          <w:trHeight w:val="40"/>
        </w:trPr>
        <w:tc>
          <w:tcPr>
            <w:tcW w:w="664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35"/>
        </w:trPr>
        <w:tc>
          <w:tcPr>
            <w:tcW w:w="6640" w:type="dxa"/>
            <w:vAlign w:val="bottom"/>
            <w:tcBorders>
              <w:bottom w:val="single" w:sz="8" w:color="EBFBFF"/>
            </w:tcBorders>
            <w:shd w:val="clear" w:color="auto" w:fill="EBFBFF"/>
          </w:tcPr>
          <w:p>
            <w:pPr>
              <w:ind w:left="280"/>
              <w:spacing w:after="0"/>
              <w:rPr>
                <w:sz w:val="20"/>
                <w:szCs w:val="20"/>
                <w:color w:val="auto"/>
              </w:rPr>
            </w:pPr>
            <w:r>
              <w:rPr>
                <w:rFonts w:ascii="Calibri" w:cs="Calibri" w:eastAsia="Calibri" w:hAnsi="Calibri"/>
                <w:sz w:val="14"/>
                <w:szCs w:val="14"/>
                <w:color w:val="51555C"/>
              </w:rPr>
              <w:t>Other comprehensive income before reclassifcatons, net of tax efects of $(974), $(3,238), $(3,940) and $(672)</w:t>
            </w:r>
          </w:p>
        </w:tc>
        <w:tc>
          <w:tcPr>
            <w:tcW w:w="380" w:type="dxa"/>
            <w:vAlign w:val="bottom"/>
            <w:tcBorders>
              <w:bottom w:val="single" w:sz="8" w:color="EBFBFF"/>
            </w:tcBorders>
            <w:shd w:val="clear" w:color="auto" w:fill="EBFBFF"/>
          </w:tcPr>
          <w:p>
            <w:pPr>
              <w:spacing w:after="0"/>
              <w:rPr>
                <w:sz w:val="20"/>
                <w:szCs w:val="20"/>
                <w:color w:val="auto"/>
              </w:rPr>
            </w:pPr>
          </w:p>
        </w:tc>
        <w:tc>
          <w:tcPr>
            <w:tcW w:w="7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2,731</w:t>
            </w:r>
          </w:p>
        </w:tc>
        <w:tc>
          <w:tcPr>
            <w:tcW w:w="120" w:type="dxa"/>
            <w:vAlign w:val="bottom"/>
            <w:tcBorders>
              <w:bottom w:val="single" w:sz="8" w:color="EBFBFF"/>
            </w:tcBorders>
            <w:shd w:val="clear" w:color="auto" w:fill="EBFBFF"/>
          </w:tcPr>
          <w:p>
            <w:pPr>
              <w:spacing w:after="0"/>
              <w:rPr>
                <w:sz w:val="20"/>
                <w:szCs w:val="20"/>
                <w:color w:val="auto"/>
              </w:rPr>
            </w:pPr>
          </w:p>
        </w:tc>
        <w:tc>
          <w:tcPr>
            <w:tcW w:w="10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9,231</w:t>
            </w:r>
          </w:p>
        </w:tc>
        <w:tc>
          <w:tcPr>
            <w:tcW w:w="100" w:type="dxa"/>
            <w:vAlign w:val="bottom"/>
            <w:tcBorders>
              <w:bottom w:val="single" w:sz="8" w:color="EBFBFF"/>
            </w:tcBorders>
            <w:shd w:val="clear" w:color="auto" w:fill="EBFBFF"/>
          </w:tcPr>
          <w:p>
            <w:pPr>
              <w:spacing w:after="0"/>
              <w:rPr>
                <w:sz w:val="20"/>
                <w:szCs w:val="20"/>
                <w:color w:val="auto"/>
              </w:rPr>
            </w:pPr>
          </w:p>
        </w:tc>
        <w:tc>
          <w:tcPr>
            <w:tcW w:w="640" w:type="dxa"/>
            <w:vAlign w:val="bottom"/>
            <w:tcBorders>
              <w:bottom w:val="single" w:sz="8" w:color="EBFBFF"/>
            </w:tcBorders>
            <w:shd w:val="clear" w:color="auto" w:fill="EBFBFF"/>
          </w:tcPr>
          <w:p>
            <w:pPr>
              <w:spacing w:after="0"/>
              <w:rPr>
                <w:sz w:val="20"/>
                <w:szCs w:val="20"/>
                <w:color w:val="auto"/>
              </w:rPr>
            </w:pPr>
          </w:p>
        </w:tc>
        <w:tc>
          <w:tcPr>
            <w:tcW w:w="4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10,852</w:t>
            </w:r>
          </w:p>
        </w:tc>
        <w:tc>
          <w:tcPr>
            <w:tcW w:w="200" w:type="dxa"/>
            <w:vAlign w:val="bottom"/>
            <w:tcBorders>
              <w:bottom w:val="single" w:sz="8" w:color="EBFBFF"/>
            </w:tcBorders>
            <w:shd w:val="clear" w:color="auto" w:fill="EBFBFF"/>
          </w:tcPr>
          <w:p>
            <w:pPr>
              <w:spacing w:after="0"/>
              <w:rPr>
                <w:sz w:val="20"/>
                <w:szCs w:val="20"/>
                <w:color w:val="auto"/>
              </w:rPr>
            </w:pPr>
          </w:p>
        </w:tc>
        <w:tc>
          <w:tcPr>
            <w:tcW w:w="9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1,942</w:t>
            </w:r>
          </w:p>
        </w:tc>
        <w:tc>
          <w:tcPr>
            <w:tcW w:w="20" w:type="dxa"/>
            <w:vAlign w:val="bottom"/>
          </w:tcPr>
          <w:p>
            <w:pPr>
              <w:spacing w:after="0"/>
              <w:rPr>
                <w:sz w:val="20"/>
                <w:szCs w:val="20"/>
                <w:color w:val="auto"/>
              </w:rPr>
            </w:pPr>
          </w:p>
        </w:tc>
      </w:tr>
      <w:tr>
        <w:trPr>
          <w:trHeight w:val="172"/>
        </w:trPr>
        <w:tc>
          <w:tcPr>
            <w:tcW w:w="6640" w:type="dxa"/>
            <w:vAlign w:val="bottom"/>
          </w:tcPr>
          <w:p>
            <w:pPr>
              <w:ind w:left="360"/>
              <w:spacing w:after="0"/>
              <w:rPr>
                <w:sz w:val="20"/>
                <w:szCs w:val="20"/>
                <w:color w:val="auto"/>
              </w:rPr>
            </w:pPr>
            <w:r>
              <w:rPr>
                <w:rFonts w:ascii="Calibri" w:cs="Calibri" w:eastAsia="Calibri" w:hAnsi="Calibri"/>
                <w:sz w:val="14"/>
                <w:szCs w:val="14"/>
                <w:color w:val="51555C"/>
              </w:rPr>
              <w:t>Amounts reclassifed from accumulated other comprehensive income</w:t>
            </w:r>
          </w:p>
        </w:tc>
        <w:tc>
          <w:tcPr>
            <w:tcW w:w="3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alibri" w:cs="Calibri" w:eastAsia="Calibri" w:hAnsi="Calibri"/>
                <w:sz w:val="14"/>
                <w:szCs w:val="14"/>
                <w:color w:val="51555C"/>
              </w:rPr>
              <w:t>(5,585)</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alibri" w:cs="Calibri" w:eastAsia="Calibri" w:hAnsi="Calibri"/>
                <w:sz w:val="14"/>
                <w:szCs w:val="14"/>
                <w:color w:val="51555C"/>
              </w:rPr>
              <w:t>(5,192)</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alibri" w:cs="Calibri" w:eastAsia="Calibri" w:hAnsi="Calibri"/>
                <w:sz w:val="14"/>
                <w:szCs w:val="14"/>
                <w:color w:val="51555C"/>
                <w:w w:val="92"/>
              </w:rPr>
              <w:t>(11,092)</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alibri" w:cs="Calibri" w:eastAsia="Calibri" w:hAnsi="Calibri"/>
                <w:sz w:val="14"/>
                <w:szCs w:val="14"/>
                <w:color w:val="51555C"/>
              </w:rPr>
              <w:t>(9,816)</w:t>
            </w:r>
          </w:p>
        </w:tc>
        <w:tc>
          <w:tcPr>
            <w:tcW w:w="20" w:type="dxa"/>
            <w:vAlign w:val="bottom"/>
          </w:tcPr>
          <w:p>
            <w:pPr>
              <w:spacing w:after="0"/>
              <w:rPr>
                <w:sz w:val="14"/>
                <w:szCs w:val="14"/>
                <w:color w:val="auto"/>
              </w:rPr>
            </w:pPr>
          </w:p>
        </w:tc>
      </w:tr>
      <w:tr>
        <w:trPr>
          <w:trHeight w:val="40"/>
        </w:trPr>
        <w:tc>
          <w:tcPr>
            <w:tcW w:w="664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12"/>
        </w:trPr>
        <w:tc>
          <w:tcPr>
            <w:tcW w:w="6640" w:type="dxa"/>
            <w:vAlign w:val="bottom"/>
            <w:tcBorders>
              <w:bottom w:val="single" w:sz="8" w:color="EBFBFF"/>
            </w:tcBorders>
            <w:shd w:val="clear" w:color="auto" w:fill="EBFBFF"/>
          </w:tcPr>
          <w:p>
            <w:pPr>
              <w:ind w:left="360"/>
              <w:spacing w:after="0"/>
              <w:rPr>
                <w:sz w:val="20"/>
                <w:szCs w:val="20"/>
                <w:color w:val="auto"/>
              </w:rPr>
            </w:pPr>
            <w:r>
              <w:rPr>
                <w:rFonts w:ascii="Calibri" w:cs="Calibri" w:eastAsia="Calibri" w:hAnsi="Calibri"/>
                <w:sz w:val="14"/>
                <w:szCs w:val="14"/>
                <w:color w:val="51555C"/>
              </w:rPr>
              <w:t>Tax expense included in provision for income taxes</w:t>
            </w:r>
          </w:p>
        </w:tc>
        <w:tc>
          <w:tcPr>
            <w:tcW w:w="380" w:type="dxa"/>
            <w:vAlign w:val="bottom"/>
            <w:tcBorders>
              <w:bottom w:val="single" w:sz="8" w:color="EBFBFF"/>
            </w:tcBorders>
            <w:shd w:val="clear" w:color="auto" w:fill="EBFBFF"/>
          </w:tcPr>
          <w:p>
            <w:pPr>
              <w:spacing w:after="0"/>
              <w:rPr>
                <w:sz w:val="18"/>
                <w:szCs w:val="18"/>
                <w:color w:val="auto"/>
              </w:rPr>
            </w:pPr>
          </w:p>
        </w:tc>
        <w:tc>
          <w:tcPr>
            <w:tcW w:w="7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1,468</w:t>
            </w:r>
          </w:p>
        </w:tc>
        <w:tc>
          <w:tcPr>
            <w:tcW w:w="120" w:type="dxa"/>
            <w:vAlign w:val="bottom"/>
            <w:tcBorders>
              <w:bottom w:val="single" w:sz="8" w:color="EBFBFF"/>
            </w:tcBorders>
            <w:shd w:val="clear" w:color="auto" w:fill="EBFBFF"/>
          </w:tcPr>
          <w:p>
            <w:pPr>
              <w:spacing w:after="0"/>
              <w:rPr>
                <w:sz w:val="18"/>
                <w:szCs w:val="18"/>
                <w:color w:val="auto"/>
              </w:rPr>
            </w:pPr>
          </w:p>
        </w:tc>
        <w:tc>
          <w:tcPr>
            <w:tcW w:w="10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1,344</w:t>
            </w:r>
          </w:p>
        </w:tc>
        <w:tc>
          <w:tcPr>
            <w:tcW w:w="100" w:type="dxa"/>
            <w:vAlign w:val="bottom"/>
            <w:tcBorders>
              <w:bottom w:val="single" w:sz="8" w:color="EBFBFF"/>
            </w:tcBorders>
            <w:shd w:val="clear" w:color="auto" w:fill="EBFBFF"/>
          </w:tcPr>
          <w:p>
            <w:pPr>
              <w:spacing w:after="0"/>
              <w:rPr>
                <w:sz w:val="18"/>
                <w:szCs w:val="18"/>
                <w:color w:val="auto"/>
              </w:rPr>
            </w:pPr>
          </w:p>
        </w:tc>
        <w:tc>
          <w:tcPr>
            <w:tcW w:w="640" w:type="dxa"/>
            <w:vAlign w:val="bottom"/>
            <w:tcBorders>
              <w:bottom w:val="single" w:sz="8" w:color="EBFBFF"/>
            </w:tcBorders>
            <w:shd w:val="clear" w:color="auto" w:fill="EBFBFF"/>
          </w:tcPr>
          <w:p>
            <w:pPr>
              <w:spacing w:after="0"/>
              <w:rPr>
                <w:sz w:val="18"/>
                <w:szCs w:val="18"/>
                <w:color w:val="auto"/>
              </w:rPr>
            </w:pPr>
          </w:p>
        </w:tc>
        <w:tc>
          <w:tcPr>
            <w:tcW w:w="4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2,949</w:t>
            </w:r>
          </w:p>
        </w:tc>
        <w:tc>
          <w:tcPr>
            <w:tcW w:w="200" w:type="dxa"/>
            <w:vAlign w:val="bottom"/>
            <w:tcBorders>
              <w:bottom w:val="single" w:sz="8" w:color="EBFBFF"/>
            </w:tcBorders>
            <w:shd w:val="clear" w:color="auto" w:fill="EBFBFF"/>
          </w:tcPr>
          <w:p>
            <w:pPr>
              <w:spacing w:after="0"/>
              <w:rPr>
                <w:sz w:val="18"/>
                <w:szCs w:val="18"/>
                <w:color w:val="auto"/>
              </w:rPr>
            </w:pPr>
          </w:p>
        </w:tc>
        <w:tc>
          <w:tcPr>
            <w:tcW w:w="9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2,565</w:t>
            </w:r>
          </w:p>
        </w:tc>
        <w:tc>
          <w:tcPr>
            <w:tcW w:w="20" w:type="dxa"/>
            <w:vAlign w:val="bottom"/>
          </w:tcPr>
          <w:p>
            <w:pPr>
              <w:spacing w:after="0"/>
              <w:rPr>
                <w:sz w:val="18"/>
                <w:szCs w:val="18"/>
                <w:color w:val="auto"/>
              </w:rPr>
            </w:pPr>
          </w:p>
        </w:tc>
      </w:tr>
      <w:tr>
        <w:trPr>
          <w:trHeight w:val="163"/>
        </w:trPr>
        <w:tc>
          <w:tcPr>
            <w:tcW w:w="6640" w:type="dxa"/>
            <w:vAlign w:val="bottom"/>
          </w:tcPr>
          <w:p>
            <w:pPr>
              <w:ind w:left="280"/>
              <w:spacing w:after="0" w:line="163" w:lineRule="exact"/>
              <w:rPr>
                <w:sz w:val="20"/>
                <w:szCs w:val="20"/>
                <w:color w:val="auto"/>
              </w:rPr>
            </w:pPr>
            <w:r>
              <w:rPr>
                <w:rFonts w:ascii="Calibri" w:cs="Calibri" w:eastAsia="Calibri" w:hAnsi="Calibri"/>
                <w:sz w:val="14"/>
                <w:szCs w:val="14"/>
                <w:color w:val="51555C"/>
              </w:rPr>
              <w:t>Total amounts reclassifed from accumulated other comprehensive income</w:t>
            </w:r>
          </w:p>
        </w:tc>
        <w:tc>
          <w:tcPr>
            <w:tcW w:w="380" w:type="dxa"/>
            <w:vAlign w:val="bottom"/>
            <w:tcBorders>
              <w:top w:val="single" w:sz="8" w:color="51555C"/>
            </w:tcBorders>
          </w:tcPr>
          <w:p>
            <w:pPr>
              <w:spacing w:after="0"/>
              <w:rPr>
                <w:sz w:val="14"/>
                <w:szCs w:val="14"/>
                <w:color w:val="auto"/>
              </w:rPr>
            </w:pPr>
          </w:p>
        </w:tc>
        <w:tc>
          <w:tcPr>
            <w:tcW w:w="760" w:type="dxa"/>
            <w:vAlign w:val="bottom"/>
            <w:tcBorders>
              <w:top w:val="single" w:sz="8" w:color="51555C"/>
            </w:tcBorders>
          </w:tcPr>
          <w:p>
            <w:pPr>
              <w:jc w:val="right"/>
              <w:spacing w:after="0" w:line="163" w:lineRule="exact"/>
              <w:rPr>
                <w:sz w:val="20"/>
                <w:szCs w:val="20"/>
                <w:color w:val="auto"/>
              </w:rPr>
            </w:pPr>
            <w:r>
              <w:rPr>
                <w:rFonts w:ascii="Calibri" w:cs="Calibri" w:eastAsia="Calibri" w:hAnsi="Calibri"/>
                <w:sz w:val="14"/>
                <w:szCs w:val="14"/>
                <w:color w:val="51555C"/>
              </w:rPr>
              <w:t>(4,117)</w:t>
            </w:r>
          </w:p>
        </w:tc>
        <w:tc>
          <w:tcPr>
            <w:tcW w:w="120" w:type="dxa"/>
            <w:vAlign w:val="bottom"/>
            <w:tcBorders>
              <w:top w:val="single" w:sz="8" w:color="51555C"/>
            </w:tcBorders>
          </w:tcPr>
          <w:p>
            <w:pPr>
              <w:spacing w:after="0"/>
              <w:rPr>
                <w:sz w:val="14"/>
                <w:szCs w:val="14"/>
                <w:color w:val="auto"/>
              </w:rPr>
            </w:pPr>
          </w:p>
        </w:tc>
        <w:tc>
          <w:tcPr>
            <w:tcW w:w="1020" w:type="dxa"/>
            <w:vAlign w:val="bottom"/>
            <w:tcBorders>
              <w:top w:val="single" w:sz="8" w:color="51555C"/>
            </w:tcBorders>
          </w:tcPr>
          <w:p>
            <w:pPr>
              <w:jc w:val="right"/>
              <w:spacing w:after="0" w:line="163" w:lineRule="exact"/>
              <w:rPr>
                <w:sz w:val="20"/>
                <w:szCs w:val="20"/>
                <w:color w:val="auto"/>
              </w:rPr>
            </w:pPr>
            <w:r>
              <w:rPr>
                <w:rFonts w:ascii="Calibri" w:cs="Calibri" w:eastAsia="Calibri" w:hAnsi="Calibri"/>
                <w:sz w:val="14"/>
                <w:szCs w:val="14"/>
                <w:color w:val="51555C"/>
              </w:rPr>
              <w:t>(3,848)</w:t>
            </w:r>
          </w:p>
        </w:tc>
        <w:tc>
          <w:tcPr>
            <w:tcW w:w="100" w:type="dxa"/>
            <w:vAlign w:val="bottom"/>
          </w:tcPr>
          <w:p>
            <w:pPr>
              <w:spacing w:after="0"/>
              <w:rPr>
                <w:sz w:val="14"/>
                <w:szCs w:val="14"/>
                <w:color w:val="auto"/>
              </w:rPr>
            </w:pPr>
          </w:p>
        </w:tc>
        <w:tc>
          <w:tcPr>
            <w:tcW w:w="640" w:type="dxa"/>
            <w:vAlign w:val="bottom"/>
            <w:tcBorders>
              <w:top w:val="single" w:sz="8" w:color="51555C"/>
            </w:tcBorders>
          </w:tcPr>
          <w:p>
            <w:pPr>
              <w:spacing w:after="0"/>
              <w:rPr>
                <w:sz w:val="14"/>
                <w:szCs w:val="14"/>
                <w:color w:val="auto"/>
              </w:rPr>
            </w:pPr>
          </w:p>
        </w:tc>
        <w:tc>
          <w:tcPr>
            <w:tcW w:w="480" w:type="dxa"/>
            <w:vAlign w:val="bottom"/>
            <w:tcBorders>
              <w:top w:val="single" w:sz="8" w:color="51555C"/>
            </w:tcBorders>
          </w:tcPr>
          <w:p>
            <w:pPr>
              <w:jc w:val="right"/>
              <w:spacing w:after="0" w:line="163" w:lineRule="exact"/>
              <w:rPr>
                <w:sz w:val="20"/>
                <w:szCs w:val="20"/>
                <w:color w:val="auto"/>
              </w:rPr>
            </w:pPr>
            <w:r>
              <w:rPr>
                <w:rFonts w:ascii="Calibri" w:cs="Calibri" w:eastAsia="Calibri" w:hAnsi="Calibri"/>
                <w:sz w:val="14"/>
                <w:szCs w:val="14"/>
                <w:color w:val="51555C"/>
              </w:rPr>
              <w:t>(8,143)</w:t>
            </w:r>
          </w:p>
        </w:tc>
        <w:tc>
          <w:tcPr>
            <w:tcW w:w="200" w:type="dxa"/>
            <w:vAlign w:val="bottom"/>
            <w:tcBorders>
              <w:top w:val="single" w:sz="8" w:color="51555C"/>
            </w:tcBorders>
          </w:tcPr>
          <w:p>
            <w:pPr>
              <w:spacing w:after="0"/>
              <w:rPr>
                <w:sz w:val="14"/>
                <w:szCs w:val="14"/>
                <w:color w:val="auto"/>
              </w:rPr>
            </w:pPr>
          </w:p>
        </w:tc>
        <w:tc>
          <w:tcPr>
            <w:tcW w:w="940" w:type="dxa"/>
            <w:vAlign w:val="bottom"/>
            <w:tcBorders>
              <w:top w:val="single" w:sz="8" w:color="51555C"/>
            </w:tcBorders>
          </w:tcPr>
          <w:p>
            <w:pPr>
              <w:jc w:val="right"/>
              <w:spacing w:after="0" w:line="163" w:lineRule="exact"/>
              <w:rPr>
                <w:sz w:val="20"/>
                <w:szCs w:val="20"/>
                <w:color w:val="auto"/>
              </w:rPr>
            </w:pPr>
            <w:r>
              <w:rPr>
                <w:rFonts w:ascii="Calibri" w:cs="Calibri" w:eastAsia="Calibri" w:hAnsi="Calibri"/>
                <w:sz w:val="14"/>
                <w:szCs w:val="14"/>
                <w:color w:val="51555C"/>
              </w:rPr>
              <w:t>(7,251)</w:t>
            </w:r>
          </w:p>
        </w:tc>
        <w:tc>
          <w:tcPr>
            <w:tcW w:w="20" w:type="dxa"/>
            <w:vAlign w:val="bottom"/>
          </w:tcPr>
          <w:p>
            <w:pPr>
              <w:spacing w:after="0"/>
              <w:rPr>
                <w:sz w:val="14"/>
                <w:szCs w:val="14"/>
                <w:color w:val="auto"/>
              </w:rPr>
            </w:pPr>
          </w:p>
        </w:tc>
      </w:tr>
      <w:tr>
        <w:trPr>
          <w:trHeight w:val="40"/>
        </w:trPr>
        <w:tc>
          <w:tcPr>
            <w:tcW w:w="6640" w:type="dxa"/>
            <w:vAlign w:val="bottom"/>
            <w:tcBorders>
              <w:bottom w:val="single" w:sz="8" w:color="EBFBFF"/>
            </w:tcBorders>
          </w:tcPr>
          <w:p>
            <w:pPr>
              <w:spacing w:after="0"/>
              <w:rPr>
                <w:sz w:val="3"/>
                <w:szCs w:val="3"/>
                <w:color w:val="auto"/>
              </w:rPr>
            </w:pPr>
          </w:p>
        </w:tc>
        <w:tc>
          <w:tcPr>
            <w:tcW w:w="380" w:type="dxa"/>
            <w:vAlign w:val="bottom"/>
            <w:tcBorders>
              <w:bottom w:val="single" w:sz="8" w:color="51555C"/>
            </w:tcBorders>
          </w:tcPr>
          <w:p>
            <w:pPr>
              <w:spacing w:after="0"/>
              <w:rPr>
                <w:sz w:val="3"/>
                <w:szCs w:val="3"/>
                <w:color w:val="auto"/>
              </w:rPr>
            </w:pPr>
          </w:p>
        </w:tc>
        <w:tc>
          <w:tcPr>
            <w:tcW w:w="760" w:type="dxa"/>
            <w:vAlign w:val="bottom"/>
            <w:tcBorders>
              <w:bottom w:val="single" w:sz="8" w:color="51555C"/>
            </w:tcBorders>
          </w:tcPr>
          <w:p>
            <w:pPr>
              <w:spacing w:after="0"/>
              <w:rPr>
                <w:sz w:val="3"/>
                <w:szCs w:val="3"/>
                <w:color w:val="auto"/>
              </w:rPr>
            </w:pPr>
          </w:p>
        </w:tc>
        <w:tc>
          <w:tcPr>
            <w:tcW w:w="120" w:type="dxa"/>
            <w:vAlign w:val="bottom"/>
            <w:tcBorders>
              <w:bottom w:val="single" w:sz="8" w:color="51555C"/>
            </w:tcBorders>
          </w:tcPr>
          <w:p>
            <w:pPr>
              <w:spacing w:after="0"/>
              <w:rPr>
                <w:sz w:val="3"/>
                <w:szCs w:val="3"/>
                <w:color w:val="auto"/>
              </w:rPr>
            </w:pPr>
          </w:p>
        </w:tc>
        <w:tc>
          <w:tcPr>
            <w:tcW w:w="1020" w:type="dxa"/>
            <w:vAlign w:val="bottom"/>
            <w:tcBorders>
              <w:bottom w:val="single" w:sz="8" w:color="51555C"/>
            </w:tcBorders>
          </w:tcPr>
          <w:p>
            <w:pPr>
              <w:spacing w:after="0"/>
              <w:rPr>
                <w:sz w:val="3"/>
                <w:szCs w:val="3"/>
                <w:color w:val="auto"/>
              </w:rPr>
            </w:pPr>
          </w:p>
        </w:tc>
        <w:tc>
          <w:tcPr>
            <w:tcW w:w="100" w:type="dxa"/>
            <w:vAlign w:val="bottom"/>
            <w:tcBorders>
              <w:bottom w:val="single" w:sz="8" w:color="EBFBFF"/>
            </w:tcBorders>
          </w:tcPr>
          <w:p>
            <w:pPr>
              <w:spacing w:after="0"/>
              <w:rPr>
                <w:sz w:val="3"/>
                <w:szCs w:val="3"/>
                <w:color w:val="auto"/>
              </w:rPr>
            </w:pPr>
          </w:p>
        </w:tc>
        <w:tc>
          <w:tcPr>
            <w:tcW w:w="640" w:type="dxa"/>
            <w:vAlign w:val="bottom"/>
            <w:tcBorders>
              <w:bottom w:val="single" w:sz="8" w:color="51555C"/>
            </w:tcBorders>
          </w:tcPr>
          <w:p>
            <w:pPr>
              <w:spacing w:after="0"/>
              <w:rPr>
                <w:sz w:val="3"/>
                <w:szCs w:val="3"/>
                <w:color w:val="auto"/>
              </w:rPr>
            </w:pPr>
          </w:p>
        </w:tc>
        <w:tc>
          <w:tcPr>
            <w:tcW w:w="480" w:type="dxa"/>
            <w:vAlign w:val="bottom"/>
            <w:tcBorders>
              <w:bottom w:val="single" w:sz="8" w:color="51555C"/>
            </w:tcBorders>
          </w:tcPr>
          <w:p>
            <w:pPr>
              <w:spacing w:after="0"/>
              <w:rPr>
                <w:sz w:val="3"/>
                <w:szCs w:val="3"/>
                <w:color w:val="auto"/>
              </w:rPr>
            </w:pPr>
          </w:p>
        </w:tc>
        <w:tc>
          <w:tcPr>
            <w:tcW w:w="200" w:type="dxa"/>
            <w:vAlign w:val="bottom"/>
            <w:tcBorders>
              <w:bottom w:val="single" w:sz="8" w:color="51555C"/>
            </w:tcBorders>
          </w:tcPr>
          <w:p>
            <w:pPr>
              <w:spacing w:after="0"/>
              <w:rPr>
                <w:sz w:val="3"/>
                <w:szCs w:val="3"/>
                <w:color w:val="auto"/>
              </w:rPr>
            </w:pPr>
          </w:p>
        </w:tc>
        <w:tc>
          <w:tcPr>
            <w:tcW w:w="940" w:type="dxa"/>
            <w:vAlign w:val="bottom"/>
            <w:tcBorders>
              <w:bottom w:val="single" w:sz="8" w:color="51555C"/>
            </w:tcBorders>
          </w:tcPr>
          <w:p>
            <w:pPr>
              <w:spacing w:after="0"/>
              <w:rPr>
                <w:sz w:val="3"/>
                <w:szCs w:val="3"/>
                <w:color w:val="auto"/>
              </w:rPr>
            </w:pPr>
          </w:p>
        </w:tc>
        <w:tc>
          <w:tcPr>
            <w:tcW w:w="20" w:type="dxa"/>
            <w:vAlign w:val="bottom"/>
          </w:tcPr>
          <w:p>
            <w:pPr>
              <w:spacing w:after="0"/>
              <w:rPr>
                <w:sz w:val="3"/>
                <w:szCs w:val="3"/>
                <w:color w:val="auto"/>
              </w:rPr>
            </w:pPr>
          </w:p>
        </w:tc>
      </w:tr>
      <w:tr>
        <w:trPr>
          <w:trHeight w:val="203"/>
        </w:trPr>
        <w:tc>
          <w:tcPr>
            <w:tcW w:w="6640" w:type="dxa"/>
            <w:vAlign w:val="bottom"/>
            <w:tcBorders>
              <w:bottom w:val="single" w:sz="8" w:color="EBFBFF"/>
            </w:tcBorders>
            <w:shd w:val="clear" w:color="auto" w:fill="EBFBFF"/>
          </w:tcPr>
          <w:p>
            <w:pPr>
              <w:ind w:left="180"/>
              <w:spacing w:after="0" w:line="163" w:lineRule="exact"/>
              <w:rPr>
                <w:sz w:val="20"/>
                <w:szCs w:val="20"/>
                <w:color w:val="auto"/>
              </w:rPr>
            </w:pPr>
            <w:r>
              <w:rPr>
                <w:rFonts w:ascii="Calibri" w:cs="Calibri" w:eastAsia="Calibri" w:hAnsi="Calibri"/>
                <w:sz w:val="14"/>
                <w:szCs w:val="14"/>
                <w:color w:val="51555C"/>
              </w:rPr>
              <w:t>Net current-period other comprehensive (loss) income</w:t>
            </w:r>
          </w:p>
        </w:tc>
        <w:tc>
          <w:tcPr>
            <w:tcW w:w="380" w:type="dxa"/>
            <w:vAlign w:val="bottom"/>
            <w:tcBorders>
              <w:bottom w:val="single" w:sz="8" w:color="EBFBFF"/>
            </w:tcBorders>
            <w:shd w:val="clear" w:color="auto" w:fill="EBFBFF"/>
          </w:tcPr>
          <w:p>
            <w:pPr>
              <w:spacing w:after="0"/>
              <w:rPr>
                <w:sz w:val="17"/>
                <w:szCs w:val="17"/>
                <w:color w:val="auto"/>
              </w:rPr>
            </w:pPr>
          </w:p>
        </w:tc>
        <w:tc>
          <w:tcPr>
            <w:tcW w:w="760" w:type="dxa"/>
            <w:vAlign w:val="bottom"/>
            <w:tcBorders>
              <w:bottom w:val="single" w:sz="8" w:color="EBFBFF"/>
            </w:tcBorders>
            <w:shd w:val="clear" w:color="auto" w:fill="EBFBFF"/>
          </w:tcPr>
          <w:p>
            <w:pPr>
              <w:jc w:val="right"/>
              <w:spacing w:after="0" w:line="163" w:lineRule="exact"/>
              <w:rPr>
                <w:sz w:val="20"/>
                <w:szCs w:val="20"/>
                <w:color w:val="auto"/>
              </w:rPr>
            </w:pPr>
            <w:r>
              <w:rPr>
                <w:rFonts w:ascii="Calibri" w:cs="Calibri" w:eastAsia="Calibri" w:hAnsi="Calibri"/>
                <w:sz w:val="14"/>
                <w:szCs w:val="14"/>
                <w:color w:val="51555C"/>
              </w:rPr>
              <w:t>(1,386)</w:t>
            </w:r>
          </w:p>
        </w:tc>
        <w:tc>
          <w:tcPr>
            <w:tcW w:w="120" w:type="dxa"/>
            <w:vAlign w:val="bottom"/>
            <w:tcBorders>
              <w:bottom w:val="single" w:sz="8" w:color="EBFBFF"/>
            </w:tcBorders>
            <w:shd w:val="clear" w:color="auto" w:fill="EBFBFF"/>
          </w:tcPr>
          <w:p>
            <w:pPr>
              <w:spacing w:after="0"/>
              <w:rPr>
                <w:sz w:val="17"/>
                <w:szCs w:val="17"/>
                <w:color w:val="auto"/>
              </w:rPr>
            </w:pPr>
          </w:p>
        </w:tc>
        <w:tc>
          <w:tcPr>
            <w:tcW w:w="1020" w:type="dxa"/>
            <w:vAlign w:val="bottom"/>
            <w:tcBorders>
              <w:bottom w:val="single" w:sz="8" w:color="EBFBFF"/>
            </w:tcBorders>
            <w:shd w:val="clear" w:color="auto" w:fill="EBFBFF"/>
          </w:tcPr>
          <w:p>
            <w:pPr>
              <w:jc w:val="right"/>
              <w:spacing w:after="0" w:line="163" w:lineRule="exact"/>
              <w:rPr>
                <w:sz w:val="20"/>
                <w:szCs w:val="20"/>
                <w:color w:val="auto"/>
              </w:rPr>
            </w:pPr>
            <w:r>
              <w:rPr>
                <w:rFonts w:ascii="Calibri" w:cs="Calibri" w:eastAsia="Calibri" w:hAnsi="Calibri"/>
                <w:sz w:val="14"/>
                <w:szCs w:val="14"/>
                <w:color w:val="51555C"/>
              </w:rPr>
              <w:t>5,383</w:t>
            </w:r>
          </w:p>
        </w:tc>
        <w:tc>
          <w:tcPr>
            <w:tcW w:w="100" w:type="dxa"/>
            <w:vAlign w:val="bottom"/>
            <w:tcBorders>
              <w:bottom w:val="single" w:sz="8" w:color="EBFBFF"/>
            </w:tcBorders>
            <w:shd w:val="clear" w:color="auto" w:fill="EBFBFF"/>
          </w:tcPr>
          <w:p>
            <w:pPr>
              <w:spacing w:after="0"/>
              <w:rPr>
                <w:sz w:val="17"/>
                <w:szCs w:val="17"/>
                <w:color w:val="auto"/>
              </w:rPr>
            </w:pPr>
          </w:p>
        </w:tc>
        <w:tc>
          <w:tcPr>
            <w:tcW w:w="640" w:type="dxa"/>
            <w:vAlign w:val="bottom"/>
            <w:tcBorders>
              <w:bottom w:val="single" w:sz="8" w:color="EBFBFF"/>
            </w:tcBorders>
            <w:shd w:val="clear" w:color="auto" w:fill="EBFBFF"/>
          </w:tcPr>
          <w:p>
            <w:pPr>
              <w:spacing w:after="0"/>
              <w:rPr>
                <w:sz w:val="17"/>
                <w:szCs w:val="17"/>
                <w:color w:val="auto"/>
              </w:rPr>
            </w:pPr>
          </w:p>
        </w:tc>
        <w:tc>
          <w:tcPr>
            <w:tcW w:w="480" w:type="dxa"/>
            <w:vAlign w:val="bottom"/>
            <w:tcBorders>
              <w:bottom w:val="single" w:sz="8" w:color="EBFBFF"/>
            </w:tcBorders>
            <w:shd w:val="clear" w:color="auto" w:fill="EBFBFF"/>
          </w:tcPr>
          <w:p>
            <w:pPr>
              <w:jc w:val="right"/>
              <w:spacing w:after="0" w:line="163" w:lineRule="exact"/>
              <w:rPr>
                <w:sz w:val="20"/>
                <w:szCs w:val="20"/>
                <w:color w:val="auto"/>
              </w:rPr>
            </w:pPr>
            <w:r>
              <w:rPr>
                <w:rFonts w:ascii="Calibri" w:cs="Calibri" w:eastAsia="Calibri" w:hAnsi="Calibri"/>
                <w:sz w:val="14"/>
                <w:szCs w:val="14"/>
                <w:color w:val="51555C"/>
              </w:rPr>
              <w:t>2,709</w:t>
            </w:r>
          </w:p>
        </w:tc>
        <w:tc>
          <w:tcPr>
            <w:tcW w:w="200" w:type="dxa"/>
            <w:vAlign w:val="bottom"/>
            <w:tcBorders>
              <w:bottom w:val="single" w:sz="8" w:color="EBFBFF"/>
            </w:tcBorders>
            <w:shd w:val="clear" w:color="auto" w:fill="EBFBFF"/>
          </w:tcPr>
          <w:p>
            <w:pPr>
              <w:spacing w:after="0"/>
              <w:rPr>
                <w:sz w:val="17"/>
                <w:szCs w:val="17"/>
                <w:color w:val="auto"/>
              </w:rPr>
            </w:pPr>
          </w:p>
        </w:tc>
        <w:tc>
          <w:tcPr>
            <w:tcW w:w="940" w:type="dxa"/>
            <w:vAlign w:val="bottom"/>
            <w:tcBorders>
              <w:bottom w:val="single" w:sz="8" w:color="EBFBFF"/>
            </w:tcBorders>
            <w:shd w:val="clear" w:color="auto" w:fill="EBFBFF"/>
          </w:tcPr>
          <w:p>
            <w:pPr>
              <w:jc w:val="right"/>
              <w:spacing w:after="0" w:line="163" w:lineRule="exact"/>
              <w:rPr>
                <w:sz w:val="20"/>
                <w:szCs w:val="20"/>
                <w:color w:val="auto"/>
              </w:rPr>
            </w:pPr>
            <w:r>
              <w:rPr>
                <w:rFonts w:ascii="Calibri" w:cs="Calibri" w:eastAsia="Calibri" w:hAnsi="Calibri"/>
                <w:sz w:val="14"/>
                <w:szCs w:val="14"/>
                <w:color w:val="51555C"/>
              </w:rPr>
              <w:t>(5,309)</w:t>
            </w:r>
          </w:p>
        </w:tc>
        <w:tc>
          <w:tcPr>
            <w:tcW w:w="20" w:type="dxa"/>
            <w:vAlign w:val="bottom"/>
          </w:tcPr>
          <w:p>
            <w:pPr>
              <w:spacing w:after="0"/>
              <w:rPr>
                <w:sz w:val="17"/>
                <w:szCs w:val="17"/>
                <w:color w:val="auto"/>
              </w:rPr>
            </w:pPr>
          </w:p>
        </w:tc>
      </w:tr>
      <w:tr>
        <w:trPr>
          <w:trHeight w:val="163"/>
        </w:trPr>
        <w:tc>
          <w:tcPr>
            <w:tcW w:w="6640" w:type="dxa"/>
            <w:vAlign w:val="bottom"/>
          </w:tcPr>
          <w:p>
            <w:pPr>
              <w:ind w:left="180"/>
              <w:spacing w:after="0" w:line="163" w:lineRule="exact"/>
              <w:rPr>
                <w:sz w:val="20"/>
                <w:szCs w:val="20"/>
                <w:color w:val="auto"/>
              </w:rPr>
            </w:pPr>
            <w:r>
              <w:rPr>
                <w:rFonts w:ascii="Calibri" w:cs="Calibri" w:eastAsia="Calibri" w:hAnsi="Calibri"/>
                <w:sz w:val="14"/>
                <w:szCs w:val="14"/>
                <w:color w:val="51555C"/>
              </w:rPr>
              <w:t>Accumulated other comprehensive income balance, end of period</w:t>
            </w:r>
          </w:p>
        </w:tc>
        <w:tc>
          <w:tcPr>
            <w:tcW w:w="380" w:type="dxa"/>
            <w:vAlign w:val="bottom"/>
            <w:tcBorders>
              <w:top w:val="single" w:sz="8" w:color="51555C"/>
            </w:tcBorders>
          </w:tcPr>
          <w:p>
            <w:pPr>
              <w:jc w:val="right"/>
              <w:ind w:right="209"/>
              <w:spacing w:after="0" w:line="163" w:lineRule="exact"/>
              <w:rPr>
                <w:sz w:val="20"/>
                <w:szCs w:val="20"/>
                <w:color w:val="auto"/>
              </w:rPr>
            </w:pPr>
            <w:r>
              <w:rPr>
                <w:rFonts w:ascii="Calibri" w:cs="Calibri" w:eastAsia="Calibri" w:hAnsi="Calibri"/>
                <w:sz w:val="14"/>
                <w:szCs w:val="14"/>
                <w:color w:val="51555C"/>
              </w:rPr>
              <w:t>$</w:t>
            </w:r>
          </w:p>
        </w:tc>
        <w:tc>
          <w:tcPr>
            <w:tcW w:w="760" w:type="dxa"/>
            <w:vAlign w:val="bottom"/>
            <w:tcBorders>
              <w:top w:val="single" w:sz="8" w:color="51555C"/>
            </w:tcBorders>
          </w:tcPr>
          <w:p>
            <w:pPr>
              <w:jc w:val="right"/>
              <w:spacing w:after="0" w:line="163" w:lineRule="exact"/>
              <w:rPr>
                <w:sz w:val="20"/>
                <w:szCs w:val="20"/>
                <w:color w:val="auto"/>
              </w:rPr>
            </w:pPr>
            <w:r>
              <w:rPr>
                <w:rFonts w:ascii="Calibri" w:cs="Calibri" w:eastAsia="Calibri" w:hAnsi="Calibri"/>
                <w:sz w:val="14"/>
                <w:szCs w:val="14"/>
                <w:color w:val="51555C"/>
              </w:rPr>
              <w:t>10,867</w:t>
            </w:r>
          </w:p>
        </w:tc>
        <w:tc>
          <w:tcPr>
            <w:tcW w:w="120" w:type="dxa"/>
            <w:vAlign w:val="bottom"/>
            <w:tcBorders>
              <w:top w:val="single" w:sz="8" w:color="51555C"/>
            </w:tcBorders>
          </w:tcPr>
          <w:p>
            <w:pPr>
              <w:jc w:val="right"/>
              <w:spacing w:after="0" w:line="163" w:lineRule="exact"/>
              <w:rPr>
                <w:sz w:val="20"/>
                <w:szCs w:val="20"/>
                <w:color w:val="auto"/>
              </w:rPr>
            </w:pPr>
            <w:r>
              <w:rPr>
                <w:rFonts w:ascii="Calibri" w:cs="Calibri" w:eastAsia="Calibri" w:hAnsi="Calibri"/>
                <w:sz w:val="14"/>
                <w:szCs w:val="14"/>
                <w:color w:val="51555C"/>
                <w:w w:val="83"/>
              </w:rPr>
              <w:t>$</w:t>
            </w:r>
          </w:p>
        </w:tc>
        <w:tc>
          <w:tcPr>
            <w:tcW w:w="1020" w:type="dxa"/>
            <w:vAlign w:val="bottom"/>
            <w:tcBorders>
              <w:top w:val="single" w:sz="8" w:color="51555C"/>
            </w:tcBorders>
          </w:tcPr>
          <w:p>
            <w:pPr>
              <w:jc w:val="right"/>
              <w:spacing w:after="0" w:line="163" w:lineRule="exact"/>
              <w:rPr>
                <w:sz w:val="20"/>
                <w:szCs w:val="20"/>
                <w:color w:val="auto"/>
              </w:rPr>
            </w:pPr>
            <w:r>
              <w:rPr>
                <w:rFonts w:ascii="Calibri" w:cs="Calibri" w:eastAsia="Calibri" w:hAnsi="Calibri"/>
                <w:sz w:val="14"/>
                <w:szCs w:val="14"/>
                <w:color w:val="51555C"/>
              </w:rPr>
              <w:t>18,524</w:t>
            </w:r>
          </w:p>
        </w:tc>
        <w:tc>
          <w:tcPr>
            <w:tcW w:w="100" w:type="dxa"/>
            <w:vAlign w:val="bottom"/>
          </w:tcPr>
          <w:p>
            <w:pPr>
              <w:spacing w:after="0"/>
              <w:rPr>
                <w:sz w:val="14"/>
                <w:szCs w:val="14"/>
                <w:color w:val="auto"/>
              </w:rPr>
            </w:pPr>
          </w:p>
        </w:tc>
        <w:tc>
          <w:tcPr>
            <w:tcW w:w="640" w:type="dxa"/>
            <w:vAlign w:val="bottom"/>
            <w:tcBorders>
              <w:top w:val="single" w:sz="8" w:color="51555C"/>
            </w:tcBorders>
          </w:tcPr>
          <w:p>
            <w:pPr>
              <w:jc w:val="right"/>
              <w:ind w:right="489"/>
              <w:spacing w:after="0" w:line="163" w:lineRule="exact"/>
              <w:rPr>
                <w:sz w:val="20"/>
                <w:szCs w:val="20"/>
                <w:color w:val="auto"/>
              </w:rPr>
            </w:pPr>
            <w:r>
              <w:rPr>
                <w:rFonts w:ascii="Calibri" w:cs="Calibri" w:eastAsia="Calibri" w:hAnsi="Calibri"/>
                <w:sz w:val="14"/>
                <w:szCs w:val="14"/>
                <w:color w:val="51555C"/>
                <w:w w:val="83"/>
              </w:rPr>
              <w:t>$</w:t>
            </w:r>
          </w:p>
        </w:tc>
        <w:tc>
          <w:tcPr>
            <w:tcW w:w="480" w:type="dxa"/>
            <w:vAlign w:val="bottom"/>
            <w:tcBorders>
              <w:top w:val="single" w:sz="8" w:color="51555C"/>
            </w:tcBorders>
          </w:tcPr>
          <w:p>
            <w:pPr>
              <w:jc w:val="right"/>
              <w:spacing w:after="0" w:line="163" w:lineRule="exact"/>
              <w:rPr>
                <w:sz w:val="20"/>
                <w:szCs w:val="20"/>
                <w:color w:val="auto"/>
              </w:rPr>
            </w:pPr>
            <w:r>
              <w:rPr>
                <w:rFonts w:ascii="Calibri" w:cs="Calibri" w:eastAsia="Calibri" w:hAnsi="Calibri"/>
                <w:sz w:val="14"/>
                <w:szCs w:val="14"/>
                <w:color w:val="51555C"/>
              </w:rPr>
              <w:t>10,867</w:t>
            </w:r>
          </w:p>
        </w:tc>
        <w:tc>
          <w:tcPr>
            <w:tcW w:w="200" w:type="dxa"/>
            <w:vAlign w:val="bottom"/>
            <w:tcBorders>
              <w:top w:val="single" w:sz="8" w:color="51555C"/>
            </w:tcBorders>
          </w:tcPr>
          <w:p>
            <w:pPr>
              <w:jc w:val="right"/>
              <w:ind w:right="29"/>
              <w:spacing w:after="0" w:line="163" w:lineRule="exact"/>
              <w:rPr>
                <w:sz w:val="20"/>
                <w:szCs w:val="20"/>
                <w:color w:val="auto"/>
              </w:rPr>
            </w:pPr>
            <w:r>
              <w:rPr>
                <w:rFonts w:ascii="Calibri" w:cs="Calibri" w:eastAsia="Calibri" w:hAnsi="Calibri"/>
                <w:sz w:val="14"/>
                <w:szCs w:val="14"/>
                <w:color w:val="51555C"/>
              </w:rPr>
              <w:t>$</w:t>
            </w:r>
          </w:p>
        </w:tc>
        <w:tc>
          <w:tcPr>
            <w:tcW w:w="940" w:type="dxa"/>
            <w:vAlign w:val="bottom"/>
            <w:tcBorders>
              <w:top w:val="single" w:sz="8" w:color="51555C"/>
            </w:tcBorders>
          </w:tcPr>
          <w:p>
            <w:pPr>
              <w:jc w:val="right"/>
              <w:spacing w:after="0" w:line="163" w:lineRule="exact"/>
              <w:rPr>
                <w:sz w:val="20"/>
                <w:szCs w:val="20"/>
                <w:color w:val="auto"/>
              </w:rPr>
            </w:pPr>
            <w:r>
              <w:rPr>
                <w:rFonts w:ascii="Calibri" w:cs="Calibri" w:eastAsia="Calibri" w:hAnsi="Calibri"/>
                <w:sz w:val="14"/>
                <w:szCs w:val="14"/>
                <w:color w:val="51555C"/>
              </w:rPr>
              <w:t>18,524</w:t>
            </w:r>
          </w:p>
        </w:tc>
        <w:tc>
          <w:tcPr>
            <w:tcW w:w="20" w:type="dxa"/>
            <w:vAlign w:val="bottom"/>
          </w:tcPr>
          <w:p>
            <w:pPr>
              <w:spacing w:after="0"/>
              <w:rPr>
                <w:sz w:val="14"/>
                <w:szCs w:val="14"/>
                <w:color w:val="auto"/>
              </w:rPr>
            </w:pPr>
          </w:p>
        </w:tc>
      </w:tr>
      <w:tr>
        <w:trPr>
          <w:trHeight w:val="40"/>
        </w:trPr>
        <w:tc>
          <w:tcPr>
            <w:tcW w:w="6640" w:type="dxa"/>
            <w:vAlign w:val="bottom"/>
            <w:tcBorders>
              <w:bottom w:val="single" w:sz="8" w:color="EBFBFF"/>
            </w:tcBorders>
          </w:tcPr>
          <w:p>
            <w:pPr>
              <w:spacing w:after="0"/>
              <w:rPr>
                <w:sz w:val="3"/>
                <w:szCs w:val="3"/>
                <w:color w:val="auto"/>
              </w:rPr>
            </w:pPr>
          </w:p>
        </w:tc>
        <w:tc>
          <w:tcPr>
            <w:tcW w:w="380" w:type="dxa"/>
            <w:vAlign w:val="bottom"/>
            <w:tcBorders>
              <w:bottom w:val="single" w:sz="8" w:color="51555C"/>
            </w:tcBorders>
          </w:tcPr>
          <w:p>
            <w:pPr>
              <w:spacing w:after="0"/>
              <w:rPr>
                <w:sz w:val="3"/>
                <w:szCs w:val="3"/>
                <w:color w:val="auto"/>
              </w:rPr>
            </w:pPr>
          </w:p>
        </w:tc>
        <w:tc>
          <w:tcPr>
            <w:tcW w:w="760" w:type="dxa"/>
            <w:vAlign w:val="bottom"/>
            <w:tcBorders>
              <w:bottom w:val="single" w:sz="8" w:color="51555C"/>
            </w:tcBorders>
          </w:tcPr>
          <w:p>
            <w:pPr>
              <w:spacing w:after="0"/>
              <w:rPr>
                <w:sz w:val="3"/>
                <w:szCs w:val="3"/>
                <w:color w:val="auto"/>
              </w:rPr>
            </w:pPr>
          </w:p>
        </w:tc>
        <w:tc>
          <w:tcPr>
            <w:tcW w:w="120" w:type="dxa"/>
            <w:vAlign w:val="bottom"/>
            <w:tcBorders>
              <w:bottom w:val="single" w:sz="8" w:color="51555C"/>
            </w:tcBorders>
          </w:tcPr>
          <w:p>
            <w:pPr>
              <w:spacing w:after="0"/>
              <w:rPr>
                <w:sz w:val="3"/>
                <w:szCs w:val="3"/>
                <w:color w:val="auto"/>
              </w:rPr>
            </w:pPr>
          </w:p>
        </w:tc>
        <w:tc>
          <w:tcPr>
            <w:tcW w:w="1020" w:type="dxa"/>
            <w:vAlign w:val="bottom"/>
            <w:tcBorders>
              <w:bottom w:val="single" w:sz="8" w:color="51555C"/>
            </w:tcBorders>
          </w:tcPr>
          <w:p>
            <w:pPr>
              <w:spacing w:after="0"/>
              <w:rPr>
                <w:sz w:val="3"/>
                <w:szCs w:val="3"/>
                <w:color w:val="auto"/>
              </w:rPr>
            </w:pPr>
          </w:p>
        </w:tc>
        <w:tc>
          <w:tcPr>
            <w:tcW w:w="100" w:type="dxa"/>
            <w:vAlign w:val="bottom"/>
            <w:tcBorders>
              <w:bottom w:val="single" w:sz="8" w:color="EBFBFF"/>
            </w:tcBorders>
          </w:tcPr>
          <w:p>
            <w:pPr>
              <w:spacing w:after="0"/>
              <w:rPr>
                <w:sz w:val="3"/>
                <w:szCs w:val="3"/>
                <w:color w:val="auto"/>
              </w:rPr>
            </w:pPr>
          </w:p>
        </w:tc>
        <w:tc>
          <w:tcPr>
            <w:tcW w:w="640" w:type="dxa"/>
            <w:vAlign w:val="bottom"/>
            <w:tcBorders>
              <w:bottom w:val="single" w:sz="8" w:color="51555C"/>
            </w:tcBorders>
          </w:tcPr>
          <w:p>
            <w:pPr>
              <w:spacing w:after="0"/>
              <w:rPr>
                <w:sz w:val="3"/>
                <w:szCs w:val="3"/>
                <w:color w:val="auto"/>
              </w:rPr>
            </w:pPr>
          </w:p>
        </w:tc>
        <w:tc>
          <w:tcPr>
            <w:tcW w:w="480" w:type="dxa"/>
            <w:vAlign w:val="bottom"/>
            <w:tcBorders>
              <w:bottom w:val="single" w:sz="8" w:color="51555C"/>
            </w:tcBorders>
          </w:tcPr>
          <w:p>
            <w:pPr>
              <w:spacing w:after="0"/>
              <w:rPr>
                <w:sz w:val="3"/>
                <w:szCs w:val="3"/>
                <w:color w:val="auto"/>
              </w:rPr>
            </w:pPr>
          </w:p>
        </w:tc>
        <w:tc>
          <w:tcPr>
            <w:tcW w:w="200" w:type="dxa"/>
            <w:vAlign w:val="bottom"/>
            <w:tcBorders>
              <w:bottom w:val="single" w:sz="8" w:color="51555C"/>
            </w:tcBorders>
          </w:tcPr>
          <w:p>
            <w:pPr>
              <w:spacing w:after="0"/>
              <w:rPr>
                <w:sz w:val="3"/>
                <w:szCs w:val="3"/>
                <w:color w:val="auto"/>
              </w:rPr>
            </w:pPr>
          </w:p>
        </w:tc>
        <w:tc>
          <w:tcPr>
            <w:tcW w:w="940" w:type="dxa"/>
            <w:vAlign w:val="bottom"/>
            <w:tcBorders>
              <w:bottom w:val="single" w:sz="8" w:color="51555C"/>
            </w:tcBorders>
          </w:tcPr>
          <w:p>
            <w:pPr>
              <w:spacing w:after="0"/>
              <w:rPr>
                <w:sz w:val="3"/>
                <w:szCs w:val="3"/>
                <w:color w:val="auto"/>
              </w:rPr>
            </w:pPr>
          </w:p>
        </w:tc>
        <w:tc>
          <w:tcPr>
            <w:tcW w:w="20" w:type="dxa"/>
            <w:vAlign w:val="bottom"/>
          </w:tcPr>
          <w:p>
            <w:pPr>
              <w:spacing w:after="0"/>
              <w:rPr>
                <w:sz w:val="3"/>
                <w:szCs w:val="3"/>
                <w:color w:val="auto"/>
              </w:rPr>
            </w:pPr>
          </w:p>
        </w:tc>
      </w:tr>
      <w:tr>
        <w:trPr>
          <w:trHeight w:val="172"/>
        </w:trPr>
        <w:tc>
          <w:tcPr>
            <w:tcW w:w="6640" w:type="dxa"/>
            <w:vAlign w:val="bottom"/>
            <w:tcBorders>
              <w:bottom w:val="single" w:sz="8" w:color="EBFBFF"/>
            </w:tcBorders>
            <w:shd w:val="clear" w:color="auto" w:fill="EBFBFF"/>
          </w:tcPr>
          <w:p>
            <w:pPr>
              <w:ind w:left="120"/>
              <w:spacing w:after="0" w:line="152" w:lineRule="exact"/>
              <w:rPr>
                <w:sz w:val="20"/>
                <w:szCs w:val="20"/>
                <w:color w:val="auto"/>
              </w:rPr>
            </w:pPr>
            <w:r>
              <w:rPr>
                <w:rFonts w:ascii="Calibri" w:cs="Calibri" w:eastAsia="Calibri" w:hAnsi="Calibri"/>
                <w:sz w:val="14"/>
                <w:szCs w:val="14"/>
                <w:b w:val="1"/>
                <w:bCs w:val="1"/>
                <w:color w:val="51555C"/>
              </w:rPr>
              <w:t>Foreign currency translaton adjustment:</w:t>
            </w:r>
          </w:p>
        </w:tc>
        <w:tc>
          <w:tcPr>
            <w:tcW w:w="380" w:type="dxa"/>
            <w:vAlign w:val="bottom"/>
            <w:tcBorders>
              <w:bottom w:val="single" w:sz="8" w:color="EBFBFF"/>
            </w:tcBorders>
            <w:shd w:val="clear" w:color="auto" w:fill="EBFBFF"/>
          </w:tcPr>
          <w:p>
            <w:pPr>
              <w:spacing w:after="0"/>
              <w:rPr>
                <w:sz w:val="14"/>
                <w:szCs w:val="14"/>
                <w:color w:val="auto"/>
              </w:rPr>
            </w:pPr>
          </w:p>
        </w:tc>
        <w:tc>
          <w:tcPr>
            <w:tcW w:w="760" w:type="dxa"/>
            <w:vAlign w:val="bottom"/>
            <w:tcBorders>
              <w:bottom w:val="single" w:sz="8" w:color="EBFBFF"/>
            </w:tcBorders>
            <w:shd w:val="clear" w:color="auto" w:fill="EBFBFF"/>
          </w:tcPr>
          <w:p>
            <w:pPr>
              <w:spacing w:after="0"/>
              <w:rPr>
                <w:sz w:val="14"/>
                <w:szCs w:val="14"/>
                <w:color w:val="auto"/>
              </w:rPr>
            </w:pPr>
          </w:p>
        </w:tc>
        <w:tc>
          <w:tcPr>
            <w:tcW w:w="120" w:type="dxa"/>
            <w:vAlign w:val="bottom"/>
            <w:tcBorders>
              <w:bottom w:val="single" w:sz="8" w:color="EBFBFF"/>
            </w:tcBorders>
            <w:shd w:val="clear" w:color="auto" w:fill="EBFBFF"/>
          </w:tcPr>
          <w:p>
            <w:pPr>
              <w:spacing w:after="0"/>
              <w:rPr>
                <w:sz w:val="14"/>
                <w:szCs w:val="14"/>
                <w:color w:val="auto"/>
              </w:rPr>
            </w:pPr>
          </w:p>
        </w:tc>
        <w:tc>
          <w:tcPr>
            <w:tcW w:w="1020" w:type="dxa"/>
            <w:vAlign w:val="bottom"/>
            <w:tcBorders>
              <w:bottom w:val="single" w:sz="8" w:color="EBFBFF"/>
            </w:tcBorders>
            <w:shd w:val="clear" w:color="auto" w:fill="EBFBFF"/>
          </w:tcPr>
          <w:p>
            <w:pPr>
              <w:spacing w:after="0"/>
              <w:rPr>
                <w:sz w:val="14"/>
                <w:szCs w:val="14"/>
                <w:color w:val="auto"/>
              </w:rPr>
            </w:pPr>
          </w:p>
        </w:tc>
        <w:tc>
          <w:tcPr>
            <w:tcW w:w="100" w:type="dxa"/>
            <w:vAlign w:val="bottom"/>
            <w:tcBorders>
              <w:bottom w:val="single" w:sz="8" w:color="EBFBFF"/>
            </w:tcBorders>
            <w:shd w:val="clear" w:color="auto" w:fill="EBFBFF"/>
          </w:tcPr>
          <w:p>
            <w:pPr>
              <w:spacing w:after="0"/>
              <w:rPr>
                <w:sz w:val="14"/>
                <w:szCs w:val="14"/>
                <w:color w:val="auto"/>
              </w:rPr>
            </w:pPr>
          </w:p>
        </w:tc>
        <w:tc>
          <w:tcPr>
            <w:tcW w:w="640" w:type="dxa"/>
            <w:vAlign w:val="bottom"/>
            <w:tcBorders>
              <w:bottom w:val="single" w:sz="8" w:color="EBFBFF"/>
            </w:tcBorders>
            <w:shd w:val="clear" w:color="auto" w:fill="EBFBFF"/>
          </w:tcPr>
          <w:p>
            <w:pPr>
              <w:spacing w:after="0"/>
              <w:rPr>
                <w:sz w:val="14"/>
                <w:szCs w:val="14"/>
                <w:color w:val="auto"/>
              </w:rPr>
            </w:pPr>
          </w:p>
        </w:tc>
        <w:tc>
          <w:tcPr>
            <w:tcW w:w="480" w:type="dxa"/>
            <w:vAlign w:val="bottom"/>
            <w:tcBorders>
              <w:bottom w:val="single" w:sz="8" w:color="EBFBFF"/>
            </w:tcBorders>
            <w:shd w:val="clear" w:color="auto" w:fill="EBFBFF"/>
          </w:tcPr>
          <w:p>
            <w:pPr>
              <w:spacing w:after="0"/>
              <w:rPr>
                <w:sz w:val="14"/>
                <w:szCs w:val="14"/>
                <w:color w:val="auto"/>
              </w:rPr>
            </w:pPr>
          </w:p>
        </w:tc>
        <w:tc>
          <w:tcPr>
            <w:tcW w:w="200" w:type="dxa"/>
            <w:vAlign w:val="bottom"/>
            <w:tcBorders>
              <w:bottom w:val="single" w:sz="8" w:color="EBFBFF"/>
            </w:tcBorders>
            <w:shd w:val="clear" w:color="auto" w:fill="EBFBFF"/>
          </w:tcPr>
          <w:p>
            <w:pPr>
              <w:spacing w:after="0"/>
              <w:rPr>
                <w:sz w:val="14"/>
                <w:szCs w:val="14"/>
                <w:color w:val="auto"/>
              </w:rPr>
            </w:pPr>
          </w:p>
        </w:tc>
        <w:tc>
          <w:tcPr>
            <w:tcW w:w="940" w:type="dxa"/>
            <w:vAlign w:val="bottom"/>
            <w:tcBorders>
              <w:bottom w:val="single" w:sz="8" w:color="EBFBFF"/>
            </w:tcBorders>
            <w:shd w:val="clear" w:color="auto" w:fill="EBFBFF"/>
          </w:tcPr>
          <w:p>
            <w:pPr>
              <w:spacing w:after="0"/>
              <w:rPr>
                <w:sz w:val="14"/>
                <w:szCs w:val="14"/>
                <w:color w:val="auto"/>
              </w:rPr>
            </w:pPr>
          </w:p>
        </w:tc>
        <w:tc>
          <w:tcPr>
            <w:tcW w:w="20" w:type="dxa"/>
            <w:vAlign w:val="bottom"/>
          </w:tcPr>
          <w:p>
            <w:pPr>
              <w:spacing w:after="0"/>
              <w:rPr>
                <w:sz w:val="14"/>
                <w:szCs w:val="14"/>
                <w:color w:val="auto"/>
              </w:rPr>
            </w:pPr>
          </w:p>
        </w:tc>
      </w:tr>
      <w:tr>
        <w:trPr>
          <w:trHeight w:val="172"/>
        </w:trPr>
        <w:tc>
          <w:tcPr>
            <w:tcW w:w="6640" w:type="dxa"/>
            <w:vAlign w:val="bottom"/>
          </w:tcPr>
          <w:p>
            <w:pPr>
              <w:ind w:left="180"/>
              <w:spacing w:after="0"/>
              <w:rPr>
                <w:sz w:val="20"/>
                <w:szCs w:val="20"/>
                <w:color w:val="auto"/>
              </w:rPr>
            </w:pPr>
            <w:r>
              <w:rPr>
                <w:rFonts w:ascii="Calibri" w:cs="Calibri" w:eastAsia="Calibri" w:hAnsi="Calibri"/>
                <w:sz w:val="14"/>
                <w:szCs w:val="14"/>
                <w:color w:val="51555C"/>
              </w:rPr>
              <w:t>Accumulated other comprehensive loss balance, beginning of period</w:t>
            </w:r>
          </w:p>
        </w:tc>
        <w:tc>
          <w:tcPr>
            <w:tcW w:w="380" w:type="dxa"/>
            <w:vAlign w:val="bottom"/>
          </w:tcPr>
          <w:p>
            <w:pPr>
              <w:jc w:val="right"/>
              <w:ind w:right="209"/>
              <w:spacing w:after="0"/>
              <w:rPr>
                <w:sz w:val="20"/>
                <w:szCs w:val="20"/>
                <w:color w:val="auto"/>
              </w:rPr>
            </w:pPr>
            <w:r>
              <w:rPr>
                <w:rFonts w:ascii="Calibri" w:cs="Calibri" w:eastAsia="Calibri" w:hAnsi="Calibri"/>
                <w:sz w:val="14"/>
                <w:szCs w:val="14"/>
                <w:color w:val="51555C"/>
              </w:rPr>
              <w:t>$</w:t>
            </w:r>
          </w:p>
        </w:tc>
        <w:tc>
          <w:tcPr>
            <w:tcW w:w="760" w:type="dxa"/>
            <w:vAlign w:val="bottom"/>
          </w:tcPr>
          <w:p>
            <w:pPr>
              <w:jc w:val="right"/>
              <w:spacing w:after="0"/>
              <w:rPr>
                <w:sz w:val="20"/>
                <w:szCs w:val="20"/>
                <w:color w:val="auto"/>
              </w:rPr>
            </w:pPr>
            <w:r>
              <w:rPr>
                <w:rFonts w:ascii="Calibri" w:cs="Calibri" w:eastAsia="Calibri" w:hAnsi="Calibri"/>
                <w:sz w:val="14"/>
                <w:szCs w:val="14"/>
                <w:color w:val="51555C"/>
              </w:rPr>
              <w:t>(11,031)</w:t>
            </w:r>
          </w:p>
        </w:tc>
        <w:tc>
          <w:tcPr>
            <w:tcW w:w="120" w:type="dxa"/>
            <w:vAlign w:val="bottom"/>
          </w:tcPr>
          <w:p>
            <w:pPr>
              <w:jc w:val="right"/>
              <w:spacing w:after="0"/>
              <w:rPr>
                <w:sz w:val="20"/>
                <w:szCs w:val="20"/>
                <w:color w:val="auto"/>
              </w:rPr>
            </w:pPr>
            <w:r>
              <w:rPr>
                <w:rFonts w:ascii="Calibri" w:cs="Calibri" w:eastAsia="Calibri" w:hAnsi="Calibri"/>
                <w:sz w:val="14"/>
                <w:szCs w:val="14"/>
                <w:color w:val="51555C"/>
                <w:w w:val="83"/>
              </w:rPr>
              <w:t>$</w:t>
            </w:r>
          </w:p>
        </w:tc>
        <w:tc>
          <w:tcPr>
            <w:tcW w:w="1020" w:type="dxa"/>
            <w:vAlign w:val="bottom"/>
          </w:tcPr>
          <w:p>
            <w:pPr>
              <w:jc w:val="right"/>
              <w:spacing w:after="0"/>
              <w:rPr>
                <w:sz w:val="20"/>
                <w:szCs w:val="20"/>
                <w:color w:val="auto"/>
              </w:rPr>
            </w:pPr>
            <w:r>
              <w:rPr>
                <w:rFonts w:ascii="Calibri" w:cs="Calibri" w:eastAsia="Calibri" w:hAnsi="Calibri"/>
                <w:sz w:val="14"/>
                <w:szCs w:val="14"/>
                <w:color w:val="51555C"/>
              </w:rPr>
              <w:t>(12,737)</w:t>
            </w:r>
          </w:p>
        </w:tc>
        <w:tc>
          <w:tcPr>
            <w:tcW w:w="740" w:type="dxa"/>
            <w:vAlign w:val="bottom"/>
            <w:gridSpan w:val="2"/>
          </w:tcPr>
          <w:p>
            <w:pPr>
              <w:jc w:val="right"/>
              <w:ind w:right="489"/>
              <w:spacing w:after="0"/>
              <w:rPr>
                <w:sz w:val="20"/>
                <w:szCs w:val="20"/>
                <w:color w:val="auto"/>
              </w:rPr>
            </w:pPr>
            <w:r>
              <w:rPr>
                <w:rFonts w:ascii="Calibri" w:cs="Calibri" w:eastAsia="Calibri" w:hAnsi="Calibri"/>
                <w:sz w:val="14"/>
                <w:szCs w:val="14"/>
                <w:color w:val="51555C"/>
              </w:rPr>
              <w:t>$</w:t>
            </w:r>
          </w:p>
        </w:tc>
        <w:tc>
          <w:tcPr>
            <w:tcW w:w="480" w:type="dxa"/>
            <w:vAlign w:val="bottom"/>
          </w:tcPr>
          <w:p>
            <w:pPr>
              <w:jc w:val="right"/>
              <w:spacing w:after="0"/>
              <w:rPr>
                <w:sz w:val="20"/>
                <w:szCs w:val="20"/>
                <w:color w:val="auto"/>
              </w:rPr>
            </w:pPr>
            <w:r>
              <w:rPr>
                <w:rFonts w:ascii="Calibri" w:cs="Calibri" w:eastAsia="Calibri" w:hAnsi="Calibri"/>
                <w:sz w:val="14"/>
                <w:szCs w:val="14"/>
                <w:color w:val="51555C"/>
              </w:rPr>
              <w:t>(9,846)</w:t>
            </w:r>
          </w:p>
        </w:tc>
        <w:tc>
          <w:tcPr>
            <w:tcW w:w="200" w:type="dxa"/>
            <w:vAlign w:val="bottom"/>
          </w:tcPr>
          <w:p>
            <w:pPr>
              <w:jc w:val="right"/>
              <w:ind w:right="29"/>
              <w:spacing w:after="0"/>
              <w:rPr>
                <w:sz w:val="20"/>
                <w:szCs w:val="20"/>
                <w:color w:val="auto"/>
              </w:rPr>
            </w:pPr>
            <w:r>
              <w:rPr>
                <w:rFonts w:ascii="Calibri" w:cs="Calibri" w:eastAsia="Calibri" w:hAnsi="Calibri"/>
                <w:sz w:val="14"/>
                <w:szCs w:val="14"/>
                <w:color w:val="51555C"/>
              </w:rPr>
              <w:t>$</w:t>
            </w:r>
          </w:p>
        </w:tc>
        <w:tc>
          <w:tcPr>
            <w:tcW w:w="940" w:type="dxa"/>
            <w:vAlign w:val="bottom"/>
          </w:tcPr>
          <w:p>
            <w:pPr>
              <w:jc w:val="right"/>
              <w:spacing w:after="0"/>
              <w:rPr>
                <w:sz w:val="20"/>
                <w:szCs w:val="20"/>
                <w:color w:val="auto"/>
              </w:rPr>
            </w:pPr>
            <w:r>
              <w:rPr>
                <w:rFonts w:ascii="Calibri" w:cs="Calibri" w:eastAsia="Calibri" w:hAnsi="Calibri"/>
                <w:sz w:val="14"/>
                <w:szCs w:val="14"/>
                <w:color w:val="51555C"/>
              </w:rPr>
              <w:t>(14,895)</w:t>
            </w:r>
          </w:p>
        </w:tc>
        <w:tc>
          <w:tcPr>
            <w:tcW w:w="20" w:type="dxa"/>
            <w:vAlign w:val="bottom"/>
          </w:tcPr>
          <w:p>
            <w:pPr>
              <w:spacing w:after="0"/>
              <w:rPr>
                <w:sz w:val="14"/>
                <w:szCs w:val="14"/>
                <w:color w:val="auto"/>
              </w:rPr>
            </w:pPr>
          </w:p>
        </w:tc>
      </w:tr>
      <w:tr>
        <w:trPr>
          <w:trHeight w:val="40"/>
        </w:trPr>
        <w:tc>
          <w:tcPr>
            <w:tcW w:w="664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12"/>
        </w:trPr>
        <w:tc>
          <w:tcPr>
            <w:tcW w:w="6640" w:type="dxa"/>
            <w:vAlign w:val="bottom"/>
            <w:tcBorders>
              <w:bottom w:val="single" w:sz="8" w:color="EBFBFF"/>
            </w:tcBorders>
            <w:shd w:val="clear" w:color="auto" w:fill="EBFBFF"/>
          </w:tcPr>
          <w:p>
            <w:pPr>
              <w:ind w:left="180"/>
              <w:spacing w:after="0"/>
              <w:rPr>
                <w:sz w:val="20"/>
                <w:szCs w:val="20"/>
                <w:color w:val="auto"/>
              </w:rPr>
            </w:pPr>
            <w:r>
              <w:rPr>
                <w:rFonts w:ascii="Calibri" w:cs="Calibri" w:eastAsia="Calibri" w:hAnsi="Calibri"/>
                <w:sz w:val="14"/>
                <w:szCs w:val="14"/>
                <w:color w:val="51555C"/>
              </w:rPr>
              <w:t>Translaton adjustment</w:t>
            </w:r>
          </w:p>
        </w:tc>
        <w:tc>
          <w:tcPr>
            <w:tcW w:w="380" w:type="dxa"/>
            <w:vAlign w:val="bottom"/>
            <w:tcBorders>
              <w:bottom w:val="single" w:sz="8" w:color="EBFBFF"/>
            </w:tcBorders>
            <w:shd w:val="clear" w:color="auto" w:fill="EBFBFF"/>
          </w:tcPr>
          <w:p>
            <w:pPr>
              <w:spacing w:after="0"/>
              <w:rPr>
                <w:sz w:val="18"/>
                <w:szCs w:val="18"/>
                <w:color w:val="auto"/>
              </w:rPr>
            </w:pPr>
          </w:p>
        </w:tc>
        <w:tc>
          <w:tcPr>
            <w:tcW w:w="7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339</w:t>
            </w:r>
          </w:p>
        </w:tc>
        <w:tc>
          <w:tcPr>
            <w:tcW w:w="120" w:type="dxa"/>
            <w:vAlign w:val="bottom"/>
            <w:tcBorders>
              <w:bottom w:val="single" w:sz="8" w:color="EBFBFF"/>
            </w:tcBorders>
            <w:shd w:val="clear" w:color="auto" w:fill="EBFBFF"/>
          </w:tcPr>
          <w:p>
            <w:pPr>
              <w:spacing w:after="0"/>
              <w:rPr>
                <w:sz w:val="18"/>
                <w:szCs w:val="18"/>
                <w:color w:val="auto"/>
              </w:rPr>
            </w:pPr>
          </w:p>
        </w:tc>
        <w:tc>
          <w:tcPr>
            <w:tcW w:w="10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3,055</w:t>
            </w:r>
          </w:p>
        </w:tc>
        <w:tc>
          <w:tcPr>
            <w:tcW w:w="100" w:type="dxa"/>
            <w:vAlign w:val="bottom"/>
            <w:tcBorders>
              <w:bottom w:val="single" w:sz="8" w:color="EBFBFF"/>
            </w:tcBorders>
            <w:shd w:val="clear" w:color="auto" w:fill="EBFBFF"/>
          </w:tcPr>
          <w:p>
            <w:pPr>
              <w:spacing w:after="0"/>
              <w:rPr>
                <w:sz w:val="18"/>
                <w:szCs w:val="18"/>
                <w:color w:val="auto"/>
              </w:rPr>
            </w:pPr>
          </w:p>
        </w:tc>
        <w:tc>
          <w:tcPr>
            <w:tcW w:w="640" w:type="dxa"/>
            <w:vAlign w:val="bottom"/>
            <w:tcBorders>
              <w:bottom w:val="single" w:sz="8" w:color="EBFBFF"/>
            </w:tcBorders>
            <w:shd w:val="clear" w:color="auto" w:fill="EBFBFF"/>
          </w:tcPr>
          <w:p>
            <w:pPr>
              <w:spacing w:after="0"/>
              <w:rPr>
                <w:sz w:val="18"/>
                <w:szCs w:val="18"/>
                <w:color w:val="auto"/>
              </w:rPr>
            </w:pPr>
          </w:p>
        </w:tc>
        <w:tc>
          <w:tcPr>
            <w:tcW w:w="4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(846)</w:t>
            </w:r>
          </w:p>
        </w:tc>
        <w:tc>
          <w:tcPr>
            <w:tcW w:w="200" w:type="dxa"/>
            <w:vAlign w:val="bottom"/>
            <w:tcBorders>
              <w:bottom w:val="single" w:sz="8" w:color="EBFBFF"/>
            </w:tcBorders>
            <w:shd w:val="clear" w:color="auto" w:fill="EBFBFF"/>
          </w:tcPr>
          <w:p>
            <w:pPr>
              <w:spacing w:after="0"/>
              <w:rPr>
                <w:sz w:val="18"/>
                <w:szCs w:val="18"/>
                <w:color w:val="auto"/>
              </w:rPr>
            </w:pPr>
          </w:p>
        </w:tc>
        <w:tc>
          <w:tcPr>
            <w:tcW w:w="9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5,213</w:t>
            </w:r>
          </w:p>
        </w:tc>
        <w:tc>
          <w:tcPr>
            <w:tcW w:w="20" w:type="dxa"/>
            <w:vAlign w:val="bottom"/>
          </w:tcPr>
          <w:p>
            <w:pPr>
              <w:spacing w:after="0"/>
              <w:rPr>
                <w:sz w:val="18"/>
                <w:szCs w:val="18"/>
                <w:color w:val="auto"/>
              </w:rPr>
            </w:pPr>
          </w:p>
        </w:tc>
      </w:tr>
      <w:tr>
        <w:trPr>
          <w:trHeight w:val="163"/>
        </w:trPr>
        <w:tc>
          <w:tcPr>
            <w:tcW w:w="6640" w:type="dxa"/>
            <w:vAlign w:val="bottom"/>
          </w:tcPr>
          <w:p>
            <w:pPr>
              <w:ind w:left="180"/>
              <w:spacing w:after="0" w:line="163" w:lineRule="exact"/>
              <w:rPr>
                <w:sz w:val="20"/>
                <w:szCs w:val="20"/>
                <w:color w:val="auto"/>
              </w:rPr>
            </w:pPr>
            <w:r>
              <w:rPr>
                <w:rFonts w:ascii="Calibri" w:cs="Calibri" w:eastAsia="Calibri" w:hAnsi="Calibri"/>
                <w:sz w:val="14"/>
                <w:szCs w:val="14"/>
                <w:color w:val="51555C"/>
              </w:rPr>
              <w:t>Accumulated other comprehensive loss balance, end of period</w:t>
            </w:r>
          </w:p>
        </w:tc>
        <w:tc>
          <w:tcPr>
            <w:tcW w:w="380" w:type="dxa"/>
            <w:vAlign w:val="bottom"/>
            <w:tcBorders>
              <w:top w:val="single" w:sz="8" w:color="51555C"/>
            </w:tcBorders>
          </w:tcPr>
          <w:p>
            <w:pPr>
              <w:spacing w:after="0"/>
              <w:rPr>
                <w:sz w:val="14"/>
                <w:szCs w:val="14"/>
                <w:color w:val="auto"/>
              </w:rPr>
            </w:pPr>
          </w:p>
        </w:tc>
        <w:tc>
          <w:tcPr>
            <w:tcW w:w="760" w:type="dxa"/>
            <w:vAlign w:val="bottom"/>
            <w:tcBorders>
              <w:top w:val="single" w:sz="8" w:color="51555C"/>
            </w:tcBorders>
          </w:tcPr>
          <w:p>
            <w:pPr>
              <w:jc w:val="right"/>
              <w:spacing w:after="0" w:line="163" w:lineRule="exact"/>
              <w:rPr>
                <w:sz w:val="20"/>
                <w:szCs w:val="20"/>
                <w:color w:val="auto"/>
              </w:rPr>
            </w:pPr>
            <w:r>
              <w:rPr>
                <w:rFonts w:ascii="Calibri" w:cs="Calibri" w:eastAsia="Calibri" w:hAnsi="Calibri"/>
                <w:sz w:val="14"/>
                <w:szCs w:val="14"/>
                <w:color w:val="51555C"/>
              </w:rPr>
              <w:t>(10,692)</w:t>
            </w:r>
          </w:p>
        </w:tc>
        <w:tc>
          <w:tcPr>
            <w:tcW w:w="120" w:type="dxa"/>
            <w:vAlign w:val="bottom"/>
            <w:tcBorders>
              <w:top w:val="single" w:sz="8" w:color="51555C"/>
            </w:tcBorders>
          </w:tcPr>
          <w:p>
            <w:pPr>
              <w:spacing w:after="0"/>
              <w:rPr>
                <w:sz w:val="14"/>
                <w:szCs w:val="14"/>
                <w:color w:val="auto"/>
              </w:rPr>
            </w:pPr>
          </w:p>
        </w:tc>
        <w:tc>
          <w:tcPr>
            <w:tcW w:w="1020" w:type="dxa"/>
            <w:vAlign w:val="bottom"/>
            <w:tcBorders>
              <w:top w:val="single" w:sz="8" w:color="51555C"/>
            </w:tcBorders>
          </w:tcPr>
          <w:p>
            <w:pPr>
              <w:jc w:val="right"/>
              <w:spacing w:after="0" w:line="163" w:lineRule="exact"/>
              <w:rPr>
                <w:sz w:val="20"/>
                <w:szCs w:val="20"/>
                <w:color w:val="auto"/>
              </w:rPr>
            </w:pPr>
            <w:r>
              <w:rPr>
                <w:rFonts w:ascii="Calibri" w:cs="Calibri" w:eastAsia="Calibri" w:hAnsi="Calibri"/>
                <w:sz w:val="14"/>
                <w:szCs w:val="14"/>
                <w:color w:val="51555C"/>
              </w:rPr>
              <w:t>(9,682)</w:t>
            </w:r>
          </w:p>
        </w:tc>
        <w:tc>
          <w:tcPr>
            <w:tcW w:w="100" w:type="dxa"/>
            <w:vAlign w:val="bottom"/>
          </w:tcPr>
          <w:p>
            <w:pPr>
              <w:spacing w:after="0"/>
              <w:rPr>
                <w:sz w:val="14"/>
                <w:szCs w:val="14"/>
                <w:color w:val="auto"/>
              </w:rPr>
            </w:pPr>
          </w:p>
        </w:tc>
        <w:tc>
          <w:tcPr>
            <w:tcW w:w="640" w:type="dxa"/>
            <w:vAlign w:val="bottom"/>
            <w:tcBorders>
              <w:top w:val="single" w:sz="8" w:color="51555C"/>
            </w:tcBorders>
          </w:tcPr>
          <w:p>
            <w:pPr>
              <w:spacing w:after="0"/>
              <w:rPr>
                <w:sz w:val="14"/>
                <w:szCs w:val="14"/>
                <w:color w:val="auto"/>
              </w:rPr>
            </w:pPr>
          </w:p>
        </w:tc>
        <w:tc>
          <w:tcPr>
            <w:tcW w:w="480" w:type="dxa"/>
            <w:vAlign w:val="bottom"/>
            <w:tcBorders>
              <w:top w:val="single" w:sz="8" w:color="51555C"/>
            </w:tcBorders>
          </w:tcPr>
          <w:p>
            <w:pPr>
              <w:jc w:val="right"/>
              <w:spacing w:after="0" w:line="163" w:lineRule="exact"/>
              <w:rPr>
                <w:sz w:val="20"/>
                <w:szCs w:val="20"/>
                <w:color w:val="auto"/>
              </w:rPr>
            </w:pPr>
            <w:r>
              <w:rPr>
                <w:rFonts w:ascii="Calibri" w:cs="Calibri" w:eastAsia="Calibri" w:hAnsi="Calibri"/>
                <w:sz w:val="14"/>
                <w:szCs w:val="14"/>
                <w:color w:val="51555C"/>
                <w:w w:val="92"/>
              </w:rPr>
              <w:t>(10,692)</w:t>
            </w:r>
          </w:p>
        </w:tc>
        <w:tc>
          <w:tcPr>
            <w:tcW w:w="200" w:type="dxa"/>
            <w:vAlign w:val="bottom"/>
            <w:tcBorders>
              <w:top w:val="single" w:sz="8" w:color="51555C"/>
            </w:tcBorders>
          </w:tcPr>
          <w:p>
            <w:pPr>
              <w:spacing w:after="0"/>
              <w:rPr>
                <w:sz w:val="14"/>
                <w:szCs w:val="14"/>
                <w:color w:val="auto"/>
              </w:rPr>
            </w:pPr>
          </w:p>
        </w:tc>
        <w:tc>
          <w:tcPr>
            <w:tcW w:w="940" w:type="dxa"/>
            <w:vAlign w:val="bottom"/>
            <w:tcBorders>
              <w:top w:val="single" w:sz="8" w:color="51555C"/>
            </w:tcBorders>
          </w:tcPr>
          <w:p>
            <w:pPr>
              <w:jc w:val="right"/>
              <w:spacing w:after="0" w:line="163" w:lineRule="exact"/>
              <w:rPr>
                <w:sz w:val="20"/>
                <w:szCs w:val="20"/>
                <w:color w:val="auto"/>
              </w:rPr>
            </w:pPr>
            <w:r>
              <w:rPr>
                <w:rFonts w:ascii="Calibri" w:cs="Calibri" w:eastAsia="Calibri" w:hAnsi="Calibri"/>
                <w:sz w:val="14"/>
                <w:szCs w:val="14"/>
                <w:color w:val="51555C"/>
              </w:rPr>
              <w:t>(9,682)</w:t>
            </w:r>
          </w:p>
        </w:tc>
        <w:tc>
          <w:tcPr>
            <w:tcW w:w="20" w:type="dxa"/>
            <w:vAlign w:val="bottom"/>
          </w:tcPr>
          <w:p>
            <w:pPr>
              <w:spacing w:after="0"/>
              <w:rPr>
                <w:sz w:val="14"/>
                <w:szCs w:val="14"/>
                <w:color w:val="auto"/>
              </w:rPr>
            </w:pPr>
          </w:p>
        </w:tc>
      </w:tr>
      <w:tr>
        <w:trPr>
          <w:trHeight w:val="40"/>
        </w:trPr>
        <w:tc>
          <w:tcPr>
            <w:tcW w:w="6640" w:type="dxa"/>
            <w:vAlign w:val="bottom"/>
            <w:tcBorders>
              <w:bottom w:val="single" w:sz="8" w:color="EBFBFF"/>
            </w:tcBorders>
          </w:tcPr>
          <w:p>
            <w:pPr>
              <w:spacing w:after="0"/>
              <w:rPr>
                <w:sz w:val="3"/>
                <w:szCs w:val="3"/>
                <w:color w:val="auto"/>
              </w:rPr>
            </w:pPr>
          </w:p>
        </w:tc>
        <w:tc>
          <w:tcPr>
            <w:tcW w:w="380" w:type="dxa"/>
            <w:vAlign w:val="bottom"/>
            <w:tcBorders>
              <w:bottom w:val="single" w:sz="8" w:color="51555C"/>
            </w:tcBorders>
          </w:tcPr>
          <w:p>
            <w:pPr>
              <w:spacing w:after="0"/>
              <w:rPr>
                <w:sz w:val="3"/>
                <w:szCs w:val="3"/>
                <w:color w:val="auto"/>
              </w:rPr>
            </w:pPr>
          </w:p>
        </w:tc>
        <w:tc>
          <w:tcPr>
            <w:tcW w:w="760" w:type="dxa"/>
            <w:vAlign w:val="bottom"/>
            <w:tcBorders>
              <w:bottom w:val="single" w:sz="8" w:color="51555C"/>
            </w:tcBorders>
          </w:tcPr>
          <w:p>
            <w:pPr>
              <w:spacing w:after="0"/>
              <w:rPr>
                <w:sz w:val="3"/>
                <w:szCs w:val="3"/>
                <w:color w:val="auto"/>
              </w:rPr>
            </w:pPr>
          </w:p>
        </w:tc>
        <w:tc>
          <w:tcPr>
            <w:tcW w:w="120" w:type="dxa"/>
            <w:vAlign w:val="bottom"/>
            <w:tcBorders>
              <w:bottom w:val="single" w:sz="8" w:color="51555C"/>
            </w:tcBorders>
          </w:tcPr>
          <w:p>
            <w:pPr>
              <w:spacing w:after="0"/>
              <w:rPr>
                <w:sz w:val="3"/>
                <w:szCs w:val="3"/>
                <w:color w:val="auto"/>
              </w:rPr>
            </w:pPr>
          </w:p>
        </w:tc>
        <w:tc>
          <w:tcPr>
            <w:tcW w:w="1020" w:type="dxa"/>
            <w:vAlign w:val="bottom"/>
            <w:tcBorders>
              <w:bottom w:val="single" w:sz="8" w:color="51555C"/>
            </w:tcBorders>
          </w:tcPr>
          <w:p>
            <w:pPr>
              <w:spacing w:after="0"/>
              <w:rPr>
                <w:sz w:val="3"/>
                <w:szCs w:val="3"/>
                <w:color w:val="auto"/>
              </w:rPr>
            </w:pPr>
          </w:p>
        </w:tc>
        <w:tc>
          <w:tcPr>
            <w:tcW w:w="100" w:type="dxa"/>
            <w:vAlign w:val="bottom"/>
            <w:tcBorders>
              <w:bottom w:val="single" w:sz="8" w:color="EBFBFF"/>
            </w:tcBorders>
          </w:tcPr>
          <w:p>
            <w:pPr>
              <w:spacing w:after="0"/>
              <w:rPr>
                <w:sz w:val="3"/>
                <w:szCs w:val="3"/>
                <w:color w:val="auto"/>
              </w:rPr>
            </w:pPr>
          </w:p>
        </w:tc>
        <w:tc>
          <w:tcPr>
            <w:tcW w:w="640" w:type="dxa"/>
            <w:vAlign w:val="bottom"/>
            <w:tcBorders>
              <w:bottom w:val="single" w:sz="8" w:color="51555C"/>
            </w:tcBorders>
          </w:tcPr>
          <w:p>
            <w:pPr>
              <w:spacing w:after="0"/>
              <w:rPr>
                <w:sz w:val="3"/>
                <w:szCs w:val="3"/>
                <w:color w:val="auto"/>
              </w:rPr>
            </w:pPr>
          </w:p>
        </w:tc>
        <w:tc>
          <w:tcPr>
            <w:tcW w:w="480" w:type="dxa"/>
            <w:vAlign w:val="bottom"/>
            <w:tcBorders>
              <w:bottom w:val="single" w:sz="8" w:color="51555C"/>
            </w:tcBorders>
          </w:tcPr>
          <w:p>
            <w:pPr>
              <w:spacing w:after="0"/>
              <w:rPr>
                <w:sz w:val="3"/>
                <w:szCs w:val="3"/>
                <w:color w:val="auto"/>
              </w:rPr>
            </w:pPr>
          </w:p>
        </w:tc>
        <w:tc>
          <w:tcPr>
            <w:tcW w:w="200" w:type="dxa"/>
            <w:vAlign w:val="bottom"/>
            <w:tcBorders>
              <w:bottom w:val="single" w:sz="8" w:color="51555C"/>
            </w:tcBorders>
          </w:tcPr>
          <w:p>
            <w:pPr>
              <w:spacing w:after="0"/>
              <w:rPr>
                <w:sz w:val="3"/>
                <w:szCs w:val="3"/>
                <w:color w:val="auto"/>
              </w:rPr>
            </w:pPr>
          </w:p>
        </w:tc>
        <w:tc>
          <w:tcPr>
            <w:tcW w:w="940" w:type="dxa"/>
            <w:vAlign w:val="bottom"/>
            <w:tcBorders>
              <w:bottom w:val="single" w:sz="8" w:color="51555C"/>
            </w:tcBorders>
          </w:tcPr>
          <w:p>
            <w:pPr>
              <w:spacing w:after="0"/>
              <w:rPr>
                <w:sz w:val="3"/>
                <w:szCs w:val="3"/>
                <w:color w:val="auto"/>
              </w:rPr>
            </w:pPr>
          </w:p>
        </w:tc>
        <w:tc>
          <w:tcPr>
            <w:tcW w:w="20" w:type="dxa"/>
            <w:vAlign w:val="bottom"/>
          </w:tcPr>
          <w:p>
            <w:pPr>
              <w:spacing w:after="0"/>
              <w:rPr>
                <w:sz w:val="3"/>
                <w:szCs w:val="3"/>
                <w:color w:val="auto"/>
              </w:rPr>
            </w:pPr>
          </w:p>
        </w:tc>
      </w:tr>
      <w:tr>
        <w:trPr>
          <w:trHeight w:val="208"/>
        </w:trPr>
        <w:tc>
          <w:tcPr>
            <w:tcW w:w="6640" w:type="dxa"/>
            <w:vAlign w:val="bottom"/>
            <w:tcBorders>
              <w:bottom w:val="single" w:sz="8" w:color="EBFBFF"/>
            </w:tcBorders>
            <w:shd w:val="clear" w:color="auto" w:fill="EBFBFF"/>
          </w:tcPr>
          <w:p>
            <w:pPr>
              <w:ind w:left="20"/>
              <w:spacing w:after="0" w:line="163" w:lineRule="exact"/>
              <w:rPr>
                <w:sz w:val="20"/>
                <w:szCs w:val="20"/>
                <w:color w:val="auto"/>
              </w:rPr>
            </w:pPr>
            <w:r>
              <w:rPr>
                <w:rFonts w:ascii="Calibri" w:cs="Calibri" w:eastAsia="Calibri" w:hAnsi="Calibri"/>
                <w:sz w:val="14"/>
                <w:szCs w:val="14"/>
                <w:b w:val="1"/>
                <w:bCs w:val="1"/>
                <w:color w:val="51555C"/>
              </w:rPr>
              <w:t>Accumulated other comprehensive income, end of period</w:t>
            </w:r>
          </w:p>
        </w:tc>
        <w:tc>
          <w:tcPr>
            <w:tcW w:w="380" w:type="dxa"/>
            <w:vAlign w:val="bottom"/>
            <w:tcBorders>
              <w:bottom w:val="single" w:sz="8" w:color="EBFBFF"/>
            </w:tcBorders>
            <w:shd w:val="clear" w:color="auto" w:fill="EBFBFF"/>
          </w:tcPr>
          <w:p>
            <w:pPr>
              <w:jc w:val="right"/>
              <w:ind w:right="209"/>
              <w:spacing w:after="0" w:line="163" w:lineRule="exact"/>
              <w:rPr>
                <w:sz w:val="20"/>
                <w:szCs w:val="20"/>
                <w:color w:val="auto"/>
              </w:rPr>
            </w:pPr>
            <w:r>
              <w:rPr>
                <w:rFonts w:ascii="Calibri" w:cs="Calibri" w:eastAsia="Calibri" w:hAnsi="Calibri"/>
                <w:sz w:val="14"/>
                <w:szCs w:val="14"/>
                <w:color w:val="51555C"/>
              </w:rPr>
              <w:t>$</w:t>
            </w:r>
          </w:p>
        </w:tc>
        <w:tc>
          <w:tcPr>
            <w:tcW w:w="760" w:type="dxa"/>
            <w:vAlign w:val="bottom"/>
            <w:tcBorders>
              <w:bottom w:val="single" w:sz="8" w:color="EBFBFF"/>
            </w:tcBorders>
            <w:shd w:val="clear" w:color="auto" w:fill="EBFBFF"/>
          </w:tcPr>
          <w:p>
            <w:pPr>
              <w:jc w:val="right"/>
              <w:spacing w:after="0" w:line="163" w:lineRule="exact"/>
              <w:rPr>
                <w:sz w:val="20"/>
                <w:szCs w:val="20"/>
                <w:color w:val="auto"/>
              </w:rPr>
            </w:pPr>
            <w:r>
              <w:rPr>
                <w:rFonts w:ascii="Calibri" w:cs="Calibri" w:eastAsia="Calibri" w:hAnsi="Calibri"/>
                <w:sz w:val="14"/>
                <w:szCs w:val="14"/>
                <w:color w:val="51555C"/>
              </w:rPr>
              <w:t>175</w:t>
            </w:r>
          </w:p>
        </w:tc>
        <w:tc>
          <w:tcPr>
            <w:tcW w:w="120" w:type="dxa"/>
            <w:vAlign w:val="bottom"/>
            <w:tcBorders>
              <w:bottom w:val="single" w:sz="8" w:color="EBFBFF"/>
            </w:tcBorders>
            <w:shd w:val="clear" w:color="auto" w:fill="EBFBFF"/>
          </w:tcPr>
          <w:p>
            <w:pPr>
              <w:jc w:val="right"/>
              <w:spacing w:after="0" w:line="163" w:lineRule="exact"/>
              <w:rPr>
                <w:sz w:val="20"/>
                <w:szCs w:val="20"/>
                <w:color w:val="auto"/>
              </w:rPr>
            </w:pPr>
            <w:r>
              <w:rPr>
                <w:rFonts w:ascii="Calibri" w:cs="Calibri" w:eastAsia="Calibri" w:hAnsi="Calibri"/>
                <w:sz w:val="14"/>
                <w:szCs w:val="14"/>
                <w:color w:val="51555C"/>
                <w:w w:val="83"/>
              </w:rPr>
              <w:t>$</w:t>
            </w:r>
          </w:p>
        </w:tc>
        <w:tc>
          <w:tcPr>
            <w:tcW w:w="1020" w:type="dxa"/>
            <w:vAlign w:val="bottom"/>
            <w:tcBorders>
              <w:bottom w:val="single" w:sz="8" w:color="EBFBFF"/>
            </w:tcBorders>
            <w:shd w:val="clear" w:color="auto" w:fill="EBFBFF"/>
          </w:tcPr>
          <w:p>
            <w:pPr>
              <w:jc w:val="right"/>
              <w:spacing w:after="0" w:line="163" w:lineRule="exact"/>
              <w:rPr>
                <w:sz w:val="20"/>
                <w:szCs w:val="20"/>
                <w:color w:val="auto"/>
              </w:rPr>
            </w:pPr>
            <w:r>
              <w:rPr>
                <w:rFonts w:ascii="Calibri" w:cs="Calibri" w:eastAsia="Calibri" w:hAnsi="Calibri"/>
                <w:sz w:val="14"/>
                <w:szCs w:val="14"/>
                <w:color w:val="51555C"/>
              </w:rPr>
              <w:t>8,842</w:t>
            </w:r>
          </w:p>
        </w:tc>
        <w:tc>
          <w:tcPr>
            <w:tcW w:w="740" w:type="dxa"/>
            <w:vAlign w:val="bottom"/>
            <w:tcBorders>
              <w:bottom w:val="single" w:sz="8" w:color="EBFBFF"/>
            </w:tcBorders>
            <w:gridSpan w:val="2"/>
            <w:shd w:val="clear" w:color="auto" w:fill="EBFBFF"/>
          </w:tcPr>
          <w:p>
            <w:pPr>
              <w:jc w:val="right"/>
              <w:ind w:right="489"/>
              <w:spacing w:after="0" w:line="163" w:lineRule="exact"/>
              <w:rPr>
                <w:sz w:val="20"/>
                <w:szCs w:val="20"/>
                <w:color w:val="auto"/>
              </w:rPr>
            </w:pPr>
            <w:r>
              <w:rPr>
                <w:rFonts w:ascii="Calibri" w:cs="Calibri" w:eastAsia="Calibri" w:hAnsi="Calibri"/>
                <w:sz w:val="14"/>
                <w:szCs w:val="14"/>
                <w:color w:val="51555C"/>
              </w:rPr>
              <w:t>$</w:t>
            </w:r>
          </w:p>
        </w:tc>
        <w:tc>
          <w:tcPr>
            <w:tcW w:w="480" w:type="dxa"/>
            <w:vAlign w:val="bottom"/>
            <w:tcBorders>
              <w:bottom w:val="single" w:sz="8" w:color="EBFBFF"/>
            </w:tcBorders>
            <w:shd w:val="clear" w:color="auto" w:fill="EBFBFF"/>
          </w:tcPr>
          <w:p>
            <w:pPr>
              <w:jc w:val="right"/>
              <w:spacing w:after="0" w:line="163" w:lineRule="exact"/>
              <w:rPr>
                <w:sz w:val="20"/>
                <w:szCs w:val="20"/>
                <w:color w:val="auto"/>
              </w:rPr>
            </w:pPr>
            <w:r>
              <w:rPr>
                <w:rFonts w:ascii="Calibri" w:cs="Calibri" w:eastAsia="Calibri" w:hAnsi="Calibri"/>
                <w:sz w:val="14"/>
                <w:szCs w:val="14"/>
                <w:color w:val="51555C"/>
              </w:rPr>
              <w:t>175</w:t>
            </w:r>
          </w:p>
        </w:tc>
        <w:tc>
          <w:tcPr>
            <w:tcW w:w="200" w:type="dxa"/>
            <w:vAlign w:val="bottom"/>
            <w:tcBorders>
              <w:bottom w:val="single" w:sz="8" w:color="EBFBFF"/>
            </w:tcBorders>
            <w:shd w:val="clear" w:color="auto" w:fill="EBFBFF"/>
          </w:tcPr>
          <w:p>
            <w:pPr>
              <w:jc w:val="right"/>
              <w:ind w:right="29"/>
              <w:spacing w:after="0" w:line="163" w:lineRule="exact"/>
              <w:rPr>
                <w:sz w:val="20"/>
                <w:szCs w:val="20"/>
                <w:color w:val="auto"/>
              </w:rPr>
            </w:pPr>
            <w:r>
              <w:rPr>
                <w:rFonts w:ascii="Calibri" w:cs="Calibri" w:eastAsia="Calibri" w:hAnsi="Calibri"/>
                <w:sz w:val="14"/>
                <w:szCs w:val="14"/>
                <w:color w:val="51555C"/>
              </w:rPr>
              <w:t>$</w:t>
            </w:r>
          </w:p>
        </w:tc>
        <w:tc>
          <w:tcPr>
            <w:tcW w:w="940" w:type="dxa"/>
            <w:vAlign w:val="bottom"/>
            <w:tcBorders>
              <w:bottom w:val="single" w:sz="8" w:color="EBFBFF"/>
            </w:tcBorders>
            <w:shd w:val="clear" w:color="auto" w:fill="EBFBFF"/>
          </w:tcPr>
          <w:p>
            <w:pPr>
              <w:jc w:val="right"/>
              <w:spacing w:after="0" w:line="163" w:lineRule="exact"/>
              <w:rPr>
                <w:sz w:val="20"/>
                <w:szCs w:val="20"/>
                <w:color w:val="auto"/>
              </w:rPr>
            </w:pPr>
            <w:r>
              <w:rPr>
                <w:rFonts w:ascii="Calibri" w:cs="Calibri" w:eastAsia="Calibri" w:hAnsi="Calibri"/>
                <w:sz w:val="14"/>
                <w:szCs w:val="14"/>
                <w:color w:val="51555C"/>
              </w:rPr>
              <w:t>8,842</w:t>
            </w:r>
          </w:p>
        </w:tc>
        <w:tc>
          <w:tcPr>
            <w:tcW w:w="20" w:type="dxa"/>
            <w:vAlign w:val="bottom"/>
          </w:tcPr>
          <w:p>
            <w:pPr>
              <w:spacing w:after="0"/>
              <w:rPr>
                <w:sz w:val="17"/>
                <w:szCs w:val="17"/>
                <w:color w:val="auto"/>
              </w:rPr>
            </w:pPr>
          </w:p>
        </w:tc>
      </w:tr>
      <w:tr>
        <w:trPr>
          <w:trHeight w:val="507"/>
        </w:trPr>
        <w:tc>
          <w:tcPr>
            <w:tcW w:w="6640" w:type="dxa"/>
            <w:vAlign w:val="bottom"/>
            <w:tcBorders>
              <w:top w:val="single" w:sz="8" w:color="0CD973"/>
            </w:tcBorders>
          </w:tcPr>
          <w:p>
            <w:pPr>
              <w:spacing w:after="0"/>
              <w:rPr>
                <w:sz w:val="24"/>
                <w:szCs w:val="24"/>
                <w:color w:val="auto"/>
              </w:rPr>
            </w:pPr>
          </w:p>
        </w:tc>
        <w:tc>
          <w:tcPr>
            <w:tcW w:w="380" w:type="dxa"/>
            <w:vAlign w:val="bottom"/>
            <w:tcBorders>
              <w:top w:val="single" w:sz="8" w:color="0CD973"/>
            </w:tcBorders>
          </w:tcPr>
          <w:p>
            <w:pPr>
              <w:spacing w:after="0"/>
              <w:rPr>
                <w:sz w:val="24"/>
                <w:szCs w:val="24"/>
                <w:color w:val="auto"/>
              </w:rPr>
            </w:pPr>
          </w:p>
        </w:tc>
        <w:tc>
          <w:tcPr>
            <w:tcW w:w="760" w:type="dxa"/>
            <w:vAlign w:val="bottom"/>
            <w:tcBorders>
              <w:top w:val="single" w:sz="8" w:color="0CD973"/>
            </w:tcBorders>
          </w:tcPr>
          <w:p>
            <w:pPr>
              <w:spacing w:after="0"/>
              <w:rPr>
                <w:sz w:val="24"/>
                <w:szCs w:val="24"/>
                <w:color w:val="auto"/>
              </w:rPr>
            </w:pPr>
          </w:p>
        </w:tc>
        <w:tc>
          <w:tcPr>
            <w:tcW w:w="120" w:type="dxa"/>
            <w:vAlign w:val="bottom"/>
            <w:tcBorders>
              <w:top w:val="single" w:sz="8" w:color="0CD973"/>
            </w:tcBorders>
          </w:tcPr>
          <w:p>
            <w:pPr>
              <w:spacing w:after="0"/>
              <w:rPr>
                <w:sz w:val="24"/>
                <w:szCs w:val="24"/>
                <w:color w:val="auto"/>
              </w:rPr>
            </w:pPr>
          </w:p>
        </w:tc>
        <w:tc>
          <w:tcPr>
            <w:tcW w:w="1760" w:type="dxa"/>
            <w:vAlign w:val="bottom"/>
            <w:tcBorders>
              <w:top w:val="single" w:sz="8" w:color="0CD973"/>
            </w:tcBorders>
            <w:gridSpan w:val="3"/>
          </w:tcPr>
          <w:p>
            <w:pPr>
              <w:jc w:val="right"/>
              <w:spacing w:after="0"/>
              <w:rPr>
                <w:sz w:val="20"/>
                <w:szCs w:val="20"/>
                <w:color w:val="auto"/>
              </w:rPr>
            </w:pPr>
            <w:r>
              <w:rPr>
                <w:rFonts w:ascii="Calibri" w:cs="Calibri" w:eastAsia="Calibri" w:hAnsi="Calibri"/>
                <w:sz w:val="11"/>
                <w:szCs w:val="11"/>
                <w:color w:val="51555C"/>
              </w:rPr>
              <w:t>Second Quarter 2024 Form 10-Q</w:t>
            </w:r>
          </w:p>
        </w:tc>
        <w:tc>
          <w:tcPr>
            <w:tcW w:w="480" w:type="dxa"/>
            <w:vAlign w:val="bottom"/>
            <w:tcBorders>
              <w:top w:val="single" w:sz="8" w:color="0CD973"/>
            </w:tcBorders>
          </w:tcPr>
          <w:p>
            <w:pPr>
              <w:spacing w:after="0"/>
              <w:rPr>
                <w:sz w:val="24"/>
                <w:szCs w:val="24"/>
                <w:color w:val="auto"/>
              </w:rPr>
            </w:pPr>
          </w:p>
        </w:tc>
        <w:tc>
          <w:tcPr>
            <w:tcW w:w="200" w:type="dxa"/>
            <w:vAlign w:val="bottom"/>
            <w:tcBorders>
              <w:top w:val="single" w:sz="8" w:color="0CD973"/>
            </w:tcBorders>
          </w:tcPr>
          <w:p>
            <w:pPr>
              <w:spacing w:after="0"/>
              <w:rPr>
                <w:sz w:val="24"/>
                <w:szCs w:val="24"/>
                <w:color w:val="auto"/>
              </w:rPr>
            </w:pPr>
          </w:p>
        </w:tc>
        <w:tc>
          <w:tcPr>
            <w:tcW w:w="940" w:type="dxa"/>
            <w:vAlign w:val="bottom"/>
            <w:tcBorders>
              <w:top w:val="single" w:sz="8" w:color="0CD973"/>
            </w:tcBorders>
          </w:tcPr>
          <w:p>
            <w:pPr>
              <w:jc w:val="right"/>
              <w:spacing w:after="0"/>
              <w:rPr>
                <w:sz w:val="20"/>
                <w:szCs w:val="20"/>
                <w:color w:val="auto"/>
              </w:rPr>
            </w:pPr>
            <w:r>
              <w:rPr>
                <w:rFonts w:ascii="Calibri" w:cs="Calibri" w:eastAsia="Calibri" w:hAnsi="Calibri"/>
                <w:sz w:val="11"/>
                <w:szCs w:val="11"/>
                <w:color w:val="51555C"/>
              </w:rPr>
              <w:t>23</w:t>
            </w:r>
          </w:p>
        </w:tc>
        <w:tc>
          <w:tcPr>
            <w:tcW w:w="20" w:type="dxa"/>
            <w:vAlign w:val="bottom"/>
          </w:tcPr>
          <w:p>
            <w:pPr>
              <w:spacing w:after="0"/>
              <w:rPr>
                <w:sz w:val="24"/>
                <w:szCs w:val="24"/>
                <w:color w:val="auto"/>
              </w:rPr>
            </w:pPr>
          </w:p>
        </w:tc>
      </w:tr>
      <w:tr>
        <w:trPr>
          <w:trHeight w:val="270"/>
        </w:trPr>
        <w:tc>
          <w:tcPr>
            <w:tcW w:w="6640" w:type="dxa"/>
            <w:vAlign w:val="bottom"/>
            <w:tcBorders>
              <w:bottom w:val="single" w:sz="8" w:color="9A9A9A"/>
            </w:tcBorders>
          </w:tcPr>
          <w:p>
            <w:pPr>
              <w:spacing w:after="0"/>
              <w:rPr>
                <w:sz w:val="23"/>
                <w:szCs w:val="23"/>
                <w:color w:val="auto"/>
              </w:rPr>
            </w:pPr>
          </w:p>
        </w:tc>
        <w:tc>
          <w:tcPr>
            <w:tcW w:w="380" w:type="dxa"/>
            <w:vAlign w:val="bottom"/>
            <w:tcBorders>
              <w:bottom w:val="single" w:sz="8" w:color="9A9A9A"/>
            </w:tcBorders>
          </w:tcPr>
          <w:p>
            <w:pPr>
              <w:spacing w:after="0"/>
              <w:rPr>
                <w:sz w:val="23"/>
                <w:szCs w:val="23"/>
                <w:color w:val="auto"/>
              </w:rPr>
            </w:pPr>
          </w:p>
        </w:tc>
        <w:tc>
          <w:tcPr>
            <w:tcW w:w="760" w:type="dxa"/>
            <w:vAlign w:val="bottom"/>
            <w:tcBorders>
              <w:bottom w:val="single" w:sz="8" w:color="9A9A9A"/>
            </w:tcBorders>
          </w:tcPr>
          <w:p>
            <w:pPr>
              <w:spacing w:after="0"/>
              <w:rPr>
                <w:sz w:val="23"/>
                <w:szCs w:val="23"/>
                <w:color w:val="auto"/>
              </w:rPr>
            </w:pPr>
          </w:p>
        </w:tc>
        <w:tc>
          <w:tcPr>
            <w:tcW w:w="120" w:type="dxa"/>
            <w:vAlign w:val="bottom"/>
            <w:tcBorders>
              <w:bottom w:val="single" w:sz="8" w:color="9A9A9A"/>
            </w:tcBorders>
          </w:tcPr>
          <w:p>
            <w:pPr>
              <w:spacing w:after="0"/>
              <w:rPr>
                <w:sz w:val="23"/>
                <w:szCs w:val="23"/>
                <w:color w:val="auto"/>
              </w:rPr>
            </w:pPr>
          </w:p>
        </w:tc>
        <w:tc>
          <w:tcPr>
            <w:tcW w:w="1020" w:type="dxa"/>
            <w:vAlign w:val="bottom"/>
            <w:tcBorders>
              <w:bottom w:val="single" w:sz="8" w:color="9A9A9A"/>
            </w:tcBorders>
          </w:tcPr>
          <w:p>
            <w:pPr>
              <w:spacing w:after="0"/>
              <w:rPr>
                <w:sz w:val="23"/>
                <w:szCs w:val="23"/>
                <w:color w:val="auto"/>
              </w:rPr>
            </w:pPr>
          </w:p>
        </w:tc>
        <w:tc>
          <w:tcPr>
            <w:tcW w:w="100" w:type="dxa"/>
            <w:vAlign w:val="bottom"/>
            <w:tcBorders>
              <w:bottom w:val="single" w:sz="8" w:color="9A9A9A"/>
            </w:tcBorders>
          </w:tcPr>
          <w:p>
            <w:pPr>
              <w:spacing w:after="0"/>
              <w:rPr>
                <w:sz w:val="23"/>
                <w:szCs w:val="23"/>
                <w:color w:val="auto"/>
              </w:rPr>
            </w:pPr>
          </w:p>
        </w:tc>
        <w:tc>
          <w:tcPr>
            <w:tcW w:w="640" w:type="dxa"/>
            <w:vAlign w:val="bottom"/>
            <w:tcBorders>
              <w:bottom w:val="single" w:sz="8" w:color="9A9A9A"/>
            </w:tcBorders>
          </w:tcPr>
          <w:p>
            <w:pPr>
              <w:spacing w:after="0"/>
              <w:rPr>
                <w:sz w:val="23"/>
                <w:szCs w:val="23"/>
                <w:color w:val="auto"/>
              </w:rPr>
            </w:pPr>
          </w:p>
        </w:tc>
        <w:tc>
          <w:tcPr>
            <w:tcW w:w="480" w:type="dxa"/>
            <w:vAlign w:val="bottom"/>
            <w:tcBorders>
              <w:bottom w:val="single" w:sz="8" w:color="9A9A9A"/>
            </w:tcBorders>
          </w:tcPr>
          <w:p>
            <w:pPr>
              <w:spacing w:after="0"/>
              <w:rPr>
                <w:sz w:val="23"/>
                <w:szCs w:val="23"/>
                <w:color w:val="auto"/>
              </w:rPr>
            </w:pPr>
          </w:p>
        </w:tc>
        <w:tc>
          <w:tcPr>
            <w:tcW w:w="200" w:type="dxa"/>
            <w:vAlign w:val="bottom"/>
            <w:tcBorders>
              <w:bottom w:val="single" w:sz="8" w:color="9A9A9A"/>
            </w:tcBorders>
          </w:tcPr>
          <w:p>
            <w:pPr>
              <w:spacing w:after="0"/>
              <w:rPr>
                <w:sz w:val="23"/>
                <w:szCs w:val="23"/>
                <w:color w:val="auto"/>
              </w:rPr>
            </w:pPr>
          </w:p>
        </w:tc>
        <w:tc>
          <w:tcPr>
            <w:tcW w:w="940" w:type="dxa"/>
            <w:vAlign w:val="bottom"/>
            <w:tcBorders>
              <w:bottom w:val="single" w:sz="8" w:color="9A9A9A"/>
            </w:tcBorders>
          </w:tcPr>
          <w:p>
            <w:pPr>
              <w:spacing w:after="0"/>
              <w:rPr>
                <w:sz w:val="23"/>
                <w:szCs w:val="23"/>
                <w:color w:val="auto"/>
              </w:rPr>
            </w:pPr>
          </w:p>
        </w:tc>
        <w:tc>
          <w:tcPr>
            <w:tcW w:w="2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4220845</wp:posOffset>
            </wp:positionH>
            <wp:positionV relativeFrom="paragraph">
              <wp:posOffset>-2727960</wp:posOffset>
            </wp:positionV>
            <wp:extent cx="2950845" cy="69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950845" cy="6985"/>
                    </a:xfrm>
                    <a:prstGeom prst="rect">
                      <a:avLst/>
                    </a:prstGeom>
                    <a:noFill/>
                  </pic:spPr>
                </pic:pic>
              </a:graphicData>
            </a:graphic>
          </wp:anchor>
        </w:drawing>
        <w:drawing>
          <wp:anchor simplePos="0" relativeHeight="251657728" behindDoc="1" locked="0" layoutInCell="0" allowOverlap="1">
            <wp:simplePos x="0" y="0"/>
            <wp:positionH relativeFrom="column">
              <wp:posOffset>6268720</wp:posOffset>
            </wp:positionH>
            <wp:positionV relativeFrom="paragraph">
              <wp:posOffset>-288925</wp:posOffset>
            </wp:positionV>
            <wp:extent cx="518795" cy="134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8795" cy="13462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24" w:name="page25"/>
    <w:bookmarkEnd w:id="24"/>
    <w:p>
      <w:pPr>
        <w:spacing w:after="0"/>
        <w:rPr>
          <w:sz w:val="20"/>
          <w:szCs w:val="20"/>
          <w:color w:val="auto"/>
        </w:rPr>
      </w:pPr>
      <w:r>
        <w:rPr>
          <w:rFonts w:ascii="Calibri" w:cs="Calibri" w:eastAsia="Calibri" w:hAnsi="Calibri"/>
          <w:sz w:val="11"/>
          <w:szCs w:val="11"/>
          <w:u w:val="single" w:color="auto"/>
          <w:color w:val="7A04DD"/>
        </w:rPr>
        <w:t>Table of Contents</w:t>
      </w:r>
    </w:p>
    <w:p>
      <w:pPr>
        <w:spacing w:after="0" w:line="196" w:lineRule="exact"/>
        <w:rPr>
          <w:sz w:val="20"/>
          <w:szCs w:val="20"/>
          <w:color w:val="auto"/>
        </w:rPr>
      </w:pPr>
    </w:p>
    <w:p>
      <w:pPr>
        <w:jc w:val="center"/>
        <w:ind w:right="20"/>
        <w:spacing w:after="0"/>
        <w:rPr>
          <w:sz w:val="20"/>
          <w:szCs w:val="20"/>
          <w:color w:val="auto"/>
        </w:rPr>
      </w:pPr>
      <w:r>
        <w:rPr>
          <w:rFonts w:ascii="Calibri" w:cs="Calibri" w:eastAsia="Calibri" w:hAnsi="Calibri"/>
          <w:sz w:val="14"/>
          <w:szCs w:val="14"/>
          <w:b w:val="1"/>
          <w:bCs w:val="1"/>
          <w:color w:val="51555C"/>
        </w:rPr>
        <w:t>Blackbaud, Inc.</w:t>
      </w:r>
    </w:p>
    <w:p>
      <w:pPr>
        <w:jc w:val="center"/>
        <w:ind w:right="20"/>
        <w:spacing w:after="0" w:line="238" w:lineRule="auto"/>
        <w:rPr>
          <w:sz w:val="20"/>
          <w:szCs w:val="20"/>
          <w:color w:val="auto"/>
        </w:rPr>
      </w:pPr>
      <w:r>
        <w:rPr>
          <w:rFonts w:ascii="Calibri" w:cs="Calibri" w:eastAsia="Calibri" w:hAnsi="Calibri"/>
          <w:sz w:val="14"/>
          <w:szCs w:val="14"/>
          <w:b w:val="1"/>
          <w:bCs w:val="1"/>
          <w:color w:val="51555C"/>
        </w:rPr>
        <w:t>Notes to Condensed Consolidated Financial Statements</w:t>
      </w:r>
    </w:p>
    <w:p>
      <w:pPr>
        <w:jc w:val="center"/>
        <w:ind w:right="20"/>
        <w:spacing w:after="0"/>
        <w:rPr>
          <w:sz w:val="20"/>
          <w:szCs w:val="20"/>
          <w:color w:val="auto"/>
        </w:rPr>
      </w:pPr>
      <w:r>
        <w:rPr>
          <w:rFonts w:ascii="Calibri" w:cs="Calibri" w:eastAsia="Calibri" w:hAnsi="Calibri"/>
          <w:sz w:val="14"/>
          <w:szCs w:val="14"/>
          <w:b w:val="1"/>
          <w:bCs w:val="1"/>
          <w:color w:val="51555C"/>
        </w:rPr>
        <w:t>(Unaudited)</w:t>
      </w: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Calibri" w:cs="Calibri" w:eastAsia="Calibri" w:hAnsi="Calibri"/>
          <w:sz w:val="17"/>
          <w:szCs w:val="17"/>
          <w:b w:val="1"/>
          <w:bCs w:val="1"/>
          <w:color w:val="006880"/>
        </w:rPr>
        <w:t>12. Revenue Recogniton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27305</wp:posOffset>
            </wp:positionV>
            <wp:extent cx="7161530" cy="69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51555C"/>
        </w:rPr>
        <w:t>Transacton price allocated to the remaining performance obligatons</w:t>
      </w:r>
    </w:p>
    <w:p>
      <w:pPr>
        <w:spacing w:after="0" w:line="129" w:lineRule="exact"/>
        <w:rPr>
          <w:sz w:val="20"/>
          <w:szCs w:val="20"/>
          <w:color w:val="auto"/>
        </w:rPr>
      </w:pPr>
    </w:p>
    <w:p>
      <w:pPr>
        <w:jc w:val="both"/>
        <w:ind w:right="20"/>
        <w:spacing w:after="0" w:line="237" w:lineRule="auto"/>
        <w:rPr>
          <w:sz w:val="20"/>
          <w:szCs w:val="20"/>
          <w:color w:val="auto"/>
        </w:rPr>
      </w:pPr>
      <w:r>
        <w:rPr>
          <w:rFonts w:ascii="Calibri" w:cs="Calibri" w:eastAsia="Calibri" w:hAnsi="Calibri"/>
          <w:sz w:val="14"/>
          <w:szCs w:val="14"/>
          <w:color w:val="51555C"/>
        </w:rPr>
        <w:t>As of June 30, 2024, approximately $1.3 billion of revenue under contract is expected to be recognized from remaining performance obligatons. We expect to recognize revenue on approximately 55% of these remaining performance obligatons over the next 12 months, with the remainder recognized thereafer.</w:t>
      </w:r>
    </w:p>
    <w:p>
      <w:pPr>
        <w:spacing w:after="0" w:line="129" w:lineRule="exact"/>
        <w:rPr>
          <w:sz w:val="20"/>
          <w:szCs w:val="20"/>
          <w:color w:val="auto"/>
        </w:rPr>
      </w:pPr>
    </w:p>
    <w:p>
      <w:pPr>
        <w:jc w:val="both"/>
        <w:ind w:right="20"/>
        <w:spacing w:after="0" w:line="237" w:lineRule="auto"/>
        <w:rPr>
          <w:sz w:val="20"/>
          <w:szCs w:val="20"/>
          <w:color w:val="auto"/>
        </w:rPr>
      </w:pPr>
      <w:r>
        <w:rPr>
          <w:rFonts w:ascii="Calibri" w:cs="Calibri" w:eastAsia="Calibri" w:hAnsi="Calibri"/>
          <w:sz w:val="14"/>
          <w:szCs w:val="14"/>
          <w:color w:val="51555C"/>
        </w:rPr>
        <w:t>We applied the practcal expedient in ASC 606-10-50-14 and have excluded the value of unsatsfed performance obligatons for contracts for which we recognize revenue at the amount to which we have the right to invoice for services performed (transactonal revenue).</w:t>
      </w:r>
    </w:p>
    <w:p>
      <w:pPr>
        <w:spacing w:after="0" w:line="126"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51555C"/>
        </w:rPr>
        <w:t>Contract balances</w:t>
      </w:r>
    </w:p>
    <w:p>
      <w:pPr>
        <w:spacing w:after="0" w:line="126" w:lineRule="exact"/>
        <w:rPr>
          <w:sz w:val="20"/>
          <w:szCs w:val="20"/>
          <w:color w:val="auto"/>
        </w:rPr>
      </w:pPr>
    </w:p>
    <w:p>
      <w:pPr>
        <w:spacing w:after="0"/>
        <w:rPr>
          <w:sz w:val="20"/>
          <w:szCs w:val="20"/>
          <w:color w:val="auto"/>
        </w:rPr>
      </w:pPr>
      <w:r>
        <w:rPr>
          <w:rFonts w:ascii="Calibri" w:cs="Calibri" w:eastAsia="Calibri" w:hAnsi="Calibri"/>
          <w:sz w:val="14"/>
          <w:szCs w:val="14"/>
          <w:color w:val="51555C"/>
        </w:rPr>
        <w:t>Our contract assets as of June 30, 2024 and December 31, 2023 were insignifcant. Our closing balances of deferred revenue were as follows: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7980" w:type="dxa"/>
            <w:vAlign w:val="bottom"/>
            <w:shd w:val="clear" w:color="auto" w:fill="004054"/>
          </w:tcPr>
          <w:p>
            <w:pPr>
              <w:spacing w:after="0"/>
              <w:rPr>
                <w:sz w:val="12"/>
                <w:szCs w:val="12"/>
                <w:color w:val="auto"/>
              </w:rPr>
            </w:pPr>
          </w:p>
        </w:tc>
        <w:tc>
          <w:tcPr>
            <w:tcW w:w="620" w:type="dxa"/>
            <w:vAlign w:val="bottom"/>
            <w:shd w:val="clear" w:color="auto" w:fill="004054"/>
          </w:tcPr>
          <w:p>
            <w:pPr>
              <w:spacing w:after="0"/>
              <w:rPr>
                <w:sz w:val="12"/>
                <w:szCs w:val="12"/>
                <w:color w:val="auto"/>
              </w:rPr>
            </w:pPr>
          </w:p>
        </w:tc>
        <w:tc>
          <w:tcPr>
            <w:tcW w:w="102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June 30,</w:t>
            </w:r>
          </w:p>
        </w:tc>
        <w:tc>
          <w:tcPr>
            <w:tcW w:w="540" w:type="dxa"/>
            <w:vAlign w:val="bottom"/>
            <w:shd w:val="clear" w:color="auto" w:fill="004054"/>
          </w:tcPr>
          <w:p>
            <w:pPr>
              <w:spacing w:after="0"/>
              <w:rPr>
                <w:sz w:val="12"/>
                <w:szCs w:val="12"/>
                <w:color w:val="auto"/>
              </w:rPr>
            </w:pPr>
          </w:p>
        </w:tc>
        <w:tc>
          <w:tcPr>
            <w:tcW w:w="112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December 31,</w:t>
            </w:r>
          </w:p>
        </w:tc>
        <w:tc>
          <w:tcPr>
            <w:tcW w:w="20" w:type="dxa"/>
            <w:vAlign w:val="bottom"/>
            <w:shd w:val="clear" w:color="auto" w:fill="004054"/>
          </w:tcPr>
          <w:p>
            <w:pPr>
              <w:spacing w:after="0"/>
              <w:rPr>
                <w:sz w:val="12"/>
                <w:szCs w:val="12"/>
                <w:color w:val="auto"/>
              </w:rPr>
            </w:pPr>
          </w:p>
        </w:tc>
      </w:tr>
      <w:tr>
        <w:trPr>
          <w:trHeight w:val="172"/>
        </w:trPr>
        <w:tc>
          <w:tcPr>
            <w:tcW w:w="7980" w:type="dxa"/>
            <w:vAlign w:val="bottom"/>
            <w:tcBorders>
              <w:bottom w:val="single" w:sz="8" w:color="004054"/>
            </w:tcBorders>
            <w:shd w:val="clear" w:color="auto" w:fill="004054"/>
          </w:tcPr>
          <w:p>
            <w:pPr>
              <w:ind w:left="20"/>
              <w:spacing w:after="0"/>
              <w:rPr>
                <w:sz w:val="20"/>
                <w:szCs w:val="20"/>
                <w:color w:val="auto"/>
              </w:rPr>
            </w:pPr>
            <w:r>
              <w:rPr>
                <w:rFonts w:ascii="Calibri" w:cs="Calibri" w:eastAsia="Calibri" w:hAnsi="Calibri"/>
                <w:sz w:val="11"/>
                <w:szCs w:val="11"/>
                <w:b w:val="1"/>
                <w:bCs w:val="1"/>
                <w:color w:val="FFFFFF"/>
              </w:rPr>
              <w:t>(in thousands)</w:t>
            </w:r>
          </w:p>
        </w:tc>
        <w:tc>
          <w:tcPr>
            <w:tcW w:w="620" w:type="dxa"/>
            <w:vAlign w:val="bottom"/>
            <w:tcBorders>
              <w:bottom w:val="single" w:sz="8" w:color="004054"/>
            </w:tcBorders>
            <w:shd w:val="clear" w:color="auto" w:fill="004054"/>
          </w:tcPr>
          <w:p>
            <w:pPr>
              <w:spacing w:after="0"/>
              <w:rPr>
                <w:sz w:val="14"/>
                <w:szCs w:val="14"/>
                <w:color w:val="auto"/>
              </w:rPr>
            </w:pPr>
          </w:p>
        </w:tc>
        <w:tc>
          <w:tcPr>
            <w:tcW w:w="1020" w:type="dxa"/>
            <w:vAlign w:val="bottom"/>
            <w:tcBorders>
              <w:bottom w:val="single" w:sz="8" w:color="004054"/>
            </w:tcBorders>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2024</w:t>
            </w:r>
          </w:p>
        </w:tc>
        <w:tc>
          <w:tcPr>
            <w:tcW w:w="540" w:type="dxa"/>
            <w:vAlign w:val="bottom"/>
            <w:tcBorders>
              <w:bottom w:val="single" w:sz="8" w:color="004054"/>
            </w:tcBorders>
            <w:shd w:val="clear" w:color="auto" w:fill="004054"/>
          </w:tcPr>
          <w:p>
            <w:pPr>
              <w:spacing w:after="0"/>
              <w:rPr>
                <w:sz w:val="14"/>
                <w:szCs w:val="14"/>
                <w:color w:val="auto"/>
              </w:rPr>
            </w:pPr>
          </w:p>
        </w:tc>
        <w:tc>
          <w:tcPr>
            <w:tcW w:w="1120" w:type="dxa"/>
            <w:vAlign w:val="bottom"/>
            <w:tcBorders>
              <w:bottom w:val="single" w:sz="8" w:color="004054"/>
            </w:tcBorders>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2023</w:t>
            </w:r>
          </w:p>
        </w:tc>
        <w:tc>
          <w:tcPr>
            <w:tcW w:w="20" w:type="dxa"/>
            <w:vAlign w:val="bottom"/>
            <w:tcBorders>
              <w:bottom w:val="single" w:sz="8" w:color="004054"/>
            </w:tcBorders>
            <w:shd w:val="clear" w:color="auto" w:fill="004054"/>
          </w:tcPr>
          <w:p>
            <w:pPr>
              <w:spacing w:after="0"/>
              <w:rPr>
                <w:sz w:val="14"/>
                <w:szCs w:val="14"/>
                <w:color w:val="auto"/>
              </w:rPr>
            </w:pPr>
          </w:p>
        </w:tc>
      </w:tr>
      <w:tr>
        <w:trPr>
          <w:trHeight w:val="192"/>
        </w:trPr>
        <w:tc>
          <w:tcPr>
            <w:tcW w:w="798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4"/>
                <w:szCs w:val="14"/>
                <w:color w:val="51555C"/>
              </w:rPr>
              <w:t>Total deferred revenue</w:t>
            </w:r>
          </w:p>
        </w:tc>
        <w:tc>
          <w:tcPr>
            <w:tcW w:w="620" w:type="dxa"/>
            <w:vAlign w:val="bottom"/>
            <w:tcBorders>
              <w:bottom w:val="single" w:sz="8" w:color="EBFBFF"/>
            </w:tcBorders>
            <w:shd w:val="clear" w:color="auto" w:fill="EBFBFF"/>
          </w:tcPr>
          <w:p>
            <w:pPr>
              <w:jc w:val="right"/>
              <w:ind w:right="469"/>
              <w:spacing w:after="0"/>
              <w:rPr>
                <w:sz w:val="20"/>
                <w:szCs w:val="20"/>
                <w:color w:val="auto"/>
              </w:rPr>
            </w:pPr>
            <w:r>
              <w:rPr>
                <w:rFonts w:ascii="Calibri" w:cs="Calibri" w:eastAsia="Calibri" w:hAnsi="Calibri"/>
                <w:sz w:val="14"/>
                <w:szCs w:val="14"/>
                <w:color w:val="51555C"/>
                <w:w w:val="83"/>
              </w:rPr>
              <w:t>$</w:t>
            </w:r>
          </w:p>
        </w:tc>
        <w:tc>
          <w:tcPr>
            <w:tcW w:w="10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429,413</w:t>
            </w:r>
          </w:p>
        </w:tc>
        <w:tc>
          <w:tcPr>
            <w:tcW w:w="540" w:type="dxa"/>
            <w:vAlign w:val="bottom"/>
            <w:tcBorders>
              <w:bottom w:val="single" w:sz="8" w:color="EBFBFF"/>
            </w:tcBorders>
            <w:shd w:val="clear" w:color="auto" w:fill="EBFBFF"/>
          </w:tcPr>
          <w:p>
            <w:pPr>
              <w:jc w:val="right"/>
              <w:ind w:right="369"/>
              <w:spacing w:after="0"/>
              <w:rPr>
                <w:sz w:val="20"/>
                <w:szCs w:val="20"/>
                <w:color w:val="auto"/>
              </w:rPr>
            </w:pPr>
            <w:r>
              <w:rPr>
                <w:rFonts w:ascii="Calibri" w:cs="Calibri" w:eastAsia="Calibri" w:hAnsi="Calibri"/>
                <w:sz w:val="14"/>
                <w:szCs w:val="14"/>
                <w:color w:val="51555C"/>
              </w:rPr>
              <w:t>$</w:t>
            </w:r>
          </w:p>
        </w:tc>
        <w:tc>
          <w:tcPr>
            <w:tcW w:w="11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394,927</w:t>
            </w:r>
          </w:p>
        </w:tc>
        <w:tc>
          <w:tcPr>
            <w:tcW w:w="20" w:type="dxa"/>
            <w:vAlign w:val="bottom"/>
          </w:tcPr>
          <w:p>
            <w:pPr>
              <w:spacing w:after="0"/>
              <w:rPr>
                <w:sz w:val="16"/>
                <w:szCs w:val="16"/>
                <w:color w:val="auto"/>
              </w:rPr>
            </w:pPr>
          </w:p>
        </w:tc>
      </w:tr>
      <w:tr>
        <w:trPr>
          <w:trHeight w:val="20"/>
        </w:trPr>
        <w:tc>
          <w:tcPr>
            <w:tcW w:w="7980" w:type="dxa"/>
            <w:vAlign w:val="bottom"/>
            <w:shd w:val="clear" w:color="auto" w:fill="0CD973"/>
          </w:tcPr>
          <w:p>
            <w:pPr>
              <w:spacing w:after="0" w:line="20" w:lineRule="exact"/>
              <w:rPr>
                <w:sz w:val="1"/>
                <w:szCs w:val="1"/>
                <w:color w:val="auto"/>
              </w:rPr>
            </w:pPr>
          </w:p>
        </w:tc>
        <w:tc>
          <w:tcPr>
            <w:tcW w:w="620" w:type="dxa"/>
            <w:vAlign w:val="bottom"/>
            <w:shd w:val="clear" w:color="auto" w:fill="0CD973"/>
          </w:tcPr>
          <w:p>
            <w:pPr>
              <w:spacing w:after="0" w:line="20" w:lineRule="exact"/>
              <w:rPr>
                <w:sz w:val="1"/>
                <w:szCs w:val="1"/>
                <w:color w:val="auto"/>
              </w:rPr>
            </w:pPr>
          </w:p>
        </w:tc>
        <w:tc>
          <w:tcPr>
            <w:tcW w:w="1020" w:type="dxa"/>
            <w:vAlign w:val="bottom"/>
            <w:shd w:val="clear" w:color="auto" w:fill="0CD973"/>
          </w:tcPr>
          <w:p>
            <w:pPr>
              <w:spacing w:after="0" w:line="20" w:lineRule="exact"/>
              <w:rPr>
                <w:sz w:val="1"/>
                <w:szCs w:val="1"/>
                <w:color w:val="auto"/>
              </w:rPr>
            </w:pPr>
          </w:p>
        </w:tc>
        <w:tc>
          <w:tcPr>
            <w:tcW w:w="540" w:type="dxa"/>
            <w:vAlign w:val="bottom"/>
            <w:shd w:val="clear" w:color="auto" w:fill="0CD973"/>
          </w:tcPr>
          <w:p>
            <w:pPr>
              <w:spacing w:after="0" w:line="20" w:lineRule="exact"/>
              <w:rPr>
                <w:sz w:val="1"/>
                <w:szCs w:val="1"/>
                <w:color w:val="auto"/>
              </w:rPr>
            </w:pPr>
          </w:p>
        </w:tc>
        <w:tc>
          <w:tcPr>
            <w:tcW w:w="112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right="20"/>
        <w:spacing w:after="0" w:line="237" w:lineRule="auto"/>
        <w:rPr>
          <w:sz w:val="20"/>
          <w:szCs w:val="20"/>
          <w:color w:val="auto"/>
        </w:rPr>
      </w:pPr>
      <w:r>
        <w:rPr>
          <w:rFonts w:ascii="Calibri" w:cs="Calibri" w:eastAsia="Calibri" w:hAnsi="Calibri"/>
          <w:sz w:val="14"/>
          <w:szCs w:val="14"/>
          <w:color w:val="51555C"/>
        </w:rPr>
        <w:t>The increase in deferred revenue during the six months ended June 30, 2024 was primarily due to a seasonal increase in customer contract renewals. Historically, due to the tming of customer budget cycles, we have an increase in customer contract renewals at or near the beginning of our third quarter. Generally, our lowest balance of deferred revenue during the year is at the end of our frst quarter. The amount of revenue recognized during the six months ended June 30, 2024 that was included in the deferred revenue balance at the beginning of the period was approximately $279 million. The amount of revenue recognized during the six months ended June 30, 2024 from performance obligatons satsfed in prior periods was insignifcant.</w:t>
      </w:r>
    </w:p>
    <w:p>
      <w:pPr>
        <w:spacing w:after="0" w:line="128"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51555C"/>
        </w:rPr>
        <w:t>Disaggregaton of revenue</w:t>
      </w:r>
    </w:p>
    <w:p>
      <w:pPr>
        <w:spacing w:after="0" w:line="129" w:lineRule="exact"/>
        <w:rPr>
          <w:sz w:val="20"/>
          <w:szCs w:val="20"/>
          <w:color w:val="auto"/>
        </w:rPr>
      </w:pPr>
    </w:p>
    <w:p>
      <w:pPr>
        <w:jc w:val="both"/>
        <w:ind w:right="20"/>
        <w:spacing w:after="0" w:line="237" w:lineRule="auto"/>
        <w:rPr>
          <w:sz w:val="20"/>
          <w:szCs w:val="20"/>
          <w:color w:val="auto"/>
        </w:rPr>
      </w:pPr>
      <w:r>
        <w:rPr>
          <w:rFonts w:ascii="Calibri" w:cs="Calibri" w:eastAsia="Calibri" w:hAnsi="Calibri"/>
          <w:sz w:val="14"/>
          <w:szCs w:val="14"/>
          <w:color w:val="51555C"/>
        </w:rPr>
        <w:t>We sell our cloud solutons and related services in three primary geographical markets: to customers in the United States, to customers in the United Kingdom and to customers located in other countries. The following table presents our revenue by geographic area based on the address of our customers: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4600" w:type="dxa"/>
            <w:vAlign w:val="bottom"/>
            <w:shd w:val="clear" w:color="auto" w:fill="004054"/>
          </w:tcPr>
          <w:p>
            <w:pPr>
              <w:spacing w:after="0"/>
              <w:rPr>
                <w:sz w:val="12"/>
                <w:szCs w:val="12"/>
                <w:color w:val="auto"/>
              </w:rPr>
            </w:pPr>
          </w:p>
        </w:tc>
        <w:tc>
          <w:tcPr>
            <w:tcW w:w="620" w:type="dxa"/>
            <w:vAlign w:val="bottom"/>
            <w:shd w:val="clear" w:color="auto" w:fill="004054"/>
          </w:tcPr>
          <w:p>
            <w:pPr>
              <w:spacing w:after="0"/>
              <w:rPr>
                <w:sz w:val="12"/>
                <w:szCs w:val="12"/>
                <w:color w:val="auto"/>
              </w:rPr>
            </w:pPr>
          </w:p>
        </w:tc>
        <w:tc>
          <w:tcPr>
            <w:tcW w:w="1020" w:type="dxa"/>
            <w:vAlign w:val="bottom"/>
            <w:shd w:val="clear" w:color="auto" w:fill="004054"/>
          </w:tcPr>
          <w:p>
            <w:pPr>
              <w:spacing w:after="0"/>
              <w:rPr>
                <w:sz w:val="12"/>
                <w:szCs w:val="12"/>
                <w:color w:val="auto"/>
              </w:rPr>
            </w:pPr>
          </w:p>
        </w:tc>
        <w:tc>
          <w:tcPr>
            <w:tcW w:w="380" w:type="dxa"/>
            <w:vAlign w:val="bottom"/>
            <w:shd w:val="clear" w:color="auto" w:fill="004054"/>
          </w:tcPr>
          <w:p>
            <w:pPr>
              <w:spacing w:after="0"/>
              <w:rPr>
                <w:sz w:val="12"/>
                <w:szCs w:val="12"/>
                <w:color w:val="auto"/>
              </w:rPr>
            </w:pPr>
          </w:p>
        </w:tc>
        <w:tc>
          <w:tcPr>
            <w:tcW w:w="1280" w:type="dxa"/>
            <w:vAlign w:val="bottom"/>
            <w:tcBorders>
              <w:right w:val="single" w:sz="8" w:color="004054"/>
            </w:tcBorders>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Three months ended</w:t>
            </w:r>
          </w:p>
        </w:tc>
        <w:tc>
          <w:tcPr>
            <w:tcW w:w="80" w:type="dxa"/>
            <w:vAlign w:val="bottom"/>
          </w:tcPr>
          <w:p>
            <w:pPr>
              <w:spacing w:after="0"/>
              <w:rPr>
                <w:sz w:val="12"/>
                <w:szCs w:val="12"/>
                <w:color w:val="auto"/>
              </w:rPr>
            </w:pPr>
          </w:p>
        </w:tc>
        <w:tc>
          <w:tcPr>
            <w:tcW w:w="620" w:type="dxa"/>
            <w:vAlign w:val="bottom"/>
            <w:shd w:val="clear" w:color="auto" w:fill="004054"/>
          </w:tcPr>
          <w:p>
            <w:pPr>
              <w:spacing w:after="0"/>
              <w:rPr>
                <w:sz w:val="12"/>
                <w:szCs w:val="12"/>
                <w:color w:val="auto"/>
              </w:rPr>
            </w:pPr>
          </w:p>
        </w:tc>
        <w:tc>
          <w:tcPr>
            <w:tcW w:w="1020" w:type="dxa"/>
            <w:vAlign w:val="bottom"/>
            <w:shd w:val="clear" w:color="auto" w:fill="004054"/>
          </w:tcPr>
          <w:p>
            <w:pPr>
              <w:spacing w:after="0"/>
              <w:rPr>
                <w:sz w:val="12"/>
                <w:szCs w:val="12"/>
                <w:color w:val="auto"/>
              </w:rPr>
            </w:pPr>
          </w:p>
        </w:tc>
        <w:tc>
          <w:tcPr>
            <w:tcW w:w="460" w:type="dxa"/>
            <w:vAlign w:val="bottom"/>
            <w:shd w:val="clear" w:color="auto" w:fill="004054"/>
          </w:tcPr>
          <w:p>
            <w:pPr>
              <w:spacing w:after="0"/>
              <w:rPr>
                <w:sz w:val="12"/>
                <w:szCs w:val="12"/>
                <w:color w:val="auto"/>
              </w:rPr>
            </w:pPr>
          </w:p>
        </w:tc>
        <w:tc>
          <w:tcPr>
            <w:tcW w:w="120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Six months ended</w:t>
            </w:r>
          </w:p>
        </w:tc>
        <w:tc>
          <w:tcPr>
            <w:tcW w:w="20" w:type="dxa"/>
            <w:vAlign w:val="bottom"/>
            <w:shd w:val="clear" w:color="auto" w:fill="004054"/>
          </w:tcPr>
          <w:p>
            <w:pPr>
              <w:spacing w:after="0"/>
              <w:rPr>
                <w:sz w:val="12"/>
                <w:szCs w:val="12"/>
                <w:color w:val="auto"/>
              </w:rPr>
            </w:pPr>
          </w:p>
        </w:tc>
      </w:tr>
      <w:tr>
        <w:trPr>
          <w:trHeight w:val="135"/>
        </w:trPr>
        <w:tc>
          <w:tcPr>
            <w:tcW w:w="4600" w:type="dxa"/>
            <w:vAlign w:val="bottom"/>
            <w:shd w:val="clear" w:color="auto" w:fill="004054"/>
          </w:tcPr>
          <w:p>
            <w:pPr>
              <w:spacing w:after="0"/>
              <w:rPr>
                <w:sz w:val="11"/>
                <w:szCs w:val="11"/>
                <w:color w:val="auto"/>
              </w:rPr>
            </w:pPr>
          </w:p>
        </w:tc>
        <w:tc>
          <w:tcPr>
            <w:tcW w:w="620" w:type="dxa"/>
            <w:vAlign w:val="bottom"/>
            <w:shd w:val="clear" w:color="auto" w:fill="004054"/>
          </w:tcPr>
          <w:p>
            <w:pPr>
              <w:spacing w:after="0"/>
              <w:rPr>
                <w:sz w:val="11"/>
                <w:szCs w:val="11"/>
                <w:color w:val="auto"/>
              </w:rPr>
            </w:pPr>
          </w:p>
        </w:tc>
        <w:tc>
          <w:tcPr>
            <w:tcW w:w="1020" w:type="dxa"/>
            <w:vAlign w:val="bottom"/>
            <w:shd w:val="clear" w:color="auto" w:fill="004054"/>
          </w:tcPr>
          <w:p>
            <w:pPr>
              <w:spacing w:after="0"/>
              <w:rPr>
                <w:sz w:val="11"/>
                <w:szCs w:val="11"/>
                <w:color w:val="auto"/>
              </w:rPr>
            </w:pPr>
          </w:p>
        </w:tc>
        <w:tc>
          <w:tcPr>
            <w:tcW w:w="380" w:type="dxa"/>
            <w:vAlign w:val="bottom"/>
            <w:shd w:val="clear" w:color="auto" w:fill="004054"/>
          </w:tcPr>
          <w:p>
            <w:pPr>
              <w:spacing w:after="0"/>
              <w:rPr>
                <w:sz w:val="11"/>
                <w:szCs w:val="11"/>
                <w:color w:val="auto"/>
              </w:rPr>
            </w:pPr>
          </w:p>
        </w:tc>
        <w:tc>
          <w:tcPr>
            <w:tcW w:w="1280" w:type="dxa"/>
            <w:vAlign w:val="bottom"/>
            <w:tcBorders>
              <w:right w:val="single" w:sz="8" w:color="004054"/>
            </w:tcBorders>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June 30,</w:t>
            </w:r>
          </w:p>
        </w:tc>
        <w:tc>
          <w:tcPr>
            <w:tcW w:w="80" w:type="dxa"/>
            <w:vAlign w:val="bottom"/>
          </w:tcPr>
          <w:p>
            <w:pPr>
              <w:spacing w:after="0"/>
              <w:rPr>
                <w:sz w:val="11"/>
                <w:szCs w:val="11"/>
                <w:color w:val="auto"/>
              </w:rPr>
            </w:pPr>
          </w:p>
        </w:tc>
        <w:tc>
          <w:tcPr>
            <w:tcW w:w="620" w:type="dxa"/>
            <w:vAlign w:val="bottom"/>
            <w:shd w:val="clear" w:color="auto" w:fill="004054"/>
          </w:tcPr>
          <w:p>
            <w:pPr>
              <w:spacing w:after="0"/>
              <w:rPr>
                <w:sz w:val="11"/>
                <w:szCs w:val="11"/>
                <w:color w:val="auto"/>
              </w:rPr>
            </w:pPr>
          </w:p>
        </w:tc>
        <w:tc>
          <w:tcPr>
            <w:tcW w:w="1020" w:type="dxa"/>
            <w:vAlign w:val="bottom"/>
            <w:shd w:val="clear" w:color="auto" w:fill="004054"/>
          </w:tcPr>
          <w:p>
            <w:pPr>
              <w:spacing w:after="0"/>
              <w:rPr>
                <w:sz w:val="11"/>
                <w:szCs w:val="11"/>
                <w:color w:val="auto"/>
              </w:rPr>
            </w:pPr>
          </w:p>
        </w:tc>
        <w:tc>
          <w:tcPr>
            <w:tcW w:w="460" w:type="dxa"/>
            <w:vAlign w:val="bottom"/>
            <w:shd w:val="clear" w:color="auto" w:fill="004054"/>
          </w:tcPr>
          <w:p>
            <w:pPr>
              <w:spacing w:after="0"/>
              <w:rPr>
                <w:sz w:val="11"/>
                <w:szCs w:val="11"/>
                <w:color w:val="auto"/>
              </w:rPr>
            </w:pPr>
          </w:p>
        </w:tc>
        <w:tc>
          <w:tcPr>
            <w:tcW w:w="120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June 30,</w:t>
            </w:r>
          </w:p>
        </w:tc>
        <w:tc>
          <w:tcPr>
            <w:tcW w:w="20" w:type="dxa"/>
            <w:vAlign w:val="bottom"/>
            <w:shd w:val="clear" w:color="auto" w:fill="004054"/>
          </w:tcPr>
          <w:p>
            <w:pPr>
              <w:spacing w:after="0"/>
              <w:rPr>
                <w:sz w:val="11"/>
                <w:szCs w:val="11"/>
                <w:color w:val="auto"/>
              </w:rPr>
            </w:pPr>
          </w:p>
        </w:tc>
      </w:tr>
      <w:tr>
        <w:trPr>
          <w:trHeight w:val="191"/>
        </w:trPr>
        <w:tc>
          <w:tcPr>
            <w:tcW w:w="4600" w:type="dxa"/>
            <w:vAlign w:val="bottom"/>
            <w:shd w:val="clear" w:color="auto" w:fill="004054"/>
          </w:tcPr>
          <w:p>
            <w:pPr>
              <w:ind w:left="20"/>
              <w:spacing w:after="0"/>
              <w:rPr>
                <w:sz w:val="20"/>
                <w:szCs w:val="20"/>
                <w:color w:val="auto"/>
              </w:rPr>
            </w:pPr>
            <w:r>
              <w:rPr>
                <w:rFonts w:ascii="Calibri" w:cs="Calibri" w:eastAsia="Calibri" w:hAnsi="Calibri"/>
                <w:sz w:val="11"/>
                <w:szCs w:val="11"/>
                <w:b w:val="1"/>
                <w:bCs w:val="1"/>
                <w:color w:val="FFFFFF"/>
              </w:rPr>
              <w:t>(dollars in thousands)</w:t>
            </w:r>
          </w:p>
        </w:tc>
        <w:tc>
          <w:tcPr>
            <w:tcW w:w="620" w:type="dxa"/>
            <w:vAlign w:val="bottom"/>
            <w:shd w:val="clear" w:color="auto" w:fill="004054"/>
          </w:tcPr>
          <w:p>
            <w:pPr>
              <w:spacing w:after="0"/>
              <w:rPr>
                <w:sz w:val="16"/>
                <w:szCs w:val="16"/>
                <w:color w:val="auto"/>
              </w:rPr>
            </w:pPr>
          </w:p>
        </w:tc>
        <w:tc>
          <w:tcPr>
            <w:tcW w:w="102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2024</w:t>
            </w:r>
          </w:p>
        </w:tc>
        <w:tc>
          <w:tcPr>
            <w:tcW w:w="380" w:type="dxa"/>
            <w:vAlign w:val="bottom"/>
            <w:shd w:val="clear" w:color="auto" w:fill="004054"/>
          </w:tcPr>
          <w:p>
            <w:pPr>
              <w:spacing w:after="0"/>
              <w:rPr>
                <w:sz w:val="16"/>
                <w:szCs w:val="16"/>
                <w:color w:val="auto"/>
              </w:rPr>
            </w:pPr>
          </w:p>
        </w:tc>
        <w:tc>
          <w:tcPr>
            <w:tcW w:w="1280" w:type="dxa"/>
            <w:vAlign w:val="bottom"/>
            <w:tcBorders>
              <w:right w:val="single" w:sz="8" w:color="004054"/>
            </w:tcBorders>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2023</w:t>
            </w:r>
          </w:p>
        </w:tc>
        <w:tc>
          <w:tcPr>
            <w:tcW w:w="80" w:type="dxa"/>
            <w:vAlign w:val="bottom"/>
          </w:tcPr>
          <w:p>
            <w:pPr>
              <w:spacing w:after="0"/>
              <w:rPr>
                <w:sz w:val="16"/>
                <w:szCs w:val="16"/>
                <w:color w:val="auto"/>
              </w:rPr>
            </w:pPr>
          </w:p>
        </w:tc>
        <w:tc>
          <w:tcPr>
            <w:tcW w:w="620" w:type="dxa"/>
            <w:vAlign w:val="bottom"/>
            <w:shd w:val="clear" w:color="auto" w:fill="004054"/>
          </w:tcPr>
          <w:p>
            <w:pPr>
              <w:spacing w:after="0"/>
              <w:rPr>
                <w:sz w:val="16"/>
                <w:szCs w:val="16"/>
                <w:color w:val="auto"/>
              </w:rPr>
            </w:pPr>
          </w:p>
        </w:tc>
        <w:tc>
          <w:tcPr>
            <w:tcW w:w="102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2024</w:t>
            </w:r>
          </w:p>
        </w:tc>
        <w:tc>
          <w:tcPr>
            <w:tcW w:w="460" w:type="dxa"/>
            <w:vAlign w:val="bottom"/>
            <w:shd w:val="clear" w:color="auto" w:fill="004054"/>
          </w:tcPr>
          <w:p>
            <w:pPr>
              <w:spacing w:after="0"/>
              <w:rPr>
                <w:sz w:val="16"/>
                <w:szCs w:val="16"/>
                <w:color w:val="auto"/>
              </w:rPr>
            </w:pPr>
          </w:p>
        </w:tc>
        <w:tc>
          <w:tcPr>
            <w:tcW w:w="120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2023</w:t>
            </w:r>
          </w:p>
        </w:tc>
        <w:tc>
          <w:tcPr>
            <w:tcW w:w="20" w:type="dxa"/>
            <w:vAlign w:val="bottom"/>
            <w:shd w:val="clear" w:color="auto" w:fill="004054"/>
          </w:tcPr>
          <w:p>
            <w:pPr>
              <w:spacing w:after="0"/>
              <w:rPr>
                <w:sz w:val="16"/>
                <w:szCs w:val="16"/>
                <w:color w:val="auto"/>
              </w:rPr>
            </w:pPr>
          </w:p>
        </w:tc>
      </w:tr>
      <w:tr>
        <w:trPr>
          <w:trHeight w:val="46"/>
        </w:trPr>
        <w:tc>
          <w:tcPr>
            <w:tcW w:w="4600" w:type="dxa"/>
            <w:vAlign w:val="bottom"/>
            <w:tcBorders>
              <w:bottom w:val="single" w:sz="8" w:color="004054"/>
            </w:tcBorders>
            <w:shd w:val="clear" w:color="auto" w:fill="004054"/>
          </w:tcPr>
          <w:p>
            <w:pPr>
              <w:spacing w:after="0"/>
              <w:rPr>
                <w:sz w:val="4"/>
                <w:szCs w:val="4"/>
                <w:color w:val="auto"/>
              </w:rPr>
            </w:pPr>
          </w:p>
        </w:tc>
        <w:tc>
          <w:tcPr>
            <w:tcW w:w="620" w:type="dxa"/>
            <w:vAlign w:val="bottom"/>
            <w:tcBorders>
              <w:bottom w:val="single" w:sz="8" w:color="004054"/>
            </w:tcBorders>
            <w:shd w:val="clear" w:color="auto" w:fill="004054"/>
          </w:tcPr>
          <w:p>
            <w:pPr>
              <w:spacing w:after="0"/>
              <w:rPr>
                <w:sz w:val="4"/>
                <w:szCs w:val="4"/>
                <w:color w:val="auto"/>
              </w:rPr>
            </w:pPr>
          </w:p>
        </w:tc>
        <w:tc>
          <w:tcPr>
            <w:tcW w:w="1020" w:type="dxa"/>
            <w:vAlign w:val="bottom"/>
            <w:tcBorders>
              <w:bottom w:val="single" w:sz="8" w:color="004054"/>
            </w:tcBorders>
            <w:shd w:val="clear" w:color="auto" w:fill="004054"/>
          </w:tcPr>
          <w:p>
            <w:pPr>
              <w:spacing w:after="0"/>
              <w:rPr>
                <w:sz w:val="4"/>
                <w:szCs w:val="4"/>
                <w:color w:val="auto"/>
              </w:rPr>
            </w:pPr>
          </w:p>
        </w:tc>
        <w:tc>
          <w:tcPr>
            <w:tcW w:w="380" w:type="dxa"/>
            <w:vAlign w:val="bottom"/>
            <w:tcBorders>
              <w:bottom w:val="single" w:sz="8" w:color="004054"/>
            </w:tcBorders>
            <w:shd w:val="clear" w:color="auto" w:fill="004054"/>
          </w:tcPr>
          <w:p>
            <w:pPr>
              <w:spacing w:after="0"/>
              <w:rPr>
                <w:sz w:val="4"/>
                <w:szCs w:val="4"/>
                <w:color w:val="auto"/>
              </w:rPr>
            </w:pPr>
          </w:p>
        </w:tc>
        <w:tc>
          <w:tcPr>
            <w:tcW w:w="1280" w:type="dxa"/>
            <w:vAlign w:val="bottom"/>
            <w:tcBorders>
              <w:bottom w:val="single" w:sz="8" w:color="004054"/>
              <w:right w:val="single" w:sz="8" w:color="004054"/>
            </w:tcBorders>
            <w:shd w:val="clear" w:color="auto" w:fill="004054"/>
          </w:tcPr>
          <w:p>
            <w:pPr>
              <w:spacing w:after="0"/>
              <w:rPr>
                <w:sz w:val="4"/>
                <w:szCs w:val="4"/>
                <w:color w:val="auto"/>
              </w:rPr>
            </w:pPr>
          </w:p>
        </w:tc>
        <w:tc>
          <w:tcPr>
            <w:tcW w:w="80" w:type="dxa"/>
            <w:vAlign w:val="bottom"/>
            <w:tcBorders>
              <w:bottom w:val="single" w:sz="8" w:color="EBFBFF"/>
            </w:tcBorders>
          </w:tcPr>
          <w:p>
            <w:pPr>
              <w:spacing w:after="0"/>
              <w:rPr>
                <w:sz w:val="4"/>
                <w:szCs w:val="4"/>
                <w:color w:val="auto"/>
              </w:rPr>
            </w:pPr>
          </w:p>
        </w:tc>
        <w:tc>
          <w:tcPr>
            <w:tcW w:w="620" w:type="dxa"/>
            <w:vAlign w:val="bottom"/>
            <w:tcBorders>
              <w:bottom w:val="single" w:sz="8" w:color="004054"/>
            </w:tcBorders>
            <w:shd w:val="clear" w:color="auto" w:fill="004054"/>
          </w:tcPr>
          <w:p>
            <w:pPr>
              <w:spacing w:after="0"/>
              <w:rPr>
                <w:sz w:val="4"/>
                <w:szCs w:val="4"/>
                <w:color w:val="auto"/>
              </w:rPr>
            </w:pPr>
          </w:p>
        </w:tc>
        <w:tc>
          <w:tcPr>
            <w:tcW w:w="1020" w:type="dxa"/>
            <w:vAlign w:val="bottom"/>
            <w:tcBorders>
              <w:bottom w:val="single" w:sz="8" w:color="004054"/>
            </w:tcBorders>
            <w:shd w:val="clear" w:color="auto" w:fill="004054"/>
          </w:tcPr>
          <w:p>
            <w:pPr>
              <w:spacing w:after="0"/>
              <w:rPr>
                <w:sz w:val="4"/>
                <w:szCs w:val="4"/>
                <w:color w:val="auto"/>
              </w:rPr>
            </w:pPr>
          </w:p>
        </w:tc>
        <w:tc>
          <w:tcPr>
            <w:tcW w:w="460" w:type="dxa"/>
            <w:vAlign w:val="bottom"/>
            <w:tcBorders>
              <w:bottom w:val="single" w:sz="8" w:color="004054"/>
            </w:tcBorders>
            <w:shd w:val="clear" w:color="auto" w:fill="004054"/>
          </w:tcPr>
          <w:p>
            <w:pPr>
              <w:spacing w:after="0"/>
              <w:rPr>
                <w:sz w:val="4"/>
                <w:szCs w:val="4"/>
                <w:color w:val="auto"/>
              </w:rPr>
            </w:pPr>
          </w:p>
        </w:tc>
        <w:tc>
          <w:tcPr>
            <w:tcW w:w="1200" w:type="dxa"/>
            <w:vAlign w:val="bottom"/>
            <w:tcBorders>
              <w:bottom w:val="single" w:sz="8" w:color="004054"/>
            </w:tcBorders>
            <w:shd w:val="clear" w:color="auto" w:fill="004054"/>
          </w:tcPr>
          <w:p>
            <w:pPr>
              <w:spacing w:after="0"/>
              <w:rPr>
                <w:sz w:val="4"/>
                <w:szCs w:val="4"/>
                <w:color w:val="auto"/>
              </w:rPr>
            </w:pPr>
          </w:p>
        </w:tc>
        <w:tc>
          <w:tcPr>
            <w:tcW w:w="20" w:type="dxa"/>
            <w:vAlign w:val="bottom"/>
            <w:tcBorders>
              <w:bottom w:val="single" w:sz="8" w:color="004054"/>
            </w:tcBorders>
            <w:shd w:val="clear" w:color="auto" w:fill="004054"/>
          </w:tcPr>
          <w:p>
            <w:pPr>
              <w:spacing w:after="0"/>
              <w:rPr>
                <w:sz w:val="4"/>
                <w:szCs w:val="4"/>
                <w:color w:val="auto"/>
              </w:rPr>
            </w:pPr>
          </w:p>
        </w:tc>
      </w:tr>
      <w:tr>
        <w:trPr>
          <w:trHeight w:val="183"/>
        </w:trPr>
        <w:tc>
          <w:tcPr>
            <w:tcW w:w="4600" w:type="dxa"/>
            <w:vAlign w:val="bottom"/>
            <w:tcBorders>
              <w:bottom w:val="single" w:sz="8" w:color="EBFBFF"/>
            </w:tcBorders>
            <w:shd w:val="clear" w:color="auto" w:fill="EBFBFF"/>
          </w:tcPr>
          <w:p>
            <w:pPr>
              <w:ind w:left="20"/>
              <w:spacing w:after="0" w:line="163" w:lineRule="exact"/>
              <w:rPr>
                <w:sz w:val="20"/>
                <w:szCs w:val="20"/>
                <w:color w:val="auto"/>
              </w:rPr>
            </w:pPr>
            <w:r>
              <w:rPr>
                <w:rFonts w:ascii="Calibri" w:cs="Calibri" w:eastAsia="Calibri" w:hAnsi="Calibri"/>
                <w:sz w:val="14"/>
                <w:szCs w:val="14"/>
                <w:color w:val="51555C"/>
              </w:rPr>
              <w:t>United States</w:t>
            </w:r>
          </w:p>
        </w:tc>
        <w:tc>
          <w:tcPr>
            <w:tcW w:w="620" w:type="dxa"/>
            <w:vAlign w:val="bottom"/>
            <w:tcBorders>
              <w:bottom w:val="single" w:sz="8" w:color="EBFBFF"/>
            </w:tcBorders>
            <w:shd w:val="clear" w:color="auto" w:fill="EBFBFF"/>
          </w:tcPr>
          <w:p>
            <w:pPr>
              <w:jc w:val="right"/>
              <w:ind w:right="469"/>
              <w:spacing w:after="0" w:line="163" w:lineRule="exact"/>
              <w:rPr>
                <w:sz w:val="20"/>
                <w:szCs w:val="20"/>
                <w:color w:val="auto"/>
              </w:rPr>
            </w:pPr>
            <w:r>
              <w:rPr>
                <w:rFonts w:ascii="Calibri" w:cs="Calibri" w:eastAsia="Calibri" w:hAnsi="Calibri"/>
                <w:sz w:val="14"/>
                <w:szCs w:val="14"/>
                <w:color w:val="51555C"/>
                <w:w w:val="83"/>
              </w:rPr>
              <w:t>$</w:t>
            </w:r>
          </w:p>
        </w:tc>
        <w:tc>
          <w:tcPr>
            <w:tcW w:w="1020" w:type="dxa"/>
            <w:vAlign w:val="bottom"/>
            <w:tcBorders>
              <w:bottom w:val="single" w:sz="8" w:color="EBFBFF"/>
            </w:tcBorders>
            <w:shd w:val="clear" w:color="auto" w:fill="EBFBFF"/>
          </w:tcPr>
          <w:p>
            <w:pPr>
              <w:jc w:val="right"/>
              <w:spacing w:after="0" w:line="163" w:lineRule="exact"/>
              <w:rPr>
                <w:sz w:val="20"/>
                <w:szCs w:val="20"/>
                <w:color w:val="auto"/>
              </w:rPr>
            </w:pPr>
            <w:r>
              <w:rPr>
                <w:rFonts w:ascii="Calibri" w:cs="Calibri" w:eastAsia="Calibri" w:hAnsi="Calibri"/>
                <w:sz w:val="14"/>
                <w:szCs w:val="14"/>
                <w:color w:val="51555C"/>
              </w:rPr>
              <w:t>241,831</w:t>
            </w:r>
          </w:p>
        </w:tc>
        <w:tc>
          <w:tcPr>
            <w:tcW w:w="380" w:type="dxa"/>
            <w:vAlign w:val="bottom"/>
            <w:tcBorders>
              <w:bottom w:val="single" w:sz="8" w:color="EBFBFF"/>
            </w:tcBorders>
            <w:shd w:val="clear" w:color="auto" w:fill="EBFBFF"/>
          </w:tcPr>
          <w:p>
            <w:pPr>
              <w:jc w:val="right"/>
              <w:ind w:right="229"/>
              <w:spacing w:after="0" w:line="163" w:lineRule="exact"/>
              <w:rPr>
                <w:sz w:val="20"/>
                <w:szCs w:val="20"/>
                <w:color w:val="auto"/>
              </w:rPr>
            </w:pPr>
            <w:r>
              <w:rPr>
                <w:rFonts w:ascii="Calibri" w:cs="Calibri" w:eastAsia="Calibri" w:hAnsi="Calibri"/>
                <w:sz w:val="14"/>
                <w:szCs w:val="14"/>
                <w:color w:val="51555C"/>
                <w:w w:val="83"/>
              </w:rPr>
              <w:t>$</w:t>
            </w:r>
          </w:p>
        </w:tc>
        <w:tc>
          <w:tcPr>
            <w:tcW w:w="1280" w:type="dxa"/>
            <w:vAlign w:val="bottom"/>
            <w:tcBorders>
              <w:bottom w:val="single" w:sz="8" w:color="EBFBFF"/>
              <w:right w:val="single" w:sz="8" w:color="EBFBFF"/>
            </w:tcBorders>
            <w:shd w:val="clear" w:color="auto" w:fill="EBFBFF"/>
          </w:tcPr>
          <w:p>
            <w:pPr>
              <w:jc w:val="right"/>
              <w:spacing w:after="0" w:line="163" w:lineRule="exact"/>
              <w:rPr>
                <w:sz w:val="20"/>
                <w:szCs w:val="20"/>
                <w:color w:val="auto"/>
              </w:rPr>
            </w:pPr>
            <w:r>
              <w:rPr>
                <w:rFonts w:ascii="Calibri" w:cs="Calibri" w:eastAsia="Calibri" w:hAnsi="Calibri"/>
                <w:sz w:val="14"/>
                <w:szCs w:val="14"/>
                <w:color w:val="51555C"/>
              </w:rPr>
              <w:t>228,744</w:t>
            </w:r>
          </w:p>
        </w:tc>
        <w:tc>
          <w:tcPr>
            <w:tcW w:w="700" w:type="dxa"/>
            <w:vAlign w:val="bottom"/>
            <w:tcBorders>
              <w:bottom w:val="single" w:sz="8" w:color="EBFBFF"/>
            </w:tcBorders>
            <w:gridSpan w:val="2"/>
            <w:shd w:val="clear" w:color="auto" w:fill="EBFBFF"/>
          </w:tcPr>
          <w:p>
            <w:pPr>
              <w:jc w:val="right"/>
              <w:ind w:right="469"/>
              <w:spacing w:after="0" w:line="163" w:lineRule="exact"/>
              <w:rPr>
                <w:sz w:val="20"/>
                <w:szCs w:val="20"/>
                <w:color w:val="auto"/>
              </w:rPr>
            </w:pPr>
            <w:r>
              <w:rPr>
                <w:rFonts w:ascii="Calibri" w:cs="Calibri" w:eastAsia="Calibri" w:hAnsi="Calibri"/>
                <w:sz w:val="14"/>
                <w:szCs w:val="14"/>
                <w:color w:val="51555C"/>
              </w:rPr>
              <w:t>$</w:t>
            </w:r>
          </w:p>
        </w:tc>
        <w:tc>
          <w:tcPr>
            <w:tcW w:w="1020" w:type="dxa"/>
            <w:vAlign w:val="bottom"/>
            <w:tcBorders>
              <w:bottom w:val="single" w:sz="8" w:color="EBFBFF"/>
            </w:tcBorders>
            <w:shd w:val="clear" w:color="auto" w:fill="EBFBFF"/>
          </w:tcPr>
          <w:p>
            <w:pPr>
              <w:jc w:val="right"/>
              <w:spacing w:after="0" w:line="163" w:lineRule="exact"/>
              <w:rPr>
                <w:sz w:val="20"/>
                <w:szCs w:val="20"/>
                <w:color w:val="auto"/>
              </w:rPr>
            </w:pPr>
            <w:r>
              <w:rPr>
                <w:rFonts w:ascii="Calibri" w:cs="Calibri" w:eastAsia="Calibri" w:hAnsi="Calibri"/>
                <w:sz w:val="14"/>
                <w:szCs w:val="14"/>
                <w:color w:val="51555C"/>
              </w:rPr>
              <w:t>479,940</w:t>
            </w:r>
          </w:p>
        </w:tc>
        <w:tc>
          <w:tcPr>
            <w:tcW w:w="460" w:type="dxa"/>
            <w:vAlign w:val="bottom"/>
            <w:tcBorders>
              <w:bottom w:val="single" w:sz="8" w:color="EBFBFF"/>
            </w:tcBorders>
            <w:shd w:val="clear" w:color="auto" w:fill="EBFBFF"/>
          </w:tcPr>
          <w:p>
            <w:pPr>
              <w:jc w:val="right"/>
              <w:ind w:right="289"/>
              <w:spacing w:after="0" w:line="163" w:lineRule="exact"/>
              <w:rPr>
                <w:sz w:val="20"/>
                <w:szCs w:val="20"/>
                <w:color w:val="auto"/>
              </w:rPr>
            </w:pPr>
            <w:r>
              <w:rPr>
                <w:rFonts w:ascii="Calibri" w:cs="Calibri" w:eastAsia="Calibri" w:hAnsi="Calibri"/>
                <w:sz w:val="14"/>
                <w:szCs w:val="14"/>
                <w:color w:val="51555C"/>
              </w:rPr>
              <w:t>$</w:t>
            </w:r>
          </w:p>
        </w:tc>
        <w:tc>
          <w:tcPr>
            <w:tcW w:w="1200" w:type="dxa"/>
            <w:vAlign w:val="bottom"/>
            <w:tcBorders>
              <w:bottom w:val="single" w:sz="8" w:color="EBFBFF"/>
            </w:tcBorders>
            <w:shd w:val="clear" w:color="auto" w:fill="EBFBFF"/>
          </w:tcPr>
          <w:p>
            <w:pPr>
              <w:jc w:val="right"/>
              <w:spacing w:after="0" w:line="163" w:lineRule="exact"/>
              <w:rPr>
                <w:sz w:val="20"/>
                <w:szCs w:val="20"/>
                <w:color w:val="auto"/>
              </w:rPr>
            </w:pPr>
            <w:r>
              <w:rPr>
                <w:rFonts w:ascii="Calibri" w:cs="Calibri" w:eastAsia="Calibri" w:hAnsi="Calibri"/>
                <w:sz w:val="14"/>
                <w:szCs w:val="14"/>
                <w:color w:val="51555C"/>
              </w:rPr>
              <w:t>450,413</w:t>
            </w:r>
          </w:p>
        </w:tc>
        <w:tc>
          <w:tcPr>
            <w:tcW w:w="20" w:type="dxa"/>
            <w:vAlign w:val="bottom"/>
          </w:tcPr>
          <w:p>
            <w:pPr>
              <w:spacing w:after="0"/>
              <w:rPr>
                <w:sz w:val="15"/>
                <w:szCs w:val="15"/>
                <w:color w:val="auto"/>
              </w:rPr>
            </w:pPr>
          </w:p>
        </w:tc>
      </w:tr>
      <w:tr>
        <w:trPr>
          <w:trHeight w:val="172"/>
        </w:trPr>
        <w:tc>
          <w:tcPr>
            <w:tcW w:w="4600" w:type="dxa"/>
            <w:vAlign w:val="bottom"/>
          </w:tcPr>
          <w:p>
            <w:pPr>
              <w:ind w:left="20"/>
              <w:spacing w:after="0"/>
              <w:rPr>
                <w:sz w:val="20"/>
                <w:szCs w:val="20"/>
                <w:color w:val="auto"/>
              </w:rPr>
            </w:pPr>
            <w:r>
              <w:rPr>
                <w:rFonts w:ascii="Calibri" w:cs="Calibri" w:eastAsia="Calibri" w:hAnsi="Calibri"/>
                <w:sz w:val="14"/>
                <w:szCs w:val="14"/>
                <w:color w:val="51555C"/>
              </w:rPr>
              <w:t>United Kingdom</w:t>
            </w:r>
          </w:p>
        </w:tc>
        <w:tc>
          <w:tcPr>
            <w:tcW w:w="6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alibri" w:cs="Calibri" w:eastAsia="Calibri" w:hAnsi="Calibri"/>
                <w:sz w:val="14"/>
                <w:szCs w:val="14"/>
                <w:color w:val="51555C"/>
              </w:rPr>
              <w:t>29,980</w:t>
            </w:r>
          </w:p>
        </w:tc>
        <w:tc>
          <w:tcPr>
            <w:tcW w:w="3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alibri" w:cs="Calibri" w:eastAsia="Calibri" w:hAnsi="Calibri"/>
                <w:sz w:val="14"/>
                <w:szCs w:val="14"/>
                <w:color w:val="51555C"/>
              </w:rPr>
              <w:t>28,234</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alibri" w:cs="Calibri" w:eastAsia="Calibri" w:hAnsi="Calibri"/>
                <w:sz w:val="14"/>
                <w:szCs w:val="14"/>
                <w:color w:val="51555C"/>
              </w:rPr>
              <w:t>56,109</w:t>
            </w:r>
          </w:p>
        </w:tc>
        <w:tc>
          <w:tcPr>
            <w:tcW w:w="4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alibri" w:cs="Calibri" w:eastAsia="Calibri" w:hAnsi="Calibri"/>
                <w:sz w:val="14"/>
                <w:szCs w:val="14"/>
                <w:color w:val="51555C"/>
              </w:rPr>
              <w:t>54,282</w:t>
            </w:r>
          </w:p>
        </w:tc>
        <w:tc>
          <w:tcPr>
            <w:tcW w:w="20" w:type="dxa"/>
            <w:vAlign w:val="bottom"/>
          </w:tcPr>
          <w:p>
            <w:pPr>
              <w:spacing w:after="0"/>
              <w:rPr>
                <w:sz w:val="14"/>
                <w:szCs w:val="14"/>
                <w:color w:val="auto"/>
              </w:rPr>
            </w:pPr>
          </w:p>
        </w:tc>
      </w:tr>
      <w:tr>
        <w:trPr>
          <w:trHeight w:val="40"/>
        </w:trPr>
        <w:tc>
          <w:tcPr>
            <w:tcW w:w="4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12"/>
        </w:trPr>
        <w:tc>
          <w:tcPr>
            <w:tcW w:w="460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4"/>
                <w:szCs w:val="14"/>
                <w:color w:val="51555C"/>
              </w:rPr>
              <w:t>Other countries</w:t>
            </w:r>
          </w:p>
        </w:tc>
        <w:tc>
          <w:tcPr>
            <w:tcW w:w="620" w:type="dxa"/>
            <w:vAlign w:val="bottom"/>
            <w:tcBorders>
              <w:bottom w:val="single" w:sz="8" w:color="EBFBFF"/>
            </w:tcBorders>
            <w:shd w:val="clear" w:color="auto" w:fill="EBFBFF"/>
          </w:tcPr>
          <w:p>
            <w:pPr>
              <w:spacing w:after="0"/>
              <w:rPr>
                <w:sz w:val="18"/>
                <w:szCs w:val="18"/>
                <w:color w:val="auto"/>
              </w:rPr>
            </w:pPr>
          </w:p>
        </w:tc>
        <w:tc>
          <w:tcPr>
            <w:tcW w:w="10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15,475</w:t>
            </w:r>
          </w:p>
        </w:tc>
        <w:tc>
          <w:tcPr>
            <w:tcW w:w="380" w:type="dxa"/>
            <w:vAlign w:val="bottom"/>
            <w:tcBorders>
              <w:bottom w:val="single" w:sz="8" w:color="EBFBFF"/>
            </w:tcBorders>
            <w:shd w:val="clear" w:color="auto" w:fill="EBFBFF"/>
          </w:tcPr>
          <w:p>
            <w:pPr>
              <w:spacing w:after="0"/>
              <w:rPr>
                <w:sz w:val="18"/>
                <w:szCs w:val="18"/>
                <w:color w:val="auto"/>
              </w:rPr>
            </w:pPr>
          </w:p>
        </w:tc>
        <w:tc>
          <w:tcPr>
            <w:tcW w:w="1280" w:type="dxa"/>
            <w:vAlign w:val="bottom"/>
            <w:tcBorders>
              <w:bottom w:val="single" w:sz="8" w:color="EBFBFF"/>
              <w:right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14,064</w:t>
            </w:r>
          </w:p>
        </w:tc>
        <w:tc>
          <w:tcPr>
            <w:tcW w:w="80" w:type="dxa"/>
            <w:vAlign w:val="bottom"/>
            <w:tcBorders>
              <w:bottom w:val="single" w:sz="8" w:color="EBFBFF"/>
            </w:tcBorders>
            <w:shd w:val="clear" w:color="auto" w:fill="EBFBFF"/>
          </w:tcPr>
          <w:p>
            <w:pPr>
              <w:spacing w:after="0"/>
              <w:rPr>
                <w:sz w:val="18"/>
                <w:szCs w:val="18"/>
                <w:color w:val="auto"/>
              </w:rPr>
            </w:pPr>
          </w:p>
        </w:tc>
        <w:tc>
          <w:tcPr>
            <w:tcW w:w="620" w:type="dxa"/>
            <w:vAlign w:val="bottom"/>
            <w:tcBorders>
              <w:bottom w:val="single" w:sz="8" w:color="EBFBFF"/>
            </w:tcBorders>
            <w:shd w:val="clear" w:color="auto" w:fill="EBFBFF"/>
          </w:tcPr>
          <w:p>
            <w:pPr>
              <w:spacing w:after="0"/>
              <w:rPr>
                <w:sz w:val="18"/>
                <w:szCs w:val="18"/>
                <w:color w:val="auto"/>
              </w:rPr>
            </w:pPr>
          </w:p>
        </w:tc>
        <w:tc>
          <w:tcPr>
            <w:tcW w:w="10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30,487</w:t>
            </w:r>
          </w:p>
        </w:tc>
        <w:tc>
          <w:tcPr>
            <w:tcW w:w="460" w:type="dxa"/>
            <w:vAlign w:val="bottom"/>
            <w:tcBorders>
              <w:bottom w:val="single" w:sz="8" w:color="EBFBFF"/>
            </w:tcBorders>
            <w:shd w:val="clear" w:color="auto" w:fill="EBFBFF"/>
          </w:tcPr>
          <w:p>
            <w:pPr>
              <w:spacing w:after="0"/>
              <w:rPr>
                <w:sz w:val="18"/>
                <w:szCs w:val="18"/>
                <w:color w:val="auto"/>
              </w:rPr>
            </w:pPr>
          </w:p>
        </w:tc>
        <w:tc>
          <w:tcPr>
            <w:tcW w:w="12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28,100</w:t>
            </w:r>
          </w:p>
        </w:tc>
        <w:tc>
          <w:tcPr>
            <w:tcW w:w="20" w:type="dxa"/>
            <w:vAlign w:val="bottom"/>
          </w:tcPr>
          <w:p>
            <w:pPr>
              <w:spacing w:after="0"/>
              <w:rPr>
                <w:sz w:val="18"/>
                <w:szCs w:val="18"/>
                <w:color w:val="auto"/>
              </w:rPr>
            </w:pPr>
          </w:p>
        </w:tc>
      </w:tr>
      <w:tr>
        <w:trPr>
          <w:trHeight w:val="163"/>
        </w:trPr>
        <w:tc>
          <w:tcPr>
            <w:tcW w:w="4600" w:type="dxa"/>
            <w:vAlign w:val="bottom"/>
          </w:tcPr>
          <w:p>
            <w:pPr>
              <w:ind w:left="100"/>
              <w:spacing w:after="0" w:line="152" w:lineRule="exact"/>
              <w:rPr>
                <w:sz w:val="20"/>
                <w:szCs w:val="20"/>
                <w:color w:val="auto"/>
              </w:rPr>
            </w:pPr>
            <w:r>
              <w:rPr>
                <w:rFonts w:ascii="Calibri" w:cs="Calibri" w:eastAsia="Calibri" w:hAnsi="Calibri"/>
                <w:sz w:val="14"/>
                <w:szCs w:val="14"/>
                <w:color w:val="51555C"/>
              </w:rPr>
              <w:t>Total revenue</w:t>
            </w:r>
          </w:p>
        </w:tc>
        <w:tc>
          <w:tcPr>
            <w:tcW w:w="620" w:type="dxa"/>
            <w:vAlign w:val="bottom"/>
            <w:tcBorders>
              <w:top w:val="single" w:sz="8" w:color="51555C"/>
            </w:tcBorders>
          </w:tcPr>
          <w:p>
            <w:pPr>
              <w:jc w:val="right"/>
              <w:ind w:right="469"/>
              <w:spacing w:after="0" w:line="163" w:lineRule="exact"/>
              <w:rPr>
                <w:sz w:val="20"/>
                <w:szCs w:val="20"/>
                <w:color w:val="auto"/>
              </w:rPr>
            </w:pPr>
            <w:r>
              <w:rPr>
                <w:rFonts w:ascii="Calibri" w:cs="Calibri" w:eastAsia="Calibri" w:hAnsi="Calibri"/>
                <w:sz w:val="14"/>
                <w:szCs w:val="14"/>
                <w:color w:val="51555C"/>
                <w:w w:val="83"/>
              </w:rPr>
              <w:t>$</w:t>
            </w:r>
          </w:p>
        </w:tc>
        <w:tc>
          <w:tcPr>
            <w:tcW w:w="1020" w:type="dxa"/>
            <w:vAlign w:val="bottom"/>
            <w:tcBorders>
              <w:top w:val="single" w:sz="8" w:color="51555C"/>
            </w:tcBorders>
          </w:tcPr>
          <w:p>
            <w:pPr>
              <w:jc w:val="right"/>
              <w:spacing w:after="0" w:line="163" w:lineRule="exact"/>
              <w:rPr>
                <w:sz w:val="20"/>
                <w:szCs w:val="20"/>
                <w:color w:val="auto"/>
              </w:rPr>
            </w:pPr>
            <w:r>
              <w:rPr>
                <w:rFonts w:ascii="Calibri" w:cs="Calibri" w:eastAsia="Calibri" w:hAnsi="Calibri"/>
                <w:sz w:val="14"/>
                <w:szCs w:val="14"/>
                <w:color w:val="51555C"/>
              </w:rPr>
              <w:t>287,286</w:t>
            </w:r>
          </w:p>
        </w:tc>
        <w:tc>
          <w:tcPr>
            <w:tcW w:w="380" w:type="dxa"/>
            <w:vAlign w:val="bottom"/>
            <w:tcBorders>
              <w:top w:val="single" w:sz="8" w:color="51555C"/>
            </w:tcBorders>
          </w:tcPr>
          <w:p>
            <w:pPr>
              <w:jc w:val="right"/>
              <w:ind w:right="229"/>
              <w:spacing w:after="0" w:line="163" w:lineRule="exact"/>
              <w:rPr>
                <w:sz w:val="20"/>
                <w:szCs w:val="20"/>
                <w:color w:val="auto"/>
              </w:rPr>
            </w:pPr>
            <w:r>
              <w:rPr>
                <w:rFonts w:ascii="Calibri" w:cs="Calibri" w:eastAsia="Calibri" w:hAnsi="Calibri"/>
                <w:sz w:val="14"/>
                <w:szCs w:val="14"/>
                <w:color w:val="51555C"/>
                <w:w w:val="83"/>
              </w:rPr>
              <w:t>$</w:t>
            </w:r>
          </w:p>
        </w:tc>
        <w:tc>
          <w:tcPr>
            <w:tcW w:w="1280" w:type="dxa"/>
            <w:vAlign w:val="bottom"/>
            <w:tcBorders>
              <w:top w:val="single" w:sz="8" w:color="51555C"/>
            </w:tcBorders>
          </w:tcPr>
          <w:p>
            <w:pPr>
              <w:jc w:val="right"/>
              <w:spacing w:after="0" w:line="163" w:lineRule="exact"/>
              <w:rPr>
                <w:sz w:val="20"/>
                <w:szCs w:val="20"/>
                <w:color w:val="auto"/>
              </w:rPr>
            </w:pPr>
            <w:r>
              <w:rPr>
                <w:rFonts w:ascii="Calibri" w:cs="Calibri" w:eastAsia="Calibri" w:hAnsi="Calibri"/>
                <w:sz w:val="14"/>
                <w:szCs w:val="14"/>
                <w:color w:val="51555C"/>
              </w:rPr>
              <w:t>271,042</w:t>
            </w:r>
          </w:p>
        </w:tc>
        <w:tc>
          <w:tcPr>
            <w:tcW w:w="80" w:type="dxa"/>
            <w:vAlign w:val="bottom"/>
          </w:tcPr>
          <w:p>
            <w:pPr>
              <w:spacing w:after="0"/>
              <w:rPr>
                <w:sz w:val="14"/>
                <w:szCs w:val="14"/>
                <w:color w:val="auto"/>
              </w:rPr>
            </w:pPr>
          </w:p>
        </w:tc>
        <w:tc>
          <w:tcPr>
            <w:tcW w:w="620" w:type="dxa"/>
            <w:vAlign w:val="bottom"/>
            <w:tcBorders>
              <w:top w:val="single" w:sz="8" w:color="51555C"/>
            </w:tcBorders>
          </w:tcPr>
          <w:p>
            <w:pPr>
              <w:jc w:val="right"/>
              <w:ind w:right="469"/>
              <w:spacing w:after="0" w:line="163" w:lineRule="exact"/>
              <w:rPr>
                <w:sz w:val="20"/>
                <w:szCs w:val="20"/>
                <w:color w:val="auto"/>
              </w:rPr>
            </w:pPr>
            <w:r>
              <w:rPr>
                <w:rFonts w:ascii="Calibri" w:cs="Calibri" w:eastAsia="Calibri" w:hAnsi="Calibri"/>
                <w:sz w:val="14"/>
                <w:szCs w:val="14"/>
                <w:color w:val="51555C"/>
                <w:w w:val="83"/>
              </w:rPr>
              <w:t>$</w:t>
            </w:r>
          </w:p>
        </w:tc>
        <w:tc>
          <w:tcPr>
            <w:tcW w:w="1020" w:type="dxa"/>
            <w:vAlign w:val="bottom"/>
            <w:tcBorders>
              <w:top w:val="single" w:sz="8" w:color="51555C"/>
            </w:tcBorders>
          </w:tcPr>
          <w:p>
            <w:pPr>
              <w:jc w:val="right"/>
              <w:spacing w:after="0" w:line="163" w:lineRule="exact"/>
              <w:rPr>
                <w:sz w:val="20"/>
                <w:szCs w:val="20"/>
                <w:color w:val="auto"/>
              </w:rPr>
            </w:pPr>
            <w:r>
              <w:rPr>
                <w:rFonts w:ascii="Calibri" w:cs="Calibri" w:eastAsia="Calibri" w:hAnsi="Calibri"/>
                <w:sz w:val="14"/>
                <w:szCs w:val="14"/>
                <w:color w:val="51555C"/>
              </w:rPr>
              <w:t>566,536</w:t>
            </w:r>
          </w:p>
        </w:tc>
        <w:tc>
          <w:tcPr>
            <w:tcW w:w="460" w:type="dxa"/>
            <w:vAlign w:val="bottom"/>
            <w:tcBorders>
              <w:top w:val="single" w:sz="8" w:color="51555C"/>
            </w:tcBorders>
          </w:tcPr>
          <w:p>
            <w:pPr>
              <w:jc w:val="right"/>
              <w:ind w:right="289"/>
              <w:spacing w:after="0" w:line="163" w:lineRule="exact"/>
              <w:rPr>
                <w:sz w:val="20"/>
                <w:szCs w:val="20"/>
                <w:color w:val="auto"/>
              </w:rPr>
            </w:pPr>
            <w:r>
              <w:rPr>
                <w:rFonts w:ascii="Calibri" w:cs="Calibri" w:eastAsia="Calibri" w:hAnsi="Calibri"/>
                <w:sz w:val="14"/>
                <w:szCs w:val="14"/>
                <w:color w:val="51555C"/>
              </w:rPr>
              <w:t>$</w:t>
            </w:r>
          </w:p>
        </w:tc>
        <w:tc>
          <w:tcPr>
            <w:tcW w:w="1200" w:type="dxa"/>
            <w:vAlign w:val="bottom"/>
            <w:tcBorders>
              <w:top w:val="single" w:sz="8" w:color="51555C"/>
            </w:tcBorders>
          </w:tcPr>
          <w:p>
            <w:pPr>
              <w:jc w:val="right"/>
              <w:spacing w:after="0" w:line="163" w:lineRule="exact"/>
              <w:rPr>
                <w:sz w:val="20"/>
                <w:szCs w:val="20"/>
                <w:color w:val="auto"/>
              </w:rPr>
            </w:pPr>
            <w:r>
              <w:rPr>
                <w:rFonts w:ascii="Calibri" w:cs="Calibri" w:eastAsia="Calibri" w:hAnsi="Calibri"/>
                <w:sz w:val="14"/>
                <w:szCs w:val="14"/>
                <w:color w:val="51555C"/>
              </w:rPr>
              <w:t>532,795</w:t>
            </w:r>
          </w:p>
        </w:tc>
        <w:tc>
          <w:tcPr>
            <w:tcW w:w="20" w:type="dxa"/>
            <w:vAlign w:val="bottom"/>
          </w:tcPr>
          <w:p>
            <w:pPr>
              <w:spacing w:after="0"/>
              <w:rPr>
                <w:sz w:val="14"/>
                <w:szCs w:val="14"/>
                <w:color w:val="auto"/>
              </w:rPr>
            </w:pPr>
          </w:p>
        </w:tc>
      </w:tr>
      <w:tr>
        <w:trPr>
          <w:trHeight w:val="40"/>
        </w:trPr>
        <w:tc>
          <w:tcPr>
            <w:tcW w:w="4600" w:type="dxa"/>
            <w:vAlign w:val="bottom"/>
            <w:tcBorders>
              <w:bottom w:val="single" w:sz="8" w:color="0CD973"/>
            </w:tcBorders>
          </w:tcPr>
          <w:p>
            <w:pPr>
              <w:spacing w:after="0"/>
              <w:rPr>
                <w:sz w:val="3"/>
                <w:szCs w:val="3"/>
                <w:color w:val="auto"/>
              </w:rPr>
            </w:pPr>
          </w:p>
        </w:tc>
        <w:tc>
          <w:tcPr>
            <w:tcW w:w="620" w:type="dxa"/>
            <w:vAlign w:val="bottom"/>
            <w:tcBorders>
              <w:bottom w:val="single" w:sz="8" w:color="0CD973"/>
            </w:tcBorders>
          </w:tcPr>
          <w:p>
            <w:pPr>
              <w:spacing w:after="0"/>
              <w:rPr>
                <w:sz w:val="3"/>
                <w:szCs w:val="3"/>
                <w:color w:val="auto"/>
              </w:rPr>
            </w:pPr>
          </w:p>
        </w:tc>
        <w:tc>
          <w:tcPr>
            <w:tcW w:w="1020" w:type="dxa"/>
            <w:vAlign w:val="bottom"/>
            <w:tcBorders>
              <w:bottom w:val="single" w:sz="8" w:color="0CD973"/>
            </w:tcBorders>
          </w:tcPr>
          <w:p>
            <w:pPr>
              <w:spacing w:after="0"/>
              <w:rPr>
                <w:sz w:val="3"/>
                <w:szCs w:val="3"/>
                <w:color w:val="auto"/>
              </w:rPr>
            </w:pPr>
          </w:p>
        </w:tc>
        <w:tc>
          <w:tcPr>
            <w:tcW w:w="380" w:type="dxa"/>
            <w:vAlign w:val="bottom"/>
            <w:tcBorders>
              <w:bottom w:val="single" w:sz="8" w:color="0CD973"/>
            </w:tcBorders>
          </w:tcPr>
          <w:p>
            <w:pPr>
              <w:spacing w:after="0"/>
              <w:rPr>
                <w:sz w:val="3"/>
                <w:szCs w:val="3"/>
                <w:color w:val="auto"/>
              </w:rPr>
            </w:pPr>
          </w:p>
        </w:tc>
        <w:tc>
          <w:tcPr>
            <w:tcW w:w="1280" w:type="dxa"/>
            <w:vAlign w:val="bottom"/>
            <w:tcBorders>
              <w:bottom w:val="single" w:sz="8" w:color="0CD973"/>
            </w:tcBorders>
          </w:tcPr>
          <w:p>
            <w:pPr>
              <w:spacing w:after="0"/>
              <w:rPr>
                <w:sz w:val="3"/>
                <w:szCs w:val="3"/>
                <w:color w:val="auto"/>
              </w:rPr>
            </w:pPr>
          </w:p>
        </w:tc>
        <w:tc>
          <w:tcPr>
            <w:tcW w:w="80" w:type="dxa"/>
            <w:vAlign w:val="bottom"/>
            <w:tcBorders>
              <w:bottom w:val="single" w:sz="8" w:color="0CD973"/>
            </w:tcBorders>
          </w:tcPr>
          <w:p>
            <w:pPr>
              <w:spacing w:after="0"/>
              <w:rPr>
                <w:sz w:val="3"/>
                <w:szCs w:val="3"/>
                <w:color w:val="auto"/>
              </w:rPr>
            </w:pPr>
          </w:p>
        </w:tc>
        <w:tc>
          <w:tcPr>
            <w:tcW w:w="620" w:type="dxa"/>
            <w:vAlign w:val="bottom"/>
            <w:tcBorders>
              <w:bottom w:val="single" w:sz="8" w:color="0CD973"/>
            </w:tcBorders>
          </w:tcPr>
          <w:p>
            <w:pPr>
              <w:spacing w:after="0"/>
              <w:rPr>
                <w:sz w:val="3"/>
                <w:szCs w:val="3"/>
                <w:color w:val="auto"/>
              </w:rPr>
            </w:pPr>
          </w:p>
        </w:tc>
        <w:tc>
          <w:tcPr>
            <w:tcW w:w="1020" w:type="dxa"/>
            <w:vAlign w:val="bottom"/>
            <w:tcBorders>
              <w:bottom w:val="single" w:sz="8" w:color="0CD973"/>
            </w:tcBorders>
          </w:tcPr>
          <w:p>
            <w:pPr>
              <w:spacing w:after="0"/>
              <w:rPr>
                <w:sz w:val="3"/>
                <w:szCs w:val="3"/>
                <w:color w:val="auto"/>
              </w:rPr>
            </w:pPr>
          </w:p>
        </w:tc>
        <w:tc>
          <w:tcPr>
            <w:tcW w:w="460" w:type="dxa"/>
            <w:vAlign w:val="bottom"/>
            <w:tcBorders>
              <w:bottom w:val="single" w:sz="8" w:color="0CD973"/>
            </w:tcBorders>
          </w:tcPr>
          <w:p>
            <w:pPr>
              <w:spacing w:after="0"/>
              <w:rPr>
                <w:sz w:val="3"/>
                <w:szCs w:val="3"/>
                <w:color w:val="auto"/>
              </w:rPr>
            </w:pPr>
          </w:p>
        </w:tc>
        <w:tc>
          <w:tcPr>
            <w:tcW w:w="1200" w:type="dxa"/>
            <w:vAlign w:val="bottom"/>
            <w:tcBorders>
              <w:bottom w:val="single" w:sz="8" w:color="0CD973"/>
            </w:tcBorders>
          </w:tcPr>
          <w:p>
            <w:pPr>
              <w:spacing w:after="0"/>
              <w:rPr>
                <w:sz w:val="3"/>
                <w:szCs w:val="3"/>
                <w:color w:val="auto"/>
              </w:rPr>
            </w:pPr>
          </w:p>
        </w:tc>
        <w:tc>
          <w:tcPr>
            <w:tcW w:w="2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2920365</wp:posOffset>
            </wp:positionH>
            <wp:positionV relativeFrom="paragraph">
              <wp:posOffset>-680085</wp:posOffset>
            </wp:positionV>
            <wp:extent cx="4251325" cy="69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251325" cy="6985"/>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Calibri" w:cs="Calibri" w:eastAsia="Calibri" w:hAnsi="Calibri"/>
          <w:sz w:val="14"/>
          <w:szCs w:val="14"/>
          <w:color w:val="51555C"/>
        </w:rPr>
        <w:t>The Social Sector and Corporate Sector market groups comprised our go-to-market organizatons as of June 30, 2024. The following is a descripton of each market group as of that date:</w:t>
      </w:r>
    </w:p>
    <w:p>
      <w:pPr>
        <w:spacing w:after="0" w:line="87" w:lineRule="exact"/>
        <w:rPr>
          <w:sz w:val="20"/>
          <w:szCs w:val="20"/>
          <w:color w:val="auto"/>
        </w:rPr>
      </w:pPr>
    </w:p>
    <w:p>
      <w:pPr>
        <w:ind w:left="520" w:right="20" w:hanging="260"/>
        <w:spacing w:after="0" w:line="237" w:lineRule="auto"/>
        <w:tabs>
          <w:tab w:leader="none" w:pos="514" w:val="left"/>
        </w:tabs>
        <w:numPr>
          <w:ilvl w:val="0"/>
          <w:numId w:val="9"/>
        </w:numPr>
        <w:rPr>
          <w:rFonts w:ascii="Calibri" w:cs="Calibri" w:eastAsia="Calibri" w:hAnsi="Calibri"/>
          <w:sz w:val="14"/>
          <w:szCs w:val="14"/>
          <w:color w:val="51555C"/>
        </w:rPr>
      </w:pPr>
      <w:r>
        <w:rPr>
          <w:rFonts w:ascii="Calibri" w:cs="Calibri" w:eastAsia="Calibri" w:hAnsi="Calibri"/>
          <w:sz w:val="14"/>
          <w:szCs w:val="14"/>
          <w:color w:val="51555C"/>
        </w:rPr>
        <w:t>The Social Sector market group focuses on sales to customers and prospects in the social sector, such as nonprofts, foundatons, educaton insttutons, healthcare organizatons and other not-for-proft enttes globally, and includes JustGiving; and</w:t>
      </w:r>
    </w:p>
    <w:p>
      <w:pPr>
        <w:spacing w:after="0" w:line="84" w:lineRule="exact"/>
        <w:rPr>
          <w:rFonts w:ascii="Calibri" w:cs="Calibri" w:eastAsia="Calibri" w:hAnsi="Calibri"/>
          <w:sz w:val="14"/>
          <w:szCs w:val="14"/>
          <w:color w:val="51555C"/>
        </w:rPr>
      </w:pPr>
    </w:p>
    <w:p>
      <w:pPr>
        <w:ind w:left="500" w:hanging="240"/>
        <w:spacing w:after="0"/>
        <w:tabs>
          <w:tab w:leader="none" w:pos="500" w:val="left"/>
        </w:tabs>
        <w:numPr>
          <w:ilvl w:val="0"/>
          <w:numId w:val="9"/>
        </w:numPr>
        <w:rPr>
          <w:rFonts w:ascii="Calibri" w:cs="Calibri" w:eastAsia="Calibri" w:hAnsi="Calibri"/>
          <w:sz w:val="14"/>
          <w:szCs w:val="14"/>
          <w:color w:val="51555C"/>
        </w:rPr>
      </w:pPr>
      <w:r>
        <w:rPr>
          <w:rFonts w:ascii="Calibri" w:cs="Calibri" w:eastAsia="Calibri" w:hAnsi="Calibri"/>
          <w:sz w:val="14"/>
          <w:szCs w:val="14"/>
          <w:color w:val="51555C"/>
        </w:rPr>
        <w:t>The Corporate Sector market group focuses on sales to customers and prospects in the corporate sector globally, and includes EVERFI and YourCause.</w:t>
      </w:r>
    </w:p>
    <w:p>
      <w:pPr>
        <w:spacing w:after="0" w:line="265" w:lineRule="exact"/>
        <w:rPr>
          <w:sz w:val="20"/>
          <w:szCs w:val="20"/>
          <w:color w:val="auto"/>
        </w:rPr>
      </w:pPr>
    </w:p>
    <w:p>
      <w:pPr>
        <w:ind w:left="20"/>
        <w:spacing w:after="0"/>
        <w:tabs>
          <w:tab w:leader="none" w:pos="589" w:val="left"/>
        </w:tabs>
        <w:rPr>
          <w:sz w:val="20"/>
          <w:szCs w:val="20"/>
          <w:color w:val="auto"/>
        </w:rPr>
      </w:pPr>
      <w:r>
        <w:rPr>
          <w:rFonts w:ascii="Calibri" w:cs="Calibri" w:eastAsia="Calibri" w:hAnsi="Calibri"/>
          <w:sz w:val="11"/>
          <w:szCs w:val="11"/>
          <w:color w:val="51555C"/>
        </w:rPr>
        <w:t>24</w:t>
      </w:r>
      <w:r>
        <w:rPr>
          <w:sz w:val="20"/>
          <w:szCs w:val="20"/>
          <w:color w:val="auto"/>
        </w:rPr>
        <w:tab/>
      </w:r>
      <w:r>
        <w:rPr>
          <w:sz w:val="1"/>
          <w:szCs w:val="1"/>
          <w:color w:val="auto"/>
        </w:rPr>
        <w:drawing>
          <wp:inline distT="0" distB="0" distL="0" distR="0">
            <wp:extent cx="511810" cy="134620"/>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1810" cy="134620"/>
                    </a:xfrm>
                    <a:prstGeom prst="rect">
                      <a:avLst/>
                    </a:prstGeom>
                    <a:noFill/>
                    <a:ln>
                      <a:noFill/>
                    </a:ln>
                  </pic:spPr>
                </pic:pic>
              </a:graphicData>
            </a:graphic>
          </wp:inline>
        </w:drawing>
      </w:r>
      <w:r>
        <w:rPr>
          <w:rFonts w:ascii="Calibri" w:cs="Calibri" w:eastAsia="Calibri" w:hAnsi="Calibri"/>
          <w:sz w:val="11"/>
          <w:szCs w:val="11"/>
          <w:color w:val="51555C"/>
        </w:rPr>
        <w:t xml:space="preserve">    Second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135255</wp:posOffset>
            </wp:positionV>
            <wp:extent cx="7186930"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25" w:name="page26"/>
    <w:bookmarkEnd w:id="25"/>
    <w:p>
      <w:pPr>
        <w:spacing w:after="0"/>
        <w:rPr>
          <w:sz w:val="20"/>
          <w:szCs w:val="20"/>
          <w:color w:val="auto"/>
        </w:rPr>
      </w:pPr>
      <w:r>
        <w:rPr>
          <w:rFonts w:ascii="Calibri" w:cs="Calibri" w:eastAsia="Calibri" w:hAnsi="Calibri"/>
          <w:sz w:val="11"/>
          <w:szCs w:val="11"/>
          <w:u w:val="single" w:color="auto"/>
          <w:color w:val="7A04DD"/>
        </w:rPr>
        <w:t>Table of Contents</w:t>
      </w:r>
    </w:p>
    <w:p>
      <w:pPr>
        <w:spacing w:after="0" w:line="196" w:lineRule="exact"/>
        <w:rPr>
          <w:sz w:val="20"/>
          <w:szCs w:val="20"/>
          <w:color w:val="auto"/>
        </w:rPr>
      </w:pPr>
    </w:p>
    <w:p>
      <w:pPr>
        <w:jc w:val="center"/>
        <w:ind w:right="20"/>
        <w:spacing w:after="0"/>
        <w:rPr>
          <w:sz w:val="20"/>
          <w:szCs w:val="20"/>
          <w:color w:val="auto"/>
        </w:rPr>
      </w:pPr>
      <w:r>
        <w:rPr>
          <w:rFonts w:ascii="Calibri" w:cs="Calibri" w:eastAsia="Calibri" w:hAnsi="Calibri"/>
          <w:sz w:val="14"/>
          <w:szCs w:val="14"/>
          <w:b w:val="1"/>
          <w:bCs w:val="1"/>
          <w:color w:val="51555C"/>
        </w:rPr>
        <w:t>Blackbaud, Inc.</w:t>
      </w:r>
    </w:p>
    <w:p>
      <w:pPr>
        <w:jc w:val="center"/>
        <w:ind w:right="20"/>
        <w:spacing w:after="0" w:line="238" w:lineRule="auto"/>
        <w:rPr>
          <w:sz w:val="20"/>
          <w:szCs w:val="20"/>
          <w:color w:val="auto"/>
        </w:rPr>
      </w:pPr>
      <w:r>
        <w:rPr>
          <w:rFonts w:ascii="Calibri" w:cs="Calibri" w:eastAsia="Calibri" w:hAnsi="Calibri"/>
          <w:sz w:val="14"/>
          <w:szCs w:val="14"/>
          <w:b w:val="1"/>
          <w:bCs w:val="1"/>
          <w:color w:val="51555C"/>
        </w:rPr>
        <w:t>Notes to Condensed Consolidated Financial Statements</w:t>
      </w:r>
    </w:p>
    <w:p>
      <w:pPr>
        <w:jc w:val="center"/>
        <w:ind w:right="20"/>
        <w:spacing w:after="0"/>
        <w:rPr>
          <w:sz w:val="20"/>
          <w:szCs w:val="20"/>
          <w:color w:val="auto"/>
        </w:rPr>
      </w:pPr>
      <w:r>
        <w:rPr>
          <w:rFonts w:ascii="Calibri" w:cs="Calibri" w:eastAsia="Calibri" w:hAnsi="Calibri"/>
          <w:sz w:val="14"/>
          <w:szCs w:val="14"/>
          <w:b w:val="1"/>
          <w:bCs w:val="1"/>
          <w:color w:val="51555C"/>
        </w:rPr>
        <w:t>(Unaudited)</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Calibri" w:cs="Calibri" w:eastAsia="Calibri" w:hAnsi="Calibri"/>
          <w:sz w:val="14"/>
          <w:szCs w:val="14"/>
          <w:color w:val="51555C"/>
        </w:rPr>
        <w:t>The following table presents our revenue by market group:</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4600" w:type="dxa"/>
            <w:vAlign w:val="bottom"/>
            <w:shd w:val="clear" w:color="auto" w:fill="004054"/>
          </w:tcPr>
          <w:p>
            <w:pPr>
              <w:spacing w:after="0"/>
              <w:rPr>
                <w:sz w:val="12"/>
                <w:szCs w:val="12"/>
                <w:color w:val="auto"/>
              </w:rPr>
            </w:pPr>
          </w:p>
        </w:tc>
        <w:tc>
          <w:tcPr>
            <w:tcW w:w="620" w:type="dxa"/>
            <w:vAlign w:val="bottom"/>
            <w:shd w:val="clear" w:color="auto" w:fill="004054"/>
          </w:tcPr>
          <w:p>
            <w:pPr>
              <w:spacing w:after="0"/>
              <w:rPr>
                <w:sz w:val="12"/>
                <w:szCs w:val="12"/>
                <w:color w:val="auto"/>
              </w:rPr>
            </w:pPr>
          </w:p>
        </w:tc>
        <w:tc>
          <w:tcPr>
            <w:tcW w:w="1020" w:type="dxa"/>
            <w:vAlign w:val="bottom"/>
            <w:shd w:val="clear" w:color="auto" w:fill="004054"/>
          </w:tcPr>
          <w:p>
            <w:pPr>
              <w:spacing w:after="0"/>
              <w:rPr>
                <w:sz w:val="12"/>
                <w:szCs w:val="12"/>
                <w:color w:val="auto"/>
              </w:rPr>
            </w:pPr>
          </w:p>
        </w:tc>
        <w:tc>
          <w:tcPr>
            <w:tcW w:w="380" w:type="dxa"/>
            <w:vAlign w:val="bottom"/>
            <w:shd w:val="clear" w:color="auto" w:fill="004054"/>
          </w:tcPr>
          <w:p>
            <w:pPr>
              <w:spacing w:after="0"/>
              <w:rPr>
                <w:sz w:val="12"/>
                <w:szCs w:val="12"/>
                <w:color w:val="auto"/>
              </w:rPr>
            </w:pPr>
          </w:p>
        </w:tc>
        <w:tc>
          <w:tcPr>
            <w:tcW w:w="1280" w:type="dxa"/>
            <w:vAlign w:val="bottom"/>
            <w:tcBorders>
              <w:right w:val="single" w:sz="8" w:color="004054"/>
            </w:tcBorders>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Three months ended</w:t>
            </w:r>
          </w:p>
        </w:tc>
        <w:tc>
          <w:tcPr>
            <w:tcW w:w="100" w:type="dxa"/>
            <w:vAlign w:val="bottom"/>
            <w:tcBorders>
              <w:right w:val="single" w:sz="8" w:color="004054"/>
            </w:tcBorders>
          </w:tcPr>
          <w:p>
            <w:pPr>
              <w:spacing w:after="0"/>
              <w:rPr>
                <w:sz w:val="12"/>
                <w:szCs w:val="12"/>
                <w:color w:val="auto"/>
              </w:rPr>
            </w:pPr>
          </w:p>
        </w:tc>
        <w:tc>
          <w:tcPr>
            <w:tcW w:w="600" w:type="dxa"/>
            <w:vAlign w:val="bottom"/>
            <w:shd w:val="clear" w:color="auto" w:fill="004054"/>
          </w:tcPr>
          <w:p>
            <w:pPr>
              <w:spacing w:after="0"/>
              <w:rPr>
                <w:sz w:val="12"/>
                <w:szCs w:val="12"/>
                <w:color w:val="auto"/>
              </w:rPr>
            </w:pPr>
          </w:p>
        </w:tc>
        <w:tc>
          <w:tcPr>
            <w:tcW w:w="1020" w:type="dxa"/>
            <w:vAlign w:val="bottom"/>
            <w:shd w:val="clear" w:color="auto" w:fill="004054"/>
          </w:tcPr>
          <w:p>
            <w:pPr>
              <w:spacing w:after="0"/>
              <w:rPr>
                <w:sz w:val="12"/>
                <w:szCs w:val="12"/>
                <w:color w:val="auto"/>
              </w:rPr>
            </w:pPr>
          </w:p>
        </w:tc>
        <w:tc>
          <w:tcPr>
            <w:tcW w:w="460" w:type="dxa"/>
            <w:vAlign w:val="bottom"/>
            <w:shd w:val="clear" w:color="auto" w:fill="004054"/>
          </w:tcPr>
          <w:p>
            <w:pPr>
              <w:spacing w:after="0"/>
              <w:rPr>
                <w:sz w:val="12"/>
                <w:szCs w:val="12"/>
                <w:color w:val="auto"/>
              </w:rPr>
            </w:pPr>
          </w:p>
        </w:tc>
        <w:tc>
          <w:tcPr>
            <w:tcW w:w="120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Six months ended</w:t>
            </w:r>
          </w:p>
        </w:tc>
        <w:tc>
          <w:tcPr>
            <w:tcW w:w="20" w:type="dxa"/>
            <w:vAlign w:val="bottom"/>
            <w:shd w:val="clear" w:color="auto" w:fill="004054"/>
          </w:tcPr>
          <w:p>
            <w:pPr>
              <w:spacing w:after="0"/>
              <w:rPr>
                <w:sz w:val="12"/>
                <w:szCs w:val="12"/>
                <w:color w:val="auto"/>
              </w:rPr>
            </w:pPr>
          </w:p>
        </w:tc>
      </w:tr>
      <w:tr>
        <w:trPr>
          <w:trHeight w:val="135"/>
        </w:trPr>
        <w:tc>
          <w:tcPr>
            <w:tcW w:w="4600" w:type="dxa"/>
            <w:vAlign w:val="bottom"/>
            <w:shd w:val="clear" w:color="auto" w:fill="004054"/>
          </w:tcPr>
          <w:p>
            <w:pPr>
              <w:spacing w:after="0"/>
              <w:rPr>
                <w:sz w:val="11"/>
                <w:szCs w:val="11"/>
                <w:color w:val="auto"/>
              </w:rPr>
            </w:pPr>
          </w:p>
        </w:tc>
        <w:tc>
          <w:tcPr>
            <w:tcW w:w="620" w:type="dxa"/>
            <w:vAlign w:val="bottom"/>
            <w:shd w:val="clear" w:color="auto" w:fill="004054"/>
          </w:tcPr>
          <w:p>
            <w:pPr>
              <w:spacing w:after="0"/>
              <w:rPr>
                <w:sz w:val="11"/>
                <w:szCs w:val="11"/>
                <w:color w:val="auto"/>
              </w:rPr>
            </w:pPr>
          </w:p>
        </w:tc>
        <w:tc>
          <w:tcPr>
            <w:tcW w:w="1020" w:type="dxa"/>
            <w:vAlign w:val="bottom"/>
            <w:shd w:val="clear" w:color="auto" w:fill="004054"/>
          </w:tcPr>
          <w:p>
            <w:pPr>
              <w:spacing w:after="0"/>
              <w:rPr>
                <w:sz w:val="11"/>
                <w:szCs w:val="11"/>
                <w:color w:val="auto"/>
              </w:rPr>
            </w:pPr>
          </w:p>
        </w:tc>
        <w:tc>
          <w:tcPr>
            <w:tcW w:w="380" w:type="dxa"/>
            <w:vAlign w:val="bottom"/>
            <w:shd w:val="clear" w:color="auto" w:fill="004054"/>
          </w:tcPr>
          <w:p>
            <w:pPr>
              <w:spacing w:after="0"/>
              <w:rPr>
                <w:sz w:val="11"/>
                <w:szCs w:val="11"/>
                <w:color w:val="auto"/>
              </w:rPr>
            </w:pPr>
          </w:p>
        </w:tc>
        <w:tc>
          <w:tcPr>
            <w:tcW w:w="1280" w:type="dxa"/>
            <w:vAlign w:val="bottom"/>
            <w:tcBorders>
              <w:right w:val="single" w:sz="8" w:color="004054"/>
            </w:tcBorders>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June 30,</w:t>
            </w:r>
          </w:p>
        </w:tc>
        <w:tc>
          <w:tcPr>
            <w:tcW w:w="100" w:type="dxa"/>
            <w:vAlign w:val="bottom"/>
            <w:tcBorders>
              <w:right w:val="single" w:sz="8" w:color="004054"/>
            </w:tcBorders>
          </w:tcPr>
          <w:p>
            <w:pPr>
              <w:spacing w:after="0"/>
              <w:rPr>
                <w:sz w:val="11"/>
                <w:szCs w:val="11"/>
                <w:color w:val="auto"/>
              </w:rPr>
            </w:pPr>
          </w:p>
        </w:tc>
        <w:tc>
          <w:tcPr>
            <w:tcW w:w="600" w:type="dxa"/>
            <w:vAlign w:val="bottom"/>
            <w:shd w:val="clear" w:color="auto" w:fill="004054"/>
          </w:tcPr>
          <w:p>
            <w:pPr>
              <w:spacing w:after="0"/>
              <w:rPr>
                <w:sz w:val="11"/>
                <w:szCs w:val="11"/>
                <w:color w:val="auto"/>
              </w:rPr>
            </w:pPr>
          </w:p>
        </w:tc>
        <w:tc>
          <w:tcPr>
            <w:tcW w:w="1020" w:type="dxa"/>
            <w:vAlign w:val="bottom"/>
            <w:shd w:val="clear" w:color="auto" w:fill="004054"/>
          </w:tcPr>
          <w:p>
            <w:pPr>
              <w:spacing w:after="0"/>
              <w:rPr>
                <w:sz w:val="11"/>
                <w:szCs w:val="11"/>
                <w:color w:val="auto"/>
              </w:rPr>
            </w:pPr>
          </w:p>
        </w:tc>
        <w:tc>
          <w:tcPr>
            <w:tcW w:w="460" w:type="dxa"/>
            <w:vAlign w:val="bottom"/>
            <w:shd w:val="clear" w:color="auto" w:fill="004054"/>
          </w:tcPr>
          <w:p>
            <w:pPr>
              <w:spacing w:after="0"/>
              <w:rPr>
                <w:sz w:val="11"/>
                <w:szCs w:val="11"/>
                <w:color w:val="auto"/>
              </w:rPr>
            </w:pPr>
          </w:p>
        </w:tc>
        <w:tc>
          <w:tcPr>
            <w:tcW w:w="120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June 30,</w:t>
            </w:r>
          </w:p>
        </w:tc>
        <w:tc>
          <w:tcPr>
            <w:tcW w:w="20" w:type="dxa"/>
            <w:vAlign w:val="bottom"/>
            <w:shd w:val="clear" w:color="auto" w:fill="004054"/>
          </w:tcPr>
          <w:p>
            <w:pPr>
              <w:spacing w:after="0"/>
              <w:rPr>
                <w:sz w:val="11"/>
                <w:szCs w:val="11"/>
                <w:color w:val="auto"/>
              </w:rPr>
            </w:pPr>
          </w:p>
        </w:tc>
      </w:tr>
      <w:tr>
        <w:trPr>
          <w:trHeight w:val="191"/>
        </w:trPr>
        <w:tc>
          <w:tcPr>
            <w:tcW w:w="4600" w:type="dxa"/>
            <w:vAlign w:val="bottom"/>
            <w:shd w:val="clear" w:color="auto" w:fill="004054"/>
          </w:tcPr>
          <w:p>
            <w:pPr>
              <w:ind w:left="20"/>
              <w:spacing w:after="0"/>
              <w:rPr>
                <w:sz w:val="20"/>
                <w:szCs w:val="20"/>
                <w:color w:val="auto"/>
              </w:rPr>
            </w:pPr>
            <w:r>
              <w:rPr>
                <w:rFonts w:ascii="Calibri" w:cs="Calibri" w:eastAsia="Calibri" w:hAnsi="Calibri"/>
                <w:sz w:val="11"/>
                <w:szCs w:val="11"/>
                <w:b w:val="1"/>
                <w:bCs w:val="1"/>
                <w:color w:val="FFFFFF"/>
              </w:rPr>
              <w:t>(dollars in thousands)</w:t>
            </w:r>
          </w:p>
        </w:tc>
        <w:tc>
          <w:tcPr>
            <w:tcW w:w="620" w:type="dxa"/>
            <w:vAlign w:val="bottom"/>
            <w:shd w:val="clear" w:color="auto" w:fill="004054"/>
          </w:tcPr>
          <w:p>
            <w:pPr>
              <w:spacing w:after="0"/>
              <w:rPr>
                <w:sz w:val="16"/>
                <w:szCs w:val="16"/>
                <w:color w:val="auto"/>
              </w:rPr>
            </w:pPr>
          </w:p>
        </w:tc>
        <w:tc>
          <w:tcPr>
            <w:tcW w:w="102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2024</w:t>
            </w:r>
          </w:p>
        </w:tc>
        <w:tc>
          <w:tcPr>
            <w:tcW w:w="380" w:type="dxa"/>
            <w:vAlign w:val="bottom"/>
            <w:shd w:val="clear" w:color="auto" w:fill="004054"/>
          </w:tcPr>
          <w:p>
            <w:pPr>
              <w:spacing w:after="0"/>
              <w:rPr>
                <w:sz w:val="16"/>
                <w:szCs w:val="16"/>
                <w:color w:val="auto"/>
              </w:rPr>
            </w:pPr>
          </w:p>
        </w:tc>
        <w:tc>
          <w:tcPr>
            <w:tcW w:w="1280" w:type="dxa"/>
            <w:vAlign w:val="bottom"/>
            <w:tcBorders>
              <w:right w:val="single" w:sz="8" w:color="004054"/>
            </w:tcBorders>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2023</w:t>
            </w:r>
          </w:p>
        </w:tc>
        <w:tc>
          <w:tcPr>
            <w:tcW w:w="100" w:type="dxa"/>
            <w:vAlign w:val="bottom"/>
            <w:tcBorders>
              <w:right w:val="single" w:sz="8" w:color="004054"/>
            </w:tcBorders>
          </w:tcPr>
          <w:p>
            <w:pPr>
              <w:spacing w:after="0"/>
              <w:rPr>
                <w:sz w:val="16"/>
                <w:szCs w:val="16"/>
                <w:color w:val="auto"/>
              </w:rPr>
            </w:pPr>
          </w:p>
        </w:tc>
        <w:tc>
          <w:tcPr>
            <w:tcW w:w="600" w:type="dxa"/>
            <w:vAlign w:val="bottom"/>
            <w:shd w:val="clear" w:color="auto" w:fill="004054"/>
          </w:tcPr>
          <w:p>
            <w:pPr>
              <w:spacing w:after="0"/>
              <w:rPr>
                <w:sz w:val="16"/>
                <w:szCs w:val="16"/>
                <w:color w:val="auto"/>
              </w:rPr>
            </w:pPr>
          </w:p>
        </w:tc>
        <w:tc>
          <w:tcPr>
            <w:tcW w:w="102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2024</w:t>
            </w:r>
          </w:p>
        </w:tc>
        <w:tc>
          <w:tcPr>
            <w:tcW w:w="460" w:type="dxa"/>
            <w:vAlign w:val="bottom"/>
            <w:shd w:val="clear" w:color="auto" w:fill="004054"/>
          </w:tcPr>
          <w:p>
            <w:pPr>
              <w:spacing w:after="0"/>
              <w:rPr>
                <w:sz w:val="16"/>
                <w:szCs w:val="16"/>
                <w:color w:val="auto"/>
              </w:rPr>
            </w:pPr>
          </w:p>
        </w:tc>
        <w:tc>
          <w:tcPr>
            <w:tcW w:w="120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2023</w:t>
            </w:r>
          </w:p>
        </w:tc>
        <w:tc>
          <w:tcPr>
            <w:tcW w:w="20" w:type="dxa"/>
            <w:vAlign w:val="bottom"/>
            <w:shd w:val="clear" w:color="auto" w:fill="004054"/>
          </w:tcPr>
          <w:p>
            <w:pPr>
              <w:spacing w:after="0"/>
              <w:rPr>
                <w:sz w:val="16"/>
                <w:szCs w:val="16"/>
                <w:color w:val="auto"/>
              </w:rPr>
            </w:pPr>
          </w:p>
        </w:tc>
      </w:tr>
      <w:tr>
        <w:trPr>
          <w:trHeight w:val="46"/>
        </w:trPr>
        <w:tc>
          <w:tcPr>
            <w:tcW w:w="4600" w:type="dxa"/>
            <w:vAlign w:val="bottom"/>
            <w:tcBorders>
              <w:bottom w:val="single" w:sz="8" w:color="004054"/>
            </w:tcBorders>
            <w:shd w:val="clear" w:color="auto" w:fill="004054"/>
          </w:tcPr>
          <w:p>
            <w:pPr>
              <w:spacing w:after="0"/>
              <w:rPr>
                <w:sz w:val="4"/>
                <w:szCs w:val="4"/>
                <w:color w:val="auto"/>
              </w:rPr>
            </w:pPr>
          </w:p>
        </w:tc>
        <w:tc>
          <w:tcPr>
            <w:tcW w:w="620" w:type="dxa"/>
            <w:vAlign w:val="bottom"/>
            <w:tcBorders>
              <w:bottom w:val="single" w:sz="8" w:color="004054"/>
            </w:tcBorders>
            <w:shd w:val="clear" w:color="auto" w:fill="004054"/>
          </w:tcPr>
          <w:p>
            <w:pPr>
              <w:spacing w:after="0"/>
              <w:rPr>
                <w:sz w:val="4"/>
                <w:szCs w:val="4"/>
                <w:color w:val="auto"/>
              </w:rPr>
            </w:pPr>
          </w:p>
        </w:tc>
        <w:tc>
          <w:tcPr>
            <w:tcW w:w="1020" w:type="dxa"/>
            <w:vAlign w:val="bottom"/>
            <w:tcBorders>
              <w:bottom w:val="single" w:sz="8" w:color="004054"/>
            </w:tcBorders>
            <w:shd w:val="clear" w:color="auto" w:fill="004054"/>
          </w:tcPr>
          <w:p>
            <w:pPr>
              <w:spacing w:after="0"/>
              <w:rPr>
                <w:sz w:val="4"/>
                <w:szCs w:val="4"/>
                <w:color w:val="auto"/>
              </w:rPr>
            </w:pPr>
          </w:p>
        </w:tc>
        <w:tc>
          <w:tcPr>
            <w:tcW w:w="380" w:type="dxa"/>
            <w:vAlign w:val="bottom"/>
            <w:tcBorders>
              <w:bottom w:val="single" w:sz="8" w:color="004054"/>
            </w:tcBorders>
            <w:shd w:val="clear" w:color="auto" w:fill="004054"/>
          </w:tcPr>
          <w:p>
            <w:pPr>
              <w:spacing w:after="0"/>
              <w:rPr>
                <w:sz w:val="4"/>
                <w:szCs w:val="4"/>
                <w:color w:val="auto"/>
              </w:rPr>
            </w:pPr>
          </w:p>
        </w:tc>
        <w:tc>
          <w:tcPr>
            <w:tcW w:w="1280" w:type="dxa"/>
            <w:vAlign w:val="bottom"/>
            <w:tcBorders>
              <w:bottom w:val="single" w:sz="8" w:color="004054"/>
              <w:right w:val="single" w:sz="8" w:color="004054"/>
            </w:tcBorders>
            <w:shd w:val="clear" w:color="auto" w:fill="004054"/>
          </w:tcPr>
          <w:p>
            <w:pPr>
              <w:spacing w:after="0"/>
              <w:rPr>
                <w:sz w:val="4"/>
                <w:szCs w:val="4"/>
                <w:color w:val="auto"/>
              </w:rPr>
            </w:pPr>
          </w:p>
        </w:tc>
        <w:tc>
          <w:tcPr>
            <w:tcW w:w="100" w:type="dxa"/>
            <w:vAlign w:val="bottom"/>
            <w:tcBorders>
              <w:bottom w:val="single" w:sz="8" w:color="EBFBFF"/>
              <w:right w:val="single" w:sz="8" w:color="004054"/>
            </w:tcBorders>
          </w:tcPr>
          <w:p>
            <w:pPr>
              <w:spacing w:after="0"/>
              <w:rPr>
                <w:sz w:val="4"/>
                <w:szCs w:val="4"/>
                <w:color w:val="auto"/>
              </w:rPr>
            </w:pPr>
          </w:p>
        </w:tc>
        <w:tc>
          <w:tcPr>
            <w:tcW w:w="600" w:type="dxa"/>
            <w:vAlign w:val="bottom"/>
            <w:tcBorders>
              <w:bottom w:val="single" w:sz="8" w:color="004054"/>
            </w:tcBorders>
            <w:shd w:val="clear" w:color="auto" w:fill="004054"/>
          </w:tcPr>
          <w:p>
            <w:pPr>
              <w:spacing w:after="0"/>
              <w:rPr>
                <w:sz w:val="4"/>
                <w:szCs w:val="4"/>
                <w:color w:val="auto"/>
              </w:rPr>
            </w:pPr>
          </w:p>
        </w:tc>
        <w:tc>
          <w:tcPr>
            <w:tcW w:w="1020" w:type="dxa"/>
            <w:vAlign w:val="bottom"/>
            <w:tcBorders>
              <w:bottom w:val="single" w:sz="8" w:color="004054"/>
            </w:tcBorders>
            <w:shd w:val="clear" w:color="auto" w:fill="004054"/>
          </w:tcPr>
          <w:p>
            <w:pPr>
              <w:spacing w:after="0"/>
              <w:rPr>
                <w:sz w:val="4"/>
                <w:szCs w:val="4"/>
                <w:color w:val="auto"/>
              </w:rPr>
            </w:pPr>
          </w:p>
        </w:tc>
        <w:tc>
          <w:tcPr>
            <w:tcW w:w="460" w:type="dxa"/>
            <w:vAlign w:val="bottom"/>
            <w:tcBorders>
              <w:bottom w:val="single" w:sz="8" w:color="004054"/>
            </w:tcBorders>
            <w:shd w:val="clear" w:color="auto" w:fill="004054"/>
          </w:tcPr>
          <w:p>
            <w:pPr>
              <w:spacing w:after="0"/>
              <w:rPr>
                <w:sz w:val="4"/>
                <w:szCs w:val="4"/>
                <w:color w:val="auto"/>
              </w:rPr>
            </w:pPr>
          </w:p>
        </w:tc>
        <w:tc>
          <w:tcPr>
            <w:tcW w:w="1200" w:type="dxa"/>
            <w:vAlign w:val="bottom"/>
            <w:tcBorders>
              <w:bottom w:val="single" w:sz="8" w:color="004054"/>
            </w:tcBorders>
            <w:shd w:val="clear" w:color="auto" w:fill="004054"/>
          </w:tcPr>
          <w:p>
            <w:pPr>
              <w:spacing w:after="0"/>
              <w:rPr>
                <w:sz w:val="4"/>
                <w:szCs w:val="4"/>
                <w:color w:val="auto"/>
              </w:rPr>
            </w:pPr>
          </w:p>
        </w:tc>
        <w:tc>
          <w:tcPr>
            <w:tcW w:w="20" w:type="dxa"/>
            <w:vAlign w:val="bottom"/>
            <w:tcBorders>
              <w:bottom w:val="single" w:sz="8" w:color="004054"/>
            </w:tcBorders>
            <w:shd w:val="clear" w:color="auto" w:fill="004054"/>
          </w:tcPr>
          <w:p>
            <w:pPr>
              <w:spacing w:after="0"/>
              <w:rPr>
                <w:sz w:val="4"/>
                <w:szCs w:val="4"/>
                <w:color w:val="auto"/>
              </w:rPr>
            </w:pPr>
          </w:p>
        </w:tc>
      </w:tr>
      <w:tr>
        <w:trPr>
          <w:trHeight w:val="183"/>
        </w:trPr>
        <w:tc>
          <w:tcPr>
            <w:tcW w:w="4600" w:type="dxa"/>
            <w:vAlign w:val="bottom"/>
            <w:tcBorders>
              <w:bottom w:val="single" w:sz="8" w:color="EBFBFF"/>
            </w:tcBorders>
            <w:shd w:val="clear" w:color="auto" w:fill="EBFBFF"/>
          </w:tcPr>
          <w:p>
            <w:pPr>
              <w:ind w:left="20"/>
              <w:spacing w:after="0" w:line="163" w:lineRule="exact"/>
              <w:rPr>
                <w:sz w:val="20"/>
                <w:szCs w:val="20"/>
                <w:color w:val="auto"/>
              </w:rPr>
            </w:pPr>
            <w:r>
              <w:rPr>
                <w:rFonts w:ascii="Calibri" w:cs="Calibri" w:eastAsia="Calibri" w:hAnsi="Calibri"/>
                <w:sz w:val="14"/>
                <w:szCs w:val="14"/>
                <w:color w:val="51555C"/>
              </w:rPr>
              <w:t>Social Sector</w:t>
            </w:r>
          </w:p>
        </w:tc>
        <w:tc>
          <w:tcPr>
            <w:tcW w:w="620" w:type="dxa"/>
            <w:vAlign w:val="bottom"/>
            <w:tcBorders>
              <w:bottom w:val="single" w:sz="8" w:color="EBFBFF"/>
            </w:tcBorders>
            <w:shd w:val="clear" w:color="auto" w:fill="EBFBFF"/>
          </w:tcPr>
          <w:p>
            <w:pPr>
              <w:jc w:val="right"/>
              <w:ind w:right="469"/>
              <w:spacing w:after="0" w:line="163" w:lineRule="exact"/>
              <w:rPr>
                <w:sz w:val="20"/>
                <w:szCs w:val="20"/>
                <w:color w:val="auto"/>
              </w:rPr>
            </w:pPr>
            <w:r>
              <w:rPr>
                <w:rFonts w:ascii="Calibri" w:cs="Calibri" w:eastAsia="Calibri" w:hAnsi="Calibri"/>
                <w:sz w:val="14"/>
                <w:szCs w:val="14"/>
                <w:color w:val="51555C"/>
                <w:w w:val="83"/>
              </w:rPr>
              <w:t>$</w:t>
            </w:r>
          </w:p>
        </w:tc>
        <w:tc>
          <w:tcPr>
            <w:tcW w:w="1020" w:type="dxa"/>
            <w:vAlign w:val="bottom"/>
            <w:tcBorders>
              <w:bottom w:val="single" w:sz="8" w:color="EBFBFF"/>
            </w:tcBorders>
            <w:shd w:val="clear" w:color="auto" w:fill="EBFBFF"/>
          </w:tcPr>
          <w:p>
            <w:pPr>
              <w:jc w:val="right"/>
              <w:spacing w:after="0" w:line="163" w:lineRule="exact"/>
              <w:rPr>
                <w:sz w:val="20"/>
                <w:szCs w:val="20"/>
                <w:color w:val="auto"/>
              </w:rPr>
            </w:pPr>
            <w:r>
              <w:rPr>
                <w:rFonts w:ascii="Calibri" w:cs="Calibri" w:eastAsia="Calibri" w:hAnsi="Calibri"/>
                <w:sz w:val="14"/>
                <w:szCs w:val="14"/>
                <w:color w:val="51555C"/>
              </w:rPr>
              <w:t>252,164</w:t>
            </w:r>
          </w:p>
        </w:tc>
        <w:tc>
          <w:tcPr>
            <w:tcW w:w="380" w:type="dxa"/>
            <w:vAlign w:val="bottom"/>
            <w:tcBorders>
              <w:bottom w:val="single" w:sz="8" w:color="EBFBFF"/>
            </w:tcBorders>
            <w:shd w:val="clear" w:color="auto" w:fill="EBFBFF"/>
          </w:tcPr>
          <w:p>
            <w:pPr>
              <w:jc w:val="right"/>
              <w:ind w:right="229"/>
              <w:spacing w:after="0" w:line="163" w:lineRule="exact"/>
              <w:rPr>
                <w:sz w:val="20"/>
                <w:szCs w:val="20"/>
                <w:color w:val="auto"/>
              </w:rPr>
            </w:pPr>
            <w:r>
              <w:rPr>
                <w:rFonts w:ascii="Calibri" w:cs="Calibri" w:eastAsia="Calibri" w:hAnsi="Calibri"/>
                <w:sz w:val="14"/>
                <w:szCs w:val="14"/>
                <w:color w:val="51555C"/>
                <w:w w:val="83"/>
              </w:rPr>
              <w:t>$</w:t>
            </w:r>
          </w:p>
        </w:tc>
        <w:tc>
          <w:tcPr>
            <w:tcW w:w="1280" w:type="dxa"/>
            <w:vAlign w:val="bottom"/>
            <w:tcBorders>
              <w:bottom w:val="single" w:sz="8" w:color="EBFBFF"/>
              <w:right w:val="single" w:sz="8" w:color="EBFBFF"/>
            </w:tcBorders>
            <w:shd w:val="clear" w:color="auto" w:fill="EBFBFF"/>
          </w:tcPr>
          <w:p>
            <w:pPr>
              <w:jc w:val="right"/>
              <w:spacing w:after="0" w:line="163" w:lineRule="exact"/>
              <w:rPr>
                <w:sz w:val="20"/>
                <w:szCs w:val="20"/>
                <w:color w:val="auto"/>
              </w:rPr>
            </w:pPr>
            <w:r>
              <w:rPr>
                <w:rFonts w:ascii="Calibri" w:cs="Calibri" w:eastAsia="Calibri" w:hAnsi="Calibri"/>
                <w:sz w:val="14"/>
                <w:szCs w:val="14"/>
                <w:color w:val="51555C"/>
              </w:rPr>
              <w:t>232,381</w:t>
            </w:r>
          </w:p>
        </w:tc>
        <w:tc>
          <w:tcPr>
            <w:tcW w:w="700" w:type="dxa"/>
            <w:vAlign w:val="bottom"/>
            <w:tcBorders>
              <w:bottom w:val="single" w:sz="8" w:color="EBFBFF"/>
            </w:tcBorders>
            <w:gridSpan w:val="2"/>
            <w:shd w:val="clear" w:color="auto" w:fill="EBFBFF"/>
          </w:tcPr>
          <w:p>
            <w:pPr>
              <w:jc w:val="right"/>
              <w:ind w:right="540"/>
              <w:spacing w:after="0" w:line="163" w:lineRule="exact"/>
              <w:rPr>
                <w:sz w:val="20"/>
                <w:szCs w:val="20"/>
                <w:color w:val="auto"/>
              </w:rPr>
            </w:pPr>
            <w:r>
              <w:rPr>
                <w:rFonts w:ascii="Calibri" w:cs="Calibri" w:eastAsia="Calibri" w:hAnsi="Calibri"/>
                <w:sz w:val="14"/>
                <w:szCs w:val="14"/>
                <w:color w:val="51555C"/>
              </w:rPr>
              <w:t>$</w:t>
            </w:r>
          </w:p>
        </w:tc>
        <w:tc>
          <w:tcPr>
            <w:tcW w:w="1020" w:type="dxa"/>
            <w:vAlign w:val="bottom"/>
            <w:tcBorders>
              <w:bottom w:val="single" w:sz="8" w:color="EBFBFF"/>
            </w:tcBorders>
            <w:shd w:val="clear" w:color="auto" w:fill="EBFBFF"/>
          </w:tcPr>
          <w:p>
            <w:pPr>
              <w:jc w:val="right"/>
              <w:spacing w:after="0" w:line="163" w:lineRule="exact"/>
              <w:rPr>
                <w:sz w:val="20"/>
                <w:szCs w:val="20"/>
                <w:color w:val="auto"/>
              </w:rPr>
            </w:pPr>
            <w:r>
              <w:rPr>
                <w:rFonts w:ascii="Calibri" w:cs="Calibri" w:eastAsia="Calibri" w:hAnsi="Calibri"/>
                <w:sz w:val="14"/>
                <w:szCs w:val="14"/>
                <w:color w:val="51555C"/>
              </w:rPr>
              <w:t>496,608</w:t>
            </w:r>
          </w:p>
        </w:tc>
        <w:tc>
          <w:tcPr>
            <w:tcW w:w="460" w:type="dxa"/>
            <w:vAlign w:val="bottom"/>
            <w:tcBorders>
              <w:bottom w:val="single" w:sz="8" w:color="EBFBFF"/>
            </w:tcBorders>
            <w:shd w:val="clear" w:color="auto" w:fill="EBFBFF"/>
          </w:tcPr>
          <w:p>
            <w:pPr>
              <w:jc w:val="right"/>
              <w:ind w:right="289"/>
              <w:spacing w:after="0" w:line="163" w:lineRule="exact"/>
              <w:rPr>
                <w:sz w:val="20"/>
                <w:szCs w:val="20"/>
                <w:color w:val="auto"/>
              </w:rPr>
            </w:pPr>
            <w:r>
              <w:rPr>
                <w:rFonts w:ascii="Calibri" w:cs="Calibri" w:eastAsia="Calibri" w:hAnsi="Calibri"/>
                <w:sz w:val="14"/>
                <w:szCs w:val="14"/>
                <w:color w:val="51555C"/>
              </w:rPr>
              <w:t>$</w:t>
            </w:r>
          </w:p>
        </w:tc>
        <w:tc>
          <w:tcPr>
            <w:tcW w:w="1200" w:type="dxa"/>
            <w:vAlign w:val="bottom"/>
            <w:tcBorders>
              <w:bottom w:val="single" w:sz="8" w:color="EBFBFF"/>
            </w:tcBorders>
            <w:shd w:val="clear" w:color="auto" w:fill="EBFBFF"/>
          </w:tcPr>
          <w:p>
            <w:pPr>
              <w:jc w:val="right"/>
              <w:spacing w:after="0" w:line="163" w:lineRule="exact"/>
              <w:rPr>
                <w:sz w:val="20"/>
                <w:szCs w:val="20"/>
                <w:color w:val="auto"/>
              </w:rPr>
            </w:pPr>
            <w:r>
              <w:rPr>
                <w:rFonts w:ascii="Calibri" w:cs="Calibri" w:eastAsia="Calibri" w:hAnsi="Calibri"/>
                <w:sz w:val="14"/>
                <w:szCs w:val="14"/>
                <w:color w:val="51555C"/>
              </w:rPr>
              <w:t>457,278</w:t>
            </w:r>
          </w:p>
        </w:tc>
        <w:tc>
          <w:tcPr>
            <w:tcW w:w="20" w:type="dxa"/>
            <w:vAlign w:val="bottom"/>
          </w:tcPr>
          <w:p>
            <w:pPr>
              <w:spacing w:after="0"/>
              <w:rPr>
                <w:sz w:val="15"/>
                <w:szCs w:val="15"/>
                <w:color w:val="auto"/>
              </w:rPr>
            </w:pPr>
          </w:p>
        </w:tc>
      </w:tr>
      <w:tr>
        <w:trPr>
          <w:trHeight w:val="214"/>
        </w:trPr>
        <w:tc>
          <w:tcPr>
            <w:tcW w:w="4600" w:type="dxa"/>
            <w:vAlign w:val="bottom"/>
          </w:tcPr>
          <w:p>
            <w:pPr>
              <w:ind w:left="20"/>
              <w:spacing w:after="0"/>
              <w:rPr>
                <w:sz w:val="20"/>
                <w:szCs w:val="20"/>
                <w:color w:val="auto"/>
              </w:rPr>
            </w:pPr>
            <w:r>
              <w:rPr>
                <w:rFonts w:ascii="Calibri" w:cs="Calibri" w:eastAsia="Calibri" w:hAnsi="Calibri"/>
                <w:sz w:val="14"/>
                <w:szCs w:val="14"/>
                <w:color w:val="51555C"/>
              </w:rPr>
              <w:t>Corporate Sector</w:t>
            </w: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Calibri" w:cs="Calibri" w:eastAsia="Calibri" w:hAnsi="Calibri"/>
                <w:sz w:val="14"/>
                <w:szCs w:val="14"/>
                <w:color w:val="51555C"/>
              </w:rPr>
              <w:t>35,122</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Calibri" w:cs="Calibri" w:eastAsia="Calibri" w:hAnsi="Calibri"/>
                <w:sz w:val="14"/>
                <w:szCs w:val="14"/>
                <w:color w:val="51555C"/>
              </w:rPr>
              <w:t>38,661</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Calibri" w:cs="Calibri" w:eastAsia="Calibri" w:hAnsi="Calibri"/>
                <w:sz w:val="14"/>
                <w:szCs w:val="14"/>
                <w:color w:val="51555C"/>
              </w:rPr>
              <w:t>69,928</w:t>
            </w:r>
          </w:p>
        </w:tc>
        <w:tc>
          <w:tcPr>
            <w:tcW w:w="4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Calibri" w:cs="Calibri" w:eastAsia="Calibri" w:hAnsi="Calibri"/>
                <w:sz w:val="14"/>
                <w:szCs w:val="14"/>
                <w:color w:val="51555C"/>
              </w:rPr>
              <w:t>75,517</w:t>
            </w:r>
          </w:p>
        </w:tc>
        <w:tc>
          <w:tcPr>
            <w:tcW w:w="20" w:type="dxa"/>
            <w:vAlign w:val="bottom"/>
          </w:tcPr>
          <w:p>
            <w:pPr>
              <w:spacing w:after="0"/>
              <w:rPr>
                <w:sz w:val="18"/>
                <w:szCs w:val="18"/>
                <w:color w:val="auto"/>
              </w:rPr>
            </w:pPr>
          </w:p>
        </w:tc>
      </w:tr>
      <w:tr>
        <w:trPr>
          <w:trHeight w:val="40"/>
        </w:trPr>
        <w:tc>
          <w:tcPr>
            <w:tcW w:w="4600" w:type="dxa"/>
            <w:vAlign w:val="bottom"/>
            <w:tcBorders>
              <w:bottom w:val="single" w:sz="8" w:color="EBFBFF"/>
            </w:tcBorders>
          </w:tcPr>
          <w:p>
            <w:pPr>
              <w:spacing w:after="0"/>
              <w:rPr>
                <w:sz w:val="3"/>
                <w:szCs w:val="3"/>
                <w:color w:val="auto"/>
              </w:rPr>
            </w:pPr>
          </w:p>
        </w:tc>
        <w:tc>
          <w:tcPr>
            <w:tcW w:w="620" w:type="dxa"/>
            <w:vAlign w:val="bottom"/>
            <w:tcBorders>
              <w:bottom w:val="single" w:sz="8" w:color="51555C"/>
            </w:tcBorders>
          </w:tcPr>
          <w:p>
            <w:pPr>
              <w:spacing w:after="0"/>
              <w:rPr>
                <w:sz w:val="3"/>
                <w:szCs w:val="3"/>
                <w:color w:val="auto"/>
              </w:rPr>
            </w:pPr>
          </w:p>
        </w:tc>
        <w:tc>
          <w:tcPr>
            <w:tcW w:w="1020" w:type="dxa"/>
            <w:vAlign w:val="bottom"/>
            <w:tcBorders>
              <w:bottom w:val="single" w:sz="8" w:color="51555C"/>
            </w:tcBorders>
          </w:tcPr>
          <w:p>
            <w:pPr>
              <w:spacing w:after="0"/>
              <w:rPr>
                <w:sz w:val="3"/>
                <w:szCs w:val="3"/>
                <w:color w:val="auto"/>
              </w:rPr>
            </w:pPr>
          </w:p>
        </w:tc>
        <w:tc>
          <w:tcPr>
            <w:tcW w:w="380" w:type="dxa"/>
            <w:vAlign w:val="bottom"/>
            <w:tcBorders>
              <w:bottom w:val="single" w:sz="8" w:color="51555C"/>
            </w:tcBorders>
          </w:tcPr>
          <w:p>
            <w:pPr>
              <w:spacing w:after="0"/>
              <w:rPr>
                <w:sz w:val="3"/>
                <w:szCs w:val="3"/>
                <w:color w:val="auto"/>
              </w:rPr>
            </w:pPr>
          </w:p>
        </w:tc>
        <w:tc>
          <w:tcPr>
            <w:tcW w:w="1280" w:type="dxa"/>
            <w:vAlign w:val="bottom"/>
            <w:tcBorders>
              <w:bottom w:val="single" w:sz="8" w:color="51555C"/>
            </w:tcBorders>
          </w:tcPr>
          <w:p>
            <w:pPr>
              <w:spacing w:after="0"/>
              <w:rPr>
                <w:sz w:val="3"/>
                <w:szCs w:val="3"/>
                <w:color w:val="auto"/>
              </w:rPr>
            </w:pPr>
          </w:p>
        </w:tc>
        <w:tc>
          <w:tcPr>
            <w:tcW w:w="100" w:type="dxa"/>
            <w:vAlign w:val="bottom"/>
            <w:tcBorders>
              <w:bottom w:val="single" w:sz="8" w:color="EBFBFF"/>
            </w:tcBorders>
          </w:tcPr>
          <w:p>
            <w:pPr>
              <w:spacing w:after="0"/>
              <w:rPr>
                <w:sz w:val="3"/>
                <w:szCs w:val="3"/>
                <w:color w:val="auto"/>
              </w:rPr>
            </w:pPr>
          </w:p>
        </w:tc>
        <w:tc>
          <w:tcPr>
            <w:tcW w:w="600" w:type="dxa"/>
            <w:vAlign w:val="bottom"/>
            <w:tcBorders>
              <w:bottom w:val="single" w:sz="8" w:color="51555C"/>
            </w:tcBorders>
          </w:tcPr>
          <w:p>
            <w:pPr>
              <w:spacing w:after="0"/>
              <w:rPr>
                <w:sz w:val="3"/>
                <w:szCs w:val="3"/>
                <w:color w:val="auto"/>
              </w:rPr>
            </w:pPr>
          </w:p>
        </w:tc>
        <w:tc>
          <w:tcPr>
            <w:tcW w:w="1020" w:type="dxa"/>
            <w:vAlign w:val="bottom"/>
            <w:tcBorders>
              <w:bottom w:val="single" w:sz="8" w:color="51555C"/>
            </w:tcBorders>
          </w:tcPr>
          <w:p>
            <w:pPr>
              <w:spacing w:after="0"/>
              <w:rPr>
                <w:sz w:val="3"/>
                <w:szCs w:val="3"/>
                <w:color w:val="auto"/>
              </w:rPr>
            </w:pPr>
          </w:p>
        </w:tc>
        <w:tc>
          <w:tcPr>
            <w:tcW w:w="460" w:type="dxa"/>
            <w:vAlign w:val="bottom"/>
            <w:tcBorders>
              <w:bottom w:val="single" w:sz="8" w:color="51555C"/>
            </w:tcBorders>
          </w:tcPr>
          <w:p>
            <w:pPr>
              <w:spacing w:after="0"/>
              <w:rPr>
                <w:sz w:val="3"/>
                <w:szCs w:val="3"/>
                <w:color w:val="auto"/>
              </w:rPr>
            </w:pPr>
          </w:p>
        </w:tc>
        <w:tc>
          <w:tcPr>
            <w:tcW w:w="1200" w:type="dxa"/>
            <w:vAlign w:val="bottom"/>
            <w:tcBorders>
              <w:bottom w:val="single" w:sz="8" w:color="51555C"/>
            </w:tcBorders>
          </w:tcPr>
          <w:p>
            <w:pPr>
              <w:spacing w:after="0"/>
              <w:rPr>
                <w:sz w:val="3"/>
                <w:szCs w:val="3"/>
                <w:color w:val="auto"/>
              </w:rPr>
            </w:pPr>
          </w:p>
        </w:tc>
        <w:tc>
          <w:tcPr>
            <w:tcW w:w="20" w:type="dxa"/>
            <w:vAlign w:val="bottom"/>
          </w:tcPr>
          <w:p>
            <w:pPr>
              <w:spacing w:after="0"/>
              <w:rPr>
                <w:sz w:val="3"/>
                <w:szCs w:val="3"/>
                <w:color w:val="auto"/>
              </w:rPr>
            </w:pPr>
          </w:p>
        </w:tc>
      </w:tr>
      <w:tr>
        <w:trPr>
          <w:trHeight w:val="208"/>
        </w:trPr>
        <w:tc>
          <w:tcPr>
            <w:tcW w:w="4600" w:type="dxa"/>
            <w:vAlign w:val="bottom"/>
            <w:tcBorders>
              <w:bottom w:val="single" w:sz="8" w:color="EBFBFF"/>
            </w:tcBorders>
            <w:shd w:val="clear" w:color="auto" w:fill="EBFBFF"/>
          </w:tcPr>
          <w:p>
            <w:pPr>
              <w:ind w:left="100"/>
              <w:spacing w:after="0" w:line="152" w:lineRule="exact"/>
              <w:rPr>
                <w:sz w:val="20"/>
                <w:szCs w:val="20"/>
                <w:color w:val="auto"/>
              </w:rPr>
            </w:pPr>
            <w:r>
              <w:rPr>
                <w:rFonts w:ascii="Calibri" w:cs="Calibri" w:eastAsia="Calibri" w:hAnsi="Calibri"/>
                <w:sz w:val="14"/>
                <w:szCs w:val="14"/>
                <w:color w:val="51555C"/>
              </w:rPr>
              <w:t>Total revenue</w:t>
            </w:r>
          </w:p>
        </w:tc>
        <w:tc>
          <w:tcPr>
            <w:tcW w:w="620" w:type="dxa"/>
            <w:vAlign w:val="bottom"/>
            <w:tcBorders>
              <w:bottom w:val="single" w:sz="8" w:color="EBFBFF"/>
            </w:tcBorders>
            <w:shd w:val="clear" w:color="auto" w:fill="EBFBFF"/>
          </w:tcPr>
          <w:p>
            <w:pPr>
              <w:jc w:val="right"/>
              <w:ind w:right="469"/>
              <w:spacing w:after="0" w:line="163" w:lineRule="exact"/>
              <w:rPr>
                <w:sz w:val="20"/>
                <w:szCs w:val="20"/>
                <w:color w:val="auto"/>
              </w:rPr>
            </w:pPr>
            <w:r>
              <w:rPr>
                <w:rFonts w:ascii="Calibri" w:cs="Calibri" w:eastAsia="Calibri" w:hAnsi="Calibri"/>
                <w:sz w:val="14"/>
                <w:szCs w:val="14"/>
                <w:color w:val="51555C"/>
                <w:w w:val="83"/>
              </w:rPr>
              <w:t>$</w:t>
            </w:r>
          </w:p>
        </w:tc>
        <w:tc>
          <w:tcPr>
            <w:tcW w:w="1020" w:type="dxa"/>
            <w:vAlign w:val="bottom"/>
            <w:tcBorders>
              <w:bottom w:val="single" w:sz="8" w:color="EBFBFF"/>
            </w:tcBorders>
            <w:shd w:val="clear" w:color="auto" w:fill="EBFBFF"/>
          </w:tcPr>
          <w:p>
            <w:pPr>
              <w:jc w:val="right"/>
              <w:spacing w:after="0" w:line="163" w:lineRule="exact"/>
              <w:rPr>
                <w:sz w:val="20"/>
                <w:szCs w:val="20"/>
                <w:color w:val="auto"/>
              </w:rPr>
            </w:pPr>
            <w:r>
              <w:rPr>
                <w:rFonts w:ascii="Calibri" w:cs="Calibri" w:eastAsia="Calibri" w:hAnsi="Calibri"/>
                <w:sz w:val="14"/>
                <w:szCs w:val="14"/>
                <w:color w:val="51555C"/>
              </w:rPr>
              <w:t>287,286</w:t>
            </w:r>
          </w:p>
        </w:tc>
        <w:tc>
          <w:tcPr>
            <w:tcW w:w="380" w:type="dxa"/>
            <w:vAlign w:val="bottom"/>
            <w:tcBorders>
              <w:bottom w:val="single" w:sz="8" w:color="EBFBFF"/>
            </w:tcBorders>
            <w:shd w:val="clear" w:color="auto" w:fill="EBFBFF"/>
          </w:tcPr>
          <w:p>
            <w:pPr>
              <w:jc w:val="right"/>
              <w:ind w:right="229"/>
              <w:spacing w:after="0" w:line="163" w:lineRule="exact"/>
              <w:rPr>
                <w:sz w:val="20"/>
                <w:szCs w:val="20"/>
                <w:color w:val="auto"/>
              </w:rPr>
            </w:pPr>
            <w:r>
              <w:rPr>
                <w:rFonts w:ascii="Calibri" w:cs="Calibri" w:eastAsia="Calibri" w:hAnsi="Calibri"/>
                <w:sz w:val="14"/>
                <w:szCs w:val="14"/>
                <w:color w:val="51555C"/>
                <w:w w:val="83"/>
              </w:rPr>
              <w:t>$</w:t>
            </w:r>
          </w:p>
        </w:tc>
        <w:tc>
          <w:tcPr>
            <w:tcW w:w="1280" w:type="dxa"/>
            <w:vAlign w:val="bottom"/>
            <w:tcBorders>
              <w:bottom w:val="single" w:sz="8" w:color="EBFBFF"/>
              <w:right w:val="single" w:sz="8" w:color="EBFBFF"/>
            </w:tcBorders>
            <w:shd w:val="clear" w:color="auto" w:fill="EBFBFF"/>
          </w:tcPr>
          <w:p>
            <w:pPr>
              <w:jc w:val="right"/>
              <w:spacing w:after="0" w:line="163" w:lineRule="exact"/>
              <w:rPr>
                <w:sz w:val="20"/>
                <w:szCs w:val="20"/>
                <w:color w:val="auto"/>
              </w:rPr>
            </w:pPr>
            <w:r>
              <w:rPr>
                <w:rFonts w:ascii="Calibri" w:cs="Calibri" w:eastAsia="Calibri" w:hAnsi="Calibri"/>
                <w:sz w:val="14"/>
                <w:szCs w:val="14"/>
                <w:color w:val="51555C"/>
              </w:rPr>
              <w:t>271,042</w:t>
            </w:r>
          </w:p>
        </w:tc>
        <w:tc>
          <w:tcPr>
            <w:tcW w:w="700" w:type="dxa"/>
            <w:vAlign w:val="bottom"/>
            <w:tcBorders>
              <w:bottom w:val="single" w:sz="8" w:color="EBFBFF"/>
            </w:tcBorders>
            <w:gridSpan w:val="2"/>
            <w:shd w:val="clear" w:color="auto" w:fill="EBFBFF"/>
          </w:tcPr>
          <w:p>
            <w:pPr>
              <w:jc w:val="right"/>
              <w:ind w:right="540"/>
              <w:spacing w:after="0" w:line="163" w:lineRule="exact"/>
              <w:rPr>
                <w:sz w:val="20"/>
                <w:szCs w:val="20"/>
                <w:color w:val="auto"/>
              </w:rPr>
            </w:pPr>
            <w:r>
              <w:rPr>
                <w:rFonts w:ascii="Calibri" w:cs="Calibri" w:eastAsia="Calibri" w:hAnsi="Calibri"/>
                <w:sz w:val="14"/>
                <w:szCs w:val="14"/>
                <w:color w:val="51555C"/>
              </w:rPr>
              <w:t>$</w:t>
            </w:r>
          </w:p>
        </w:tc>
        <w:tc>
          <w:tcPr>
            <w:tcW w:w="1020" w:type="dxa"/>
            <w:vAlign w:val="bottom"/>
            <w:tcBorders>
              <w:bottom w:val="single" w:sz="8" w:color="EBFBFF"/>
            </w:tcBorders>
            <w:shd w:val="clear" w:color="auto" w:fill="EBFBFF"/>
          </w:tcPr>
          <w:p>
            <w:pPr>
              <w:jc w:val="right"/>
              <w:spacing w:after="0" w:line="163" w:lineRule="exact"/>
              <w:rPr>
                <w:sz w:val="20"/>
                <w:szCs w:val="20"/>
                <w:color w:val="auto"/>
              </w:rPr>
            </w:pPr>
            <w:r>
              <w:rPr>
                <w:rFonts w:ascii="Calibri" w:cs="Calibri" w:eastAsia="Calibri" w:hAnsi="Calibri"/>
                <w:sz w:val="14"/>
                <w:szCs w:val="14"/>
                <w:color w:val="51555C"/>
              </w:rPr>
              <w:t>566,536</w:t>
            </w:r>
          </w:p>
        </w:tc>
        <w:tc>
          <w:tcPr>
            <w:tcW w:w="460" w:type="dxa"/>
            <w:vAlign w:val="bottom"/>
            <w:tcBorders>
              <w:bottom w:val="single" w:sz="8" w:color="EBFBFF"/>
            </w:tcBorders>
            <w:shd w:val="clear" w:color="auto" w:fill="EBFBFF"/>
          </w:tcPr>
          <w:p>
            <w:pPr>
              <w:jc w:val="right"/>
              <w:ind w:right="289"/>
              <w:spacing w:after="0" w:line="163" w:lineRule="exact"/>
              <w:rPr>
                <w:sz w:val="20"/>
                <w:szCs w:val="20"/>
                <w:color w:val="auto"/>
              </w:rPr>
            </w:pPr>
            <w:r>
              <w:rPr>
                <w:rFonts w:ascii="Calibri" w:cs="Calibri" w:eastAsia="Calibri" w:hAnsi="Calibri"/>
                <w:sz w:val="14"/>
                <w:szCs w:val="14"/>
                <w:color w:val="51555C"/>
              </w:rPr>
              <w:t>$</w:t>
            </w:r>
          </w:p>
        </w:tc>
        <w:tc>
          <w:tcPr>
            <w:tcW w:w="1200" w:type="dxa"/>
            <w:vAlign w:val="bottom"/>
            <w:tcBorders>
              <w:bottom w:val="single" w:sz="8" w:color="EBFBFF"/>
            </w:tcBorders>
            <w:shd w:val="clear" w:color="auto" w:fill="EBFBFF"/>
          </w:tcPr>
          <w:p>
            <w:pPr>
              <w:jc w:val="right"/>
              <w:spacing w:after="0" w:line="163" w:lineRule="exact"/>
              <w:rPr>
                <w:sz w:val="20"/>
                <w:szCs w:val="20"/>
                <w:color w:val="auto"/>
              </w:rPr>
            </w:pPr>
            <w:r>
              <w:rPr>
                <w:rFonts w:ascii="Calibri" w:cs="Calibri" w:eastAsia="Calibri" w:hAnsi="Calibri"/>
                <w:sz w:val="14"/>
                <w:szCs w:val="14"/>
                <w:color w:val="51555C"/>
              </w:rPr>
              <w:t>532,795</w:t>
            </w:r>
          </w:p>
        </w:tc>
        <w:tc>
          <w:tcPr>
            <w:tcW w:w="20" w:type="dxa"/>
            <w:vAlign w:val="bottom"/>
          </w:tcPr>
          <w:p>
            <w:pPr>
              <w:spacing w:after="0"/>
              <w:rPr>
                <w:sz w:val="17"/>
                <w:szCs w:val="17"/>
                <w:color w:val="auto"/>
              </w:rPr>
            </w:pPr>
          </w:p>
        </w:tc>
      </w:tr>
      <w:tr>
        <w:trPr>
          <w:trHeight w:val="332"/>
        </w:trPr>
        <w:tc>
          <w:tcPr>
            <w:tcW w:w="4600" w:type="dxa"/>
            <w:vAlign w:val="bottom"/>
            <w:tcBorders>
              <w:top w:val="single" w:sz="8" w:color="0CD973"/>
            </w:tcBorders>
          </w:tcPr>
          <w:p>
            <w:pPr>
              <w:spacing w:after="0"/>
              <w:rPr>
                <w:sz w:val="20"/>
                <w:szCs w:val="20"/>
                <w:color w:val="auto"/>
              </w:rPr>
            </w:pPr>
            <w:r>
              <w:rPr>
                <w:rFonts w:ascii="Calibri" w:cs="Calibri" w:eastAsia="Calibri" w:hAnsi="Calibri"/>
                <w:sz w:val="14"/>
                <w:szCs w:val="14"/>
                <w:color w:val="51555C"/>
              </w:rPr>
              <w:t>The following table presents our recurring revenue by type:</w:t>
            </w:r>
          </w:p>
        </w:tc>
        <w:tc>
          <w:tcPr>
            <w:tcW w:w="620" w:type="dxa"/>
            <w:vAlign w:val="bottom"/>
            <w:tcBorders>
              <w:top w:val="single" w:sz="8" w:color="0CD973"/>
            </w:tcBorders>
          </w:tcPr>
          <w:p>
            <w:pPr>
              <w:spacing w:after="0"/>
              <w:rPr>
                <w:sz w:val="24"/>
                <w:szCs w:val="24"/>
                <w:color w:val="auto"/>
              </w:rPr>
            </w:pPr>
          </w:p>
        </w:tc>
        <w:tc>
          <w:tcPr>
            <w:tcW w:w="1020" w:type="dxa"/>
            <w:vAlign w:val="bottom"/>
            <w:tcBorders>
              <w:top w:val="single" w:sz="8" w:color="0CD973"/>
            </w:tcBorders>
          </w:tcPr>
          <w:p>
            <w:pPr>
              <w:spacing w:after="0"/>
              <w:rPr>
                <w:sz w:val="24"/>
                <w:szCs w:val="24"/>
                <w:color w:val="auto"/>
              </w:rPr>
            </w:pPr>
          </w:p>
        </w:tc>
        <w:tc>
          <w:tcPr>
            <w:tcW w:w="380" w:type="dxa"/>
            <w:vAlign w:val="bottom"/>
            <w:tcBorders>
              <w:top w:val="single" w:sz="8" w:color="0CD973"/>
            </w:tcBorders>
          </w:tcPr>
          <w:p>
            <w:pPr>
              <w:spacing w:after="0"/>
              <w:rPr>
                <w:sz w:val="24"/>
                <w:szCs w:val="24"/>
                <w:color w:val="auto"/>
              </w:rPr>
            </w:pPr>
          </w:p>
        </w:tc>
        <w:tc>
          <w:tcPr>
            <w:tcW w:w="1280" w:type="dxa"/>
            <w:vAlign w:val="bottom"/>
            <w:tcBorders>
              <w:top w:val="single" w:sz="8" w:color="0CD973"/>
            </w:tcBorders>
          </w:tcPr>
          <w:p>
            <w:pPr>
              <w:spacing w:after="0"/>
              <w:rPr>
                <w:sz w:val="24"/>
                <w:szCs w:val="24"/>
                <w:color w:val="auto"/>
              </w:rPr>
            </w:pPr>
          </w:p>
        </w:tc>
        <w:tc>
          <w:tcPr>
            <w:tcW w:w="100" w:type="dxa"/>
            <w:vAlign w:val="bottom"/>
            <w:tcBorders>
              <w:top w:val="single" w:sz="8" w:color="0CD973"/>
            </w:tcBorders>
          </w:tcPr>
          <w:p>
            <w:pPr>
              <w:spacing w:after="0"/>
              <w:rPr>
                <w:sz w:val="24"/>
                <w:szCs w:val="24"/>
                <w:color w:val="auto"/>
              </w:rPr>
            </w:pPr>
          </w:p>
        </w:tc>
        <w:tc>
          <w:tcPr>
            <w:tcW w:w="600" w:type="dxa"/>
            <w:vAlign w:val="bottom"/>
            <w:tcBorders>
              <w:top w:val="single" w:sz="8" w:color="0CD973"/>
            </w:tcBorders>
          </w:tcPr>
          <w:p>
            <w:pPr>
              <w:spacing w:after="0"/>
              <w:rPr>
                <w:sz w:val="24"/>
                <w:szCs w:val="24"/>
                <w:color w:val="auto"/>
              </w:rPr>
            </w:pPr>
          </w:p>
        </w:tc>
        <w:tc>
          <w:tcPr>
            <w:tcW w:w="1020" w:type="dxa"/>
            <w:vAlign w:val="bottom"/>
            <w:tcBorders>
              <w:top w:val="single" w:sz="8" w:color="0CD973"/>
            </w:tcBorders>
          </w:tcPr>
          <w:p>
            <w:pPr>
              <w:spacing w:after="0"/>
              <w:rPr>
                <w:sz w:val="24"/>
                <w:szCs w:val="24"/>
                <w:color w:val="auto"/>
              </w:rPr>
            </w:pPr>
          </w:p>
        </w:tc>
        <w:tc>
          <w:tcPr>
            <w:tcW w:w="460" w:type="dxa"/>
            <w:vAlign w:val="bottom"/>
            <w:tcBorders>
              <w:top w:val="single" w:sz="8" w:color="0CD973"/>
            </w:tcBorders>
          </w:tcPr>
          <w:p>
            <w:pPr>
              <w:spacing w:after="0"/>
              <w:rPr>
                <w:sz w:val="24"/>
                <w:szCs w:val="24"/>
                <w:color w:val="auto"/>
              </w:rPr>
            </w:pPr>
          </w:p>
        </w:tc>
        <w:tc>
          <w:tcPr>
            <w:tcW w:w="1200" w:type="dxa"/>
            <w:vAlign w:val="bottom"/>
            <w:tcBorders>
              <w:top w:val="single" w:sz="8" w:color="0CD973"/>
            </w:tcBorders>
          </w:tcPr>
          <w:p>
            <w:pPr>
              <w:spacing w:after="0"/>
              <w:rPr>
                <w:sz w:val="24"/>
                <w:szCs w:val="24"/>
                <w:color w:val="auto"/>
              </w:rPr>
            </w:pPr>
          </w:p>
        </w:tc>
        <w:tc>
          <w:tcPr>
            <w:tcW w:w="20" w:type="dxa"/>
            <w:vAlign w:val="bottom"/>
          </w:tcPr>
          <w:p>
            <w:pPr>
              <w:spacing w:after="0"/>
              <w:rPr>
                <w:sz w:val="24"/>
                <w:szCs w:val="24"/>
                <w:color w:val="auto"/>
              </w:rPr>
            </w:pPr>
          </w:p>
        </w:tc>
      </w:tr>
      <w:tr>
        <w:trPr>
          <w:trHeight w:val="83"/>
        </w:trPr>
        <w:tc>
          <w:tcPr>
            <w:tcW w:w="4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45"/>
        </w:trPr>
        <w:tc>
          <w:tcPr>
            <w:tcW w:w="4600" w:type="dxa"/>
            <w:vAlign w:val="bottom"/>
            <w:shd w:val="clear" w:color="auto" w:fill="004054"/>
          </w:tcPr>
          <w:p>
            <w:pPr>
              <w:spacing w:after="0"/>
              <w:rPr>
                <w:sz w:val="12"/>
                <w:szCs w:val="12"/>
                <w:color w:val="auto"/>
              </w:rPr>
            </w:pPr>
          </w:p>
        </w:tc>
        <w:tc>
          <w:tcPr>
            <w:tcW w:w="620" w:type="dxa"/>
            <w:vAlign w:val="bottom"/>
            <w:shd w:val="clear" w:color="auto" w:fill="004054"/>
          </w:tcPr>
          <w:p>
            <w:pPr>
              <w:spacing w:after="0"/>
              <w:rPr>
                <w:sz w:val="12"/>
                <w:szCs w:val="12"/>
                <w:color w:val="auto"/>
              </w:rPr>
            </w:pPr>
          </w:p>
        </w:tc>
        <w:tc>
          <w:tcPr>
            <w:tcW w:w="1020" w:type="dxa"/>
            <w:vAlign w:val="bottom"/>
            <w:shd w:val="clear" w:color="auto" w:fill="004054"/>
          </w:tcPr>
          <w:p>
            <w:pPr>
              <w:spacing w:after="0"/>
              <w:rPr>
                <w:sz w:val="12"/>
                <w:szCs w:val="12"/>
                <w:color w:val="auto"/>
              </w:rPr>
            </w:pPr>
          </w:p>
        </w:tc>
        <w:tc>
          <w:tcPr>
            <w:tcW w:w="380" w:type="dxa"/>
            <w:vAlign w:val="bottom"/>
            <w:shd w:val="clear" w:color="auto" w:fill="004054"/>
          </w:tcPr>
          <w:p>
            <w:pPr>
              <w:spacing w:after="0"/>
              <w:rPr>
                <w:sz w:val="12"/>
                <w:szCs w:val="12"/>
                <w:color w:val="auto"/>
              </w:rPr>
            </w:pPr>
          </w:p>
        </w:tc>
        <w:tc>
          <w:tcPr>
            <w:tcW w:w="1280" w:type="dxa"/>
            <w:vAlign w:val="bottom"/>
            <w:tcBorders>
              <w:right w:val="single" w:sz="8" w:color="004054"/>
            </w:tcBorders>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Three months ended</w:t>
            </w:r>
          </w:p>
        </w:tc>
        <w:tc>
          <w:tcPr>
            <w:tcW w:w="100" w:type="dxa"/>
            <w:vAlign w:val="bottom"/>
            <w:tcBorders>
              <w:right w:val="single" w:sz="8" w:color="004054"/>
            </w:tcBorders>
          </w:tcPr>
          <w:p>
            <w:pPr>
              <w:spacing w:after="0"/>
              <w:rPr>
                <w:sz w:val="12"/>
                <w:szCs w:val="12"/>
                <w:color w:val="auto"/>
              </w:rPr>
            </w:pPr>
          </w:p>
        </w:tc>
        <w:tc>
          <w:tcPr>
            <w:tcW w:w="600" w:type="dxa"/>
            <w:vAlign w:val="bottom"/>
            <w:shd w:val="clear" w:color="auto" w:fill="004054"/>
          </w:tcPr>
          <w:p>
            <w:pPr>
              <w:spacing w:after="0"/>
              <w:rPr>
                <w:sz w:val="12"/>
                <w:szCs w:val="12"/>
                <w:color w:val="auto"/>
              </w:rPr>
            </w:pPr>
          </w:p>
        </w:tc>
        <w:tc>
          <w:tcPr>
            <w:tcW w:w="1020" w:type="dxa"/>
            <w:vAlign w:val="bottom"/>
            <w:shd w:val="clear" w:color="auto" w:fill="004054"/>
          </w:tcPr>
          <w:p>
            <w:pPr>
              <w:spacing w:after="0"/>
              <w:rPr>
                <w:sz w:val="12"/>
                <w:szCs w:val="12"/>
                <w:color w:val="auto"/>
              </w:rPr>
            </w:pPr>
          </w:p>
        </w:tc>
        <w:tc>
          <w:tcPr>
            <w:tcW w:w="460" w:type="dxa"/>
            <w:vAlign w:val="bottom"/>
            <w:shd w:val="clear" w:color="auto" w:fill="004054"/>
          </w:tcPr>
          <w:p>
            <w:pPr>
              <w:spacing w:after="0"/>
              <w:rPr>
                <w:sz w:val="12"/>
                <w:szCs w:val="12"/>
                <w:color w:val="auto"/>
              </w:rPr>
            </w:pPr>
          </w:p>
        </w:tc>
        <w:tc>
          <w:tcPr>
            <w:tcW w:w="120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Six months ended</w:t>
            </w:r>
          </w:p>
        </w:tc>
        <w:tc>
          <w:tcPr>
            <w:tcW w:w="20" w:type="dxa"/>
            <w:vAlign w:val="bottom"/>
            <w:shd w:val="clear" w:color="auto" w:fill="004054"/>
          </w:tcPr>
          <w:p>
            <w:pPr>
              <w:spacing w:after="0"/>
              <w:rPr>
                <w:sz w:val="12"/>
                <w:szCs w:val="12"/>
                <w:color w:val="auto"/>
              </w:rPr>
            </w:pPr>
          </w:p>
        </w:tc>
      </w:tr>
      <w:tr>
        <w:trPr>
          <w:trHeight w:val="138"/>
        </w:trPr>
        <w:tc>
          <w:tcPr>
            <w:tcW w:w="4600" w:type="dxa"/>
            <w:vAlign w:val="bottom"/>
            <w:shd w:val="clear" w:color="auto" w:fill="004054"/>
          </w:tcPr>
          <w:p>
            <w:pPr>
              <w:spacing w:after="0"/>
              <w:rPr>
                <w:sz w:val="11"/>
                <w:szCs w:val="11"/>
                <w:color w:val="auto"/>
              </w:rPr>
            </w:pPr>
          </w:p>
        </w:tc>
        <w:tc>
          <w:tcPr>
            <w:tcW w:w="620" w:type="dxa"/>
            <w:vAlign w:val="bottom"/>
            <w:shd w:val="clear" w:color="auto" w:fill="004054"/>
          </w:tcPr>
          <w:p>
            <w:pPr>
              <w:spacing w:after="0"/>
              <w:rPr>
                <w:sz w:val="11"/>
                <w:szCs w:val="11"/>
                <w:color w:val="auto"/>
              </w:rPr>
            </w:pPr>
          </w:p>
        </w:tc>
        <w:tc>
          <w:tcPr>
            <w:tcW w:w="1020" w:type="dxa"/>
            <w:vAlign w:val="bottom"/>
            <w:shd w:val="clear" w:color="auto" w:fill="004054"/>
          </w:tcPr>
          <w:p>
            <w:pPr>
              <w:spacing w:after="0"/>
              <w:rPr>
                <w:sz w:val="11"/>
                <w:szCs w:val="11"/>
                <w:color w:val="auto"/>
              </w:rPr>
            </w:pPr>
          </w:p>
        </w:tc>
        <w:tc>
          <w:tcPr>
            <w:tcW w:w="380" w:type="dxa"/>
            <w:vAlign w:val="bottom"/>
            <w:shd w:val="clear" w:color="auto" w:fill="004054"/>
          </w:tcPr>
          <w:p>
            <w:pPr>
              <w:spacing w:after="0"/>
              <w:rPr>
                <w:sz w:val="11"/>
                <w:szCs w:val="11"/>
                <w:color w:val="auto"/>
              </w:rPr>
            </w:pPr>
          </w:p>
        </w:tc>
        <w:tc>
          <w:tcPr>
            <w:tcW w:w="1280" w:type="dxa"/>
            <w:vAlign w:val="bottom"/>
            <w:tcBorders>
              <w:right w:val="single" w:sz="8" w:color="004054"/>
            </w:tcBorders>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June 30,</w:t>
            </w:r>
          </w:p>
        </w:tc>
        <w:tc>
          <w:tcPr>
            <w:tcW w:w="100" w:type="dxa"/>
            <w:vAlign w:val="bottom"/>
            <w:tcBorders>
              <w:right w:val="single" w:sz="8" w:color="004054"/>
            </w:tcBorders>
          </w:tcPr>
          <w:p>
            <w:pPr>
              <w:spacing w:after="0"/>
              <w:rPr>
                <w:sz w:val="11"/>
                <w:szCs w:val="11"/>
                <w:color w:val="auto"/>
              </w:rPr>
            </w:pPr>
          </w:p>
        </w:tc>
        <w:tc>
          <w:tcPr>
            <w:tcW w:w="600" w:type="dxa"/>
            <w:vAlign w:val="bottom"/>
            <w:shd w:val="clear" w:color="auto" w:fill="004054"/>
          </w:tcPr>
          <w:p>
            <w:pPr>
              <w:spacing w:after="0"/>
              <w:rPr>
                <w:sz w:val="11"/>
                <w:szCs w:val="11"/>
                <w:color w:val="auto"/>
              </w:rPr>
            </w:pPr>
          </w:p>
        </w:tc>
        <w:tc>
          <w:tcPr>
            <w:tcW w:w="1020" w:type="dxa"/>
            <w:vAlign w:val="bottom"/>
            <w:shd w:val="clear" w:color="auto" w:fill="004054"/>
          </w:tcPr>
          <w:p>
            <w:pPr>
              <w:spacing w:after="0"/>
              <w:rPr>
                <w:sz w:val="11"/>
                <w:szCs w:val="11"/>
                <w:color w:val="auto"/>
              </w:rPr>
            </w:pPr>
          </w:p>
        </w:tc>
        <w:tc>
          <w:tcPr>
            <w:tcW w:w="460" w:type="dxa"/>
            <w:vAlign w:val="bottom"/>
            <w:shd w:val="clear" w:color="auto" w:fill="004054"/>
          </w:tcPr>
          <w:p>
            <w:pPr>
              <w:spacing w:after="0"/>
              <w:rPr>
                <w:sz w:val="11"/>
                <w:szCs w:val="11"/>
                <w:color w:val="auto"/>
              </w:rPr>
            </w:pPr>
          </w:p>
        </w:tc>
        <w:tc>
          <w:tcPr>
            <w:tcW w:w="120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June 30,</w:t>
            </w:r>
          </w:p>
        </w:tc>
        <w:tc>
          <w:tcPr>
            <w:tcW w:w="20" w:type="dxa"/>
            <w:vAlign w:val="bottom"/>
            <w:shd w:val="clear" w:color="auto" w:fill="004054"/>
          </w:tcPr>
          <w:p>
            <w:pPr>
              <w:spacing w:after="0"/>
              <w:rPr>
                <w:sz w:val="11"/>
                <w:szCs w:val="11"/>
                <w:color w:val="auto"/>
              </w:rPr>
            </w:pPr>
          </w:p>
        </w:tc>
      </w:tr>
      <w:tr>
        <w:trPr>
          <w:trHeight w:val="191"/>
        </w:trPr>
        <w:tc>
          <w:tcPr>
            <w:tcW w:w="4600" w:type="dxa"/>
            <w:vAlign w:val="bottom"/>
            <w:shd w:val="clear" w:color="auto" w:fill="004054"/>
          </w:tcPr>
          <w:p>
            <w:pPr>
              <w:ind w:left="20"/>
              <w:spacing w:after="0"/>
              <w:rPr>
                <w:sz w:val="20"/>
                <w:szCs w:val="20"/>
                <w:color w:val="auto"/>
              </w:rPr>
            </w:pPr>
            <w:r>
              <w:rPr>
                <w:rFonts w:ascii="Calibri" w:cs="Calibri" w:eastAsia="Calibri" w:hAnsi="Calibri"/>
                <w:sz w:val="11"/>
                <w:szCs w:val="11"/>
                <w:b w:val="1"/>
                <w:bCs w:val="1"/>
                <w:color w:val="FFFFFF"/>
              </w:rPr>
              <w:t>(dollars in thousands)</w:t>
            </w:r>
          </w:p>
        </w:tc>
        <w:tc>
          <w:tcPr>
            <w:tcW w:w="620" w:type="dxa"/>
            <w:vAlign w:val="bottom"/>
            <w:shd w:val="clear" w:color="auto" w:fill="004054"/>
          </w:tcPr>
          <w:p>
            <w:pPr>
              <w:spacing w:after="0"/>
              <w:rPr>
                <w:sz w:val="16"/>
                <w:szCs w:val="16"/>
                <w:color w:val="auto"/>
              </w:rPr>
            </w:pPr>
          </w:p>
        </w:tc>
        <w:tc>
          <w:tcPr>
            <w:tcW w:w="102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2024</w:t>
            </w:r>
          </w:p>
        </w:tc>
        <w:tc>
          <w:tcPr>
            <w:tcW w:w="380" w:type="dxa"/>
            <w:vAlign w:val="bottom"/>
            <w:shd w:val="clear" w:color="auto" w:fill="004054"/>
          </w:tcPr>
          <w:p>
            <w:pPr>
              <w:spacing w:after="0"/>
              <w:rPr>
                <w:sz w:val="16"/>
                <w:szCs w:val="16"/>
                <w:color w:val="auto"/>
              </w:rPr>
            </w:pPr>
          </w:p>
        </w:tc>
        <w:tc>
          <w:tcPr>
            <w:tcW w:w="1280" w:type="dxa"/>
            <w:vAlign w:val="bottom"/>
            <w:tcBorders>
              <w:right w:val="single" w:sz="8" w:color="004054"/>
            </w:tcBorders>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2023</w:t>
            </w:r>
          </w:p>
        </w:tc>
        <w:tc>
          <w:tcPr>
            <w:tcW w:w="100" w:type="dxa"/>
            <w:vAlign w:val="bottom"/>
            <w:tcBorders>
              <w:right w:val="single" w:sz="8" w:color="004054"/>
            </w:tcBorders>
          </w:tcPr>
          <w:p>
            <w:pPr>
              <w:spacing w:after="0"/>
              <w:rPr>
                <w:sz w:val="16"/>
                <w:szCs w:val="16"/>
                <w:color w:val="auto"/>
              </w:rPr>
            </w:pPr>
          </w:p>
        </w:tc>
        <w:tc>
          <w:tcPr>
            <w:tcW w:w="600" w:type="dxa"/>
            <w:vAlign w:val="bottom"/>
            <w:shd w:val="clear" w:color="auto" w:fill="004054"/>
          </w:tcPr>
          <w:p>
            <w:pPr>
              <w:spacing w:after="0"/>
              <w:rPr>
                <w:sz w:val="16"/>
                <w:szCs w:val="16"/>
                <w:color w:val="auto"/>
              </w:rPr>
            </w:pPr>
          </w:p>
        </w:tc>
        <w:tc>
          <w:tcPr>
            <w:tcW w:w="102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2024</w:t>
            </w:r>
          </w:p>
        </w:tc>
        <w:tc>
          <w:tcPr>
            <w:tcW w:w="460" w:type="dxa"/>
            <w:vAlign w:val="bottom"/>
            <w:shd w:val="clear" w:color="auto" w:fill="004054"/>
          </w:tcPr>
          <w:p>
            <w:pPr>
              <w:spacing w:after="0"/>
              <w:rPr>
                <w:sz w:val="16"/>
                <w:szCs w:val="16"/>
                <w:color w:val="auto"/>
              </w:rPr>
            </w:pPr>
          </w:p>
        </w:tc>
        <w:tc>
          <w:tcPr>
            <w:tcW w:w="120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2023</w:t>
            </w:r>
          </w:p>
        </w:tc>
        <w:tc>
          <w:tcPr>
            <w:tcW w:w="20" w:type="dxa"/>
            <w:vAlign w:val="bottom"/>
            <w:shd w:val="clear" w:color="auto" w:fill="004054"/>
          </w:tcPr>
          <w:p>
            <w:pPr>
              <w:spacing w:after="0"/>
              <w:rPr>
                <w:sz w:val="16"/>
                <w:szCs w:val="16"/>
                <w:color w:val="auto"/>
              </w:rPr>
            </w:pPr>
          </w:p>
        </w:tc>
      </w:tr>
      <w:tr>
        <w:trPr>
          <w:trHeight w:val="46"/>
        </w:trPr>
        <w:tc>
          <w:tcPr>
            <w:tcW w:w="4600" w:type="dxa"/>
            <w:vAlign w:val="bottom"/>
            <w:tcBorders>
              <w:bottom w:val="single" w:sz="8" w:color="004054"/>
            </w:tcBorders>
            <w:shd w:val="clear" w:color="auto" w:fill="004054"/>
          </w:tcPr>
          <w:p>
            <w:pPr>
              <w:spacing w:after="0"/>
              <w:rPr>
                <w:sz w:val="4"/>
                <w:szCs w:val="4"/>
                <w:color w:val="auto"/>
              </w:rPr>
            </w:pPr>
          </w:p>
        </w:tc>
        <w:tc>
          <w:tcPr>
            <w:tcW w:w="620" w:type="dxa"/>
            <w:vAlign w:val="bottom"/>
            <w:tcBorders>
              <w:bottom w:val="single" w:sz="8" w:color="004054"/>
            </w:tcBorders>
            <w:shd w:val="clear" w:color="auto" w:fill="004054"/>
          </w:tcPr>
          <w:p>
            <w:pPr>
              <w:spacing w:after="0"/>
              <w:rPr>
                <w:sz w:val="4"/>
                <w:szCs w:val="4"/>
                <w:color w:val="auto"/>
              </w:rPr>
            </w:pPr>
          </w:p>
        </w:tc>
        <w:tc>
          <w:tcPr>
            <w:tcW w:w="1020" w:type="dxa"/>
            <w:vAlign w:val="bottom"/>
            <w:tcBorders>
              <w:bottom w:val="single" w:sz="8" w:color="004054"/>
            </w:tcBorders>
            <w:shd w:val="clear" w:color="auto" w:fill="004054"/>
          </w:tcPr>
          <w:p>
            <w:pPr>
              <w:spacing w:after="0"/>
              <w:rPr>
                <w:sz w:val="4"/>
                <w:szCs w:val="4"/>
                <w:color w:val="auto"/>
              </w:rPr>
            </w:pPr>
          </w:p>
        </w:tc>
        <w:tc>
          <w:tcPr>
            <w:tcW w:w="380" w:type="dxa"/>
            <w:vAlign w:val="bottom"/>
            <w:tcBorders>
              <w:bottom w:val="single" w:sz="8" w:color="004054"/>
            </w:tcBorders>
            <w:shd w:val="clear" w:color="auto" w:fill="004054"/>
          </w:tcPr>
          <w:p>
            <w:pPr>
              <w:spacing w:after="0"/>
              <w:rPr>
                <w:sz w:val="4"/>
                <w:szCs w:val="4"/>
                <w:color w:val="auto"/>
              </w:rPr>
            </w:pPr>
          </w:p>
        </w:tc>
        <w:tc>
          <w:tcPr>
            <w:tcW w:w="1280" w:type="dxa"/>
            <w:vAlign w:val="bottom"/>
            <w:tcBorders>
              <w:bottom w:val="single" w:sz="8" w:color="004054"/>
              <w:right w:val="single" w:sz="8" w:color="004054"/>
            </w:tcBorders>
            <w:shd w:val="clear" w:color="auto" w:fill="004054"/>
          </w:tcPr>
          <w:p>
            <w:pPr>
              <w:spacing w:after="0"/>
              <w:rPr>
                <w:sz w:val="4"/>
                <w:szCs w:val="4"/>
                <w:color w:val="auto"/>
              </w:rPr>
            </w:pPr>
          </w:p>
        </w:tc>
        <w:tc>
          <w:tcPr>
            <w:tcW w:w="100" w:type="dxa"/>
            <w:vAlign w:val="bottom"/>
            <w:tcBorders>
              <w:bottom w:val="single" w:sz="8" w:color="EBFBFF"/>
              <w:right w:val="single" w:sz="8" w:color="004054"/>
            </w:tcBorders>
          </w:tcPr>
          <w:p>
            <w:pPr>
              <w:spacing w:after="0"/>
              <w:rPr>
                <w:sz w:val="4"/>
                <w:szCs w:val="4"/>
                <w:color w:val="auto"/>
              </w:rPr>
            </w:pPr>
          </w:p>
        </w:tc>
        <w:tc>
          <w:tcPr>
            <w:tcW w:w="600" w:type="dxa"/>
            <w:vAlign w:val="bottom"/>
            <w:tcBorders>
              <w:bottom w:val="single" w:sz="8" w:color="004054"/>
            </w:tcBorders>
            <w:shd w:val="clear" w:color="auto" w:fill="004054"/>
          </w:tcPr>
          <w:p>
            <w:pPr>
              <w:spacing w:after="0"/>
              <w:rPr>
                <w:sz w:val="4"/>
                <w:szCs w:val="4"/>
                <w:color w:val="auto"/>
              </w:rPr>
            </w:pPr>
          </w:p>
        </w:tc>
        <w:tc>
          <w:tcPr>
            <w:tcW w:w="1020" w:type="dxa"/>
            <w:vAlign w:val="bottom"/>
            <w:tcBorders>
              <w:bottom w:val="single" w:sz="8" w:color="004054"/>
            </w:tcBorders>
            <w:shd w:val="clear" w:color="auto" w:fill="004054"/>
          </w:tcPr>
          <w:p>
            <w:pPr>
              <w:spacing w:after="0"/>
              <w:rPr>
                <w:sz w:val="4"/>
                <w:szCs w:val="4"/>
                <w:color w:val="auto"/>
              </w:rPr>
            </w:pPr>
          </w:p>
        </w:tc>
        <w:tc>
          <w:tcPr>
            <w:tcW w:w="460" w:type="dxa"/>
            <w:vAlign w:val="bottom"/>
            <w:tcBorders>
              <w:bottom w:val="single" w:sz="8" w:color="004054"/>
            </w:tcBorders>
            <w:shd w:val="clear" w:color="auto" w:fill="004054"/>
          </w:tcPr>
          <w:p>
            <w:pPr>
              <w:spacing w:after="0"/>
              <w:rPr>
                <w:sz w:val="4"/>
                <w:szCs w:val="4"/>
                <w:color w:val="auto"/>
              </w:rPr>
            </w:pPr>
          </w:p>
        </w:tc>
        <w:tc>
          <w:tcPr>
            <w:tcW w:w="1200" w:type="dxa"/>
            <w:vAlign w:val="bottom"/>
            <w:tcBorders>
              <w:bottom w:val="single" w:sz="8" w:color="004054"/>
            </w:tcBorders>
            <w:shd w:val="clear" w:color="auto" w:fill="004054"/>
          </w:tcPr>
          <w:p>
            <w:pPr>
              <w:spacing w:after="0"/>
              <w:rPr>
                <w:sz w:val="4"/>
                <w:szCs w:val="4"/>
                <w:color w:val="auto"/>
              </w:rPr>
            </w:pPr>
          </w:p>
        </w:tc>
        <w:tc>
          <w:tcPr>
            <w:tcW w:w="20" w:type="dxa"/>
            <w:vAlign w:val="bottom"/>
            <w:tcBorders>
              <w:bottom w:val="single" w:sz="8" w:color="004054"/>
            </w:tcBorders>
            <w:shd w:val="clear" w:color="auto" w:fill="004054"/>
          </w:tcPr>
          <w:p>
            <w:pPr>
              <w:spacing w:after="0"/>
              <w:rPr>
                <w:sz w:val="4"/>
                <w:szCs w:val="4"/>
                <w:color w:val="auto"/>
              </w:rPr>
            </w:pPr>
          </w:p>
        </w:tc>
      </w:tr>
      <w:tr>
        <w:trPr>
          <w:trHeight w:val="183"/>
        </w:trPr>
        <w:tc>
          <w:tcPr>
            <w:tcW w:w="4600" w:type="dxa"/>
            <w:vAlign w:val="bottom"/>
            <w:tcBorders>
              <w:bottom w:val="single" w:sz="8" w:color="EBFBFF"/>
            </w:tcBorders>
            <w:shd w:val="clear" w:color="auto" w:fill="EBFBFF"/>
          </w:tcPr>
          <w:p>
            <w:pPr>
              <w:ind w:left="20"/>
              <w:spacing w:after="0" w:line="163" w:lineRule="exact"/>
              <w:rPr>
                <w:sz w:val="20"/>
                <w:szCs w:val="20"/>
                <w:color w:val="auto"/>
              </w:rPr>
            </w:pPr>
            <w:r>
              <w:rPr>
                <w:rFonts w:ascii="Calibri" w:cs="Calibri" w:eastAsia="Calibri" w:hAnsi="Calibri"/>
                <w:sz w:val="14"/>
                <w:szCs w:val="14"/>
                <w:color w:val="51555C"/>
              </w:rPr>
              <w:t>Contractual recurring</w:t>
            </w:r>
          </w:p>
        </w:tc>
        <w:tc>
          <w:tcPr>
            <w:tcW w:w="620" w:type="dxa"/>
            <w:vAlign w:val="bottom"/>
            <w:tcBorders>
              <w:bottom w:val="single" w:sz="8" w:color="EBFBFF"/>
            </w:tcBorders>
            <w:shd w:val="clear" w:color="auto" w:fill="EBFBFF"/>
          </w:tcPr>
          <w:p>
            <w:pPr>
              <w:jc w:val="right"/>
              <w:ind w:right="469"/>
              <w:spacing w:after="0" w:line="163" w:lineRule="exact"/>
              <w:rPr>
                <w:sz w:val="20"/>
                <w:szCs w:val="20"/>
                <w:color w:val="auto"/>
              </w:rPr>
            </w:pPr>
            <w:r>
              <w:rPr>
                <w:rFonts w:ascii="Calibri" w:cs="Calibri" w:eastAsia="Calibri" w:hAnsi="Calibri"/>
                <w:sz w:val="14"/>
                <w:szCs w:val="14"/>
                <w:color w:val="51555C"/>
                <w:w w:val="83"/>
              </w:rPr>
              <w:t>$</w:t>
            </w:r>
          </w:p>
        </w:tc>
        <w:tc>
          <w:tcPr>
            <w:tcW w:w="1020" w:type="dxa"/>
            <w:vAlign w:val="bottom"/>
            <w:tcBorders>
              <w:bottom w:val="single" w:sz="8" w:color="EBFBFF"/>
            </w:tcBorders>
            <w:shd w:val="clear" w:color="auto" w:fill="EBFBFF"/>
          </w:tcPr>
          <w:p>
            <w:pPr>
              <w:jc w:val="right"/>
              <w:spacing w:after="0" w:line="163" w:lineRule="exact"/>
              <w:rPr>
                <w:sz w:val="20"/>
                <w:szCs w:val="20"/>
                <w:color w:val="auto"/>
              </w:rPr>
            </w:pPr>
            <w:r>
              <w:rPr>
                <w:rFonts w:ascii="Calibri" w:cs="Calibri" w:eastAsia="Calibri" w:hAnsi="Calibri"/>
                <w:sz w:val="14"/>
                <w:szCs w:val="14"/>
                <w:color w:val="51555C"/>
              </w:rPr>
              <w:t>193,542</w:t>
            </w:r>
          </w:p>
        </w:tc>
        <w:tc>
          <w:tcPr>
            <w:tcW w:w="380" w:type="dxa"/>
            <w:vAlign w:val="bottom"/>
            <w:tcBorders>
              <w:bottom w:val="single" w:sz="8" w:color="EBFBFF"/>
            </w:tcBorders>
            <w:shd w:val="clear" w:color="auto" w:fill="EBFBFF"/>
          </w:tcPr>
          <w:p>
            <w:pPr>
              <w:jc w:val="right"/>
              <w:ind w:right="229"/>
              <w:spacing w:after="0" w:line="163" w:lineRule="exact"/>
              <w:rPr>
                <w:sz w:val="20"/>
                <w:szCs w:val="20"/>
                <w:color w:val="auto"/>
              </w:rPr>
            </w:pPr>
            <w:r>
              <w:rPr>
                <w:rFonts w:ascii="Calibri" w:cs="Calibri" w:eastAsia="Calibri" w:hAnsi="Calibri"/>
                <w:sz w:val="14"/>
                <w:szCs w:val="14"/>
                <w:color w:val="51555C"/>
                <w:w w:val="83"/>
              </w:rPr>
              <w:t>$</w:t>
            </w:r>
          </w:p>
        </w:tc>
        <w:tc>
          <w:tcPr>
            <w:tcW w:w="1280" w:type="dxa"/>
            <w:vAlign w:val="bottom"/>
            <w:tcBorders>
              <w:bottom w:val="single" w:sz="8" w:color="EBFBFF"/>
              <w:right w:val="single" w:sz="8" w:color="EBFBFF"/>
            </w:tcBorders>
            <w:shd w:val="clear" w:color="auto" w:fill="EBFBFF"/>
          </w:tcPr>
          <w:p>
            <w:pPr>
              <w:jc w:val="right"/>
              <w:spacing w:after="0" w:line="163" w:lineRule="exact"/>
              <w:rPr>
                <w:sz w:val="20"/>
                <w:szCs w:val="20"/>
                <w:color w:val="auto"/>
              </w:rPr>
            </w:pPr>
            <w:r>
              <w:rPr>
                <w:rFonts w:ascii="Calibri" w:cs="Calibri" w:eastAsia="Calibri" w:hAnsi="Calibri"/>
                <w:sz w:val="14"/>
                <w:szCs w:val="14"/>
                <w:color w:val="51555C"/>
              </w:rPr>
              <w:t>181,235</w:t>
            </w:r>
          </w:p>
        </w:tc>
        <w:tc>
          <w:tcPr>
            <w:tcW w:w="700" w:type="dxa"/>
            <w:vAlign w:val="bottom"/>
            <w:tcBorders>
              <w:bottom w:val="single" w:sz="8" w:color="EBFBFF"/>
            </w:tcBorders>
            <w:gridSpan w:val="2"/>
            <w:shd w:val="clear" w:color="auto" w:fill="EBFBFF"/>
          </w:tcPr>
          <w:p>
            <w:pPr>
              <w:jc w:val="right"/>
              <w:ind w:right="540"/>
              <w:spacing w:after="0" w:line="163" w:lineRule="exact"/>
              <w:rPr>
                <w:sz w:val="20"/>
                <w:szCs w:val="20"/>
                <w:color w:val="auto"/>
              </w:rPr>
            </w:pPr>
            <w:r>
              <w:rPr>
                <w:rFonts w:ascii="Calibri" w:cs="Calibri" w:eastAsia="Calibri" w:hAnsi="Calibri"/>
                <w:sz w:val="14"/>
                <w:szCs w:val="14"/>
                <w:color w:val="51555C"/>
              </w:rPr>
              <w:t>$</w:t>
            </w:r>
          </w:p>
        </w:tc>
        <w:tc>
          <w:tcPr>
            <w:tcW w:w="1020" w:type="dxa"/>
            <w:vAlign w:val="bottom"/>
            <w:tcBorders>
              <w:bottom w:val="single" w:sz="8" w:color="EBFBFF"/>
            </w:tcBorders>
            <w:shd w:val="clear" w:color="auto" w:fill="EBFBFF"/>
          </w:tcPr>
          <w:p>
            <w:pPr>
              <w:jc w:val="right"/>
              <w:spacing w:after="0" w:line="163" w:lineRule="exact"/>
              <w:rPr>
                <w:sz w:val="20"/>
                <w:szCs w:val="20"/>
                <w:color w:val="auto"/>
              </w:rPr>
            </w:pPr>
            <w:r>
              <w:rPr>
                <w:rFonts w:ascii="Calibri" w:cs="Calibri" w:eastAsia="Calibri" w:hAnsi="Calibri"/>
                <w:sz w:val="14"/>
                <w:szCs w:val="14"/>
                <w:color w:val="51555C"/>
              </w:rPr>
              <w:t>384,397</w:t>
            </w:r>
          </w:p>
        </w:tc>
        <w:tc>
          <w:tcPr>
            <w:tcW w:w="460" w:type="dxa"/>
            <w:vAlign w:val="bottom"/>
            <w:tcBorders>
              <w:bottom w:val="single" w:sz="8" w:color="EBFBFF"/>
            </w:tcBorders>
            <w:shd w:val="clear" w:color="auto" w:fill="EBFBFF"/>
          </w:tcPr>
          <w:p>
            <w:pPr>
              <w:jc w:val="right"/>
              <w:ind w:right="289"/>
              <w:spacing w:after="0" w:line="163" w:lineRule="exact"/>
              <w:rPr>
                <w:sz w:val="20"/>
                <w:szCs w:val="20"/>
                <w:color w:val="auto"/>
              </w:rPr>
            </w:pPr>
            <w:r>
              <w:rPr>
                <w:rFonts w:ascii="Calibri" w:cs="Calibri" w:eastAsia="Calibri" w:hAnsi="Calibri"/>
                <w:sz w:val="14"/>
                <w:szCs w:val="14"/>
                <w:color w:val="51555C"/>
              </w:rPr>
              <w:t>$</w:t>
            </w:r>
          </w:p>
        </w:tc>
        <w:tc>
          <w:tcPr>
            <w:tcW w:w="1200" w:type="dxa"/>
            <w:vAlign w:val="bottom"/>
            <w:tcBorders>
              <w:bottom w:val="single" w:sz="8" w:color="EBFBFF"/>
            </w:tcBorders>
            <w:shd w:val="clear" w:color="auto" w:fill="EBFBFF"/>
          </w:tcPr>
          <w:p>
            <w:pPr>
              <w:jc w:val="right"/>
              <w:spacing w:after="0" w:line="163" w:lineRule="exact"/>
              <w:rPr>
                <w:sz w:val="20"/>
                <w:szCs w:val="20"/>
                <w:color w:val="auto"/>
              </w:rPr>
            </w:pPr>
            <w:r>
              <w:rPr>
                <w:rFonts w:ascii="Calibri" w:cs="Calibri" w:eastAsia="Calibri" w:hAnsi="Calibri"/>
                <w:sz w:val="14"/>
                <w:szCs w:val="14"/>
                <w:color w:val="51555C"/>
              </w:rPr>
              <w:t>358,838</w:t>
            </w:r>
          </w:p>
        </w:tc>
        <w:tc>
          <w:tcPr>
            <w:tcW w:w="20" w:type="dxa"/>
            <w:vAlign w:val="bottom"/>
          </w:tcPr>
          <w:p>
            <w:pPr>
              <w:spacing w:after="0"/>
              <w:rPr>
                <w:sz w:val="15"/>
                <w:szCs w:val="15"/>
                <w:color w:val="auto"/>
              </w:rPr>
            </w:pPr>
          </w:p>
        </w:tc>
      </w:tr>
      <w:tr>
        <w:trPr>
          <w:trHeight w:val="172"/>
        </w:trPr>
        <w:tc>
          <w:tcPr>
            <w:tcW w:w="4600" w:type="dxa"/>
            <w:vAlign w:val="bottom"/>
          </w:tcPr>
          <w:p>
            <w:pPr>
              <w:ind w:left="20"/>
              <w:spacing w:after="0"/>
              <w:rPr>
                <w:sz w:val="20"/>
                <w:szCs w:val="20"/>
                <w:color w:val="auto"/>
              </w:rPr>
            </w:pPr>
            <w:r>
              <w:rPr>
                <w:rFonts w:ascii="Calibri" w:cs="Calibri" w:eastAsia="Calibri" w:hAnsi="Calibri"/>
                <w:sz w:val="14"/>
                <w:szCs w:val="14"/>
                <w:color w:val="51555C"/>
              </w:rPr>
              <w:t>Transactonal recurring</w:t>
            </w:r>
          </w:p>
        </w:tc>
        <w:tc>
          <w:tcPr>
            <w:tcW w:w="6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alibri" w:cs="Calibri" w:eastAsia="Calibri" w:hAnsi="Calibri"/>
                <w:sz w:val="14"/>
                <w:szCs w:val="14"/>
                <w:color w:val="51555C"/>
              </w:rPr>
              <w:t>87,834</w:t>
            </w:r>
          </w:p>
        </w:tc>
        <w:tc>
          <w:tcPr>
            <w:tcW w:w="3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alibri" w:cs="Calibri" w:eastAsia="Calibri" w:hAnsi="Calibri"/>
                <w:sz w:val="14"/>
                <w:szCs w:val="14"/>
                <w:color w:val="51555C"/>
              </w:rPr>
              <w:t>81,155</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alibri" w:cs="Calibri" w:eastAsia="Calibri" w:hAnsi="Calibri"/>
                <w:sz w:val="14"/>
                <w:szCs w:val="14"/>
                <w:color w:val="51555C"/>
              </w:rPr>
              <w:t>168,497</w:t>
            </w:r>
          </w:p>
        </w:tc>
        <w:tc>
          <w:tcPr>
            <w:tcW w:w="4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alibri" w:cs="Calibri" w:eastAsia="Calibri" w:hAnsi="Calibri"/>
                <w:sz w:val="14"/>
                <w:szCs w:val="14"/>
                <w:color w:val="51555C"/>
              </w:rPr>
              <w:t>156,300</w:t>
            </w:r>
          </w:p>
        </w:tc>
        <w:tc>
          <w:tcPr>
            <w:tcW w:w="20" w:type="dxa"/>
            <w:vAlign w:val="bottom"/>
          </w:tcPr>
          <w:p>
            <w:pPr>
              <w:spacing w:after="0"/>
              <w:rPr>
                <w:sz w:val="14"/>
                <w:szCs w:val="14"/>
                <w:color w:val="auto"/>
              </w:rPr>
            </w:pPr>
          </w:p>
        </w:tc>
      </w:tr>
      <w:tr>
        <w:trPr>
          <w:trHeight w:val="40"/>
        </w:trPr>
        <w:tc>
          <w:tcPr>
            <w:tcW w:w="4600" w:type="dxa"/>
            <w:vAlign w:val="bottom"/>
            <w:tcBorders>
              <w:bottom w:val="single" w:sz="8" w:color="EBFBFF"/>
            </w:tcBorders>
          </w:tcPr>
          <w:p>
            <w:pPr>
              <w:spacing w:after="0"/>
              <w:rPr>
                <w:sz w:val="3"/>
                <w:szCs w:val="3"/>
                <w:color w:val="auto"/>
              </w:rPr>
            </w:pPr>
          </w:p>
        </w:tc>
        <w:tc>
          <w:tcPr>
            <w:tcW w:w="620" w:type="dxa"/>
            <w:vAlign w:val="bottom"/>
            <w:tcBorders>
              <w:bottom w:val="single" w:sz="8" w:color="51555C"/>
            </w:tcBorders>
          </w:tcPr>
          <w:p>
            <w:pPr>
              <w:spacing w:after="0"/>
              <w:rPr>
                <w:sz w:val="3"/>
                <w:szCs w:val="3"/>
                <w:color w:val="auto"/>
              </w:rPr>
            </w:pPr>
          </w:p>
        </w:tc>
        <w:tc>
          <w:tcPr>
            <w:tcW w:w="1020" w:type="dxa"/>
            <w:vAlign w:val="bottom"/>
            <w:tcBorders>
              <w:bottom w:val="single" w:sz="8" w:color="51555C"/>
            </w:tcBorders>
          </w:tcPr>
          <w:p>
            <w:pPr>
              <w:spacing w:after="0"/>
              <w:rPr>
                <w:sz w:val="3"/>
                <w:szCs w:val="3"/>
                <w:color w:val="auto"/>
              </w:rPr>
            </w:pPr>
          </w:p>
        </w:tc>
        <w:tc>
          <w:tcPr>
            <w:tcW w:w="380" w:type="dxa"/>
            <w:vAlign w:val="bottom"/>
            <w:tcBorders>
              <w:bottom w:val="single" w:sz="8" w:color="51555C"/>
            </w:tcBorders>
          </w:tcPr>
          <w:p>
            <w:pPr>
              <w:spacing w:after="0"/>
              <w:rPr>
                <w:sz w:val="3"/>
                <w:szCs w:val="3"/>
                <w:color w:val="auto"/>
              </w:rPr>
            </w:pPr>
          </w:p>
        </w:tc>
        <w:tc>
          <w:tcPr>
            <w:tcW w:w="1280" w:type="dxa"/>
            <w:vAlign w:val="bottom"/>
            <w:tcBorders>
              <w:bottom w:val="single" w:sz="8" w:color="51555C"/>
            </w:tcBorders>
          </w:tcPr>
          <w:p>
            <w:pPr>
              <w:spacing w:after="0"/>
              <w:rPr>
                <w:sz w:val="3"/>
                <w:szCs w:val="3"/>
                <w:color w:val="auto"/>
              </w:rPr>
            </w:pPr>
          </w:p>
        </w:tc>
        <w:tc>
          <w:tcPr>
            <w:tcW w:w="100" w:type="dxa"/>
            <w:vAlign w:val="bottom"/>
            <w:tcBorders>
              <w:bottom w:val="single" w:sz="8" w:color="EBFBFF"/>
            </w:tcBorders>
          </w:tcPr>
          <w:p>
            <w:pPr>
              <w:spacing w:after="0"/>
              <w:rPr>
                <w:sz w:val="3"/>
                <w:szCs w:val="3"/>
                <w:color w:val="auto"/>
              </w:rPr>
            </w:pPr>
          </w:p>
        </w:tc>
        <w:tc>
          <w:tcPr>
            <w:tcW w:w="600" w:type="dxa"/>
            <w:vAlign w:val="bottom"/>
            <w:tcBorders>
              <w:bottom w:val="single" w:sz="8" w:color="51555C"/>
            </w:tcBorders>
          </w:tcPr>
          <w:p>
            <w:pPr>
              <w:spacing w:after="0"/>
              <w:rPr>
                <w:sz w:val="3"/>
                <w:szCs w:val="3"/>
                <w:color w:val="auto"/>
              </w:rPr>
            </w:pPr>
          </w:p>
        </w:tc>
        <w:tc>
          <w:tcPr>
            <w:tcW w:w="1020" w:type="dxa"/>
            <w:vAlign w:val="bottom"/>
            <w:tcBorders>
              <w:bottom w:val="single" w:sz="8" w:color="51555C"/>
            </w:tcBorders>
          </w:tcPr>
          <w:p>
            <w:pPr>
              <w:spacing w:after="0"/>
              <w:rPr>
                <w:sz w:val="3"/>
                <w:szCs w:val="3"/>
                <w:color w:val="auto"/>
              </w:rPr>
            </w:pPr>
          </w:p>
        </w:tc>
        <w:tc>
          <w:tcPr>
            <w:tcW w:w="460" w:type="dxa"/>
            <w:vAlign w:val="bottom"/>
            <w:tcBorders>
              <w:bottom w:val="single" w:sz="8" w:color="51555C"/>
            </w:tcBorders>
          </w:tcPr>
          <w:p>
            <w:pPr>
              <w:spacing w:after="0"/>
              <w:rPr>
                <w:sz w:val="3"/>
                <w:szCs w:val="3"/>
                <w:color w:val="auto"/>
              </w:rPr>
            </w:pPr>
          </w:p>
        </w:tc>
        <w:tc>
          <w:tcPr>
            <w:tcW w:w="1200" w:type="dxa"/>
            <w:vAlign w:val="bottom"/>
            <w:tcBorders>
              <w:bottom w:val="single" w:sz="8" w:color="51555C"/>
            </w:tcBorders>
          </w:tcPr>
          <w:p>
            <w:pPr>
              <w:spacing w:after="0"/>
              <w:rPr>
                <w:sz w:val="3"/>
                <w:szCs w:val="3"/>
                <w:color w:val="auto"/>
              </w:rPr>
            </w:pPr>
          </w:p>
        </w:tc>
        <w:tc>
          <w:tcPr>
            <w:tcW w:w="20" w:type="dxa"/>
            <w:vAlign w:val="bottom"/>
          </w:tcPr>
          <w:p>
            <w:pPr>
              <w:spacing w:after="0"/>
              <w:rPr>
                <w:sz w:val="3"/>
                <w:szCs w:val="3"/>
                <w:color w:val="auto"/>
              </w:rPr>
            </w:pPr>
          </w:p>
        </w:tc>
      </w:tr>
      <w:tr>
        <w:trPr>
          <w:trHeight w:val="183"/>
        </w:trPr>
        <w:tc>
          <w:tcPr>
            <w:tcW w:w="4600" w:type="dxa"/>
            <w:vAlign w:val="bottom"/>
            <w:tcBorders>
              <w:bottom w:val="single" w:sz="8" w:color="EBFBFF"/>
            </w:tcBorders>
            <w:shd w:val="clear" w:color="auto" w:fill="EBFBFF"/>
          </w:tcPr>
          <w:p>
            <w:pPr>
              <w:ind w:left="100"/>
              <w:spacing w:after="0" w:line="152" w:lineRule="exact"/>
              <w:rPr>
                <w:sz w:val="20"/>
                <w:szCs w:val="20"/>
                <w:color w:val="auto"/>
              </w:rPr>
            </w:pPr>
            <w:r>
              <w:rPr>
                <w:rFonts w:ascii="Calibri" w:cs="Calibri" w:eastAsia="Calibri" w:hAnsi="Calibri"/>
                <w:sz w:val="14"/>
                <w:szCs w:val="14"/>
                <w:color w:val="51555C"/>
              </w:rPr>
              <w:t>Total recurring revenue</w:t>
            </w:r>
          </w:p>
        </w:tc>
        <w:tc>
          <w:tcPr>
            <w:tcW w:w="620" w:type="dxa"/>
            <w:vAlign w:val="bottom"/>
            <w:tcBorders>
              <w:bottom w:val="single" w:sz="8" w:color="EBFBFF"/>
            </w:tcBorders>
            <w:shd w:val="clear" w:color="auto" w:fill="EBFBFF"/>
          </w:tcPr>
          <w:p>
            <w:pPr>
              <w:jc w:val="right"/>
              <w:ind w:right="469"/>
              <w:spacing w:after="0" w:line="163" w:lineRule="exact"/>
              <w:rPr>
                <w:sz w:val="20"/>
                <w:szCs w:val="20"/>
                <w:color w:val="auto"/>
              </w:rPr>
            </w:pPr>
            <w:r>
              <w:rPr>
                <w:rFonts w:ascii="Calibri" w:cs="Calibri" w:eastAsia="Calibri" w:hAnsi="Calibri"/>
                <w:sz w:val="14"/>
                <w:szCs w:val="14"/>
                <w:color w:val="51555C"/>
                <w:w w:val="83"/>
              </w:rPr>
              <w:t>$</w:t>
            </w:r>
          </w:p>
        </w:tc>
        <w:tc>
          <w:tcPr>
            <w:tcW w:w="1020" w:type="dxa"/>
            <w:vAlign w:val="bottom"/>
            <w:tcBorders>
              <w:bottom w:val="single" w:sz="8" w:color="EBFBFF"/>
            </w:tcBorders>
            <w:shd w:val="clear" w:color="auto" w:fill="EBFBFF"/>
          </w:tcPr>
          <w:p>
            <w:pPr>
              <w:jc w:val="right"/>
              <w:spacing w:after="0" w:line="163" w:lineRule="exact"/>
              <w:rPr>
                <w:sz w:val="20"/>
                <w:szCs w:val="20"/>
                <w:color w:val="auto"/>
              </w:rPr>
            </w:pPr>
            <w:r>
              <w:rPr>
                <w:rFonts w:ascii="Calibri" w:cs="Calibri" w:eastAsia="Calibri" w:hAnsi="Calibri"/>
                <w:sz w:val="14"/>
                <w:szCs w:val="14"/>
                <w:color w:val="51555C"/>
              </w:rPr>
              <w:t>281,376</w:t>
            </w:r>
          </w:p>
        </w:tc>
        <w:tc>
          <w:tcPr>
            <w:tcW w:w="380" w:type="dxa"/>
            <w:vAlign w:val="bottom"/>
            <w:tcBorders>
              <w:bottom w:val="single" w:sz="8" w:color="EBFBFF"/>
            </w:tcBorders>
            <w:shd w:val="clear" w:color="auto" w:fill="EBFBFF"/>
          </w:tcPr>
          <w:p>
            <w:pPr>
              <w:jc w:val="right"/>
              <w:ind w:right="229"/>
              <w:spacing w:after="0" w:line="163" w:lineRule="exact"/>
              <w:rPr>
                <w:sz w:val="20"/>
                <w:szCs w:val="20"/>
                <w:color w:val="auto"/>
              </w:rPr>
            </w:pPr>
            <w:r>
              <w:rPr>
                <w:rFonts w:ascii="Calibri" w:cs="Calibri" w:eastAsia="Calibri" w:hAnsi="Calibri"/>
                <w:sz w:val="14"/>
                <w:szCs w:val="14"/>
                <w:color w:val="51555C"/>
                <w:w w:val="83"/>
              </w:rPr>
              <w:t>$</w:t>
            </w:r>
          </w:p>
        </w:tc>
        <w:tc>
          <w:tcPr>
            <w:tcW w:w="1280" w:type="dxa"/>
            <w:vAlign w:val="bottom"/>
            <w:tcBorders>
              <w:bottom w:val="single" w:sz="8" w:color="EBFBFF"/>
              <w:right w:val="single" w:sz="8" w:color="EBFBFF"/>
            </w:tcBorders>
            <w:shd w:val="clear" w:color="auto" w:fill="EBFBFF"/>
          </w:tcPr>
          <w:p>
            <w:pPr>
              <w:jc w:val="right"/>
              <w:spacing w:after="0" w:line="163" w:lineRule="exact"/>
              <w:rPr>
                <w:sz w:val="20"/>
                <w:szCs w:val="20"/>
                <w:color w:val="auto"/>
              </w:rPr>
            </w:pPr>
            <w:r>
              <w:rPr>
                <w:rFonts w:ascii="Calibri" w:cs="Calibri" w:eastAsia="Calibri" w:hAnsi="Calibri"/>
                <w:sz w:val="14"/>
                <w:szCs w:val="14"/>
                <w:color w:val="51555C"/>
              </w:rPr>
              <w:t>262,390</w:t>
            </w:r>
          </w:p>
        </w:tc>
        <w:tc>
          <w:tcPr>
            <w:tcW w:w="700" w:type="dxa"/>
            <w:vAlign w:val="bottom"/>
            <w:tcBorders>
              <w:bottom w:val="single" w:sz="8" w:color="EBFBFF"/>
            </w:tcBorders>
            <w:gridSpan w:val="2"/>
            <w:shd w:val="clear" w:color="auto" w:fill="EBFBFF"/>
          </w:tcPr>
          <w:p>
            <w:pPr>
              <w:jc w:val="right"/>
              <w:ind w:right="540"/>
              <w:spacing w:after="0" w:line="163" w:lineRule="exact"/>
              <w:rPr>
                <w:sz w:val="20"/>
                <w:szCs w:val="20"/>
                <w:color w:val="auto"/>
              </w:rPr>
            </w:pPr>
            <w:r>
              <w:rPr>
                <w:rFonts w:ascii="Calibri" w:cs="Calibri" w:eastAsia="Calibri" w:hAnsi="Calibri"/>
                <w:sz w:val="14"/>
                <w:szCs w:val="14"/>
                <w:color w:val="51555C"/>
              </w:rPr>
              <w:t>$</w:t>
            </w:r>
          </w:p>
        </w:tc>
        <w:tc>
          <w:tcPr>
            <w:tcW w:w="1020" w:type="dxa"/>
            <w:vAlign w:val="bottom"/>
            <w:tcBorders>
              <w:bottom w:val="single" w:sz="8" w:color="EBFBFF"/>
            </w:tcBorders>
            <w:shd w:val="clear" w:color="auto" w:fill="EBFBFF"/>
          </w:tcPr>
          <w:p>
            <w:pPr>
              <w:jc w:val="right"/>
              <w:spacing w:after="0" w:line="163" w:lineRule="exact"/>
              <w:rPr>
                <w:sz w:val="20"/>
                <w:szCs w:val="20"/>
                <w:color w:val="auto"/>
              </w:rPr>
            </w:pPr>
            <w:r>
              <w:rPr>
                <w:rFonts w:ascii="Calibri" w:cs="Calibri" w:eastAsia="Calibri" w:hAnsi="Calibri"/>
                <w:sz w:val="14"/>
                <w:szCs w:val="14"/>
                <w:color w:val="51555C"/>
              </w:rPr>
              <w:t>552,894</w:t>
            </w:r>
          </w:p>
        </w:tc>
        <w:tc>
          <w:tcPr>
            <w:tcW w:w="460" w:type="dxa"/>
            <w:vAlign w:val="bottom"/>
            <w:tcBorders>
              <w:bottom w:val="single" w:sz="8" w:color="EBFBFF"/>
            </w:tcBorders>
            <w:shd w:val="clear" w:color="auto" w:fill="EBFBFF"/>
          </w:tcPr>
          <w:p>
            <w:pPr>
              <w:jc w:val="right"/>
              <w:ind w:right="289"/>
              <w:spacing w:after="0" w:line="163" w:lineRule="exact"/>
              <w:rPr>
                <w:sz w:val="20"/>
                <w:szCs w:val="20"/>
                <w:color w:val="auto"/>
              </w:rPr>
            </w:pPr>
            <w:r>
              <w:rPr>
                <w:rFonts w:ascii="Calibri" w:cs="Calibri" w:eastAsia="Calibri" w:hAnsi="Calibri"/>
                <w:sz w:val="14"/>
                <w:szCs w:val="14"/>
                <w:color w:val="51555C"/>
              </w:rPr>
              <w:t>$</w:t>
            </w:r>
          </w:p>
        </w:tc>
        <w:tc>
          <w:tcPr>
            <w:tcW w:w="1200" w:type="dxa"/>
            <w:vAlign w:val="bottom"/>
            <w:tcBorders>
              <w:bottom w:val="single" w:sz="8" w:color="EBFBFF"/>
            </w:tcBorders>
            <w:shd w:val="clear" w:color="auto" w:fill="EBFBFF"/>
          </w:tcPr>
          <w:p>
            <w:pPr>
              <w:jc w:val="right"/>
              <w:spacing w:after="0" w:line="163" w:lineRule="exact"/>
              <w:rPr>
                <w:sz w:val="20"/>
                <w:szCs w:val="20"/>
                <w:color w:val="auto"/>
              </w:rPr>
            </w:pPr>
            <w:r>
              <w:rPr>
                <w:rFonts w:ascii="Calibri" w:cs="Calibri" w:eastAsia="Calibri" w:hAnsi="Calibri"/>
                <w:sz w:val="14"/>
                <w:szCs w:val="14"/>
                <w:color w:val="51555C"/>
              </w:rPr>
              <w:t>515,138</w:t>
            </w:r>
          </w:p>
        </w:tc>
        <w:tc>
          <w:tcPr>
            <w:tcW w:w="20" w:type="dxa"/>
            <w:vAlign w:val="bottom"/>
          </w:tcPr>
          <w:p>
            <w:pPr>
              <w:spacing w:after="0"/>
              <w:rPr>
                <w:sz w:val="15"/>
                <w:szCs w:val="15"/>
                <w:color w:val="auto"/>
              </w:rPr>
            </w:pPr>
          </w:p>
        </w:tc>
      </w:tr>
      <w:tr>
        <w:trPr>
          <w:trHeight w:val="20"/>
        </w:trPr>
        <w:tc>
          <w:tcPr>
            <w:tcW w:w="4600" w:type="dxa"/>
            <w:vAlign w:val="bottom"/>
            <w:shd w:val="clear" w:color="auto" w:fill="0CD973"/>
          </w:tcPr>
          <w:p>
            <w:pPr>
              <w:spacing w:after="0" w:line="20" w:lineRule="exact"/>
              <w:rPr>
                <w:sz w:val="1"/>
                <w:szCs w:val="1"/>
                <w:color w:val="auto"/>
              </w:rPr>
            </w:pPr>
          </w:p>
        </w:tc>
        <w:tc>
          <w:tcPr>
            <w:tcW w:w="620" w:type="dxa"/>
            <w:vAlign w:val="bottom"/>
            <w:shd w:val="clear" w:color="auto" w:fill="0CD973"/>
          </w:tcPr>
          <w:p>
            <w:pPr>
              <w:spacing w:after="0" w:line="20" w:lineRule="exact"/>
              <w:rPr>
                <w:sz w:val="1"/>
                <w:szCs w:val="1"/>
                <w:color w:val="auto"/>
              </w:rPr>
            </w:pPr>
          </w:p>
        </w:tc>
        <w:tc>
          <w:tcPr>
            <w:tcW w:w="1020" w:type="dxa"/>
            <w:vAlign w:val="bottom"/>
            <w:shd w:val="clear" w:color="auto" w:fill="0CD973"/>
          </w:tcPr>
          <w:p>
            <w:pPr>
              <w:spacing w:after="0" w:line="20" w:lineRule="exact"/>
              <w:rPr>
                <w:sz w:val="1"/>
                <w:szCs w:val="1"/>
                <w:color w:val="auto"/>
              </w:rPr>
            </w:pPr>
          </w:p>
        </w:tc>
        <w:tc>
          <w:tcPr>
            <w:tcW w:w="380" w:type="dxa"/>
            <w:vAlign w:val="bottom"/>
            <w:shd w:val="clear" w:color="auto" w:fill="0CD973"/>
          </w:tcPr>
          <w:p>
            <w:pPr>
              <w:spacing w:after="0" w:line="20" w:lineRule="exact"/>
              <w:rPr>
                <w:sz w:val="1"/>
                <w:szCs w:val="1"/>
                <w:color w:val="auto"/>
              </w:rPr>
            </w:pPr>
          </w:p>
        </w:tc>
        <w:tc>
          <w:tcPr>
            <w:tcW w:w="1280" w:type="dxa"/>
            <w:vAlign w:val="bottom"/>
            <w:tcBorders>
              <w:right w:val="single" w:sz="8" w:color="0CD973"/>
            </w:tcBorders>
            <w:shd w:val="clear" w:color="auto" w:fill="0CD973"/>
          </w:tcPr>
          <w:p>
            <w:pPr>
              <w:spacing w:after="0" w:line="20" w:lineRule="exact"/>
              <w:rPr>
                <w:sz w:val="1"/>
                <w:szCs w:val="1"/>
                <w:color w:val="auto"/>
              </w:rPr>
            </w:pPr>
          </w:p>
        </w:tc>
        <w:tc>
          <w:tcPr>
            <w:tcW w:w="100" w:type="dxa"/>
            <w:vAlign w:val="bottom"/>
            <w:tcBorders>
              <w:right w:val="single" w:sz="8" w:color="0CD973"/>
            </w:tcBorders>
            <w:shd w:val="clear" w:color="auto" w:fill="0CD973"/>
          </w:tcPr>
          <w:p>
            <w:pPr>
              <w:spacing w:after="0" w:line="20" w:lineRule="exact"/>
              <w:rPr>
                <w:sz w:val="1"/>
                <w:szCs w:val="1"/>
                <w:color w:val="auto"/>
              </w:rPr>
            </w:pPr>
          </w:p>
        </w:tc>
        <w:tc>
          <w:tcPr>
            <w:tcW w:w="600" w:type="dxa"/>
            <w:vAlign w:val="bottom"/>
            <w:shd w:val="clear" w:color="auto" w:fill="0CD973"/>
          </w:tcPr>
          <w:p>
            <w:pPr>
              <w:spacing w:after="0" w:line="20" w:lineRule="exact"/>
              <w:rPr>
                <w:sz w:val="1"/>
                <w:szCs w:val="1"/>
                <w:color w:val="auto"/>
              </w:rPr>
            </w:pPr>
          </w:p>
        </w:tc>
        <w:tc>
          <w:tcPr>
            <w:tcW w:w="1020" w:type="dxa"/>
            <w:vAlign w:val="bottom"/>
            <w:shd w:val="clear" w:color="auto" w:fill="0CD973"/>
          </w:tcPr>
          <w:p>
            <w:pPr>
              <w:spacing w:after="0" w:line="20" w:lineRule="exact"/>
              <w:rPr>
                <w:sz w:val="1"/>
                <w:szCs w:val="1"/>
                <w:color w:val="auto"/>
              </w:rPr>
            </w:pPr>
          </w:p>
        </w:tc>
        <w:tc>
          <w:tcPr>
            <w:tcW w:w="460" w:type="dxa"/>
            <w:vAlign w:val="bottom"/>
            <w:shd w:val="clear" w:color="auto" w:fill="0CD973"/>
          </w:tcPr>
          <w:p>
            <w:pPr>
              <w:spacing w:after="0" w:line="20" w:lineRule="exact"/>
              <w:rPr>
                <w:sz w:val="1"/>
                <w:szCs w:val="1"/>
                <w:color w:val="auto"/>
              </w:rPr>
            </w:pPr>
          </w:p>
        </w:tc>
        <w:tc>
          <w:tcPr>
            <w:tcW w:w="120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2920365</wp:posOffset>
            </wp:positionH>
            <wp:positionV relativeFrom="paragraph">
              <wp:posOffset>-1596390</wp:posOffset>
            </wp:positionV>
            <wp:extent cx="4251325" cy="69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251325" cy="6985"/>
                    </a:xfrm>
                    <a:prstGeom prst="rect">
                      <a:avLst/>
                    </a:prstGeom>
                    <a:noFill/>
                  </pic:spPr>
                </pic:pic>
              </a:graphicData>
            </a:graphic>
          </wp:anchor>
        </w:drawing>
        <w:drawing>
          <wp:anchor simplePos="0" relativeHeight="251657728" behindDoc="1" locked="0" layoutInCell="0" allowOverlap="1">
            <wp:simplePos x="0" y="0"/>
            <wp:positionH relativeFrom="column">
              <wp:posOffset>2920365</wp:posOffset>
            </wp:positionH>
            <wp:positionV relativeFrom="paragraph">
              <wp:posOffset>-544830</wp:posOffset>
            </wp:positionV>
            <wp:extent cx="4251325" cy="6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251325" cy="6985"/>
                    </a:xfrm>
                    <a:prstGeom prst="rect">
                      <a:avLst/>
                    </a:prstGeom>
                    <a:noFill/>
                  </pic:spPr>
                </pic:pic>
              </a:graphicData>
            </a:graphic>
          </wp:anchor>
        </w:drawing>
      </w:r>
    </w:p>
    <w:p>
      <w:pPr>
        <w:spacing w:after="0" w:line="186" w:lineRule="exact"/>
        <w:rPr>
          <w:sz w:val="20"/>
          <w:szCs w:val="20"/>
          <w:color w:val="auto"/>
        </w:rPr>
      </w:pPr>
    </w:p>
    <w:p>
      <w:pPr>
        <w:ind w:left="20"/>
        <w:spacing w:after="0"/>
        <w:rPr>
          <w:sz w:val="20"/>
          <w:szCs w:val="20"/>
          <w:color w:val="auto"/>
        </w:rPr>
      </w:pPr>
      <w:r>
        <w:rPr>
          <w:rFonts w:ascii="Calibri" w:cs="Calibri" w:eastAsia="Calibri" w:hAnsi="Calibri"/>
          <w:sz w:val="17"/>
          <w:szCs w:val="17"/>
          <w:b w:val="1"/>
          <w:bCs w:val="1"/>
          <w:color w:val="006880"/>
        </w:rPr>
        <w:t>13. Subsequent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27305</wp:posOffset>
            </wp:positionV>
            <wp:extent cx="7148195" cy="69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51555C"/>
        </w:rPr>
        <w:t>Stock Repurchase Program</w:t>
      </w:r>
    </w:p>
    <w:p>
      <w:pPr>
        <w:spacing w:after="0" w:line="129" w:lineRule="exact"/>
        <w:rPr>
          <w:sz w:val="20"/>
          <w:szCs w:val="20"/>
          <w:color w:val="auto"/>
        </w:rPr>
      </w:pPr>
    </w:p>
    <w:p>
      <w:pPr>
        <w:jc w:val="both"/>
        <w:ind w:right="20"/>
        <w:spacing w:after="0" w:line="237" w:lineRule="auto"/>
        <w:rPr>
          <w:sz w:val="20"/>
          <w:szCs w:val="20"/>
          <w:color w:val="auto"/>
        </w:rPr>
      </w:pPr>
      <w:r>
        <w:rPr>
          <w:rFonts w:ascii="Calibri" w:cs="Calibri" w:eastAsia="Calibri" w:hAnsi="Calibri"/>
          <w:sz w:val="14"/>
          <w:szCs w:val="14"/>
          <w:color w:val="51555C"/>
        </w:rPr>
        <w:t>On July 16, 2024, our Board of Directors reauthorized, expanded and replenished our existng stock repurchase program. The expansion raised the total capacity under the stock repurchase program from $500.0 million to $800.0 million available for repurchases. The program does not have an expiraton date.</w:t>
      </w:r>
    </w:p>
    <w:p>
      <w:pPr>
        <w:spacing w:after="0" w:line="129" w:lineRule="exact"/>
        <w:rPr>
          <w:sz w:val="20"/>
          <w:szCs w:val="20"/>
          <w:color w:val="auto"/>
        </w:rPr>
      </w:pPr>
    </w:p>
    <w:p>
      <w:pPr>
        <w:jc w:val="both"/>
        <w:ind w:right="20"/>
        <w:spacing w:after="0" w:line="237" w:lineRule="auto"/>
        <w:rPr>
          <w:sz w:val="20"/>
          <w:szCs w:val="20"/>
          <w:color w:val="auto"/>
        </w:rPr>
      </w:pPr>
      <w:r>
        <w:rPr>
          <w:rFonts w:ascii="Calibri" w:cs="Calibri" w:eastAsia="Calibri" w:hAnsi="Calibri"/>
          <w:sz w:val="14"/>
          <w:szCs w:val="14"/>
          <w:color w:val="51555C"/>
        </w:rPr>
        <w:t>From January 1, 2024 and prior to the replenishment on July 16, 2024, we repurchased 2,954,211 shares of our stock for $262.6 million under the stock repurchase program, representng approximately 5.5% of our common stock outstanding as of December 31, 2023. As of July 16, 2024, the amount available to purchase stock under our repurchase program was $800.0 million.</w:t>
      </w:r>
    </w:p>
    <w:p>
      <w:pPr>
        <w:spacing w:after="0" w:line="129" w:lineRule="exact"/>
        <w:rPr>
          <w:sz w:val="20"/>
          <w:szCs w:val="20"/>
          <w:color w:val="auto"/>
        </w:rPr>
      </w:pPr>
    </w:p>
    <w:p>
      <w:pPr>
        <w:jc w:val="both"/>
        <w:ind w:right="20"/>
        <w:spacing w:after="0" w:line="237" w:lineRule="auto"/>
        <w:rPr>
          <w:sz w:val="20"/>
          <w:szCs w:val="20"/>
          <w:color w:val="auto"/>
        </w:rPr>
      </w:pPr>
      <w:r>
        <w:rPr>
          <w:rFonts w:ascii="Calibri" w:cs="Calibri" w:eastAsia="Calibri" w:hAnsi="Calibri"/>
          <w:sz w:val="14"/>
          <w:szCs w:val="14"/>
          <w:color w:val="51555C"/>
        </w:rPr>
        <w:t>Repurchases by us will be subject to available liquidity, general market and economic conditons, alternate uses for the capital and other factors. Stock repurchases may be made from tme to tme in open market transactons, in private transactons or otherwise in accordance with applicable securites laws and regulatons and other legal requirements, including compliance with our fnance agreements. There is no minimum number of shares that we are required to repurchase and the repurchase program may be suspended or discontnued at any tme without prior notce. All shares purchased will be held in our treasury for possible future use. We antcipate funding any stock repurchases from its cash fow from operatons, though we may fund repurchases through borrowings or otherwise in our discreton.</w:t>
      </w:r>
    </w:p>
    <w:p>
      <w:pPr>
        <w:spacing w:after="0" w:line="129" w:lineRule="exact"/>
        <w:rPr>
          <w:sz w:val="20"/>
          <w:szCs w:val="20"/>
          <w:color w:val="auto"/>
        </w:rPr>
      </w:pPr>
    </w:p>
    <w:p>
      <w:pPr>
        <w:spacing w:after="0"/>
        <w:rPr>
          <w:sz w:val="20"/>
          <w:szCs w:val="20"/>
          <w:color w:val="auto"/>
        </w:rPr>
      </w:pPr>
      <w:r>
        <w:rPr>
          <w:rFonts w:ascii="Calibri" w:cs="Calibri" w:eastAsia="Calibri" w:hAnsi="Calibri"/>
          <w:sz w:val="14"/>
          <w:szCs w:val="14"/>
          <w:color w:val="51555C"/>
        </w:rPr>
        <w:t>Additonal informaton regarding the stock repurchase program reauthorizaton is contained in our Current Report on Form 8-K fled with the SEC on July 18,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6268720</wp:posOffset>
            </wp:positionH>
            <wp:positionV relativeFrom="paragraph">
              <wp:posOffset>187325</wp:posOffset>
            </wp:positionV>
            <wp:extent cx="518795" cy="1346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8795" cy="134620"/>
                    </a:xfrm>
                    <a:prstGeom prst="rect">
                      <a:avLst/>
                    </a:prstGeom>
                    <a:noFill/>
                  </pic:spPr>
                </pic:pic>
              </a:graphicData>
            </a:graphic>
          </wp:anchor>
        </w:drawing>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0400" w:type="dxa"/>
            <w:vAlign w:val="bottom"/>
          </w:tcPr>
          <w:p>
            <w:pPr>
              <w:ind w:left="8160"/>
              <w:spacing w:after="0"/>
              <w:rPr>
                <w:sz w:val="20"/>
                <w:szCs w:val="20"/>
                <w:color w:val="auto"/>
              </w:rPr>
            </w:pPr>
            <w:r>
              <w:rPr>
                <w:rFonts w:ascii="Calibri" w:cs="Calibri" w:eastAsia="Calibri" w:hAnsi="Calibri"/>
                <w:sz w:val="11"/>
                <w:szCs w:val="11"/>
                <w:color w:val="51555C"/>
              </w:rPr>
              <w:t>Second Quarter 2024 Form 10-Q</w:t>
            </w:r>
          </w:p>
        </w:tc>
        <w:tc>
          <w:tcPr>
            <w:tcW w:w="880" w:type="dxa"/>
            <w:vAlign w:val="bottom"/>
          </w:tcPr>
          <w:p>
            <w:pPr>
              <w:jc w:val="right"/>
              <w:spacing w:after="0"/>
              <w:rPr>
                <w:sz w:val="20"/>
                <w:szCs w:val="20"/>
                <w:color w:val="auto"/>
              </w:rPr>
            </w:pPr>
            <w:r>
              <w:rPr>
                <w:rFonts w:ascii="Calibri" w:cs="Calibri" w:eastAsia="Calibri" w:hAnsi="Calibri"/>
                <w:sz w:val="11"/>
                <w:szCs w:val="11"/>
                <w:color w:val="51555C"/>
              </w:rPr>
              <w:t>25</w:t>
            </w:r>
          </w:p>
        </w:tc>
      </w:tr>
      <w:tr>
        <w:trPr>
          <w:trHeight w:val="281"/>
        </w:trPr>
        <w:tc>
          <w:tcPr>
            <w:tcW w:w="104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26" w:name="page27"/>
    <w:bookmarkEnd w:id="26"/>
    <w:p>
      <w:pPr>
        <w:spacing w:after="0"/>
        <w:rPr>
          <w:sz w:val="20"/>
          <w:szCs w:val="20"/>
          <w:color w:val="auto"/>
        </w:rPr>
      </w:pPr>
      <w:r>
        <w:rPr>
          <w:rFonts w:ascii="Calibri" w:cs="Calibri" w:eastAsia="Calibri" w:hAnsi="Calibri"/>
          <w:sz w:val="11"/>
          <w:szCs w:val="11"/>
          <w:u w:val="single" w:color="auto"/>
          <w:color w:val="7A04DD"/>
        </w:rPr>
        <w:t>Table of Contents</w:t>
      </w:r>
    </w:p>
    <w:p>
      <w:pPr>
        <w:spacing w:after="0" w:line="196" w:lineRule="exact"/>
        <w:rPr>
          <w:sz w:val="20"/>
          <w:szCs w:val="20"/>
          <w:color w:val="auto"/>
        </w:rPr>
      </w:pPr>
    </w:p>
    <w:p>
      <w:pPr>
        <w:jc w:val="center"/>
        <w:spacing w:after="0"/>
        <w:rPr>
          <w:sz w:val="20"/>
          <w:szCs w:val="20"/>
          <w:color w:val="auto"/>
        </w:rPr>
      </w:pPr>
      <w:r>
        <w:rPr>
          <w:rFonts w:ascii="Calibri" w:cs="Calibri" w:eastAsia="Calibri" w:hAnsi="Calibri"/>
          <w:sz w:val="14"/>
          <w:szCs w:val="14"/>
          <w:b w:val="1"/>
          <w:bCs w:val="1"/>
          <w:color w:val="51555C"/>
        </w:rPr>
        <w:t>Blackbaud, Inc.</w:t>
      </w:r>
    </w:p>
    <w:p>
      <w:pPr>
        <w:jc w:val="center"/>
        <w:spacing w:after="0" w:line="238" w:lineRule="auto"/>
        <w:rPr>
          <w:sz w:val="20"/>
          <w:szCs w:val="20"/>
          <w:color w:val="auto"/>
        </w:rPr>
      </w:pPr>
      <w:r>
        <w:rPr>
          <w:rFonts w:ascii="Calibri" w:cs="Calibri" w:eastAsia="Calibri" w:hAnsi="Calibri"/>
          <w:sz w:val="14"/>
          <w:szCs w:val="14"/>
          <w:b w:val="1"/>
          <w:bCs w:val="1"/>
          <w:color w:val="51555C"/>
        </w:rPr>
        <w:t>(Unaudited)</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Calibri" w:cs="Calibri" w:eastAsia="Calibri" w:hAnsi="Calibri"/>
          <w:sz w:val="23"/>
          <w:szCs w:val="23"/>
          <w:b w:val="1"/>
          <w:bCs w:val="1"/>
          <w:color w:val="004054"/>
        </w:rPr>
        <w:t>ITEM 2. MANAGEMENT'S DISCUSSION AND ANALYSIS OF FINANCIAL CONDITION AND RESULTS OF OPERATIONS</w:t>
      </w:r>
    </w:p>
    <w:p>
      <w:pPr>
        <w:spacing w:after="0" w:line="139" w:lineRule="exact"/>
        <w:rPr>
          <w:sz w:val="20"/>
          <w:szCs w:val="20"/>
          <w:color w:val="auto"/>
        </w:rPr>
      </w:pPr>
    </w:p>
    <w:p>
      <w:pPr>
        <w:jc w:val="both"/>
        <w:spacing w:after="0" w:line="237" w:lineRule="auto"/>
        <w:rPr>
          <w:sz w:val="20"/>
          <w:szCs w:val="20"/>
          <w:color w:val="auto"/>
        </w:rPr>
      </w:pPr>
      <w:r>
        <w:rPr>
          <w:rFonts w:ascii="Calibri" w:cs="Calibri" w:eastAsia="Calibri" w:hAnsi="Calibri"/>
          <w:sz w:val="14"/>
          <w:szCs w:val="14"/>
          <w:i w:val="1"/>
          <w:iCs w:val="1"/>
          <w:color w:val="51555C"/>
        </w:rPr>
        <w:t>The following discussion and analysis of our fnancial conditon and results of operatons should be read in conjuncton with our unaudited, condensed consolidated fnancial statements and related notes included elsewhere in this Quarterly Report on Form 10-Q. The following discussion and analysis presents fnancial informaton denominated in millions of dollars which can lead to diferences from rounding when compared to similar informaton contained in the unaudited, condensed consolidated fnancial statements and related notes which are primarily denominated in thousands of dollars.</w:t>
      </w:r>
    </w:p>
    <w:p>
      <w:pPr>
        <w:spacing w:after="0" w:line="205" w:lineRule="exact"/>
        <w:rPr>
          <w:sz w:val="20"/>
          <w:szCs w:val="20"/>
          <w:color w:val="auto"/>
        </w:rPr>
      </w:pPr>
    </w:p>
    <w:p>
      <w:pPr>
        <w:ind w:left="20"/>
        <w:spacing w:after="0"/>
        <w:rPr>
          <w:sz w:val="20"/>
          <w:szCs w:val="20"/>
          <w:color w:val="auto"/>
        </w:rPr>
      </w:pPr>
      <w:r>
        <w:rPr>
          <w:rFonts w:ascii="Calibri" w:cs="Calibri" w:eastAsia="Calibri" w:hAnsi="Calibri"/>
          <w:sz w:val="17"/>
          <w:szCs w:val="17"/>
          <w:b w:val="1"/>
          <w:bCs w:val="1"/>
          <w:color w:val="006880"/>
        </w:rPr>
        <w:t>Executve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27305</wp:posOffset>
            </wp:positionV>
            <wp:extent cx="7161530" cy="69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7" w:lineRule="exact"/>
        <w:rPr>
          <w:sz w:val="20"/>
          <w:szCs w:val="20"/>
          <w:color w:val="auto"/>
        </w:rPr>
      </w:pPr>
    </w:p>
    <w:p>
      <w:pPr>
        <w:jc w:val="both"/>
        <w:spacing w:after="0" w:line="237" w:lineRule="auto"/>
        <w:rPr>
          <w:sz w:val="20"/>
          <w:szCs w:val="20"/>
          <w:color w:val="auto"/>
        </w:rPr>
      </w:pPr>
      <w:r>
        <w:rPr>
          <w:rFonts w:ascii="Calibri" w:cs="Calibri" w:eastAsia="Calibri" w:hAnsi="Calibri"/>
          <w:sz w:val="14"/>
          <w:szCs w:val="14"/>
          <w:color w:val="51555C"/>
        </w:rPr>
        <w:t>We are the leading sofware provider exclusively dedicated to powering social impact. Serving the nonproft and educaton sectors, companies commited to social responsibility and individual change makers, our essental sofware is built to accelerate impact in fundraising, nonproft fnancial management, digital giving, grantmaking, corporate social responsibility and educaton management. A remote-frst company, we have operatons in the United States, Australia, Canada, Costa Rica and the United Kingdom, supportng users in 100+ countries.</w:t>
      </w:r>
    </w:p>
    <w:p>
      <w:pPr>
        <w:spacing w:after="0" w:line="130" w:lineRule="exact"/>
        <w:rPr>
          <w:sz w:val="20"/>
          <w:szCs w:val="20"/>
          <w:color w:val="auto"/>
        </w:rPr>
      </w:pPr>
    </w:p>
    <w:p>
      <w:pPr>
        <w:jc w:val="both"/>
        <w:spacing w:after="0" w:line="237" w:lineRule="auto"/>
        <w:rPr>
          <w:sz w:val="20"/>
          <w:szCs w:val="20"/>
          <w:color w:val="auto"/>
        </w:rPr>
      </w:pPr>
      <w:r>
        <w:rPr>
          <w:rFonts w:ascii="Calibri" w:cs="Calibri" w:eastAsia="Calibri" w:hAnsi="Calibri"/>
          <w:sz w:val="14"/>
          <w:szCs w:val="14"/>
          <w:color w:val="51555C"/>
        </w:rPr>
        <w:t>Our revenue is primarily generated from the following sources: (i) charging for the use of our sofware solutons in cloud and hosted environments; (ii) providing payment and transacton services; and (iii) providing Impact-as-a-Service™ digital educatonal content.</w:t>
      </w:r>
    </w:p>
    <w:p>
      <w:pPr>
        <w:spacing w:after="0" w:line="126"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51555C"/>
        </w:rPr>
        <w:t>Business Update</w:t>
      </w:r>
    </w:p>
    <w:p>
      <w:pPr>
        <w:spacing w:after="0" w:line="129" w:lineRule="exact"/>
        <w:rPr>
          <w:sz w:val="20"/>
          <w:szCs w:val="20"/>
          <w:color w:val="auto"/>
        </w:rPr>
      </w:pPr>
    </w:p>
    <w:p>
      <w:pPr>
        <w:jc w:val="both"/>
        <w:spacing w:after="0" w:line="237" w:lineRule="auto"/>
        <w:rPr>
          <w:sz w:val="20"/>
          <w:szCs w:val="20"/>
          <w:color w:val="auto"/>
        </w:rPr>
      </w:pPr>
      <w:r>
        <w:rPr>
          <w:rFonts w:ascii="Calibri" w:cs="Calibri" w:eastAsia="Calibri" w:hAnsi="Calibri"/>
          <w:sz w:val="14"/>
          <w:szCs w:val="14"/>
          <w:color w:val="51555C"/>
        </w:rPr>
        <w:t>Our company has made signifcant strides over the past several years by executng on our fve-point operatng plan. We have extended our positon as the world's leading provider of sofware to power social impact through product innovaton to beter serve the very specifc needs of non-proft customers, successfully implemented key revenue initatves to enhance the predictability of our growth, all while maintaining keen atenton to cost management and cash fow. As a result of this work, we have accelerated our revenue growth, signifcantly improved our proftability, driven sustained EPS growth and generated signifcant cash fow, which we have used, in part, to fuel a material stock repurchase program, that was recently expanded and replenished to $800 million.</w:t>
      </w:r>
    </w:p>
    <w:p>
      <w:pPr>
        <w:spacing w:after="0" w:line="131" w:lineRule="exact"/>
        <w:rPr>
          <w:sz w:val="20"/>
          <w:szCs w:val="20"/>
          <w:color w:val="auto"/>
        </w:rPr>
      </w:pPr>
    </w:p>
    <w:p>
      <w:pPr>
        <w:jc w:val="both"/>
        <w:spacing w:after="0" w:line="237" w:lineRule="auto"/>
        <w:rPr>
          <w:sz w:val="20"/>
          <w:szCs w:val="20"/>
          <w:color w:val="auto"/>
        </w:rPr>
      </w:pPr>
      <w:r>
        <w:rPr>
          <w:rFonts w:ascii="Calibri" w:cs="Calibri" w:eastAsia="Calibri" w:hAnsi="Calibri"/>
          <w:sz w:val="14"/>
          <w:szCs w:val="14"/>
          <w:color w:val="51555C"/>
        </w:rPr>
        <w:t>The company is approaching another infecton point. In additon to improving our operatons and go-to market capabilites, we have successfully addressed and nearly closed the book on many of the challenges the company faced over the past few years, allowing us to now focus primarily on the signifcant growth and value creaton opportunites ahead in the near, mid and long term.</w:t>
      </w:r>
    </w:p>
    <w:p>
      <w:pPr>
        <w:spacing w:after="0" w:line="126" w:lineRule="exact"/>
        <w:rPr>
          <w:sz w:val="20"/>
          <w:szCs w:val="20"/>
          <w:color w:val="auto"/>
        </w:rPr>
      </w:pPr>
    </w:p>
    <w:p>
      <w:pPr>
        <w:spacing w:after="0"/>
        <w:rPr>
          <w:sz w:val="20"/>
          <w:szCs w:val="20"/>
          <w:color w:val="auto"/>
        </w:rPr>
      </w:pPr>
      <w:r>
        <w:rPr>
          <w:rFonts w:ascii="Calibri" w:cs="Calibri" w:eastAsia="Calibri" w:hAnsi="Calibri"/>
          <w:sz w:val="14"/>
          <w:szCs w:val="14"/>
          <w:color w:val="51555C"/>
        </w:rPr>
        <w:t>We believe Blackbaud is a compelling investment with multple opportunites for strong stockholder returns.</w:t>
      </w:r>
    </w:p>
    <w:p>
      <w:pPr>
        <w:spacing w:after="0" w:line="129" w:lineRule="exact"/>
        <w:rPr>
          <w:sz w:val="20"/>
          <w:szCs w:val="20"/>
          <w:color w:val="auto"/>
        </w:rPr>
      </w:pPr>
    </w:p>
    <w:p>
      <w:pPr>
        <w:ind w:left="520" w:hanging="260"/>
        <w:spacing w:after="0" w:line="237" w:lineRule="auto"/>
        <w:tabs>
          <w:tab w:leader="none" w:pos="508" w:val="left"/>
        </w:tabs>
        <w:numPr>
          <w:ilvl w:val="0"/>
          <w:numId w:val="10"/>
        </w:numPr>
        <w:rPr>
          <w:rFonts w:ascii="Calibri" w:cs="Calibri" w:eastAsia="Calibri" w:hAnsi="Calibri"/>
          <w:sz w:val="14"/>
          <w:szCs w:val="14"/>
          <w:color w:val="51555C"/>
        </w:rPr>
      </w:pPr>
      <w:r>
        <w:rPr>
          <w:rFonts w:ascii="Calibri" w:cs="Calibri" w:eastAsia="Calibri" w:hAnsi="Calibri"/>
          <w:sz w:val="14"/>
          <w:szCs w:val="14"/>
          <w:color w:val="51555C"/>
        </w:rPr>
        <w:t>As an industry leader with what we believe is the most comprehensive set of purpose-built and mission critcal sofware and services, we have an inherent ability to penetrate even further into a rich market opportunity;</w:t>
      </w:r>
    </w:p>
    <w:p>
      <w:pPr>
        <w:spacing w:after="0" w:line="129" w:lineRule="exact"/>
        <w:rPr>
          <w:rFonts w:ascii="Calibri" w:cs="Calibri" w:eastAsia="Calibri" w:hAnsi="Calibri"/>
          <w:sz w:val="14"/>
          <w:szCs w:val="14"/>
          <w:color w:val="51555C"/>
        </w:rPr>
      </w:pPr>
    </w:p>
    <w:p>
      <w:pPr>
        <w:ind w:left="520" w:hanging="260"/>
        <w:spacing w:after="0" w:line="237" w:lineRule="auto"/>
        <w:tabs>
          <w:tab w:leader="none" w:pos="508" w:val="left"/>
        </w:tabs>
        <w:numPr>
          <w:ilvl w:val="0"/>
          <w:numId w:val="10"/>
        </w:numPr>
        <w:rPr>
          <w:rFonts w:ascii="Calibri" w:cs="Calibri" w:eastAsia="Calibri" w:hAnsi="Calibri"/>
          <w:sz w:val="14"/>
          <w:szCs w:val="14"/>
          <w:color w:val="51555C"/>
        </w:rPr>
      </w:pPr>
      <w:r>
        <w:rPr>
          <w:rFonts w:ascii="Calibri" w:cs="Calibri" w:eastAsia="Calibri" w:hAnsi="Calibri"/>
          <w:sz w:val="14"/>
          <w:szCs w:val="14"/>
          <w:color w:val="51555C"/>
        </w:rPr>
        <w:t>The strength of our fnancial model allows us to contnue to aggressively invest in innovaton, which provides great value for our customers and enhances our ability to atract new customers; and</w:t>
      </w:r>
    </w:p>
    <w:p>
      <w:pPr>
        <w:spacing w:after="0" w:line="129" w:lineRule="exact"/>
        <w:rPr>
          <w:rFonts w:ascii="Calibri" w:cs="Calibri" w:eastAsia="Calibri" w:hAnsi="Calibri"/>
          <w:sz w:val="14"/>
          <w:szCs w:val="14"/>
          <w:color w:val="51555C"/>
        </w:rPr>
      </w:pPr>
    </w:p>
    <w:p>
      <w:pPr>
        <w:ind w:left="520" w:hanging="260"/>
        <w:spacing w:after="0" w:line="237" w:lineRule="auto"/>
        <w:tabs>
          <w:tab w:leader="none" w:pos="508" w:val="left"/>
        </w:tabs>
        <w:numPr>
          <w:ilvl w:val="0"/>
          <w:numId w:val="10"/>
        </w:numPr>
        <w:rPr>
          <w:rFonts w:ascii="Calibri" w:cs="Calibri" w:eastAsia="Calibri" w:hAnsi="Calibri"/>
          <w:sz w:val="14"/>
          <w:szCs w:val="14"/>
          <w:color w:val="51555C"/>
        </w:rPr>
      </w:pPr>
      <w:r>
        <w:rPr>
          <w:rFonts w:ascii="Calibri" w:cs="Calibri" w:eastAsia="Calibri" w:hAnsi="Calibri"/>
          <w:sz w:val="14"/>
          <w:szCs w:val="14"/>
          <w:color w:val="51555C"/>
        </w:rPr>
        <w:t>We generate strong cash fows and are commited to disciplined, value-maximizing capital returns. We believe that at current valuatons, Blackbaud is undervalued, and we plan to be aggressive in the repurchase of our stock to improve stockholder value.</w:t>
      </w:r>
    </w:p>
    <w:p>
      <w:pPr>
        <w:spacing w:after="0" w:line="126" w:lineRule="exact"/>
        <w:rPr>
          <w:sz w:val="20"/>
          <w:szCs w:val="20"/>
          <w:color w:val="auto"/>
        </w:rPr>
      </w:pPr>
    </w:p>
    <w:p>
      <w:pPr>
        <w:spacing w:after="0"/>
        <w:rPr>
          <w:sz w:val="20"/>
          <w:szCs w:val="20"/>
          <w:color w:val="auto"/>
        </w:rPr>
      </w:pPr>
      <w:r>
        <w:rPr>
          <w:rFonts w:ascii="Calibri" w:cs="Calibri" w:eastAsia="Calibri" w:hAnsi="Calibri"/>
          <w:sz w:val="14"/>
          <w:szCs w:val="14"/>
          <w:i w:val="1"/>
          <w:iCs w:val="1"/>
          <w:color w:val="51555C"/>
        </w:rPr>
        <w:t>Market Opportunity</w:t>
      </w:r>
    </w:p>
    <w:p>
      <w:pPr>
        <w:spacing w:after="0" w:line="126" w:lineRule="exact"/>
        <w:rPr>
          <w:sz w:val="20"/>
          <w:szCs w:val="20"/>
          <w:color w:val="auto"/>
        </w:rPr>
      </w:pPr>
    </w:p>
    <w:p>
      <w:pPr>
        <w:ind w:left="500" w:hanging="240"/>
        <w:spacing w:after="0"/>
        <w:tabs>
          <w:tab w:leader="none" w:pos="500" w:val="left"/>
        </w:tabs>
        <w:numPr>
          <w:ilvl w:val="0"/>
          <w:numId w:val="11"/>
        </w:numPr>
        <w:rPr>
          <w:rFonts w:ascii="Calibri" w:cs="Calibri" w:eastAsia="Calibri" w:hAnsi="Calibri"/>
          <w:sz w:val="14"/>
          <w:szCs w:val="14"/>
          <w:color w:val="51555C"/>
        </w:rPr>
      </w:pPr>
      <w:r>
        <w:rPr>
          <w:rFonts w:ascii="Calibri" w:cs="Calibri" w:eastAsia="Calibri" w:hAnsi="Calibri"/>
          <w:sz w:val="14"/>
          <w:szCs w:val="14"/>
          <w:color w:val="51555C"/>
        </w:rPr>
        <w:t>U.S. charitable giving in 2023 was over $500 billion, of which roughly $100 billion was donated, granted and invested through our Blackbaud platorms globally.</w:t>
      </w:r>
    </w:p>
    <w:p>
      <w:pPr>
        <w:spacing w:after="0" w:line="129" w:lineRule="exact"/>
        <w:rPr>
          <w:rFonts w:ascii="Calibri" w:cs="Calibri" w:eastAsia="Calibri" w:hAnsi="Calibri"/>
          <w:sz w:val="14"/>
          <w:szCs w:val="14"/>
          <w:color w:val="51555C"/>
        </w:rPr>
      </w:pPr>
    </w:p>
    <w:p>
      <w:pPr>
        <w:ind w:left="520" w:hanging="260"/>
        <w:spacing w:after="0" w:line="237" w:lineRule="auto"/>
        <w:tabs>
          <w:tab w:leader="none" w:pos="514" w:val="left"/>
        </w:tabs>
        <w:numPr>
          <w:ilvl w:val="0"/>
          <w:numId w:val="11"/>
        </w:numPr>
        <w:rPr>
          <w:rFonts w:ascii="Calibri" w:cs="Calibri" w:eastAsia="Calibri" w:hAnsi="Calibri"/>
          <w:sz w:val="14"/>
          <w:szCs w:val="14"/>
          <w:color w:val="51555C"/>
        </w:rPr>
      </w:pPr>
      <w:r>
        <w:rPr>
          <w:rFonts w:ascii="Calibri" w:cs="Calibri" w:eastAsia="Calibri" w:hAnsi="Calibri"/>
          <w:sz w:val="14"/>
          <w:szCs w:val="14"/>
          <w:color w:val="51555C"/>
        </w:rPr>
        <w:t>In our Social Sector, we contnue to primarily focus on mid-sized and enterprise non-profts and, as market leader, we contnue to see great opportunites to atract new customers as well expand our oferings to our existng customers. We appreciate that our customers have choices, too. For decades, we have enjoyed being the market leader, with</w:t>
      </w:r>
    </w:p>
    <w:p>
      <w:pPr>
        <w:spacing w:after="0" w:line="276" w:lineRule="exact"/>
        <w:rPr>
          <w:sz w:val="20"/>
          <w:szCs w:val="20"/>
          <w:color w:val="auto"/>
        </w:rPr>
      </w:pPr>
    </w:p>
    <w:p>
      <w:pPr>
        <w:ind w:left="20"/>
        <w:spacing w:after="0"/>
        <w:tabs>
          <w:tab w:leader="none" w:pos="589" w:val="left"/>
        </w:tabs>
        <w:rPr>
          <w:sz w:val="20"/>
          <w:szCs w:val="20"/>
          <w:color w:val="auto"/>
        </w:rPr>
      </w:pPr>
      <w:r>
        <w:rPr>
          <w:rFonts w:ascii="Calibri" w:cs="Calibri" w:eastAsia="Calibri" w:hAnsi="Calibri"/>
          <w:sz w:val="11"/>
          <w:szCs w:val="11"/>
          <w:color w:val="51555C"/>
        </w:rPr>
        <w:t>26</w:t>
      </w:r>
      <w:r>
        <w:rPr>
          <w:sz w:val="20"/>
          <w:szCs w:val="20"/>
          <w:color w:val="auto"/>
        </w:rPr>
        <w:tab/>
      </w:r>
      <w:r>
        <w:rPr>
          <w:sz w:val="1"/>
          <w:szCs w:val="1"/>
          <w:color w:val="auto"/>
        </w:rPr>
        <w:drawing>
          <wp:inline distT="0" distB="0" distL="0" distR="0">
            <wp:extent cx="511810" cy="134620"/>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1810" cy="134620"/>
                    </a:xfrm>
                    <a:prstGeom prst="rect">
                      <a:avLst/>
                    </a:prstGeom>
                    <a:noFill/>
                    <a:ln>
                      <a:noFill/>
                    </a:ln>
                  </pic:spPr>
                </pic:pic>
              </a:graphicData>
            </a:graphic>
          </wp:inline>
        </w:drawing>
      </w:r>
      <w:r>
        <w:rPr>
          <w:rFonts w:ascii="Calibri" w:cs="Calibri" w:eastAsia="Calibri" w:hAnsi="Calibri"/>
          <w:sz w:val="11"/>
          <w:szCs w:val="11"/>
          <w:color w:val="51555C"/>
        </w:rPr>
        <w:t xml:space="preserve">    Second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128905</wp:posOffset>
            </wp:positionV>
            <wp:extent cx="7186930"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27" w:name="page28"/>
    <w:bookmarkEnd w:id="27"/>
    <w:p>
      <w:pPr>
        <w:spacing w:after="0"/>
        <w:rPr>
          <w:sz w:val="20"/>
          <w:szCs w:val="20"/>
          <w:color w:val="auto"/>
        </w:rPr>
      </w:pPr>
      <w:r>
        <w:rPr>
          <w:rFonts w:ascii="Calibri" w:cs="Calibri" w:eastAsia="Calibri" w:hAnsi="Calibri"/>
          <w:sz w:val="11"/>
          <w:szCs w:val="11"/>
          <w:u w:val="single" w:color="auto"/>
          <w:color w:val="7A04DD"/>
        </w:rPr>
        <w:t>Table of Contents</w:t>
      </w:r>
    </w:p>
    <w:p>
      <w:pPr>
        <w:spacing w:after="0" w:line="196" w:lineRule="exact"/>
        <w:rPr>
          <w:sz w:val="20"/>
          <w:szCs w:val="20"/>
          <w:color w:val="auto"/>
        </w:rPr>
      </w:pPr>
    </w:p>
    <w:p>
      <w:pPr>
        <w:jc w:val="center"/>
        <w:spacing w:after="0"/>
        <w:rPr>
          <w:sz w:val="20"/>
          <w:szCs w:val="20"/>
          <w:color w:val="auto"/>
        </w:rPr>
      </w:pPr>
      <w:r>
        <w:rPr>
          <w:rFonts w:ascii="Calibri" w:cs="Calibri" w:eastAsia="Calibri" w:hAnsi="Calibri"/>
          <w:sz w:val="14"/>
          <w:szCs w:val="14"/>
          <w:b w:val="1"/>
          <w:bCs w:val="1"/>
          <w:color w:val="51555C"/>
        </w:rPr>
        <w:t>Blackbaud, Inc.</w:t>
      </w:r>
    </w:p>
    <w:p>
      <w:pPr>
        <w:jc w:val="center"/>
        <w:spacing w:after="0" w:line="238" w:lineRule="auto"/>
        <w:rPr>
          <w:sz w:val="20"/>
          <w:szCs w:val="20"/>
          <w:color w:val="auto"/>
        </w:rPr>
      </w:pPr>
      <w:r>
        <w:rPr>
          <w:rFonts w:ascii="Calibri" w:cs="Calibri" w:eastAsia="Calibri" w:hAnsi="Calibri"/>
          <w:sz w:val="14"/>
          <w:szCs w:val="14"/>
          <w:b w:val="1"/>
          <w:bCs w:val="1"/>
          <w:color w:val="51555C"/>
        </w:rPr>
        <w:t>(Unaudited)</w:t>
      </w:r>
    </w:p>
    <w:p>
      <w:pPr>
        <w:spacing w:after="0" w:line="200" w:lineRule="exact"/>
        <w:rPr>
          <w:sz w:val="20"/>
          <w:szCs w:val="20"/>
          <w:color w:val="auto"/>
        </w:rPr>
      </w:pPr>
    </w:p>
    <w:p>
      <w:pPr>
        <w:spacing w:after="0" w:line="277" w:lineRule="exact"/>
        <w:rPr>
          <w:sz w:val="20"/>
          <w:szCs w:val="20"/>
          <w:color w:val="auto"/>
        </w:rPr>
      </w:pPr>
    </w:p>
    <w:p>
      <w:pPr>
        <w:ind w:left="520"/>
        <w:spacing w:after="0"/>
        <w:rPr>
          <w:sz w:val="20"/>
          <w:szCs w:val="20"/>
          <w:color w:val="auto"/>
        </w:rPr>
      </w:pPr>
      <w:r>
        <w:rPr>
          <w:rFonts w:ascii="Calibri" w:cs="Calibri" w:eastAsia="Calibri" w:hAnsi="Calibri"/>
          <w:sz w:val="14"/>
          <w:szCs w:val="14"/>
          <w:color w:val="51555C"/>
        </w:rPr>
        <w:t>strong brand recogniton and signifcant breadth and depth of our product capabilites, but we are not relying on the success of our past.</w:t>
      </w:r>
    </w:p>
    <w:p>
      <w:pPr>
        <w:spacing w:after="0" w:line="126" w:lineRule="exact"/>
        <w:rPr>
          <w:sz w:val="20"/>
          <w:szCs w:val="20"/>
          <w:color w:val="auto"/>
        </w:rPr>
      </w:pPr>
    </w:p>
    <w:p>
      <w:pPr>
        <w:spacing w:after="0"/>
        <w:rPr>
          <w:sz w:val="20"/>
          <w:szCs w:val="20"/>
          <w:color w:val="auto"/>
        </w:rPr>
      </w:pPr>
      <w:r>
        <w:rPr>
          <w:rFonts w:ascii="Calibri" w:cs="Calibri" w:eastAsia="Calibri" w:hAnsi="Calibri"/>
          <w:sz w:val="14"/>
          <w:szCs w:val="14"/>
          <w:i w:val="1"/>
          <w:iCs w:val="1"/>
          <w:color w:val="51555C"/>
        </w:rPr>
        <w:t>Investments in Innovaton</w:t>
      </w:r>
    </w:p>
    <w:p>
      <w:pPr>
        <w:spacing w:after="0" w:line="129" w:lineRule="exact"/>
        <w:rPr>
          <w:sz w:val="20"/>
          <w:szCs w:val="20"/>
          <w:color w:val="auto"/>
        </w:rPr>
      </w:pPr>
    </w:p>
    <w:p>
      <w:pPr>
        <w:jc w:val="both"/>
        <w:ind w:left="520" w:hanging="260"/>
        <w:spacing w:after="0" w:line="237" w:lineRule="auto"/>
        <w:tabs>
          <w:tab w:leader="none" w:pos="514" w:val="left"/>
        </w:tabs>
        <w:numPr>
          <w:ilvl w:val="0"/>
          <w:numId w:val="12"/>
        </w:numPr>
        <w:rPr>
          <w:rFonts w:ascii="Calibri" w:cs="Calibri" w:eastAsia="Calibri" w:hAnsi="Calibri"/>
          <w:sz w:val="14"/>
          <w:szCs w:val="14"/>
          <w:color w:val="51555C"/>
        </w:rPr>
      </w:pPr>
      <w:r>
        <w:rPr>
          <w:rFonts w:ascii="Calibri" w:cs="Calibri" w:eastAsia="Calibri" w:hAnsi="Calibri"/>
          <w:sz w:val="14"/>
          <w:szCs w:val="14"/>
          <w:color w:val="51555C"/>
        </w:rPr>
        <w:t>We contnue to invest aggressively in innovaton and partner with our developer network through API’s to produce contnuous product enhancements throughout our portolio, including generatve AI capabilites, which in turn enable our customers to raise more money while increasing operatonal efciency—ultmately allowing them to spend more tme executng on their charitable missions and less tme on administratve tasks.</w:t>
      </w:r>
    </w:p>
    <w:p>
      <w:pPr>
        <w:spacing w:after="0" w:line="130" w:lineRule="exact"/>
        <w:rPr>
          <w:rFonts w:ascii="Calibri" w:cs="Calibri" w:eastAsia="Calibri" w:hAnsi="Calibri"/>
          <w:sz w:val="14"/>
          <w:szCs w:val="14"/>
          <w:color w:val="51555C"/>
        </w:rPr>
      </w:pPr>
    </w:p>
    <w:p>
      <w:pPr>
        <w:jc w:val="both"/>
        <w:ind w:left="520" w:hanging="260"/>
        <w:spacing w:after="0" w:line="237" w:lineRule="auto"/>
        <w:tabs>
          <w:tab w:leader="none" w:pos="514" w:val="left"/>
        </w:tabs>
        <w:numPr>
          <w:ilvl w:val="0"/>
          <w:numId w:val="12"/>
        </w:numPr>
        <w:rPr>
          <w:rFonts w:ascii="Calibri" w:cs="Calibri" w:eastAsia="Calibri" w:hAnsi="Calibri"/>
          <w:sz w:val="14"/>
          <w:szCs w:val="14"/>
          <w:color w:val="51555C"/>
        </w:rPr>
      </w:pPr>
      <w:r>
        <w:rPr>
          <w:rFonts w:ascii="Calibri" w:cs="Calibri" w:eastAsia="Calibri" w:hAnsi="Calibri"/>
          <w:sz w:val="14"/>
          <w:szCs w:val="14"/>
          <w:color w:val="51555C"/>
        </w:rPr>
        <w:t>We are a natural choice for new and existng customers alike. The alternatve for our customers is a disjointed, compettve landscape where we believe other companies do not ofer the combined breadth and depth of our capabilites. These include smaller, mostly disparate point solutons that address only single aspects of the complex, comprehensive technology needs of a nonproft, or larger horizontal sofware companies that may lack the depth of nonproft-specifc functonality and ofen require complex, expensive customizaton and potentally additonal vendors to meet customer needs.</w:t>
      </w:r>
    </w:p>
    <w:p>
      <w:pPr>
        <w:spacing w:after="0" w:line="128" w:lineRule="exact"/>
        <w:rPr>
          <w:sz w:val="20"/>
          <w:szCs w:val="20"/>
          <w:color w:val="auto"/>
        </w:rPr>
      </w:pPr>
    </w:p>
    <w:p>
      <w:pPr>
        <w:spacing w:after="0"/>
        <w:rPr>
          <w:sz w:val="20"/>
          <w:szCs w:val="20"/>
          <w:color w:val="auto"/>
        </w:rPr>
      </w:pPr>
      <w:r>
        <w:rPr>
          <w:rFonts w:ascii="Calibri" w:cs="Calibri" w:eastAsia="Calibri" w:hAnsi="Calibri"/>
          <w:sz w:val="14"/>
          <w:szCs w:val="14"/>
          <w:i w:val="1"/>
          <w:iCs w:val="1"/>
          <w:color w:val="51555C"/>
        </w:rPr>
        <w:t>Cash Flow Generaton</w:t>
      </w:r>
    </w:p>
    <w:p>
      <w:pPr>
        <w:spacing w:after="0" w:line="129" w:lineRule="exact"/>
        <w:rPr>
          <w:sz w:val="20"/>
          <w:szCs w:val="20"/>
          <w:color w:val="auto"/>
        </w:rPr>
      </w:pPr>
    </w:p>
    <w:p>
      <w:pPr>
        <w:jc w:val="both"/>
        <w:spacing w:after="0" w:line="238" w:lineRule="auto"/>
        <w:rPr>
          <w:sz w:val="20"/>
          <w:szCs w:val="20"/>
          <w:color w:val="auto"/>
        </w:rPr>
      </w:pPr>
      <w:r>
        <w:rPr>
          <w:rFonts w:ascii="Calibri" w:cs="Calibri" w:eastAsia="Calibri" w:hAnsi="Calibri"/>
          <w:sz w:val="14"/>
          <w:szCs w:val="14"/>
          <w:color w:val="51555C"/>
        </w:rPr>
        <w:t>During the frst six months of 2024, we generated $118.4 million of operatng cash fow, an increase of more than 50% compared to the frst half of 2023. Our robust cash fow generaton gives us confdence to contnue investment in a number of critcal areas like product innovaton and stock repurchases. In March 2024, we announced that we intend to repurchase between 7% and 10% of our outstanding common stock as of December 31, 2023 under our stock repurchase program. During the six months ended June 30, 2024, we repurchased 2,954,211 shares for $262.6 million, representng approximately 5.5% of the Company's common stock outstanding as of December 31, 2023. In additon to our previously announced ASR Transacton, we plan to be aggressive in repurchasing our stock at the current valuatons. As previously disclosed, our board of directors reauthorized, expanded and replenished our existng stock repurchase program, raising the total capacity from $500 million to $800 million available for repurchases of our common stock. We believe there is currently no beter use of our capital than investng back into the business through product innovaton and returning capital to stockholders around these valuaton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6268720</wp:posOffset>
            </wp:positionH>
            <wp:positionV relativeFrom="paragraph">
              <wp:posOffset>187325</wp:posOffset>
            </wp:positionV>
            <wp:extent cx="518795" cy="1346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8795" cy="134620"/>
                    </a:xfrm>
                    <a:prstGeom prst="rect">
                      <a:avLst/>
                    </a:prstGeom>
                    <a:noFill/>
                  </pic:spPr>
                </pic:pic>
              </a:graphicData>
            </a:graphic>
          </wp:anchor>
        </w:drawing>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0400" w:type="dxa"/>
            <w:vAlign w:val="bottom"/>
          </w:tcPr>
          <w:p>
            <w:pPr>
              <w:ind w:left="8160"/>
              <w:spacing w:after="0"/>
              <w:rPr>
                <w:sz w:val="20"/>
                <w:szCs w:val="20"/>
                <w:color w:val="auto"/>
              </w:rPr>
            </w:pPr>
            <w:r>
              <w:rPr>
                <w:rFonts w:ascii="Calibri" w:cs="Calibri" w:eastAsia="Calibri" w:hAnsi="Calibri"/>
                <w:sz w:val="11"/>
                <w:szCs w:val="11"/>
                <w:color w:val="51555C"/>
              </w:rPr>
              <w:t>Second Quarter 2024 Form 10-Q</w:t>
            </w:r>
          </w:p>
        </w:tc>
        <w:tc>
          <w:tcPr>
            <w:tcW w:w="880" w:type="dxa"/>
            <w:vAlign w:val="bottom"/>
          </w:tcPr>
          <w:p>
            <w:pPr>
              <w:jc w:val="right"/>
              <w:spacing w:after="0"/>
              <w:rPr>
                <w:sz w:val="20"/>
                <w:szCs w:val="20"/>
                <w:color w:val="auto"/>
              </w:rPr>
            </w:pPr>
            <w:r>
              <w:rPr>
                <w:rFonts w:ascii="Calibri" w:cs="Calibri" w:eastAsia="Calibri" w:hAnsi="Calibri"/>
                <w:sz w:val="11"/>
                <w:szCs w:val="11"/>
                <w:color w:val="51555C"/>
              </w:rPr>
              <w:t>27</w:t>
            </w:r>
          </w:p>
        </w:tc>
      </w:tr>
      <w:tr>
        <w:trPr>
          <w:trHeight w:val="281"/>
        </w:trPr>
        <w:tc>
          <w:tcPr>
            <w:tcW w:w="104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28" w:name="page29"/>
    <w:bookmarkEnd w:id="28"/>
    <w:p>
      <w:pPr>
        <w:spacing w:after="0"/>
        <w:rPr>
          <w:sz w:val="20"/>
          <w:szCs w:val="20"/>
          <w:color w:val="auto"/>
        </w:rPr>
      </w:pPr>
      <w:r>
        <w:rPr>
          <w:rFonts w:ascii="Calibri" w:cs="Calibri" w:eastAsia="Calibri" w:hAnsi="Calibri"/>
          <w:sz w:val="11"/>
          <w:szCs w:val="11"/>
          <w:u w:val="single" w:color="auto"/>
          <w:color w:val="7A04D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51555C"/>
        </w:rPr>
        <w:t>Financial Summary</w:t>
      </w:r>
    </w:p>
    <w:p>
      <w:pPr>
        <w:spacing w:after="0" w:line="200" w:lineRule="exact"/>
        <w:rPr>
          <w:sz w:val="20"/>
          <w:szCs w:val="20"/>
          <w:color w:val="auto"/>
        </w:rPr>
      </w:pPr>
    </w:p>
    <w:p>
      <w:pPr>
        <w:spacing w:after="0" w:line="244" w:lineRule="exact"/>
        <w:rPr>
          <w:sz w:val="20"/>
          <w:szCs w:val="20"/>
          <w:color w:val="auto"/>
        </w:rPr>
      </w:pPr>
    </w:p>
    <w:p>
      <w:pPr>
        <w:jc w:val="right"/>
        <w:ind w:right="1640"/>
        <w:spacing w:after="0"/>
        <w:rPr>
          <w:sz w:val="20"/>
          <w:szCs w:val="20"/>
          <w:color w:val="auto"/>
        </w:rPr>
      </w:pPr>
      <w:r>
        <w:rPr>
          <w:rFonts w:ascii="Calibri" w:cs="Calibri" w:eastAsia="Calibri" w:hAnsi="Calibri"/>
          <w:sz w:val="14"/>
          <w:szCs w:val="14"/>
          <w:i w:val="1"/>
          <w:iCs w:val="1"/>
          <w:color w:val="51555C"/>
        </w:rPr>
        <w:t>Total revenue ($M)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25400</wp:posOffset>
            </wp:positionV>
            <wp:extent cx="2135505" cy="69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135505" cy="6985"/>
                    </a:xfrm>
                    <a:prstGeom prst="rect">
                      <a:avLst/>
                    </a:prstGeom>
                    <a:noFill/>
                  </pic:spPr>
                </pic:pic>
              </a:graphicData>
            </a:graphic>
          </wp:anchor>
        </w:drawing>
      </w:r>
    </w:p>
    <w:p>
      <w:pPr>
        <w:spacing w:after="0" w:line="81" w:lineRule="exact"/>
        <w:rPr>
          <w:sz w:val="20"/>
          <w:szCs w:val="20"/>
          <w:color w:val="auto"/>
        </w:rPr>
      </w:pPr>
    </w:p>
    <w:p>
      <w:pPr>
        <w:ind w:left="1380"/>
        <w:spacing w:after="0"/>
        <w:rPr>
          <w:sz w:val="20"/>
          <w:szCs w:val="20"/>
          <w:color w:val="auto"/>
        </w:rPr>
      </w:pPr>
      <w:r>
        <w:rPr>
          <w:rFonts w:ascii="Calibri" w:cs="Calibri" w:eastAsia="Calibri" w:hAnsi="Calibri"/>
          <w:sz w:val="10"/>
          <w:szCs w:val="10"/>
          <w:i w:val="1"/>
          <w:iCs w:val="1"/>
          <w:color w:val="51555C"/>
        </w:rPr>
        <w:t>YoY Growth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124460</wp:posOffset>
            </wp:positionH>
            <wp:positionV relativeFrom="paragraph">
              <wp:posOffset>146685</wp:posOffset>
            </wp:positionV>
            <wp:extent cx="1812290" cy="237172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812290" cy="23717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jc w:val="center"/>
        <w:ind w:right="4580"/>
        <w:spacing w:after="0"/>
        <w:rPr>
          <w:sz w:val="20"/>
          <w:szCs w:val="20"/>
          <w:color w:val="auto"/>
        </w:rPr>
      </w:pPr>
      <w:r>
        <w:rPr>
          <w:rFonts w:ascii="Calibri" w:cs="Calibri" w:eastAsia="Calibri" w:hAnsi="Calibri"/>
          <w:sz w:val="14"/>
          <w:szCs w:val="14"/>
          <w:b w:val="1"/>
          <w:bCs w:val="1"/>
          <w:color w:val="51555C"/>
        </w:rPr>
        <w:t>Blackbaud, Inc.</w:t>
      </w:r>
    </w:p>
    <w:p>
      <w:pPr>
        <w:jc w:val="center"/>
        <w:ind w:right="4580"/>
        <w:spacing w:after="0" w:line="238" w:lineRule="auto"/>
        <w:rPr>
          <w:sz w:val="20"/>
          <w:szCs w:val="20"/>
          <w:color w:val="auto"/>
        </w:rPr>
      </w:pPr>
      <w:r>
        <w:rPr>
          <w:rFonts w:ascii="Calibri" w:cs="Calibri" w:eastAsia="Calibri" w:hAnsi="Calibri"/>
          <w:sz w:val="14"/>
          <w:szCs w:val="14"/>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Calibri" w:cs="Calibri" w:eastAsia="Calibri" w:hAnsi="Calibri"/>
          <w:sz w:val="13"/>
          <w:szCs w:val="13"/>
          <w:i w:val="1"/>
          <w:iCs w:val="1"/>
          <w:color w:val="51555C"/>
        </w:rPr>
        <w:t>Income (Loss) from operatons ($M)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-445770</wp:posOffset>
            </wp:positionH>
            <wp:positionV relativeFrom="paragraph">
              <wp:posOffset>31750</wp:posOffset>
            </wp:positionV>
            <wp:extent cx="2149475" cy="69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149475" cy="6985"/>
                    </a:xfrm>
                    <a:prstGeom prst="rect">
                      <a:avLst/>
                    </a:prstGeom>
                    <a:noFill/>
                  </pic:spPr>
                </pic:pic>
              </a:graphicData>
            </a:graphic>
          </wp:anchor>
        </w:drawing>
      </w:r>
    </w:p>
    <w:p>
      <w:pPr>
        <w:spacing w:after="0" w:line="91" w:lineRule="exact"/>
        <w:rPr>
          <w:sz w:val="20"/>
          <w:szCs w:val="20"/>
          <w:color w:val="auto"/>
        </w:rPr>
      </w:pPr>
    </w:p>
    <w:p>
      <w:pPr>
        <w:ind w:left="680"/>
        <w:spacing w:after="0"/>
        <w:rPr>
          <w:sz w:val="20"/>
          <w:szCs w:val="20"/>
          <w:color w:val="auto"/>
        </w:rPr>
      </w:pPr>
      <w:r>
        <w:rPr>
          <w:rFonts w:ascii="Calibri" w:cs="Calibri" w:eastAsia="Calibri" w:hAnsi="Calibri"/>
          <w:sz w:val="10"/>
          <w:szCs w:val="10"/>
          <w:i w:val="1"/>
          <w:iCs w:val="1"/>
          <w:color w:val="51555C"/>
        </w:rPr>
        <w:t>YoY Growth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-263525</wp:posOffset>
            </wp:positionH>
            <wp:positionV relativeFrom="paragraph">
              <wp:posOffset>1399540</wp:posOffset>
            </wp:positionV>
            <wp:extent cx="1791970" cy="11182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791970" cy="11182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60" w:space="720"/>
            <w:col w:w="6700"/>
          </w:cols>
          <w:pgMar w:left="300" w:top="118"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line="237" w:lineRule="auto"/>
        <w:rPr>
          <w:sz w:val="20"/>
          <w:szCs w:val="20"/>
          <w:color w:val="auto"/>
        </w:rPr>
      </w:pPr>
      <w:r>
        <w:rPr>
          <w:rFonts w:ascii="Calibri" w:cs="Calibri" w:eastAsia="Calibri" w:hAnsi="Calibri"/>
          <w:sz w:val="14"/>
          <w:szCs w:val="14"/>
          <w:color w:val="51555C"/>
        </w:rPr>
        <w:t>Total revenue increased by $16.2 million and $33.7 million, respectvely, during the three and six months ended June 30, 2024, respectvely, when compared to the same periods in 2023, driven largely by the following:</w:t>
      </w:r>
    </w:p>
    <w:p>
      <w:pPr>
        <w:ind w:left="660" w:hanging="329"/>
        <w:spacing w:after="0" w:line="208" w:lineRule="auto"/>
        <w:tabs>
          <w:tab w:leader="none" w:pos="660" w:val="left"/>
        </w:tabs>
        <w:numPr>
          <w:ilvl w:val="0"/>
          <w:numId w:val="13"/>
        </w:numPr>
        <w:rPr>
          <w:rFonts w:ascii="Calibri" w:cs="Calibri" w:eastAsia="Calibri" w:hAnsi="Calibri"/>
          <w:sz w:val="28"/>
          <w:szCs w:val="28"/>
          <w:color w:val="51555C"/>
          <w:vertAlign w:val="superscript"/>
        </w:rPr>
      </w:pPr>
      <w:r>
        <w:rPr>
          <w:rFonts w:ascii="Calibri" w:cs="Calibri" w:eastAsia="Calibri" w:hAnsi="Calibri"/>
          <w:sz w:val="14"/>
          <w:szCs w:val="14"/>
          <w:color w:val="51555C"/>
        </w:rPr>
        <w:t>Growth in recurring revenue primarily related to:</w:t>
      </w:r>
    </w:p>
    <w:p>
      <w:pPr>
        <w:spacing w:after="0" w:line="73" w:lineRule="exact"/>
        <w:rPr>
          <w:rFonts w:ascii="Calibri" w:cs="Calibri" w:eastAsia="Calibri" w:hAnsi="Calibri"/>
          <w:sz w:val="28"/>
          <w:szCs w:val="28"/>
          <w:color w:val="51555C"/>
          <w:vertAlign w:val="superscript"/>
        </w:rPr>
      </w:pPr>
    </w:p>
    <w:p>
      <w:pPr>
        <w:ind w:left="1180" w:right="20" w:hanging="259"/>
        <w:spacing w:after="0" w:line="217" w:lineRule="auto"/>
        <w:tabs>
          <w:tab w:leader="none" w:pos="1174" w:val="left"/>
        </w:tabs>
        <w:numPr>
          <w:ilvl w:val="1"/>
          <w:numId w:val="13"/>
        </w:numPr>
        <w:rPr>
          <w:rFonts w:ascii="Calibri" w:cs="Calibri" w:eastAsia="Calibri" w:hAnsi="Calibri"/>
          <w:sz w:val="14"/>
          <w:szCs w:val="14"/>
          <w:color w:val="51555C"/>
        </w:rPr>
      </w:pPr>
      <w:r>
        <w:rPr>
          <w:rFonts w:ascii="Calibri" w:cs="Calibri" w:eastAsia="Calibri" w:hAnsi="Calibri"/>
          <w:sz w:val="14"/>
          <w:szCs w:val="14"/>
          <w:color w:val="51555C"/>
        </w:rPr>
        <w:t>increases in contractual recurring revenue of $12.3 million and $25.6 million, respectvely, related to the impact of our modernized contract initatve and pricing within the Social Sector as well as the performance of our cloud solutons; partally ofset by decreases in revenue from EVERFI and maintenance revenue;</w:t>
      </w:r>
    </w:p>
    <w:p>
      <w:pPr>
        <w:spacing w:after="0" w:line="44" w:lineRule="exact"/>
        <w:rPr>
          <w:rFonts w:ascii="Calibri" w:cs="Calibri" w:eastAsia="Calibri" w:hAnsi="Calibri"/>
          <w:sz w:val="14"/>
          <w:szCs w:val="14"/>
          <w:color w:val="51555C"/>
        </w:rPr>
      </w:pPr>
    </w:p>
    <w:p>
      <w:pPr>
        <w:ind w:left="1180" w:hanging="259"/>
        <w:spacing w:after="0" w:line="237" w:lineRule="auto"/>
        <w:tabs>
          <w:tab w:leader="none" w:pos="1174" w:val="left"/>
        </w:tabs>
        <w:numPr>
          <w:ilvl w:val="1"/>
          <w:numId w:val="13"/>
        </w:numPr>
        <w:rPr>
          <w:rFonts w:ascii="Calibri" w:cs="Calibri" w:eastAsia="Calibri" w:hAnsi="Calibri"/>
          <w:sz w:val="14"/>
          <w:szCs w:val="14"/>
          <w:color w:val="51555C"/>
        </w:rPr>
      </w:pPr>
      <w:r>
        <w:rPr>
          <w:rFonts w:ascii="Calibri" w:cs="Calibri" w:eastAsia="Calibri" w:hAnsi="Calibri"/>
          <w:sz w:val="14"/>
          <w:szCs w:val="14"/>
          <w:color w:val="51555C"/>
        </w:rPr>
        <w:t>increases in transactonal recurring revenue of $6.7 million and $12.2 million, respectvely, primarily due to positve results related to pricing initatves we have implemented in the past twelve months and increases in volume for our JustGiving, Blackbaud Merchant Services and Blackbaud Tuiton Management solutons.</w:t>
      </w:r>
    </w:p>
    <w:p>
      <w:pPr>
        <w:ind w:left="660" w:hanging="315"/>
        <w:spacing w:after="0" w:line="185" w:lineRule="auto"/>
        <w:tabs>
          <w:tab w:leader="none" w:pos="660" w:val="left"/>
        </w:tabs>
        <w:numPr>
          <w:ilvl w:val="0"/>
          <w:numId w:val="14"/>
        </w:numPr>
        <w:rPr>
          <w:rFonts w:ascii="Calibri" w:cs="Calibri" w:eastAsia="Calibri" w:hAnsi="Calibri"/>
          <w:sz w:val="27"/>
          <w:szCs w:val="27"/>
          <w:color w:val="51555C"/>
          <w:vertAlign w:val="superscript"/>
        </w:rPr>
      </w:pPr>
      <w:r>
        <w:rPr>
          <w:rFonts w:ascii="Calibri" w:cs="Calibri" w:eastAsia="Calibri" w:hAnsi="Calibri"/>
          <w:sz w:val="14"/>
          <w:szCs w:val="14"/>
          <w:color w:val="51555C"/>
        </w:rPr>
        <w:t>Decreases in one-tme service and other revenue primarily related to:</w:t>
      </w:r>
    </w:p>
    <w:p>
      <w:pPr>
        <w:spacing w:after="0" w:line="73" w:lineRule="exact"/>
        <w:rPr>
          <w:rFonts w:ascii="Calibri" w:cs="Calibri" w:eastAsia="Calibri" w:hAnsi="Calibri"/>
          <w:sz w:val="27"/>
          <w:szCs w:val="27"/>
          <w:color w:val="51555C"/>
          <w:vertAlign w:val="superscript"/>
        </w:rPr>
      </w:pPr>
    </w:p>
    <w:p>
      <w:pPr>
        <w:jc w:val="both"/>
        <w:ind w:left="1180" w:right="20" w:hanging="259"/>
        <w:spacing w:after="0" w:line="231" w:lineRule="auto"/>
        <w:tabs>
          <w:tab w:leader="none" w:pos="1174" w:val="left"/>
        </w:tabs>
        <w:numPr>
          <w:ilvl w:val="1"/>
          <w:numId w:val="14"/>
        </w:numPr>
        <w:rPr>
          <w:rFonts w:ascii="Calibri" w:cs="Calibri" w:eastAsia="Calibri" w:hAnsi="Calibri"/>
          <w:sz w:val="14"/>
          <w:szCs w:val="14"/>
          <w:color w:val="51555C"/>
        </w:rPr>
      </w:pPr>
      <w:r>
        <w:rPr>
          <w:rFonts w:ascii="Calibri" w:cs="Calibri" w:eastAsia="Calibri" w:hAnsi="Calibri"/>
          <w:sz w:val="14"/>
          <w:szCs w:val="14"/>
          <w:color w:val="51555C"/>
        </w:rPr>
        <w:t>decreases in one-tme consultng revenue of $2.4 million and $3.4 million, respectvely, primarily due to decreases of $1.9 million and $2.5 million, respectvely, resultng from our sale of EVERFI Limited as discussed in Note 3 to our unaudited, condensed consolidated fnancial statements in this report and less sales of implementaton and customizaton services. Also contributng to the decrease in one-tme consultng revenue is an increase in utlizaton of third-party service delivery partners. For several years, we have been strategically shifing away from a one-tme services business model towards sales of retained and managed services and also embedding services in our renewable cloud soluton contracts. Retained and managed services contracts that we expect to have a term consistent with our cloud soluton contracts, and embedded services are recorded as recurring revenue.</w:t>
      </w:r>
    </w:p>
    <w:p>
      <w:pPr>
        <w:spacing w:after="0" w:line="226" w:lineRule="exact"/>
        <w:rPr>
          <w:sz w:val="20"/>
          <w:szCs w:val="20"/>
          <w:color w:val="auto"/>
        </w:rPr>
      </w:pPr>
    </w:p>
    <w:p>
      <w:pPr>
        <w:jc w:val="both"/>
        <w:spacing w:after="0" w:line="237" w:lineRule="auto"/>
        <w:rPr>
          <w:sz w:val="20"/>
          <w:szCs w:val="20"/>
          <w:color w:val="auto"/>
        </w:rPr>
      </w:pPr>
      <w:r>
        <w:rPr>
          <w:rFonts w:ascii="Calibri" w:cs="Calibri" w:eastAsia="Calibri" w:hAnsi="Calibri"/>
          <w:sz w:val="14"/>
          <w:szCs w:val="14"/>
          <w:color w:val="51555C"/>
        </w:rPr>
        <w:t>As previously disclosed and discussed above, we have a number of mult-year pricing initatves underway, some to bring our pricing in line with the market while others are model changes that are expected to drive greater revenue for both us and our customers. Excluding the impact from our sale of EVERFI Limited in the frst quarter of 2024, we expect that the decline in our non-strategic one-tme services and other revenue will slow in 2024 compared to the previous two years.</w:t>
      </w:r>
    </w:p>
    <w:p>
      <w:pPr>
        <w:spacing w:after="0" w:line="267" w:lineRule="exact"/>
        <w:rPr>
          <w:sz w:val="20"/>
          <w:szCs w:val="20"/>
          <w:color w:val="auto"/>
        </w:rPr>
      </w:pPr>
    </w:p>
    <w:p>
      <w:pPr>
        <w:ind w:left="20"/>
        <w:spacing w:after="0"/>
        <w:tabs>
          <w:tab w:leader="none" w:pos="589" w:val="left"/>
        </w:tabs>
        <w:rPr>
          <w:sz w:val="20"/>
          <w:szCs w:val="20"/>
          <w:color w:val="auto"/>
        </w:rPr>
      </w:pPr>
      <w:r>
        <w:rPr>
          <w:rFonts w:ascii="Calibri" w:cs="Calibri" w:eastAsia="Calibri" w:hAnsi="Calibri"/>
          <w:sz w:val="11"/>
          <w:szCs w:val="11"/>
          <w:color w:val="51555C"/>
        </w:rPr>
        <w:t>28</w:t>
      </w:r>
      <w:r>
        <w:rPr>
          <w:sz w:val="20"/>
          <w:szCs w:val="20"/>
          <w:color w:val="auto"/>
        </w:rPr>
        <w:tab/>
      </w:r>
      <w:r>
        <w:rPr>
          <w:sz w:val="1"/>
          <w:szCs w:val="1"/>
          <w:color w:val="auto"/>
        </w:rPr>
        <w:drawing>
          <wp:inline distT="0" distB="0" distL="0" distR="0">
            <wp:extent cx="511810" cy="134620"/>
            <wp:effectExtent l="0" t="0" r="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1810" cy="134620"/>
                    </a:xfrm>
                    <a:prstGeom prst="rect">
                      <a:avLst/>
                    </a:prstGeom>
                    <a:noFill/>
                    <a:ln>
                      <a:noFill/>
                    </a:ln>
                  </pic:spPr>
                </pic:pic>
              </a:graphicData>
            </a:graphic>
          </wp:inline>
        </w:drawing>
      </w:r>
      <w:r>
        <w:rPr>
          <w:rFonts w:ascii="Calibri" w:cs="Calibri" w:eastAsia="Calibri" w:hAnsi="Calibri"/>
          <w:sz w:val="11"/>
          <w:szCs w:val="11"/>
          <w:color w:val="51555C"/>
        </w:rPr>
        <w:t xml:space="preserve">    Second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135255</wp:posOffset>
            </wp:positionV>
            <wp:extent cx="7186930"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type w:val="continuous"/>
        </w:sectPr>
      </w:pPr>
    </w:p>
    <w:bookmarkStart w:id="29" w:name="page30"/>
    <w:bookmarkEnd w:id="29"/>
    <w:p>
      <w:pPr>
        <w:spacing w:after="0"/>
        <w:rPr>
          <w:sz w:val="20"/>
          <w:szCs w:val="20"/>
          <w:color w:val="auto"/>
        </w:rPr>
      </w:pPr>
      <w:r>
        <w:rPr>
          <w:rFonts w:ascii="Calibri" w:cs="Calibri" w:eastAsia="Calibri" w:hAnsi="Calibri"/>
          <w:sz w:val="11"/>
          <w:szCs w:val="11"/>
          <w:u w:val="single" w:color="auto"/>
          <w:color w:val="7A04DD"/>
        </w:rPr>
        <w:t>Table of Contents</w:t>
      </w:r>
    </w:p>
    <w:p>
      <w:pPr>
        <w:spacing w:after="0" w:line="196" w:lineRule="exact"/>
        <w:rPr>
          <w:sz w:val="20"/>
          <w:szCs w:val="20"/>
          <w:color w:val="auto"/>
        </w:rPr>
      </w:pPr>
    </w:p>
    <w:p>
      <w:pPr>
        <w:jc w:val="center"/>
        <w:spacing w:after="0"/>
        <w:rPr>
          <w:sz w:val="20"/>
          <w:szCs w:val="20"/>
          <w:color w:val="auto"/>
        </w:rPr>
      </w:pPr>
      <w:r>
        <w:rPr>
          <w:rFonts w:ascii="Calibri" w:cs="Calibri" w:eastAsia="Calibri" w:hAnsi="Calibri"/>
          <w:sz w:val="14"/>
          <w:szCs w:val="14"/>
          <w:b w:val="1"/>
          <w:bCs w:val="1"/>
          <w:color w:val="51555C"/>
        </w:rPr>
        <w:t>Blackbaud, Inc.</w:t>
      </w:r>
    </w:p>
    <w:p>
      <w:pPr>
        <w:jc w:val="center"/>
        <w:spacing w:after="0" w:line="238" w:lineRule="auto"/>
        <w:rPr>
          <w:sz w:val="20"/>
          <w:szCs w:val="20"/>
          <w:color w:val="auto"/>
        </w:rPr>
      </w:pPr>
      <w:r>
        <w:rPr>
          <w:rFonts w:ascii="Calibri" w:cs="Calibri" w:eastAsia="Calibri" w:hAnsi="Calibri"/>
          <w:sz w:val="14"/>
          <w:szCs w:val="14"/>
          <w:b w:val="1"/>
          <w:bCs w:val="1"/>
          <w:color w:val="51555C"/>
        </w:rPr>
        <w:t>(Unaudited)</w:t>
      </w:r>
    </w:p>
    <w:p>
      <w:pPr>
        <w:spacing w:after="0" w:line="200" w:lineRule="exact"/>
        <w:rPr>
          <w:sz w:val="20"/>
          <w:szCs w:val="20"/>
          <w:color w:val="auto"/>
        </w:rPr>
      </w:pPr>
    </w:p>
    <w:p>
      <w:pPr>
        <w:spacing w:after="0" w:line="279" w:lineRule="exact"/>
        <w:rPr>
          <w:sz w:val="20"/>
          <w:szCs w:val="20"/>
          <w:color w:val="auto"/>
        </w:rPr>
      </w:pPr>
    </w:p>
    <w:p>
      <w:pPr>
        <w:jc w:val="both"/>
        <w:spacing w:after="0" w:line="237" w:lineRule="auto"/>
        <w:rPr>
          <w:sz w:val="20"/>
          <w:szCs w:val="20"/>
          <w:color w:val="auto"/>
        </w:rPr>
      </w:pPr>
      <w:r>
        <w:rPr>
          <w:rFonts w:ascii="Calibri" w:cs="Calibri" w:eastAsia="Calibri" w:hAnsi="Calibri"/>
          <w:sz w:val="14"/>
          <w:szCs w:val="14"/>
          <w:color w:val="51555C"/>
        </w:rPr>
        <w:t>Our Social Sector revenue (which represents approximately 88% of our total year-to-date revenue) increased $19.8 million, or 8.5%, and $39.3 million, or 8.6%, respectvely, during the three and six months ended June 30, 2024, when compared to the same periods in 2023, driven primarily by the increases in contractual recurring revenue and transactonal recurring revenue discussed above. The Social Sector has proven to be very resilient as demonstrated through the last several economic downturns and the COVID-19 pandemic, and we have great confdence in the long-term trajectory of this porton of our business.</w:t>
      </w:r>
    </w:p>
    <w:p>
      <w:pPr>
        <w:spacing w:after="0" w:line="131" w:lineRule="exact"/>
        <w:rPr>
          <w:sz w:val="20"/>
          <w:szCs w:val="20"/>
          <w:color w:val="auto"/>
        </w:rPr>
      </w:pPr>
    </w:p>
    <w:p>
      <w:pPr>
        <w:jc w:val="both"/>
        <w:spacing w:after="0" w:line="238" w:lineRule="auto"/>
        <w:rPr>
          <w:sz w:val="20"/>
          <w:szCs w:val="20"/>
          <w:color w:val="auto"/>
        </w:rPr>
      </w:pPr>
      <w:r>
        <w:rPr>
          <w:rFonts w:ascii="Calibri" w:cs="Calibri" w:eastAsia="Calibri" w:hAnsi="Calibri"/>
          <w:sz w:val="14"/>
          <w:szCs w:val="14"/>
          <w:color w:val="51555C"/>
        </w:rPr>
        <w:t>Our Corporate Sector revenue (which represents approximately 12% of our total year-to-date revenue) decreased $3.5 million, or 9.2%, and $5.6 million, or 7.4%, respectvely, during the three and six months ended June 30, 2024, when compared to the same periods in 2023, driven primarily by the performance of EVERFI and our dispositon of EVERFI Limited in March 2024 (see Note 3 to our unaudited, condensed consolidated fnancial statements in this report for more informaton). EVERFI has unique and valuable assets, including a comprehensive catalog of content, great customer relatonships and a deep talent pool. However, EVERFI has faced a number of external challenges and while we have taken decisive actons, including changes to Corporate Sector leadership and the dispositon of a non-recurring revenue component (EVERFI Limited discussed above), EVERFI contnues to be a drag on our overall performance, and we expect that to contnue. Accordingly, we are actvely considering a range of strategic alternatves for EVERFI, one of which includes a potental divestture of the business. This work is in early stages, and EVERFI remains well positoned to support its customers. We will contnue to provide updates as progress is made on this initatve.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6268720</wp:posOffset>
            </wp:positionH>
            <wp:positionV relativeFrom="paragraph">
              <wp:posOffset>187325</wp:posOffset>
            </wp:positionV>
            <wp:extent cx="518795" cy="1346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8795" cy="134620"/>
                    </a:xfrm>
                    <a:prstGeom prst="rect">
                      <a:avLst/>
                    </a:prstGeom>
                    <a:noFill/>
                  </pic:spPr>
                </pic:pic>
              </a:graphicData>
            </a:graphic>
          </wp:anchor>
        </w:drawing>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0400" w:type="dxa"/>
            <w:vAlign w:val="bottom"/>
          </w:tcPr>
          <w:p>
            <w:pPr>
              <w:ind w:left="8160"/>
              <w:spacing w:after="0"/>
              <w:rPr>
                <w:sz w:val="20"/>
                <w:szCs w:val="20"/>
                <w:color w:val="auto"/>
              </w:rPr>
            </w:pPr>
            <w:r>
              <w:rPr>
                <w:rFonts w:ascii="Calibri" w:cs="Calibri" w:eastAsia="Calibri" w:hAnsi="Calibri"/>
                <w:sz w:val="11"/>
                <w:szCs w:val="11"/>
                <w:color w:val="51555C"/>
              </w:rPr>
              <w:t>Second Quarter 2024 Form 10-Q</w:t>
            </w:r>
          </w:p>
        </w:tc>
        <w:tc>
          <w:tcPr>
            <w:tcW w:w="880" w:type="dxa"/>
            <w:vAlign w:val="bottom"/>
          </w:tcPr>
          <w:p>
            <w:pPr>
              <w:jc w:val="right"/>
              <w:spacing w:after="0"/>
              <w:rPr>
                <w:sz w:val="20"/>
                <w:szCs w:val="20"/>
                <w:color w:val="auto"/>
              </w:rPr>
            </w:pPr>
            <w:r>
              <w:rPr>
                <w:rFonts w:ascii="Calibri" w:cs="Calibri" w:eastAsia="Calibri" w:hAnsi="Calibri"/>
                <w:sz w:val="11"/>
                <w:szCs w:val="11"/>
                <w:color w:val="51555C"/>
              </w:rPr>
              <w:t>29</w:t>
            </w:r>
          </w:p>
        </w:tc>
      </w:tr>
      <w:tr>
        <w:trPr>
          <w:trHeight w:val="281"/>
        </w:trPr>
        <w:tc>
          <w:tcPr>
            <w:tcW w:w="104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30" w:name="page31"/>
    <w:bookmarkEnd w:id="30"/>
    <w:p>
      <w:pPr>
        <w:spacing w:after="0"/>
        <w:rPr>
          <w:sz w:val="20"/>
          <w:szCs w:val="20"/>
          <w:color w:val="auto"/>
        </w:rPr>
      </w:pPr>
      <w:r>
        <w:rPr>
          <w:rFonts w:ascii="Calibri" w:cs="Calibri" w:eastAsia="Calibri" w:hAnsi="Calibri"/>
          <w:sz w:val="11"/>
          <w:szCs w:val="11"/>
          <w:u w:val="single" w:color="auto"/>
          <w:color w:val="7A04DD"/>
        </w:rPr>
        <w:t>Table of Contents</w:t>
      </w:r>
    </w:p>
    <w:p>
      <w:pPr>
        <w:spacing w:after="0" w:line="196" w:lineRule="exact"/>
        <w:rPr>
          <w:sz w:val="20"/>
          <w:szCs w:val="20"/>
          <w:color w:val="auto"/>
        </w:rPr>
      </w:pPr>
    </w:p>
    <w:p>
      <w:pPr>
        <w:jc w:val="center"/>
        <w:spacing w:after="0"/>
        <w:rPr>
          <w:sz w:val="20"/>
          <w:szCs w:val="20"/>
          <w:color w:val="auto"/>
        </w:rPr>
      </w:pPr>
      <w:r>
        <w:rPr>
          <w:rFonts w:ascii="Calibri" w:cs="Calibri" w:eastAsia="Calibri" w:hAnsi="Calibri"/>
          <w:sz w:val="14"/>
          <w:szCs w:val="14"/>
          <w:b w:val="1"/>
          <w:bCs w:val="1"/>
          <w:color w:val="51555C"/>
        </w:rPr>
        <w:t>Blackbaud, Inc.</w:t>
      </w:r>
    </w:p>
    <w:p>
      <w:pPr>
        <w:jc w:val="center"/>
        <w:spacing w:after="0" w:line="238" w:lineRule="auto"/>
        <w:rPr>
          <w:sz w:val="20"/>
          <w:szCs w:val="20"/>
          <w:color w:val="auto"/>
        </w:rPr>
      </w:pPr>
      <w:r>
        <w:rPr>
          <w:rFonts w:ascii="Calibri" w:cs="Calibri" w:eastAsia="Calibri" w:hAnsi="Calibri"/>
          <w:sz w:val="14"/>
          <w:szCs w:val="14"/>
          <w:b w:val="1"/>
          <w:bCs w:val="1"/>
          <w:color w:val="51555C"/>
        </w:rPr>
        <w:t>(Unaudited)</w:t>
      </w:r>
    </w:p>
    <w:p>
      <w:pPr>
        <w:spacing w:after="0" w:line="200" w:lineRule="exact"/>
        <w:rPr>
          <w:sz w:val="20"/>
          <w:szCs w:val="20"/>
          <w:color w:val="auto"/>
        </w:rPr>
      </w:pPr>
    </w:p>
    <w:p>
      <w:pPr>
        <w:spacing w:after="0" w:line="279" w:lineRule="exact"/>
        <w:rPr>
          <w:sz w:val="20"/>
          <w:szCs w:val="20"/>
          <w:color w:val="auto"/>
        </w:rPr>
      </w:pPr>
    </w:p>
    <w:p>
      <w:pPr>
        <w:spacing w:after="0" w:line="237" w:lineRule="auto"/>
        <w:rPr>
          <w:sz w:val="20"/>
          <w:szCs w:val="20"/>
          <w:color w:val="auto"/>
        </w:rPr>
      </w:pPr>
      <w:r>
        <w:rPr>
          <w:rFonts w:ascii="Calibri" w:cs="Calibri" w:eastAsia="Calibri" w:hAnsi="Calibri"/>
          <w:sz w:val="14"/>
          <w:szCs w:val="14"/>
          <w:color w:val="51555C"/>
        </w:rPr>
        <w:t>Income from operatons increased by $41.8 million and $62.5 million, respectvely, during the three and six months ended June 30, 2024, respectvely, when compared to the same periods in 2023, driven largely by the following:</w:t>
      </w:r>
    </w:p>
    <w:p>
      <w:pPr>
        <w:spacing w:after="0" w:line="40" w:lineRule="exact"/>
        <w:rPr>
          <w:sz w:val="20"/>
          <w:szCs w:val="20"/>
          <w:color w:val="auto"/>
        </w:rPr>
      </w:pPr>
    </w:p>
    <w:p>
      <w:pPr>
        <w:ind w:left="660" w:hanging="418"/>
        <w:spacing w:after="0"/>
        <w:tabs>
          <w:tab w:leader="none" w:pos="660" w:val="left"/>
        </w:tabs>
        <w:numPr>
          <w:ilvl w:val="0"/>
          <w:numId w:val="15"/>
        </w:numPr>
        <w:rPr>
          <w:rFonts w:ascii="Calibri" w:cs="Calibri" w:eastAsia="Calibri" w:hAnsi="Calibri"/>
          <w:sz w:val="28"/>
          <w:szCs w:val="28"/>
          <w:color w:val="51555C"/>
          <w:vertAlign w:val="superscript"/>
        </w:rPr>
      </w:pPr>
      <w:r>
        <w:rPr>
          <w:rFonts w:ascii="Calibri" w:cs="Calibri" w:eastAsia="Calibri" w:hAnsi="Calibri"/>
          <w:sz w:val="14"/>
          <w:szCs w:val="14"/>
          <w:color w:val="51555C"/>
        </w:rPr>
        <w:t>Decreases in Security Incident-related expenses of $25.0 million and $32.4 million, respectvely. See "Security Incident update" below.</w:t>
      </w:r>
    </w:p>
    <w:p>
      <w:pPr>
        <w:spacing w:after="0" w:line="114" w:lineRule="exact"/>
        <w:rPr>
          <w:rFonts w:ascii="Calibri" w:cs="Calibri" w:eastAsia="Calibri" w:hAnsi="Calibri"/>
          <w:sz w:val="28"/>
          <w:szCs w:val="28"/>
          <w:color w:val="51555C"/>
          <w:vertAlign w:val="superscript"/>
        </w:rPr>
      </w:pPr>
    </w:p>
    <w:p>
      <w:pPr>
        <w:ind w:left="660" w:hanging="418"/>
        <w:spacing w:after="0" w:line="183" w:lineRule="auto"/>
        <w:tabs>
          <w:tab w:leader="none" w:pos="660" w:val="left"/>
        </w:tabs>
        <w:numPr>
          <w:ilvl w:val="0"/>
          <w:numId w:val="15"/>
        </w:numPr>
        <w:rPr>
          <w:rFonts w:ascii="Calibri" w:cs="Calibri" w:eastAsia="Calibri" w:hAnsi="Calibri"/>
          <w:sz w:val="15"/>
          <w:szCs w:val="15"/>
          <w:color w:val="51555C"/>
          <w:vertAlign w:val="superscript"/>
        </w:rPr>
      </w:pPr>
      <w:r>
        <w:rPr>
          <w:rFonts w:ascii="Calibri" w:cs="Calibri" w:eastAsia="Calibri" w:hAnsi="Calibri"/>
          <w:sz w:val="10"/>
          <w:szCs w:val="10"/>
          <w:color w:val="51555C"/>
        </w:rPr>
        <w:t>Increases in total revenue, as described above</w:t>
      </w:r>
    </w:p>
    <w:p>
      <w:pPr>
        <w:spacing w:after="0" w:line="72" w:lineRule="exact"/>
        <w:rPr>
          <w:rFonts w:ascii="Calibri" w:cs="Calibri" w:eastAsia="Calibri" w:hAnsi="Calibri"/>
          <w:sz w:val="15"/>
          <w:szCs w:val="15"/>
          <w:color w:val="51555C"/>
          <w:vertAlign w:val="superscript"/>
        </w:rPr>
      </w:pPr>
    </w:p>
    <w:p>
      <w:pPr>
        <w:ind w:left="660" w:right="140" w:hanging="418"/>
        <w:spacing w:after="0" w:line="217" w:lineRule="auto"/>
        <w:tabs>
          <w:tab w:leader="none" w:pos="660" w:val="left"/>
        </w:tabs>
        <w:numPr>
          <w:ilvl w:val="0"/>
          <w:numId w:val="15"/>
        </w:numPr>
        <w:rPr>
          <w:rFonts w:ascii="Calibri" w:cs="Calibri" w:eastAsia="Calibri" w:hAnsi="Calibri"/>
          <w:sz w:val="14"/>
          <w:szCs w:val="14"/>
          <w:color w:val="51555C"/>
        </w:rPr>
      </w:pPr>
      <w:r>
        <w:rPr>
          <w:rFonts w:ascii="Calibri" w:cs="Calibri" w:eastAsia="Calibri" w:hAnsi="Calibri"/>
          <w:sz w:val="14"/>
          <w:szCs w:val="14"/>
          <w:color w:val="51555C"/>
        </w:rPr>
        <w:t>Decreases in stock-based compensaton expense of $9.1 million and $5.4 million, respectvely, primarily due to overall Company performance against targets for certain performance-based equity awards, and a decrease in the grant date fair value of equity award grants</w:t>
      </w:r>
    </w:p>
    <w:p>
      <w:pPr>
        <w:spacing w:after="0" w:line="44" w:lineRule="exact"/>
        <w:rPr>
          <w:rFonts w:ascii="Calibri" w:cs="Calibri" w:eastAsia="Calibri" w:hAnsi="Calibri"/>
          <w:sz w:val="14"/>
          <w:szCs w:val="14"/>
          <w:color w:val="51555C"/>
        </w:rPr>
      </w:pPr>
    </w:p>
    <w:p>
      <w:pPr>
        <w:ind w:left="660" w:right="20" w:hanging="418"/>
        <w:spacing w:after="0" w:line="237" w:lineRule="auto"/>
        <w:tabs>
          <w:tab w:leader="none" w:pos="660" w:val="left"/>
        </w:tabs>
        <w:numPr>
          <w:ilvl w:val="0"/>
          <w:numId w:val="15"/>
        </w:numPr>
        <w:rPr>
          <w:rFonts w:ascii="Calibri" w:cs="Calibri" w:eastAsia="Calibri" w:hAnsi="Calibri"/>
          <w:sz w:val="14"/>
          <w:szCs w:val="14"/>
          <w:color w:val="51555C"/>
        </w:rPr>
      </w:pPr>
      <w:r>
        <w:rPr>
          <w:rFonts w:ascii="Calibri" w:cs="Calibri" w:eastAsia="Calibri" w:hAnsi="Calibri"/>
          <w:sz w:val="14"/>
          <w:szCs w:val="14"/>
          <w:color w:val="51555C"/>
        </w:rPr>
        <w:t>Decrease in employee severance costs of $5.0 million, during the six months ended June 30, 2024, primarily due to prior period targeted workforce reductons during the fourth quarter of 2022 and the frst quarter of 2023</w:t>
      </w:r>
    </w:p>
    <w:p>
      <w:pPr>
        <w:spacing w:after="0" w:line="86" w:lineRule="exact"/>
        <w:rPr>
          <w:rFonts w:ascii="Calibri" w:cs="Calibri" w:eastAsia="Calibri" w:hAnsi="Calibri"/>
          <w:sz w:val="14"/>
          <w:szCs w:val="14"/>
          <w:color w:val="51555C"/>
        </w:rPr>
      </w:pPr>
    </w:p>
    <w:p>
      <w:pPr>
        <w:ind w:left="660" w:right="20" w:hanging="418"/>
        <w:spacing w:after="0" w:line="189" w:lineRule="auto"/>
        <w:tabs>
          <w:tab w:leader="none" w:pos="660" w:val="left"/>
        </w:tabs>
        <w:numPr>
          <w:ilvl w:val="0"/>
          <w:numId w:val="15"/>
        </w:numPr>
        <w:rPr>
          <w:rFonts w:ascii="Calibri" w:cs="Calibri" w:eastAsia="Calibri" w:hAnsi="Calibri"/>
          <w:sz w:val="23"/>
          <w:szCs w:val="23"/>
          <w:color w:val="51555C"/>
          <w:vertAlign w:val="superscript"/>
        </w:rPr>
      </w:pPr>
      <w:r>
        <w:rPr>
          <w:rFonts w:ascii="Calibri" w:cs="Calibri" w:eastAsia="Calibri" w:hAnsi="Calibri"/>
          <w:sz w:val="12"/>
          <w:szCs w:val="12"/>
          <w:color w:val="51555C"/>
        </w:rPr>
        <w:t>Decreases in commission expense of $3.1 million and $6.5 million, respectvely, due to fewer sales headcount and a prospectve increase in the period of beneft over which we amortzed costs of obtaining contracts with customers from 5 to 6 years beginning in the year ending December 31, 2024</w:t>
      </w:r>
    </w:p>
    <w:p>
      <w:pPr>
        <w:spacing w:after="0" w:line="87" w:lineRule="exact"/>
        <w:rPr>
          <w:rFonts w:ascii="Calibri" w:cs="Calibri" w:eastAsia="Calibri" w:hAnsi="Calibri"/>
          <w:sz w:val="23"/>
          <w:szCs w:val="23"/>
          <w:color w:val="51555C"/>
          <w:vertAlign w:val="superscript"/>
        </w:rPr>
      </w:pPr>
    </w:p>
    <w:p>
      <w:pPr>
        <w:ind w:left="660" w:right="20" w:hanging="418"/>
        <w:spacing w:after="0" w:line="189" w:lineRule="auto"/>
        <w:tabs>
          <w:tab w:leader="none" w:pos="660" w:val="left"/>
        </w:tabs>
        <w:numPr>
          <w:ilvl w:val="0"/>
          <w:numId w:val="15"/>
        </w:numPr>
        <w:rPr>
          <w:rFonts w:ascii="Calibri" w:cs="Calibri" w:eastAsia="Calibri" w:hAnsi="Calibri"/>
          <w:sz w:val="23"/>
          <w:szCs w:val="23"/>
          <w:color w:val="51555C"/>
          <w:vertAlign w:val="superscript"/>
        </w:rPr>
      </w:pPr>
      <w:r>
        <w:rPr>
          <w:rFonts w:ascii="Calibri" w:cs="Calibri" w:eastAsia="Calibri" w:hAnsi="Calibri"/>
          <w:sz w:val="12"/>
          <w:szCs w:val="12"/>
          <w:color w:val="51555C"/>
        </w:rPr>
        <w:t>Decrease in corporate costs of $2.3 million, during the six months ended June 30, 2024, primarily related to the release of certain accrued tax liabilites due to favorable sales tax rulings and a decrease in bad debt expense</w:t>
      </w:r>
    </w:p>
    <w:p>
      <w:pPr>
        <w:spacing w:after="0" w:line="45" w:lineRule="exact"/>
        <w:rPr>
          <w:sz w:val="20"/>
          <w:szCs w:val="20"/>
          <w:color w:val="auto"/>
        </w:rPr>
      </w:pPr>
    </w:p>
    <w:tbl>
      <w:tblPr>
        <w:tblLayout w:type="fixed"/>
        <w:tblInd w:w="240" w:type="dxa"/>
        <w:tblCellMar>
          <w:top w:w="0" w:type="dxa"/>
          <w:left w:w="0" w:type="dxa"/>
          <w:bottom w:w="0" w:type="dxa"/>
          <w:right w:w="0" w:type="dxa"/>
        </w:tblCellMar>
      </w:tblPr>
      <w:tr>
        <w:trPr>
          <w:trHeight w:val="168"/>
        </w:trPr>
        <w:tc>
          <w:tcPr>
            <w:tcW w:w="240" w:type="dxa"/>
            <w:vAlign w:val="bottom"/>
          </w:tcPr>
          <w:p>
            <w:pPr>
              <w:jc w:val="right"/>
              <w:ind w:right="155"/>
              <w:spacing w:after="0"/>
              <w:rPr>
                <w:sz w:val="20"/>
                <w:szCs w:val="20"/>
                <w:color w:val="auto"/>
              </w:rPr>
            </w:pPr>
            <w:r>
              <w:rPr>
                <w:rFonts w:ascii="Calibri" w:cs="Calibri" w:eastAsia="Calibri" w:hAnsi="Calibri"/>
                <w:sz w:val="9"/>
                <w:szCs w:val="9"/>
                <w:color w:val="51555C"/>
                <w:w w:val="70"/>
              </w:rPr>
              <w:t>-</w:t>
            </w:r>
          </w:p>
        </w:tc>
        <w:tc>
          <w:tcPr>
            <w:tcW w:w="10800" w:type="dxa"/>
            <w:vAlign w:val="bottom"/>
            <w:vMerge w:val="restart"/>
          </w:tcPr>
          <w:p>
            <w:pPr>
              <w:ind w:left="180"/>
              <w:spacing w:after="0"/>
              <w:rPr>
                <w:sz w:val="20"/>
                <w:szCs w:val="20"/>
                <w:color w:val="auto"/>
              </w:rPr>
            </w:pPr>
            <w:r>
              <w:rPr>
                <w:rFonts w:ascii="Calibri" w:cs="Calibri" w:eastAsia="Calibri" w:hAnsi="Calibri"/>
                <w:sz w:val="14"/>
                <w:szCs w:val="14"/>
                <w:color w:val="51555C"/>
              </w:rPr>
              <w:t>Increases in acquisiton and dispositon-related costs of $3.2 million and $4.9 million, respectvely, primarily related to the noncash impairment charges against certain operatng lease right-</w:t>
            </w:r>
          </w:p>
        </w:tc>
        <w:tc>
          <w:tcPr>
            <w:tcW w:w="0" w:type="dxa"/>
            <w:vAlign w:val="bottom"/>
          </w:tcPr>
          <w:p>
            <w:pPr>
              <w:spacing w:after="0"/>
              <w:rPr>
                <w:sz w:val="1"/>
                <w:szCs w:val="1"/>
                <w:color w:val="auto"/>
              </w:rPr>
            </w:pPr>
          </w:p>
        </w:tc>
      </w:tr>
      <w:tr>
        <w:trPr>
          <w:trHeight w:val="42"/>
        </w:trPr>
        <w:tc>
          <w:tcPr>
            <w:tcW w:w="240" w:type="dxa"/>
            <w:vAlign w:val="bottom"/>
          </w:tcPr>
          <w:p>
            <w:pPr>
              <w:spacing w:after="0"/>
              <w:rPr>
                <w:sz w:val="3"/>
                <w:szCs w:val="3"/>
                <w:color w:val="auto"/>
              </w:rPr>
            </w:pPr>
          </w:p>
        </w:tc>
        <w:tc>
          <w:tcPr>
            <w:tcW w:w="108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40" w:type="dxa"/>
            <w:vAlign w:val="bottom"/>
          </w:tcPr>
          <w:p>
            <w:pPr>
              <w:spacing w:after="0"/>
              <w:rPr>
                <w:sz w:val="14"/>
                <w:szCs w:val="14"/>
                <w:color w:val="auto"/>
              </w:rPr>
            </w:pPr>
          </w:p>
        </w:tc>
        <w:tc>
          <w:tcPr>
            <w:tcW w:w="10800" w:type="dxa"/>
            <w:vAlign w:val="bottom"/>
          </w:tcPr>
          <w:p>
            <w:pPr>
              <w:ind w:left="180"/>
              <w:spacing w:after="0" w:line="170" w:lineRule="exact"/>
              <w:rPr>
                <w:sz w:val="20"/>
                <w:szCs w:val="20"/>
                <w:color w:val="auto"/>
              </w:rPr>
            </w:pPr>
            <w:r>
              <w:rPr>
                <w:rFonts w:ascii="Calibri" w:cs="Calibri" w:eastAsia="Calibri" w:hAnsi="Calibri"/>
                <w:sz w:val="14"/>
                <w:szCs w:val="14"/>
                <w:color w:val="51555C"/>
              </w:rPr>
              <w:t>of-use assets and property and equipment assets resultng from the sublease of our Washington, DC ofce locaton and the dispositon of EVERFI Limited; see Note 5 and Note 3,</w:t>
            </w:r>
          </w:p>
        </w:tc>
        <w:tc>
          <w:tcPr>
            <w:tcW w:w="0" w:type="dxa"/>
            <w:vAlign w:val="bottom"/>
          </w:tcPr>
          <w:p>
            <w:pPr>
              <w:spacing w:after="0"/>
              <w:rPr>
                <w:sz w:val="1"/>
                <w:szCs w:val="1"/>
                <w:color w:val="auto"/>
              </w:rPr>
            </w:pPr>
          </w:p>
        </w:tc>
      </w:tr>
      <w:tr>
        <w:trPr>
          <w:trHeight w:val="170"/>
        </w:trPr>
        <w:tc>
          <w:tcPr>
            <w:tcW w:w="240" w:type="dxa"/>
            <w:vAlign w:val="bottom"/>
          </w:tcPr>
          <w:p>
            <w:pPr>
              <w:spacing w:after="0"/>
              <w:rPr>
                <w:sz w:val="14"/>
                <w:szCs w:val="14"/>
                <w:color w:val="auto"/>
              </w:rPr>
            </w:pPr>
          </w:p>
        </w:tc>
        <w:tc>
          <w:tcPr>
            <w:tcW w:w="10800" w:type="dxa"/>
            <w:vAlign w:val="bottom"/>
          </w:tcPr>
          <w:p>
            <w:pPr>
              <w:ind w:left="180"/>
              <w:spacing w:after="0" w:line="170" w:lineRule="exact"/>
              <w:rPr>
                <w:sz w:val="20"/>
                <w:szCs w:val="20"/>
                <w:color w:val="auto"/>
              </w:rPr>
            </w:pPr>
            <w:r>
              <w:rPr>
                <w:rFonts w:ascii="Calibri" w:cs="Calibri" w:eastAsia="Calibri" w:hAnsi="Calibri"/>
                <w:sz w:val="14"/>
                <w:szCs w:val="14"/>
                <w:color w:val="51555C"/>
                <w:w w:val="99"/>
              </w:rPr>
              <w:t>respectvely, to our unaudited, condensed consolidated fnancial statements in this report for more informaton. These increases were partally ofset by the release of $1.4 million in accrued</w:t>
            </w:r>
          </w:p>
        </w:tc>
        <w:tc>
          <w:tcPr>
            <w:tcW w:w="0" w:type="dxa"/>
            <w:vAlign w:val="bottom"/>
          </w:tcPr>
          <w:p>
            <w:pPr>
              <w:spacing w:after="0"/>
              <w:rPr>
                <w:sz w:val="1"/>
                <w:szCs w:val="1"/>
                <w:color w:val="auto"/>
              </w:rPr>
            </w:pPr>
          </w:p>
        </w:tc>
      </w:tr>
      <w:tr>
        <w:trPr>
          <w:trHeight w:val="170"/>
        </w:trPr>
        <w:tc>
          <w:tcPr>
            <w:tcW w:w="240" w:type="dxa"/>
            <w:vAlign w:val="bottom"/>
          </w:tcPr>
          <w:p>
            <w:pPr>
              <w:spacing w:after="0"/>
              <w:rPr>
                <w:sz w:val="14"/>
                <w:szCs w:val="14"/>
                <w:color w:val="auto"/>
              </w:rPr>
            </w:pPr>
          </w:p>
        </w:tc>
        <w:tc>
          <w:tcPr>
            <w:tcW w:w="10800" w:type="dxa"/>
            <w:vAlign w:val="bottom"/>
          </w:tcPr>
          <w:p>
            <w:pPr>
              <w:ind w:left="180"/>
              <w:spacing w:after="0" w:line="170" w:lineRule="exact"/>
              <w:rPr>
                <w:sz w:val="20"/>
                <w:szCs w:val="20"/>
                <w:color w:val="auto"/>
              </w:rPr>
            </w:pPr>
            <w:r>
              <w:rPr>
                <w:rFonts w:ascii="Calibri" w:cs="Calibri" w:eastAsia="Calibri" w:hAnsi="Calibri"/>
                <w:sz w:val="14"/>
                <w:szCs w:val="14"/>
                <w:color w:val="51555C"/>
                <w:w w:val="99"/>
              </w:rPr>
              <w:t>contngent consideraton related to our Kilter acquisiton as discussed in Note 3 to the consolidated fnancial statements in our Annual Report on From 10-K for the year ended December 31,</w:t>
            </w:r>
          </w:p>
        </w:tc>
        <w:tc>
          <w:tcPr>
            <w:tcW w:w="0" w:type="dxa"/>
            <w:vAlign w:val="bottom"/>
          </w:tcPr>
          <w:p>
            <w:pPr>
              <w:spacing w:after="0"/>
              <w:rPr>
                <w:sz w:val="1"/>
                <w:szCs w:val="1"/>
                <w:color w:val="auto"/>
              </w:rPr>
            </w:pPr>
          </w:p>
        </w:tc>
      </w:tr>
      <w:tr>
        <w:trPr>
          <w:trHeight w:val="170"/>
        </w:trPr>
        <w:tc>
          <w:tcPr>
            <w:tcW w:w="240" w:type="dxa"/>
            <w:vAlign w:val="bottom"/>
          </w:tcPr>
          <w:p>
            <w:pPr>
              <w:spacing w:after="0"/>
              <w:rPr>
                <w:sz w:val="14"/>
                <w:szCs w:val="14"/>
                <w:color w:val="auto"/>
              </w:rPr>
            </w:pPr>
          </w:p>
        </w:tc>
        <w:tc>
          <w:tcPr>
            <w:tcW w:w="10800" w:type="dxa"/>
            <w:vAlign w:val="bottom"/>
          </w:tcPr>
          <w:p>
            <w:pPr>
              <w:ind w:left="180"/>
              <w:spacing w:after="0" w:line="170" w:lineRule="exact"/>
              <w:rPr>
                <w:sz w:val="20"/>
                <w:szCs w:val="20"/>
                <w:color w:val="auto"/>
              </w:rPr>
            </w:pPr>
            <w:r>
              <w:rPr>
                <w:rFonts w:ascii="Calibri" w:cs="Calibri" w:eastAsia="Calibri" w:hAnsi="Calibri"/>
                <w:sz w:val="14"/>
                <w:szCs w:val="14"/>
                <w:color w:val="51555C"/>
              </w:rPr>
              <w:t>2023</w:t>
            </w: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660" w:hanging="418"/>
        <w:spacing w:after="0"/>
        <w:tabs>
          <w:tab w:leader="none" w:pos="660" w:val="left"/>
        </w:tabs>
        <w:numPr>
          <w:ilvl w:val="0"/>
          <w:numId w:val="16"/>
        </w:numPr>
        <w:rPr>
          <w:rFonts w:ascii="Calibri" w:cs="Calibri" w:eastAsia="Calibri" w:hAnsi="Calibri"/>
          <w:sz w:val="26"/>
          <w:szCs w:val="26"/>
          <w:color w:val="51555C"/>
          <w:vertAlign w:val="superscript"/>
        </w:rPr>
      </w:pPr>
      <w:r>
        <w:rPr>
          <w:rFonts w:ascii="Calibri" w:cs="Calibri" w:eastAsia="Calibri" w:hAnsi="Calibri"/>
          <w:sz w:val="13"/>
          <w:szCs w:val="13"/>
          <w:color w:val="51555C"/>
        </w:rPr>
        <w:t>Increases in compensaton costs other than stock-based compensaton of $2.3 million and $2.9 million, respectvely, primarily due to an increase in resources dedicated to our cybersecurity program</w:t>
      </w:r>
    </w:p>
    <w:p>
      <w:pPr>
        <w:spacing w:after="0" w:line="107" w:lineRule="exact"/>
        <w:rPr>
          <w:rFonts w:ascii="Calibri" w:cs="Calibri" w:eastAsia="Calibri" w:hAnsi="Calibri"/>
          <w:sz w:val="26"/>
          <w:szCs w:val="26"/>
          <w:color w:val="51555C"/>
          <w:vertAlign w:val="superscript"/>
        </w:rPr>
      </w:pPr>
    </w:p>
    <w:p>
      <w:pPr>
        <w:ind w:left="660" w:right="20" w:hanging="418"/>
        <w:spacing w:after="0" w:line="189" w:lineRule="auto"/>
        <w:tabs>
          <w:tab w:leader="none" w:pos="660" w:val="left"/>
        </w:tabs>
        <w:numPr>
          <w:ilvl w:val="0"/>
          <w:numId w:val="16"/>
        </w:numPr>
        <w:rPr>
          <w:rFonts w:ascii="Calibri" w:cs="Calibri" w:eastAsia="Calibri" w:hAnsi="Calibri"/>
          <w:sz w:val="23"/>
          <w:szCs w:val="23"/>
          <w:color w:val="51555C"/>
          <w:vertAlign w:val="superscript"/>
        </w:rPr>
      </w:pPr>
      <w:r>
        <w:rPr>
          <w:rFonts w:ascii="Calibri" w:cs="Calibri" w:eastAsia="Calibri" w:hAnsi="Calibri"/>
          <w:sz w:val="12"/>
          <w:szCs w:val="12"/>
          <w:color w:val="51555C"/>
        </w:rPr>
        <w:t>Decrease of $2.3 million, during the six months ended June 30, 2024, due to an increase in amortzaton of capitalized sofware and content development costs and a decrease in sofware and content development costs that were required to be capitalized under the internal-use sofware guidance</w:t>
      </w:r>
    </w:p>
    <w:p>
      <w:pPr>
        <w:spacing w:after="0" w:line="1" w:lineRule="exact"/>
        <w:rPr>
          <w:rFonts w:ascii="Calibri" w:cs="Calibri" w:eastAsia="Calibri" w:hAnsi="Calibri"/>
          <w:sz w:val="23"/>
          <w:szCs w:val="23"/>
          <w:color w:val="51555C"/>
          <w:vertAlign w:val="superscript"/>
        </w:rPr>
      </w:pPr>
    </w:p>
    <w:p>
      <w:pPr>
        <w:ind w:left="660" w:hanging="418"/>
        <w:spacing w:after="0" w:line="185" w:lineRule="auto"/>
        <w:tabs>
          <w:tab w:leader="none" w:pos="660" w:val="left"/>
        </w:tabs>
        <w:numPr>
          <w:ilvl w:val="0"/>
          <w:numId w:val="16"/>
        </w:numPr>
        <w:rPr>
          <w:rFonts w:ascii="Calibri" w:cs="Calibri" w:eastAsia="Calibri" w:hAnsi="Calibri"/>
          <w:sz w:val="27"/>
          <w:szCs w:val="27"/>
          <w:color w:val="51555C"/>
          <w:vertAlign w:val="superscript"/>
        </w:rPr>
      </w:pPr>
      <w:r>
        <w:rPr>
          <w:rFonts w:ascii="Calibri" w:cs="Calibri" w:eastAsia="Calibri" w:hAnsi="Calibri"/>
          <w:sz w:val="14"/>
          <w:szCs w:val="14"/>
          <w:color w:val="51555C"/>
        </w:rPr>
        <w:t>Increases in third-party contractor costs of $2.1 million and $2.8 million, respectvely, largely related to enhancements to our cybersecurity program</w:t>
      </w:r>
    </w:p>
    <w:p>
      <w:pPr>
        <w:spacing w:after="0" w:line="115" w:lineRule="exact"/>
        <w:rPr>
          <w:rFonts w:ascii="Calibri" w:cs="Calibri" w:eastAsia="Calibri" w:hAnsi="Calibri"/>
          <w:sz w:val="27"/>
          <w:szCs w:val="27"/>
          <w:color w:val="51555C"/>
          <w:vertAlign w:val="superscript"/>
        </w:rPr>
      </w:pPr>
    </w:p>
    <w:p>
      <w:pPr>
        <w:ind w:left="660" w:right="20" w:hanging="418"/>
        <w:spacing w:after="0" w:line="184" w:lineRule="auto"/>
        <w:tabs>
          <w:tab w:leader="none" w:pos="660" w:val="left"/>
        </w:tabs>
        <w:numPr>
          <w:ilvl w:val="0"/>
          <w:numId w:val="16"/>
        </w:numPr>
        <w:rPr>
          <w:rFonts w:ascii="Calibri" w:cs="Calibri" w:eastAsia="Calibri" w:hAnsi="Calibri"/>
          <w:sz w:val="21"/>
          <w:szCs w:val="21"/>
          <w:color w:val="51555C"/>
          <w:vertAlign w:val="superscript"/>
        </w:rPr>
      </w:pPr>
      <w:r>
        <w:rPr>
          <w:rFonts w:ascii="Calibri" w:cs="Calibri" w:eastAsia="Calibri" w:hAnsi="Calibri"/>
          <w:sz w:val="12"/>
          <w:szCs w:val="12"/>
          <w:color w:val="51555C"/>
        </w:rPr>
        <w:t>Increases in amortzaton of intangible assets from business combinatons of $1.6 million and $3.3 million, respectvely, due to our acquisiton of EVERFI. Most of the acquired intangible assets are amortzed on a curve that represents the expected period of economic beneft.</w:t>
      </w:r>
    </w:p>
    <w:p>
      <w:pPr>
        <w:spacing w:after="0" w:line="87" w:lineRule="exact"/>
        <w:rPr>
          <w:rFonts w:ascii="Calibri" w:cs="Calibri" w:eastAsia="Calibri" w:hAnsi="Calibri"/>
          <w:sz w:val="21"/>
          <w:szCs w:val="21"/>
          <w:color w:val="51555C"/>
          <w:vertAlign w:val="superscript"/>
        </w:rPr>
      </w:pPr>
    </w:p>
    <w:p>
      <w:pPr>
        <w:ind w:left="660" w:right="20" w:hanging="418"/>
        <w:spacing w:after="0"/>
        <w:tabs>
          <w:tab w:leader="none" w:pos="660" w:val="left"/>
        </w:tabs>
        <w:numPr>
          <w:ilvl w:val="0"/>
          <w:numId w:val="16"/>
        </w:numPr>
        <w:rPr>
          <w:rFonts w:ascii="Calibri" w:cs="Calibri" w:eastAsia="Calibri" w:hAnsi="Calibri"/>
          <w:sz w:val="23"/>
          <w:szCs w:val="23"/>
          <w:color w:val="51555C"/>
          <w:vertAlign w:val="superscript"/>
        </w:rPr>
      </w:pPr>
      <w:r>
        <w:rPr>
          <w:rFonts w:ascii="Calibri" w:cs="Calibri" w:eastAsia="Calibri" w:hAnsi="Calibri"/>
          <w:sz w:val="12"/>
          <w:szCs w:val="12"/>
          <w:color w:val="51555C"/>
        </w:rPr>
        <w:t>Increases in transacton-based costs of $1.2 million and $2.7 million, respectvely, related to the increase in the volume of transactons for which we process payments and, to a lesser extent, increases in vendor rates</w:t>
      </w:r>
    </w:p>
    <w:p>
      <w:pPr>
        <w:spacing w:after="0" w:line="143" w:lineRule="exact"/>
        <w:rPr>
          <w:rFonts w:ascii="Calibri" w:cs="Calibri" w:eastAsia="Calibri" w:hAnsi="Calibri"/>
          <w:sz w:val="23"/>
          <w:szCs w:val="23"/>
          <w:color w:val="51555C"/>
          <w:vertAlign w:val="superscript"/>
        </w:rPr>
      </w:pPr>
    </w:p>
    <w:p>
      <w:pPr>
        <w:ind w:left="660" w:right="20" w:hanging="418"/>
        <w:spacing w:after="0" w:line="189" w:lineRule="auto"/>
        <w:tabs>
          <w:tab w:leader="none" w:pos="660" w:val="left"/>
        </w:tabs>
        <w:numPr>
          <w:ilvl w:val="0"/>
          <w:numId w:val="16"/>
        </w:numPr>
        <w:rPr>
          <w:rFonts w:ascii="Calibri" w:cs="Calibri" w:eastAsia="Calibri" w:hAnsi="Calibri"/>
          <w:sz w:val="23"/>
          <w:szCs w:val="23"/>
          <w:color w:val="51555C"/>
          <w:vertAlign w:val="superscript"/>
        </w:rPr>
      </w:pPr>
      <w:r>
        <w:rPr>
          <w:rFonts w:ascii="Calibri" w:cs="Calibri" w:eastAsia="Calibri" w:hAnsi="Calibri"/>
          <w:sz w:val="12"/>
          <w:szCs w:val="12"/>
          <w:color w:val="51555C"/>
        </w:rPr>
        <w:t>Increases in advertsing costs of $1.0 million and $3.0 million, respectvely, primarily due to tming diferences compared to 2023 and, to a lesser extent, increased digital marketng spend to drive fundraising page creaton for JustGiving</w:t>
      </w:r>
    </w:p>
    <w:p>
      <w:pPr>
        <w:spacing w:after="0" w:line="87" w:lineRule="exact"/>
        <w:rPr>
          <w:rFonts w:ascii="Calibri" w:cs="Calibri" w:eastAsia="Calibri" w:hAnsi="Calibri"/>
          <w:sz w:val="23"/>
          <w:szCs w:val="23"/>
          <w:color w:val="51555C"/>
          <w:vertAlign w:val="superscript"/>
        </w:rPr>
      </w:pPr>
    </w:p>
    <w:p>
      <w:pPr>
        <w:ind w:left="660" w:right="20" w:hanging="418"/>
        <w:spacing w:after="0" w:line="189" w:lineRule="auto"/>
        <w:tabs>
          <w:tab w:leader="none" w:pos="660" w:val="left"/>
        </w:tabs>
        <w:numPr>
          <w:ilvl w:val="0"/>
          <w:numId w:val="16"/>
        </w:numPr>
        <w:rPr>
          <w:rFonts w:ascii="Calibri" w:cs="Calibri" w:eastAsia="Calibri" w:hAnsi="Calibri"/>
          <w:sz w:val="23"/>
          <w:szCs w:val="23"/>
          <w:color w:val="51555C"/>
          <w:vertAlign w:val="superscript"/>
        </w:rPr>
      </w:pPr>
      <w:r>
        <w:rPr>
          <w:rFonts w:ascii="Calibri" w:cs="Calibri" w:eastAsia="Calibri" w:hAnsi="Calibri"/>
          <w:sz w:val="12"/>
          <w:szCs w:val="12"/>
          <w:color w:val="51555C"/>
        </w:rPr>
        <w:t>Increases in hostng and data center costs of $1.0 million and $2.3 million, respectvely, as we contnue to migrate our cloud infrastructure to leading public cloud service providers and make investments in security; currently, we expect our cloud infrastructure migraton eforts and increased level of cybersecurity investments to contnue for the foreseeable future</w:t>
      </w:r>
    </w:p>
    <w:p>
      <w:pPr>
        <w:spacing w:after="0" w:line="226" w:lineRule="exact"/>
        <w:rPr>
          <w:sz w:val="20"/>
          <w:szCs w:val="20"/>
          <w:color w:val="auto"/>
        </w:rPr>
      </w:pPr>
    </w:p>
    <w:p>
      <w:pPr>
        <w:spacing w:after="0" w:line="237" w:lineRule="auto"/>
        <w:rPr>
          <w:sz w:val="20"/>
          <w:szCs w:val="20"/>
          <w:color w:val="auto"/>
        </w:rPr>
      </w:pPr>
      <w:r>
        <w:rPr>
          <w:rFonts w:ascii="Calibri" w:cs="Calibri" w:eastAsia="Calibri" w:hAnsi="Calibri"/>
          <w:sz w:val="14"/>
          <w:szCs w:val="14"/>
          <w:color w:val="51555C"/>
        </w:rPr>
        <w:t>We are contnuing to make critcal investments in the business in areas such as innovaton, cybersecurity, and our contnued shif of cloud infrastructure to leading public cloud service providers. Our proftability during the frst half of 2024 refects some of these incremental investments.</w:t>
      </w:r>
    </w:p>
    <w:p>
      <w:pPr>
        <w:spacing w:after="0" w:line="129" w:lineRule="exact"/>
        <w:rPr>
          <w:sz w:val="20"/>
          <w:szCs w:val="20"/>
          <w:color w:val="auto"/>
        </w:rPr>
      </w:pPr>
    </w:p>
    <w:p>
      <w:pPr>
        <w:spacing w:after="0" w:line="237" w:lineRule="auto"/>
        <w:rPr>
          <w:sz w:val="20"/>
          <w:szCs w:val="20"/>
          <w:color w:val="auto"/>
        </w:rPr>
      </w:pPr>
      <w:r>
        <w:rPr>
          <w:rFonts w:ascii="Calibri" w:cs="Calibri" w:eastAsia="Calibri" w:hAnsi="Calibri"/>
          <w:sz w:val="14"/>
          <w:szCs w:val="14"/>
          <w:color w:val="51555C"/>
        </w:rPr>
        <w:t>We contnuously seek opportunites to optmize our portolio of solutons to focus tme and resources on innovaton that will have the greatest impact for our customers and the markets we serve, and drive the highest return on investment. To that end, we will contnue to simplify and ratonalize our portolio through product sunsets and divesttures of non-core businesses and technologies.</w:t>
      </w:r>
    </w:p>
    <w:p>
      <w:pPr>
        <w:spacing w:after="0" w:line="266" w:lineRule="exact"/>
        <w:rPr>
          <w:sz w:val="20"/>
          <w:szCs w:val="20"/>
          <w:color w:val="auto"/>
        </w:rPr>
      </w:pPr>
    </w:p>
    <w:p>
      <w:pPr>
        <w:ind w:left="20"/>
        <w:spacing w:after="0"/>
        <w:tabs>
          <w:tab w:leader="none" w:pos="589" w:val="left"/>
        </w:tabs>
        <w:rPr>
          <w:sz w:val="20"/>
          <w:szCs w:val="20"/>
          <w:color w:val="auto"/>
        </w:rPr>
      </w:pPr>
      <w:r>
        <w:rPr>
          <w:rFonts w:ascii="Calibri" w:cs="Calibri" w:eastAsia="Calibri" w:hAnsi="Calibri"/>
          <w:sz w:val="11"/>
          <w:szCs w:val="11"/>
          <w:color w:val="51555C"/>
        </w:rPr>
        <w:t>30</w:t>
      </w:r>
      <w:r>
        <w:rPr>
          <w:sz w:val="20"/>
          <w:szCs w:val="20"/>
          <w:color w:val="auto"/>
        </w:rPr>
        <w:tab/>
      </w:r>
      <w:r>
        <w:rPr>
          <w:sz w:val="1"/>
          <w:szCs w:val="1"/>
          <w:color w:val="auto"/>
        </w:rPr>
        <w:drawing>
          <wp:inline distT="0" distB="0" distL="0" distR="0">
            <wp:extent cx="511810" cy="134620"/>
            <wp:effectExtent l="0" t="0" r="0"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1810" cy="134620"/>
                    </a:xfrm>
                    <a:prstGeom prst="rect">
                      <a:avLst/>
                    </a:prstGeom>
                    <a:noFill/>
                    <a:ln>
                      <a:noFill/>
                    </a:ln>
                  </pic:spPr>
                </pic:pic>
              </a:graphicData>
            </a:graphic>
          </wp:inline>
        </w:drawing>
      </w:r>
      <w:r>
        <w:rPr>
          <w:rFonts w:ascii="Calibri" w:cs="Calibri" w:eastAsia="Calibri" w:hAnsi="Calibri"/>
          <w:sz w:val="11"/>
          <w:szCs w:val="11"/>
          <w:color w:val="51555C"/>
        </w:rPr>
        <w:t xml:space="preserve">    Second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135255</wp:posOffset>
            </wp:positionV>
            <wp:extent cx="7186930"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31" w:name="page32"/>
    <w:bookmarkEnd w:id="31"/>
    <w:p>
      <w:pPr>
        <w:spacing w:after="0"/>
        <w:rPr>
          <w:sz w:val="20"/>
          <w:szCs w:val="20"/>
          <w:color w:val="auto"/>
        </w:rPr>
      </w:pPr>
      <w:r>
        <w:rPr>
          <w:rFonts w:ascii="Calibri" w:cs="Calibri" w:eastAsia="Calibri" w:hAnsi="Calibri"/>
          <w:sz w:val="11"/>
          <w:szCs w:val="11"/>
          <w:u w:val="single" w:color="auto"/>
          <w:color w:val="7A04DD"/>
        </w:rPr>
        <w:t>Table of Contents</w:t>
      </w:r>
    </w:p>
    <w:p>
      <w:pPr>
        <w:spacing w:after="0" w:line="196" w:lineRule="exact"/>
        <w:rPr>
          <w:sz w:val="20"/>
          <w:szCs w:val="20"/>
          <w:color w:val="auto"/>
        </w:rPr>
      </w:pPr>
    </w:p>
    <w:p>
      <w:pPr>
        <w:jc w:val="center"/>
        <w:spacing w:after="0"/>
        <w:rPr>
          <w:sz w:val="20"/>
          <w:szCs w:val="20"/>
          <w:color w:val="auto"/>
        </w:rPr>
      </w:pPr>
      <w:r>
        <w:rPr>
          <w:rFonts w:ascii="Calibri" w:cs="Calibri" w:eastAsia="Calibri" w:hAnsi="Calibri"/>
          <w:sz w:val="14"/>
          <w:szCs w:val="14"/>
          <w:b w:val="1"/>
          <w:bCs w:val="1"/>
          <w:color w:val="51555C"/>
        </w:rPr>
        <w:t>Blackbaud, Inc.</w:t>
      </w:r>
    </w:p>
    <w:p>
      <w:pPr>
        <w:jc w:val="center"/>
        <w:spacing w:after="0" w:line="238" w:lineRule="auto"/>
        <w:rPr>
          <w:sz w:val="20"/>
          <w:szCs w:val="20"/>
          <w:color w:val="auto"/>
        </w:rPr>
      </w:pPr>
      <w:r>
        <w:rPr>
          <w:rFonts w:ascii="Calibri" w:cs="Calibri" w:eastAsia="Calibri" w:hAnsi="Calibri"/>
          <w:sz w:val="14"/>
          <w:szCs w:val="14"/>
          <w:b w:val="1"/>
          <w:bCs w:val="1"/>
          <w:color w:val="51555C"/>
        </w:rPr>
        <w:t>(Unaudited)</w:t>
      </w:r>
    </w:p>
    <w:p>
      <w:pPr>
        <w:spacing w:after="0" w:line="200" w:lineRule="exact"/>
        <w:rPr>
          <w:sz w:val="20"/>
          <w:szCs w:val="20"/>
          <w:color w:val="auto"/>
        </w:rPr>
      </w:pPr>
    </w:p>
    <w:p>
      <w:pPr>
        <w:spacing w:after="0" w:line="279" w:lineRule="exact"/>
        <w:rPr>
          <w:sz w:val="20"/>
          <w:szCs w:val="20"/>
          <w:color w:val="auto"/>
        </w:rPr>
      </w:pPr>
    </w:p>
    <w:p>
      <w:pPr>
        <w:jc w:val="both"/>
        <w:spacing w:after="0" w:line="237" w:lineRule="auto"/>
        <w:rPr>
          <w:sz w:val="20"/>
          <w:szCs w:val="20"/>
          <w:color w:val="auto"/>
        </w:rPr>
      </w:pPr>
      <w:r>
        <w:rPr>
          <w:rFonts w:ascii="Calibri" w:cs="Calibri" w:eastAsia="Calibri" w:hAnsi="Calibri"/>
          <w:sz w:val="14"/>
          <w:szCs w:val="14"/>
          <w:color w:val="51555C"/>
        </w:rPr>
        <w:t>As a remote-frst workforce company, we also contnuously evaluate opportunites to shif various business units or functons to lower-cost jurisdictons, including internatonally, and may do so if and when we determine that it would reduce costs without negatvely impactng the quality of our products and services.</w:t>
      </w:r>
    </w:p>
    <w:p>
      <w:pPr>
        <w:spacing w:after="0" w:line="169" w:lineRule="exact"/>
        <w:rPr>
          <w:sz w:val="20"/>
          <w:szCs w:val="20"/>
          <w:color w:val="auto"/>
        </w:rPr>
      </w:pPr>
    </w:p>
    <w:p>
      <w:pPr>
        <w:ind w:left="1080"/>
        <w:spacing w:after="0"/>
        <w:rPr>
          <w:sz w:val="20"/>
          <w:szCs w:val="20"/>
          <w:color w:val="auto"/>
        </w:rPr>
      </w:pPr>
      <w:r>
        <w:rPr>
          <w:rFonts w:ascii="Calibri" w:cs="Calibri" w:eastAsia="Calibri" w:hAnsi="Calibri"/>
          <w:sz w:val="14"/>
          <w:szCs w:val="14"/>
          <w:i w:val="1"/>
          <w:iCs w:val="1"/>
          <w:color w:val="51555C"/>
        </w:rPr>
        <w:t>Gross dollar retenton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25400</wp:posOffset>
            </wp:positionV>
            <wp:extent cx="2142490" cy="69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142490" cy="6985"/>
                    </a:xfrm>
                    <a:prstGeom prst="rect">
                      <a:avLst/>
                    </a:prstGeom>
                    <a:noFill/>
                  </pic:spPr>
                </pic:pic>
              </a:graphicData>
            </a:graphic>
          </wp:anchor>
        </w:drawing>
        <w:drawing>
          <wp:anchor simplePos="0" relativeHeight="251657728" behindDoc="1" locked="0" layoutInCell="0" allowOverlap="1">
            <wp:simplePos x="0" y="0"/>
            <wp:positionH relativeFrom="column">
              <wp:posOffset>144780</wp:posOffset>
            </wp:positionH>
            <wp:positionV relativeFrom="paragraph">
              <wp:posOffset>160020</wp:posOffset>
            </wp:positionV>
            <wp:extent cx="1791970" cy="10306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791970" cy="1030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37" w:lineRule="auto"/>
        <w:rPr>
          <w:sz w:val="20"/>
          <w:szCs w:val="20"/>
          <w:color w:val="auto"/>
        </w:rPr>
      </w:pPr>
      <w:r>
        <w:rPr>
          <w:rFonts w:ascii="Calibri" w:cs="Calibri" w:eastAsia="Calibri" w:hAnsi="Calibri"/>
          <w:sz w:val="14"/>
          <w:szCs w:val="14"/>
          <w:color w:val="51555C"/>
        </w:rPr>
        <w:t>Our recurring subscripton contracts are typically for a term of three years at contract incepton. A key factor to our overall success is the renewal and expansion of our existng subscripton agreements with our customers. Management uses gross dollar retenton in analyzing our success at delightng our customers with innovatve and cloud solutons. Gross dollar retenton is defned as contracted annual recurring revenue ("CARR") divided by beginning CARR with a measurement period of twelve months. For the twelve months ended June 30, 2024, our gross dollar retenton was approximately 90%. This gross dollar retenton rate was consistent with our rate for the full year ended December 31, 2023. We are contnually investng in innovaton, which we believe will increase gross dollar retenton over the long-term.</w:t>
      </w:r>
    </w:p>
    <w:p>
      <w:pPr>
        <w:spacing w:after="0" w:line="129" w:lineRule="exact"/>
        <w:rPr>
          <w:sz w:val="20"/>
          <w:szCs w:val="20"/>
          <w:color w:val="auto"/>
        </w:rPr>
      </w:pPr>
    </w:p>
    <w:p>
      <w:pPr>
        <w:spacing w:after="0"/>
        <w:rPr>
          <w:sz w:val="20"/>
          <w:szCs w:val="20"/>
          <w:color w:val="auto"/>
        </w:rPr>
      </w:pPr>
      <w:r>
        <w:rPr>
          <w:rFonts w:ascii="Calibri" w:cs="Calibri" w:eastAsia="Calibri" w:hAnsi="Calibri"/>
          <w:sz w:val="14"/>
          <w:szCs w:val="14"/>
          <w:i w:val="1"/>
          <w:iCs w:val="1"/>
          <w:color w:val="51555C"/>
        </w:rPr>
        <w:t>Balance sheet and cash fow</w:t>
      </w:r>
    </w:p>
    <w:p>
      <w:pPr>
        <w:spacing w:after="0" w:line="126" w:lineRule="exact"/>
        <w:rPr>
          <w:sz w:val="20"/>
          <w:szCs w:val="20"/>
          <w:color w:val="auto"/>
        </w:rPr>
      </w:pPr>
    </w:p>
    <w:p>
      <w:pPr>
        <w:spacing w:after="0"/>
        <w:rPr>
          <w:sz w:val="20"/>
          <w:szCs w:val="20"/>
          <w:color w:val="auto"/>
        </w:rPr>
      </w:pPr>
      <w:r>
        <w:rPr>
          <w:rFonts w:ascii="Calibri" w:cs="Calibri" w:eastAsia="Calibri" w:hAnsi="Calibri"/>
          <w:sz w:val="14"/>
          <w:szCs w:val="14"/>
          <w:color w:val="51555C"/>
        </w:rPr>
        <w:t>At June 30, 2024, our cash and cash equivalents were $30.4 million. Under the 2024 Credit Facilites, the carrying amount of our debt was $963.6 million and our net leverage rato was 2.51 to 1.00.</w:t>
      </w:r>
    </w:p>
    <w:p>
      <w:pPr>
        <w:spacing w:after="0" w:line="129" w:lineRule="exact"/>
        <w:rPr>
          <w:sz w:val="20"/>
          <w:szCs w:val="20"/>
          <w:color w:val="auto"/>
        </w:rPr>
      </w:pPr>
    </w:p>
    <w:p>
      <w:pPr>
        <w:jc w:val="both"/>
        <w:spacing w:after="0" w:line="237" w:lineRule="auto"/>
        <w:rPr>
          <w:sz w:val="20"/>
          <w:szCs w:val="20"/>
          <w:color w:val="auto"/>
        </w:rPr>
      </w:pPr>
      <w:r>
        <w:rPr>
          <w:rFonts w:ascii="Calibri" w:cs="Calibri" w:eastAsia="Calibri" w:hAnsi="Calibri"/>
          <w:sz w:val="14"/>
          <w:szCs w:val="14"/>
          <w:color w:val="51555C"/>
        </w:rPr>
        <w:t>During the six months ended June 30, 2024, we generated $118.4 million in cash from operatons, had a net increase in borrowings of $244.9 million, returned $262.6 million to stockholders by way of share repurchases and had aggregate cash outlays of $34.5 million for purchases of property and equipment and capitalized sofware and content development costs.</w:t>
      </w:r>
    </w:p>
    <w:p>
      <w:pPr>
        <w:spacing w:after="0" w:line="126" w:lineRule="exact"/>
        <w:rPr>
          <w:sz w:val="20"/>
          <w:szCs w:val="20"/>
          <w:color w:val="auto"/>
        </w:rPr>
      </w:pPr>
    </w:p>
    <w:p>
      <w:pPr>
        <w:spacing w:after="0"/>
        <w:rPr>
          <w:sz w:val="20"/>
          <w:szCs w:val="20"/>
          <w:color w:val="auto"/>
        </w:rPr>
      </w:pPr>
      <w:r>
        <w:rPr>
          <w:rFonts w:ascii="Calibri" w:cs="Calibri" w:eastAsia="Calibri" w:hAnsi="Calibri"/>
          <w:sz w:val="14"/>
          <w:szCs w:val="14"/>
          <w:i w:val="1"/>
          <w:iCs w:val="1"/>
          <w:color w:val="51555C"/>
        </w:rPr>
        <w:t>Security Incident update</w:t>
      </w:r>
    </w:p>
    <w:p>
      <w:pPr>
        <w:spacing w:after="0" w:line="129" w:lineRule="exact"/>
        <w:rPr>
          <w:sz w:val="20"/>
          <w:szCs w:val="20"/>
          <w:color w:val="auto"/>
        </w:rPr>
      </w:pPr>
    </w:p>
    <w:p>
      <w:pPr>
        <w:jc w:val="both"/>
        <w:spacing w:after="0" w:line="259" w:lineRule="auto"/>
        <w:rPr>
          <w:sz w:val="20"/>
          <w:szCs w:val="20"/>
          <w:color w:val="auto"/>
        </w:rPr>
      </w:pPr>
      <w:r>
        <w:rPr>
          <w:rFonts w:ascii="Calibri" w:cs="Calibri" w:eastAsia="Calibri" w:hAnsi="Calibri"/>
          <w:sz w:val="13"/>
          <w:szCs w:val="13"/>
          <w:color w:val="51555C"/>
        </w:rPr>
        <w:t>As discussed in Note 9 to our unaudited, condensed consolidated fnancial statements in this report, total costs related to the Security Incident exceeded the limit of our insurance coverage in the frst quarter of 2022. Accordingly, the Security Incident has negatvely impacted, and we expect it to contnue for the foreseeable future to negatvely impact, our GAAP proftability and GAAP cash fow (see discussion regarding non-GAAP free cash fow and non-GAAP adjusted free cash fow on page 43). For the three and six months ended June 30, 2024, we incurred net pre-tax expenses of $1.8 million and $12.1 million, respectvely, related to the Security Incident, which included $1.8 million and $5.1 million, respectvely, for ongoing legal fees and additonal accruals for loss contngencies of $0.0 million and $7.0 million, respectvely. During the six months ended June 30, 2024, we had cash outlays of $5.8 million related to the Security Incident for ongoing legal fees. In line with our policy, legal fees are expensed as incurred. For full year 2024, we currently expect pre-tax expenses of approximately $5.0 million to $10.0 million and cash outlays of approximately $8.0 million to $13.0 million for ongoing legal fees related to the Security Incident. Not included in these ranges are our previous setlements or current accruals for loss contngencies related to the maters discussed below.</w:t>
      </w:r>
    </w:p>
    <w:p>
      <w:pPr>
        <w:spacing w:after="0" w:line="117" w:lineRule="exact"/>
        <w:rPr>
          <w:sz w:val="20"/>
          <w:szCs w:val="20"/>
          <w:color w:val="auto"/>
        </w:rPr>
      </w:pPr>
    </w:p>
    <w:p>
      <w:pPr>
        <w:jc w:val="both"/>
        <w:spacing w:after="0" w:line="237" w:lineRule="auto"/>
        <w:rPr>
          <w:sz w:val="20"/>
          <w:szCs w:val="20"/>
          <w:color w:val="auto"/>
        </w:rPr>
      </w:pPr>
      <w:r>
        <w:rPr>
          <w:rFonts w:ascii="Calibri" w:cs="Calibri" w:eastAsia="Calibri" w:hAnsi="Calibri"/>
          <w:sz w:val="14"/>
          <w:szCs w:val="14"/>
          <w:color w:val="51555C"/>
        </w:rPr>
        <w:t>As of June 30, 2024, we have recorded approximately $8.5 million in aggregate liabilites for loss contngencies, which included $6.8 million for our setlement with the Atorney General of the State of California on June 13, 2024 that we paid in the third quarter of 2024, and other accruals based primarily on recent negotatons with certain customers related to the Security Incident that we believed we could reasonably estmate in accordance with our loss contngency procedures described above and as more fully described in Note 9. It is reasonably possible that our estmated actual losses may change in the near term for those maters and be materially in excess of the amounts accrued, but we are unable at this tme to reasonably estmate the possible additonal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6268720</wp:posOffset>
            </wp:positionH>
            <wp:positionV relativeFrom="paragraph">
              <wp:posOffset>195580</wp:posOffset>
            </wp:positionV>
            <wp:extent cx="518795" cy="1346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8795" cy="134620"/>
                    </a:xfrm>
                    <a:prstGeom prst="rect">
                      <a:avLst/>
                    </a:prstGeom>
                    <a:noFill/>
                  </pic:spPr>
                </pic:pic>
              </a:graphicData>
            </a:graphic>
          </wp:anchor>
        </w:drawing>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0400" w:type="dxa"/>
            <w:vAlign w:val="bottom"/>
          </w:tcPr>
          <w:p>
            <w:pPr>
              <w:ind w:left="8160"/>
              <w:spacing w:after="0"/>
              <w:rPr>
                <w:sz w:val="20"/>
                <w:szCs w:val="20"/>
                <w:color w:val="auto"/>
              </w:rPr>
            </w:pPr>
            <w:r>
              <w:rPr>
                <w:rFonts w:ascii="Calibri" w:cs="Calibri" w:eastAsia="Calibri" w:hAnsi="Calibri"/>
                <w:sz w:val="11"/>
                <w:szCs w:val="11"/>
                <w:color w:val="51555C"/>
              </w:rPr>
              <w:t>Second Quarter 2024 Form 10-Q</w:t>
            </w:r>
          </w:p>
        </w:tc>
        <w:tc>
          <w:tcPr>
            <w:tcW w:w="880" w:type="dxa"/>
            <w:vAlign w:val="bottom"/>
          </w:tcPr>
          <w:p>
            <w:pPr>
              <w:jc w:val="right"/>
              <w:spacing w:after="0"/>
              <w:rPr>
                <w:sz w:val="20"/>
                <w:szCs w:val="20"/>
                <w:color w:val="auto"/>
              </w:rPr>
            </w:pPr>
            <w:r>
              <w:rPr>
                <w:rFonts w:ascii="Calibri" w:cs="Calibri" w:eastAsia="Calibri" w:hAnsi="Calibri"/>
                <w:sz w:val="11"/>
                <w:szCs w:val="11"/>
                <w:color w:val="51555C"/>
              </w:rPr>
              <w:t>31</w:t>
            </w:r>
          </w:p>
        </w:tc>
      </w:tr>
      <w:tr>
        <w:trPr>
          <w:trHeight w:val="270"/>
        </w:trPr>
        <w:tc>
          <w:tcPr>
            <w:tcW w:w="10400" w:type="dxa"/>
            <w:vAlign w:val="bottom"/>
            <w:tcBorders>
              <w:bottom w:val="single" w:sz="8" w:color="9A9A9A"/>
            </w:tcBorders>
          </w:tcPr>
          <w:p>
            <w:pPr>
              <w:spacing w:after="0"/>
              <w:rPr>
                <w:sz w:val="23"/>
                <w:szCs w:val="23"/>
                <w:color w:val="auto"/>
              </w:rPr>
            </w:pPr>
          </w:p>
        </w:tc>
        <w:tc>
          <w:tcPr>
            <w:tcW w:w="88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32" w:name="page33"/>
    <w:bookmarkEnd w:id="32"/>
    <w:p>
      <w:pPr>
        <w:spacing w:after="0"/>
        <w:rPr>
          <w:sz w:val="20"/>
          <w:szCs w:val="20"/>
          <w:color w:val="auto"/>
        </w:rPr>
      </w:pPr>
      <w:r>
        <w:rPr>
          <w:rFonts w:ascii="Calibri" w:cs="Calibri" w:eastAsia="Calibri" w:hAnsi="Calibri"/>
          <w:sz w:val="11"/>
          <w:szCs w:val="11"/>
          <w:u w:val="single" w:color="auto"/>
          <w:color w:val="7A04DD"/>
        </w:rPr>
        <w:t>Table of Contents</w:t>
      </w:r>
    </w:p>
    <w:p>
      <w:pPr>
        <w:spacing w:after="0" w:line="196" w:lineRule="exact"/>
        <w:rPr>
          <w:sz w:val="20"/>
          <w:szCs w:val="20"/>
          <w:color w:val="auto"/>
        </w:rPr>
      </w:pPr>
    </w:p>
    <w:p>
      <w:pPr>
        <w:jc w:val="center"/>
        <w:spacing w:after="0"/>
        <w:rPr>
          <w:sz w:val="20"/>
          <w:szCs w:val="20"/>
          <w:color w:val="auto"/>
        </w:rPr>
      </w:pPr>
      <w:r>
        <w:rPr>
          <w:rFonts w:ascii="Calibri" w:cs="Calibri" w:eastAsia="Calibri" w:hAnsi="Calibri"/>
          <w:sz w:val="14"/>
          <w:szCs w:val="14"/>
          <w:b w:val="1"/>
          <w:bCs w:val="1"/>
          <w:color w:val="51555C"/>
        </w:rPr>
        <w:t>Blackbaud, Inc.</w:t>
      </w:r>
    </w:p>
    <w:p>
      <w:pPr>
        <w:jc w:val="center"/>
        <w:spacing w:after="0" w:line="238" w:lineRule="auto"/>
        <w:rPr>
          <w:sz w:val="20"/>
          <w:szCs w:val="20"/>
          <w:color w:val="auto"/>
        </w:rPr>
      </w:pPr>
      <w:r>
        <w:rPr>
          <w:rFonts w:ascii="Calibri" w:cs="Calibri" w:eastAsia="Calibri" w:hAnsi="Calibri"/>
          <w:sz w:val="14"/>
          <w:szCs w:val="14"/>
          <w:b w:val="1"/>
          <w:bCs w:val="1"/>
          <w:color w:val="51555C"/>
        </w:rPr>
        <w:t>(Unaudited)</w:t>
      </w:r>
    </w:p>
    <w:p>
      <w:pPr>
        <w:spacing w:after="0" w:line="200" w:lineRule="exact"/>
        <w:rPr>
          <w:sz w:val="20"/>
          <w:szCs w:val="20"/>
          <w:color w:val="auto"/>
        </w:rPr>
      </w:pPr>
    </w:p>
    <w:p>
      <w:pPr>
        <w:spacing w:after="0" w:line="279" w:lineRule="exact"/>
        <w:rPr>
          <w:sz w:val="20"/>
          <w:szCs w:val="20"/>
          <w:color w:val="auto"/>
        </w:rPr>
      </w:pPr>
    </w:p>
    <w:p>
      <w:pPr>
        <w:jc w:val="both"/>
        <w:spacing w:after="0" w:line="237" w:lineRule="auto"/>
        <w:rPr>
          <w:sz w:val="20"/>
          <w:szCs w:val="20"/>
          <w:color w:val="auto"/>
        </w:rPr>
      </w:pPr>
      <w:r>
        <w:rPr>
          <w:rFonts w:ascii="Calibri" w:cs="Calibri" w:eastAsia="Calibri" w:hAnsi="Calibri"/>
          <w:sz w:val="14"/>
          <w:szCs w:val="14"/>
          <w:color w:val="51555C"/>
        </w:rPr>
        <w:t>There are other Security Incident-related maters, including customer claims, customer consttuent class actons and governmental investgatons, for which we have not recorded a liability for a loss contngency as of June 30, 2024 because we are unable at this tme to reasonably estmate the possible loss or range of loss. Each of these maters could, separately or in the aggregate, result in an adverse judgment, setlement, fne, penalty or other resoluton, the amount, scope and tming of which we are currently unable to predict, but could have a material adverse impact on our results of operatons, cash fows or fnancial conditon.</w:t>
      </w:r>
    </w:p>
    <w:p>
      <w:pPr>
        <w:spacing w:after="0" w:line="206" w:lineRule="exact"/>
        <w:rPr>
          <w:sz w:val="20"/>
          <w:szCs w:val="20"/>
          <w:color w:val="auto"/>
        </w:rPr>
      </w:pPr>
    </w:p>
    <w:p>
      <w:pPr>
        <w:ind w:left="20"/>
        <w:spacing w:after="0"/>
        <w:rPr>
          <w:sz w:val="20"/>
          <w:szCs w:val="20"/>
          <w:color w:val="auto"/>
        </w:rPr>
      </w:pPr>
      <w:r>
        <w:rPr>
          <w:rFonts w:ascii="Calibri" w:cs="Calibri" w:eastAsia="Calibri" w:hAnsi="Calibri"/>
          <w:sz w:val="17"/>
          <w:szCs w:val="17"/>
          <w:b w:val="1"/>
          <w:bCs w:val="1"/>
          <w:color w:val="006880"/>
        </w:rPr>
        <w:t>Results of Operatons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27305</wp:posOffset>
            </wp:positionV>
            <wp:extent cx="7161530" cy="69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51555C"/>
        </w:rPr>
        <w:t>Comparison of the three and six months ended June 30, 2024 and 2023</w:t>
      </w:r>
    </w:p>
    <w:p>
      <w:pPr>
        <w:spacing w:after="0" w:line="169"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51555C"/>
        </w:rPr>
        <w:t>Revenue and Cost of Revenue</w:t>
      </w:r>
    </w:p>
    <w:p>
      <w:pPr>
        <w:spacing w:after="0" w:line="275" w:lineRule="exact"/>
        <w:rPr>
          <w:sz w:val="20"/>
          <w:szCs w:val="20"/>
          <w:color w:val="auto"/>
        </w:rPr>
      </w:pPr>
    </w:p>
    <w:p>
      <w:pPr>
        <w:ind w:left="20"/>
        <w:spacing w:after="0"/>
        <w:rPr>
          <w:sz w:val="20"/>
          <w:szCs w:val="20"/>
          <w:color w:val="auto"/>
        </w:rPr>
      </w:pPr>
      <w:r>
        <w:rPr>
          <w:rFonts w:ascii="Calibri" w:cs="Calibri" w:eastAsia="Calibri" w:hAnsi="Calibri"/>
          <w:sz w:val="14"/>
          <w:szCs w:val="14"/>
          <w:i w:val="1"/>
          <w:iCs w:val="1"/>
          <w:color w:val="51555C"/>
        </w:rPr>
        <w:t>Recurring</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80" w:type="dxa"/>
            <w:vAlign w:val="bottom"/>
          </w:tcPr>
          <w:p>
            <w:pPr>
              <w:jc w:val="center"/>
              <w:spacing w:after="0"/>
              <w:rPr>
                <w:sz w:val="20"/>
                <w:szCs w:val="20"/>
                <w:color w:val="auto"/>
              </w:rPr>
            </w:pPr>
            <w:r>
              <w:rPr>
                <w:rFonts w:ascii="Calibri" w:cs="Calibri" w:eastAsia="Calibri" w:hAnsi="Calibri"/>
                <w:sz w:val="14"/>
                <w:szCs w:val="14"/>
                <w:i w:val="1"/>
                <w:iCs w:val="1"/>
                <w:color w:val="51555C"/>
              </w:rPr>
              <w:t>Gross proft ($M)</w:t>
            </w:r>
          </w:p>
        </w:tc>
      </w:tr>
      <w:tr>
        <w:trPr>
          <w:trHeight w:val="170"/>
        </w:trPr>
        <w:tc>
          <w:tcPr>
            <w:tcW w:w="2520" w:type="dxa"/>
            <w:vAlign w:val="bottom"/>
            <w:gridSpan w:val="2"/>
          </w:tcPr>
          <w:p>
            <w:pPr>
              <w:jc w:val="center"/>
              <w:ind w:right="320"/>
              <w:spacing w:after="0" w:line="170" w:lineRule="exact"/>
              <w:rPr>
                <w:sz w:val="20"/>
                <w:szCs w:val="20"/>
                <w:color w:val="auto"/>
              </w:rPr>
            </w:pPr>
            <w:r>
              <w:rPr>
                <w:rFonts w:ascii="Calibri" w:cs="Calibri" w:eastAsia="Calibri" w:hAnsi="Calibri"/>
                <w:sz w:val="14"/>
                <w:szCs w:val="14"/>
                <w:i w:val="1"/>
                <w:iCs w:val="1"/>
                <w:color w:val="51555C"/>
                <w:w w:val="96"/>
              </w:rPr>
              <w:t>Revenue ($M)</w:t>
            </w:r>
          </w:p>
        </w:tc>
        <w:tc>
          <w:tcPr>
            <w:tcW w:w="2460" w:type="dxa"/>
            <w:vAlign w:val="bottom"/>
            <w:gridSpan w:val="2"/>
          </w:tcPr>
          <w:p>
            <w:pPr>
              <w:jc w:val="center"/>
              <w:ind w:right="340"/>
              <w:spacing w:after="0" w:line="170" w:lineRule="exact"/>
              <w:rPr>
                <w:sz w:val="20"/>
                <w:szCs w:val="20"/>
                <w:color w:val="auto"/>
              </w:rPr>
            </w:pPr>
            <w:r>
              <w:rPr>
                <w:rFonts w:ascii="Calibri" w:cs="Calibri" w:eastAsia="Calibri" w:hAnsi="Calibri"/>
                <w:sz w:val="14"/>
                <w:szCs w:val="14"/>
                <w:i w:val="1"/>
                <w:iCs w:val="1"/>
                <w:color w:val="51555C"/>
                <w:w w:val="97"/>
              </w:rPr>
              <w:t>Cost of revenue ($M)</w:t>
            </w:r>
          </w:p>
        </w:tc>
        <w:tc>
          <w:tcPr>
            <w:tcW w:w="2280" w:type="dxa"/>
            <w:vAlign w:val="bottom"/>
          </w:tcPr>
          <w:p>
            <w:pPr>
              <w:jc w:val="center"/>
              <w:spacing w:after="0" w:line="170" w:lineRule="exact"/>
              <w:rPr>
                <w:sz w:val="20"/>
                <w:szCs w:val="20"/>
                <w:color w:val="auto"/>
              </w:rPr>
            </w:pPr>
            <w:r>
              <w:rPr>
                <w:rFonts w:ascii="Calibri" w:cs="Calibri" w:eastAsia="Calibri" w:hAnsi="Calibri"/>
                <w:sz w:val="14"/>
                <w:szCs w:val="14"/>
                <w:i w:val="1"/>
                <w:iCs w:val="1"/>
                <w:color w:val="51555C"/>
                <w:w w:val="99"/>
              </w:rPr>
              <w:t>and gross margin (%)</w:t>
            </w:r>
          </w:p>
        </w:tc>
      </w:tr>
      <w:tr>
        <w:trPr>
          <w:trHeight w:val="40"/>
        </w:trPr>
        <w:tc>
          <w:tcPr>
            <w:tcW w:w="2200" w:type="dxa"/>
            <w:vAlign w:val="bottom"/>
            <w:tcBorders>
              <w:bottom w:val="single" w:sz="8" w:color="51555C"/>
            </w:tcBorders>
          </w:tcPr>
          <w:p>
            <w:pPr>
              <w:spacing w:after="0"/>
              <w:rPr>
                <w:sz w:val="3"/>
                <w:szCs w:val="3"/>
                <w:color w:val="auto"/>
              </w:rPr>
            </w:pPr>
          </w:p>
        </w:tc>
        <w:tc>
          <w:tcPr>
            <w:tcW w:w="320" w:type="dxa"/>
            <w:vAlign w:val="bottom"/>
          </w:tcPr>
          <w:p>
            <w:pPr>
              <w:spacing w:after="0"/>
              <w:rPr>
                <w:sz w:val="3"/>
                <w:szCs w:val="3"/>
                <w:color w:val="auto"/>
              </w:rPr>
            </w:pPr>
          </w:p>
        </w:tc>
        <w:tc>
          <w:tcPr>
            <w:tcW w:w="2140" w:type="dxa"/>
            <w:vAlign w:val="bottom"/>
            <w:tcBorders>
              <w:bottom w:val="single" w:sz="8" w:color="51555C"/>
            </w:tcBorders>
          </w:tcPr>
          <w:p>
            <w:pPr>
              <w:spacing w:after="0"/>
              <w:rPr>
                <w:sz w:val="3"/>
                <w:szCs w:val="3"/>
                <w:color w:val="auto"/>
              </w:rPr>
            </w:pPr>
          </w:p>
        </w:tc>
        <w:tc>
          <w:tcPr>
            <w:tcW w:w="320" w:type="dxa"/>
            <w:vAlign w:val="bottom"/>
          </w:tcPr>
          <w:p>
            <w:pPr>
              <w:spacing w:after="0"/>
              <w:rPr>
                <w:sz w:val="3"/>
                <w:szCs w:val="3"/>
                <w:color w:val="auto"/>
              </w:rPr>
            </w:pPr>
          </w:p>
        </w:tc>
        <w:tc>
          <w:tcPr>
            <w:tcW w:w="2280" w:type="dxa"/>
            <w:vAlign w:val="bottom"/>
            <w:tcBorders>
              <w:bottom w:val="single" w:sz="8" w:color="51555C"/>
            </w:tcBorders>
          </w:tcPr>
          <w:p>
            <w:pPr>
              <w:spacing w:after="0"/>
              <w:rPr>
                <w:sz w:val="3"/>
                <w:szCs w:val="3"/>
                <w:color w:val="auto"/>
              </w:rPr>
            </w:pPr>
          </w:p>
        </w:tc>
      </w:tr>
      <w:tr>
        <w:trPr>
          <w:trHeight w:val="163"/>
        </w:trPr>
        <w:tc>
          <w:tcPr>
            <w:tcW w:w="2520" w:type="dxa"/>
            <w:vAlign w:val="bottom"/>
            <w:gridSpan w:val="2"/>
          </w:tcPr>
          <w:p>
            <w:pPr>
              <w:jc w:val="center"/>
              <w:ind w:right="340"/>
              <w:spacing w:after="0"/>
              <w:rPr>
                <w:sz w:val="20"/>
                <w:szCs w:val="20"/>
                <w:color w:val="auto"/>
              </w:rPr>
            </w:pPr>
            <w:r>
              <w:rPr>
                <w:rFonts w:ascii="Calibri" w:cs="Calibri" w:eastAsia="Calibri" w:hAnsi="Calibri"/>
                <w:sz w:val="10"/>
                <w:szCs w:val="10"/>
                <w:i w:val="1"/>
                <w:iCs w:val="1"/>
                <w:color w:val="51555C"/>
                <w:w w:val="98"/>
              </w:rPr>
              <w:t>YoY Growth (%)</w:t>
            </w:r>
          </w:p>
        </w:tc>
        <w:tc>
          <w:tcPr>
            <w:tcW w:w="2460" w:type="dxa"/>
            <w:vAlign w:val="bottom"/>
            <w:gridSpan w:val="2"/>
          </w:tcPr>
          <w:p>
            <w:pPr>
              <w:jc w:val="center"/>
              <w:ind w:right="320"/>
              <w:spacing w:after="0"/>
              <w:rPr>
                <w:sz w:val="20"/>
                <w:szCs w:val="20"/>
                <w:color w:val="auto"/>
              </w:rPr>
            </w:pPr>
            <w:r>
              <w:rPr>
                <w:rFonts w:ascii="Calibri" w:cs="Calibri" w:eastAsia="Calibri" w:hAnsi="Calibri"/>
                <w:sz w:val="10"/>
                <w:szCs w:val="10"/>
                <w:i w:val="1"/>
                <w:iCs w:val="1"/>
                <w:color w:val="51555C"/>
                <w:w w:val="98"/>
              </w:rPr>
              <w:t>YoY Growth (%)</w:t>
            </w:r>
          </w:p>
        </w:tc>
        <w:tc>
          <w:tcPr>
            <w:tcW w:w="228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139700</wp:posOffset>
            </wp:positionV>
            <wp:extent cx="4567555" cy="23647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567555" cy="2364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alibri" w:cs="Calibri" w:eastAsia="Calibri" w:hAnsi="Calibri"/>
          <w:sz w:val="14"/>
          <w:szCs w:val="14"/>
          <w:color w:val="51555C"/>
        </w:rPr>
        <w:t>Recurring revenue includes two components: contractual recurring and transactonal recurring.</w:t>
      </w:r>
    </w:p>
    <w:p>
      <w:pPr>
        <w:spacing w:after="0" w:line="129" w:lineRule="exact"/>
        <w:rPr>
          <w:sz w:val="20"/>
          <w:szCs w:val="20"/>
          <w:color w:val="auto"/>
        </w:rPr>
      </w:pPr>
    </w:p>
    <w:p>
      <w:pPr>
        <w:spacing w:after="0" w:line="237" w:lineRule="auto"/>
        <w:rPr>
          <w:sz w:val="20"/>
          <w:szCs w:val="20"/>
          <w:color w:val="auto"/>
        </w:rPr>
      </w:pPr>
      <w:r>
        <w:rPr>
          <w:rFonts w:ascii="Calibri" w:cs="Calibri" w:eastAsia="Calibri" w:hAnsi="Calibri"/>
          <w:sz w:val="14"/>
          <w:szCs w:val="14"/>
          <w:color w:val="51555C"/>
        </w:rPr>
        <w:t>Contractual recurring revenue is primarily comprised of fees for the use of our subscripton-based sofware solutons, which includes providing access to cloud solutons, Impact-as-a-Service™ digital educatonal content, online training programs and subscripton-based analytc services. Contractual recurring revenue also includes fees from maintenance services for our on-premises solutons.</w:t>
      </w:r>
    </w:p>
    <w:p>
      <w:pPr>
        <w:spacing w:after="0" w:line="126" w:lineRule="exact"/>
        <w:rPr>
          <w:sz w:val="20"/>
          <w:szCs w:val="20"/>
          <w:color w:val="auto"/>
        </w:rPr>
      </w:pPr>
    </w:p>
    <w:p>
      <w:pPr>
        <w:spacing w:after="0"/>
        <w:rPr>
          <w:sz w:val="20"/>
          <w:szCs w:val="20"/>
          <w:color w:val="auto"/>
        </w:rPr>
      </w:pPr>
      <w:r>
        <w:rPr>
          <w:rFonts w:ascii="Calibri" w:cs="Calibri" w:eastAsia="Calibri" w:hAnsi="Calibri"/>
          <w:sz w:val="14"/>
          <w:szCs w:val="14"/>
          <w:color w:val="51555C"/>
        </w:rPr>
        <w:t>Transactonal recurring revenue is comprised of transacton fees associated with the use of our solutons, including donaton processing, tuiton management, consumer giving and event-based usage.</w:t>
      </w:r>
    </w:p>
    <w:p>
      <w:pPr>
        <w:spacing w:after="0" w:line="265" w:lineRule="exact"/>
        <w:rPr>
          <w:sz w:val="20"/>
          <w:szCs w:val="20"/>
          <w:color w:val="auto"/>
        </w:rPr>
      </w:pPr>
    </w:p>
    <w:p>
      <w:pPr>
        <w:ind w:left="20"/>
        <w:spacing w:after="0"/>
        <w:tabs>
          <w:tab w:leader="none" w:pos="589" w:val="left"/>
        </w:tabs>
        <w:rPr>
          <w:sz w:val="20"/>
          <w:szCs w:val="20"/>
          <w:color w:val="auto"/>
        </w:rPr>
      </w:pPr>
      <w:r>
        <w:rPr>
          <w:rFonts w:ascii="Calibri" w:cs="Calibri" w:eastAsia="Calibri" w:hAnsi="Calibri"/>
          <w:sz w:val="11"/>
          <w:szCs w:val="11"/>
          <w:color w:val="51555C"/>
        </w:rPr>
        <w:t>32</w:t>
      </w:r>
      <w:r>
        <w:rPr>
          <w:sz w:val="20"/>
          <w:szCs w:val="20"/>
          <w:color w:val="auto"/>
        </w:rPr>
        <w:tab/>
      </w:r>
      <w:r>
        <w:rPr>
          <w:sz w:val="1"/>
          <w:szCs w:val="1"/>
          <w:color w:val="auto"/>
        </w:rPr>
        <w:drawing>
          <wp:inline distT="0" distB="0" distL="0" distR="0">
            <wp:extent cx="511810" cy="134620"/>
            <wp:effectExtent l="0" t="0" r="0" b="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1810" cy="134620"/>
                    </a:xfrm>
                    <a:prstGeom prst="rect">
                      <a:avLst/>
                    </a:prstGeom>
                    <a:noFill/>
                    <a:ln>
                      <a:noFill/>
                    </a:ln>
                  </pic:spPr>
                </pic:pic>
              </a:graphicData>
            </a:graphic>
          </wp:inline>
        </w:drawing>
      </w:r>
      <w:r>
        <w:rPr>
          <w:rFonts w:ascii="Calibri" w:cs="Calibri" w:eastAsia="Calibri" w:hAnsi="Calibri"/>
          <w:sz w:val="11"/>
          <w:szCs w:val="11"/>
          <w:color w:val="51555C"/>
        </w:rPr>
        <w:t xml:space="preserve">    Second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135255</wp:posOffset>
            </wp:positionV>
            <wp:extent cx="7186930"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33" w:name="page34"/>
    <w:bookmarkEnd w:id="33"/>
    <w:p>
      <w:pPr>
        <w:spacing w:after="0"/>
        <w:rPr>
          <w:sz w:val="20"/>
          <w:szCs w:val="20"/>
          <w:color w:val="auto"/>
        </w:rPr>
      </w:pPr>
      <w:r>
        <w:rPr>
          <w:rFonts w:ascii="Calibri" w:cs="Calibri" w:eastAsia="Calibri" w:hAnsi="Calibri"/>
          <w:sz w:val="11"/>
          <w:szCs w:val="11"/>
          <w:u w:val="single" w:color="auto"/>
          <w:color w:val="7A04DD"/>
        </w:rPr>
        <w:t>Table of Contents</w:t>
      </w:r>
    </w:p>
    <w:p>
      <w:pPr>
        <w:spacing w:after="0" w:line="196" w:lineRule="exact"/>
        <w:rPr>
          <w:sz w:val="20"/>
          <w:szCs w:val="20"/>
          <w:color w:val="auto"/>
        </w:rPr>
      </w:pPr>
    </w:p>
    <w:p>
      <w:pPr>
        <w:jc w:val="center"/>
        <w:spacing w:after="0"/>
        <w:rPr>
          <w:sz w:val="20"/>
          <w:szCs w:val="20"/>
          <w:color w:val="auto"/>
        </w:rPr>
      </w:pPr>
      <w:r>
        <w:rPr>
          <w:rFonts w:ascii="Calibri" w:cs="Calibri" w:eastAsia="Calibri" w:hAnsi="Calibri"/>
          <w:sz w:val="14"/>
          <w:szCs w:val="14"/>
          <w:b w:val="1"/>
          <w:bCs w:val="1"/>
          <w:color w:val="51555C"/>
        </w:rPr>
        <w:t>Blackbaud, Inc.</w:t>
      </w:r>
    </w:p>
    <w:p>
      <w:pPr>
        <w:jc w:val="center"/>
        <w:spacing w:after="0" w:line="238" w:lineRule="auto"/>
        <w:rPr>
          <w:sz w:val="20"/>
          <w:szCs w:val="20"/>
          <w:color w:val="auto"/>
        </w:rPr>
      </w:pPr>
      <w:r>
        <w:rPr>
          <w:rFonts w:ascii="Calibri" w:cs="Calibri" w:eastAsia="Calibri" w:hAnsi="Calibri"/>
          <w:sz w:val="14"/>
          <w:szCs w:val="14"/>
          <w:b w:val="1"/>
          <w:bCs w:val="1"/>
          <w:color w:val="51555C"/>
        </w:rPr>
        <w:t>(Unaudited)</w:t>
      </w:r>
    </w:p>
    <w:p>
      <w:pPr>
        <w:spacing w:after="0" w:line="200" w:lineRule="exact"/>
        <w:rPr>
          <w:sz w:val="20"/>
          <w:szCs w:val="20"/>
          <w:color w:val="auto"/>
        </w:rPr>
      </w:pPr>
    </w:p>
    <w:p>
      <w:pPr>
        <w:spacing w:after="0" w:line="279" w:lineRule="exact"/>
        <w:rPr>
          <w:sz w:val="20"/>
          <w:szCs w:val="20"/>
          <w:color w:val="auto"/>
        </w:rPr>
      </w:pPr>
    </w:p>
    <w:p>
      <w:pPr>
        <w:jc w:val="both"/>
        <w:spacing w:after="0" w:line="237" w:lineRule="auto"/>
        <w:rPr>
          <w:sz w:val="20"/>
          <w:szCs w:val="20"/>
          <w:color w:val="auto"/>
        </w:rPr>
      </w:pPr>
      <w:r>
        <w:rPr>
          <w:rFonts w:ascii="Calibri" w:cs="Calibri" w:eastAsia="Calibri" w:hAnsi="Calibri"/>
          <w:sz w:val="14"/>
          <w:szCs w:val="14"/>
          <w:color w:val="51555C"/>
        </w:rPr>
        <w:t>Cost of recurring revenue is primarily comprised of compensaton costs for customer support and producton IT personnel, hostng and data center costs, third-party contractor expenses, third-party royalty and data expenses, allocated depreciaton, facilites and IT support costs, amortzaton of intangible assets from business combinatons, amortzaton of sofware development costs, transacton-based costs related to payments services including remitances of amounts due to third-partes and other costs incurred in providing support and recurring services to our customers.</w:t>
      </w:r>
    </w:p>
    <w:p>
      <w:pPr>
        <w:spacing w:after="0" w:line="130" w:lineRule="exact"/>
        <w:rPr>
          <w:sz w:val="20"/>
          <w:szCs w:val="20"/>
          <w:color w:val="auto"/>
        </w:rPr>
      </w:pPr>
    </w:p>
    <w:p>
      <w:pPr>
        <w:jc w:val="both"/>
        <w:spacing w:after="0" w:line="237" w:lineRule="auto"/>
        <w:rPr>
          <w:sz w:val="20"/>
          <w:szCs w:val="20"/>
          <w:color w:val="auto"/>
        </w:rPr>
      </w:pPr>
      <w:r>
        <w:rPr>
          <w:rFonts w:ascii="Calibri" w:cs="Calibri" w:eastAsia="Calibri" w:hAnsi="Calibri"/>
          <w:sz w:val="14"/>
          <w:szCs w:val="14"/>
          <w:color w:val="51555C"/>
        </w:rPr>
        <w:t>Our customers contnue to prefer cloud subscripton oferings with integrated analytcs, training and payment services. We intend to contnue focusing on innovaton, quality and integraton of our cloud solutons, which we believe will drive future revenue growth.</w:t>
      </w:r>
    </w:p>
    <w:p>
      <w:pPr>
        <w:spacing w:after="0" w:line="129" w:lineRule="exact"/>
        <w:rPr>
          <w:sz w:val="20"/>
          <w:szCs w:val="20"/>
          <w:color w:val="auto"/>
        </w:rPr>
      </w:pPr>
    </w:p>
    <w:p>
      <w:pPr>
        <w:jc w:val="both"/>
        <w:spacing w:after="0" w:line="237" w:lineRule="auto"/>
        <w:rPr>
          <w:sz w:val="20"/>
          <w:szCs w:val="20"/>
          <w:color w:val="auto"/>
        </w:rPr>
      </w:pPr>
      <w:r>
        <w:rPr>
          <w:rFonts w:ascii="Calibri" w:cs="Calibri" w:eastAsia="Calibri" w:hAnsi="Calibri"/>
          <w:sz w:val="14"/>
          <w:szCs w:val="14"/>
          <w:color w:val="51555C"/>
        </w:rPr>
        <w:t>Recurring revenue increased by $19.0 million, or 7.2%, and $37.8 million, or 7.3%, during the three and six months ended June 30, 2024, respectvely, when compared to the same periods in 2023, driven primarily by the following:</w:t>
      </w:r>
    </w:p>
    <w:p>
      <w:pPr>
        <w:spacing w:after="0" w:line="129" w:lineRule="exact"/>
        <w:rPr>
          <w:sz w:val="20"/>
          <w:szCs w:val="20"/>
          <w:color w:val="auto"/>
        </w:rPr>
      </w:pPr>
    </w:p>
    <w:p>
      <w:pPr>
        <w:ind w:left="660" w:right="20" w:hanging="329"/>
        <w:spacing w:after="0" w:line="189" w:lineRule="auto"/>
        <w:tabs>
          <w:tab w:leader="none" w:pos="660" w:val="left"/>
        </w:tabs>
        <w:numPr>
          <w:ilvl w:val="0"/>
          <w:numId w:val="17"/>
        </w:numPr>
        <w:rPr>
          <w:rFonts w:ascii="Calibri" w:cs="Calibri" w:eastAsia="Calibri" w:hAnsi="Calibri"/>
          <w:sz w:val="23"/>
          <w:szCs w:val="23"/>
          <w:color w:val="51555C"/>
          <w:vertAlign w:val="superscript"/>
        </w:rPr>
      </w:pPr>
      <w:r>
        <w:rPr>
          <w:rFonts w:ascii="Calibri" w:cs="Calibri" w:eastAsia="Calibri" w:hAnsi="Calibri"/>
          <w:sz w:val="12"/>
          <w:szCs w:val="12"/>
          <w:color w:val="51555C"/>
        </w:rPr>
        <w:t>Increases in contractual recurring revenue of $12.3 million and $25.6 million, respectvely, related to the impact of our modernized contract initatve and pricing within the Social Sector as well as the performance of our cloud solutons; partally ofset by decreases in revenue from EVERFI (as discussed above) and maintenance revenue;</w:t>
      </w:r>
    </w:p>
    <w:p>
      <w:pPr>
        <w:spacing w:after="0" w:line="45" w:lineRule="exact"/>
        <w:rPr>
          <w:rFonts w:ascii="Calibri" w:cs="Calibri" w:eastAsia="Calibri" w:hAnsi="Calibri"/>
          <w:sz w:val="23"/>
          <w:szCs w:val="23"/>
          <w:color w:val="51555C"/>
          <w:vertAlign w:val="superscript"/>
        </w:rPr>
      </w:pPr>
    </w:p>
    <w:p>
      <w:pPr>
        <w:ind w:left="660" w:right="20" w:hanging="329"/>
        <w:spacing w:after="0" w:line="237" w:lineRule="auto"/>
        <w:tabs>
          <w:tab w:leader="none" w:pos="660" w:val="left"/>
        </w:tabs>
        <w:numPr>
          <w:ilvl w:val="0"/>
          <w:numId w:val="17"/>
        </w:numPr>
        <w:rPr>
          <w:rFonts w:ascii="Calibri" w:cs="Calibri" w:eastAsia="Calibri" w:hAnsi="Calibri"/>
          <w:sz w:val="14"/>
          <w:szCs w:val="14"/>
          <w:color w:val="51555C"/>
        </w:rPr>
      </w:pPr>
      <w:r>
        <w:rPr>
          <w:rFonts w:ascii="Calibri" w:cs="Calibri" w:eastAsia="Calibri" w:hAnsi="Calibri"/>
          <w:sz w:val="14"/>
          <w:szCs w:val="14"/>
          <w:color w:val="51555C"/>
        </w:rPr>
        <w:t>Increases in transactonal recurring revenue of $6.7 million and $12.2 million, respectvely, primarily due to positve results related to pricing initatves we have implemented in the past twelve months and increases in volume for our JustGiving, Blackbaud Merchant Services and Blackbaud Tuiton Management solutons.</w:t>
      </w:r>
    </w:p>
    <w:p>
      <w:pPr>
        <w:spacing w:after="0" w:line="225" w:lineRule="exact"/>
        <w:rPr>
          <w:sz w:val="20"/>
          <w:szCs w:val="20"/>
          <w:color w:val="auto"/>
        </w:rPr>
      </w:pPr>
    </w:p>
    <w:p>
      <w:pPr>
        <w:spacing w:after="0" w:line="237" w:lineRule="auto"/>
        <w:rPr>
          <w:sz w:val="20"/>
          <w:szCs w:val="20"/>
          <w:color w:val="auto"/>
        </w:rPr>
      </w:pPr>
      <w:r>
        <w:rPr>
          <w:rFonts w:ascii="Calibri" w:cs="Calibri" w:eastAsia="Calibri" w:hAnsi="Calibri"/>
          <w:sz w:val="14"/>
          <w:szCs w:val="14"/>
          <w:color w:val="51555C"/>
        </w:rPr>
        <w:t>Cost of recurring revenue increased by $5.9 million, or 5.2%, and $10.6 million, or 4.6%, during the three and six months ended June 30, 2024, respectvely, when compared to the same periods in 2023, driven primarily by the following:</w:t>
      </w:r>
    </w:p>
    <w:p>
      <w:pPr>
        <w:spacing w:after="0" w:line="129" w:lineRule="exact"/>
        <w:rPr>
          <w:sz w:val="20"/>
          <w:szCs w:val="20"/>
          <w:color w:val="auto"/>
        </w:rPr>
      </w:pPr>
    </w:p>
    <w:p>
      <w:pPr>
        <w:ind w:left="660" w:right="60" w:hanging="329"/>
        <w:spacing w:after="0" w:line="189" w:lineRule="auto"/>
        <w:tabs>
          <w:tab w:leader="none" w:pos="660" w:val="left"/>
        </w:tabs>
        <w:numPr>
          <w:ilvl w:val="0"/>
          <w:numId w:val="18"/>
        </w:numPr>
        <w:rPr>
          <w:rFonts w:ascii="Calibri" w:cs="Calibri" w:eastAsia="Calibri" w:hAnsi="Calibri"/>
          <w:sz w:val="23"/>
          <w:szCs w:val="23"/>
          <w:color w:val="51555C"/>
          <w:vertAlign w:val="superscript"/>
        </w:rPr>
      </w:pPr>
      <w:r>
        <w:rPr>
          <w:rFonts w:ascii="Calibri" w:cs="Calibri" w:eastAsia="Calibri" w:hAnsi="Calibri"/>
          <w:sz w:val="12"/>
          <w:szCs w:val="12"/>
          <w:color w:val="51555C"/>
        </w:rPr>
        <w:t>Increases in amortzaton of intangible assets from business combinatons of $1.5 million and $3.1 million, respectvely, primarily due to our acquisiton of EVERFI in December 2021. Most of the acquired intangible assets are amortzed on a curve that represents the expected period of economic beneft.</w:t>
      </w:r>
    </w:p>
    <w:p>
      <w:pPr>
        <w:spacing w:after="0" w:line="1" w:lineRule="exact"/>
        <w:rPr>
          <w:rFonts w:ascii="Calibri" w:cs="Calibri" w:eastAsia="Calibri" w:hAnsi="Calibri"/>
          <w:sz w:val="23"/>
          <w:szCs w:val="23"/>
          <w:color w:val="51555C"/>
          <w:vertAlign w:val="superscript"/>
        </w:rPr>
      </w:pPr>
    </w:p>
    <w:p>
      <w:pPr>
        <w:ind w:left="660" w:hanging="329"/>
        <w:spacing w:after="0" w:line="185" w:lineRule="auto"/>
        <w:tabs>
          <w:tab w:leader="none" w:pos="660" w:val="left"/>
        </w:tabs>
        <w:numPr>
          <w:ilvl w:val="0"/>
          <w:numId w:val="18"/>
        </w:numPr>
        <w:rPr>
          <w:rFonts w:ascii="Calibri" w:cs="Calibri" w:eastAsia="Calibri" w:hAnsi="Calibri"/>
          <w:sz w:val="27"/>
          <w:szCs w:val="27"/>
          <w:color w:val="51555C"/>
          <w:vertAlign w:val="superscript"/>
        </w:rPr>
      </w:pPr>
      <w:r>
        <w:rPr>
          <w:rFonts w:ascii="Calibri" w:cs="Calibri" w:eastAsia="Calibri" w:hAnsi="Calibri"/>
          <w:sz w:val="14"/>
          <w:szCs w:val="14"/>
          <w:color w:val="51555C"/>
        </w:rPr>
        <w:t>Increases in third-party contractor costs of $1.2 million and $1.8 million, respectvely, largely related to enhancements to our cybersecurity program</w:t>
      </w:r>
    </w:p>
    <w:p>
      <w:pPr>
        <w:spacing w:after="0" w:line="115" w:lineRule="exact"/>
        <w:rPr>
          <w:rFonts w:ascii="Calibri" w:cs="Calibri" w:eastAsia="Calibri" w:hAnsi="Calibri"/>
          <w:sz w:val="27"/>
          <w:szCs w:val="27"/>
          <w:color w:val="51555C"/>
          <w:vertAlign w:val="superscript"/>
        </w:rPr>
      </w:pPr>
    </w:p>
    <w:p>
      <w:pPr>
        <w:ind w:left="660" w:right="60" w:hanging="329"/>
        <w:spacing w:after="0"/>
        <w:tabs>
          <w:tab w:leader="none" w:pos="660" w:val="left"/>
        </w:tabs>
        <w:numPr>
          <w:ilvl w:val="0"/>
          <w:numId w:val="18"/>
        </w:numPr>
        <w:rPr>
          <w:rFonts w:ascii="Calibri" w:cs="Calibri" w:eastAsia="Calibri" w:hAnsi="Calibri"/>
          <w:sz w:val="23"/>
          <w:szCs w:val="23"/>
          <w:color w:val="51555C"/>
          <w:vertAlign w:val="superscript"/>
        </w:rPr>
      </w:pPr>
      <w:r>
        <w:rPr>
          <w:rFonts w:ascii="Calibri" w:cs="Calibri" w:eastAsia="Calibri" w:hAnsi="Calibri"/>
          <w:sz w:val="12"/>
          <w:szCs w:val="12"/>
          <w:color w:val="51555C"/>
        </w:rPr>
        <w:t>Increases in transacton-based costs of $1.1 million and $2.6 million, respectvely, related to the increase in the volume of transactons for which we process payments and, to a lesser extent, increases in vendor rates</w:t>
      </w:r>
    </w:p>
    <w:p>
      <w:pPr>
        <w:spacing w:after="0" w:line="115" w:lineRule="exact"/>
        <w:rPr>
          <w:rFonts w:ascii="Calibri" w:cs="Calibri" w:eastAsia="Calibri" w:hAnsi="Calibri"/>
          <w:sz w:val="23"/>
          <w:szCs w:val="23"/>
          <w:color w:val="51555C"/>
          <w:vertAlign w:val="superscript"/>
        </w:rPr>
      </w:pPr>
    </w:p>
    <w:p>
      <w:pPr>
        <w:ind w:left="660" w:right="60" w:hanging="329"/>
        <w:spacing w:after="0" w:line="189" w:lineRule="auto"/>
        <w:tabs>
          <w:tab w:leader="none" w:pos="660" w:val="left"/>
        </w:tabs>
        <w:numPr>
          <w:ilvl w:val="0"/>
          <w:numId w:val="18"/>
        </w:numPr>
        <w:rPr>
          <w:rFonts w:ascii="Calibri" w:cs="Calibri" w:eastAsia="Calibri" w:hAnsi="Calibri"/>
          <w:sz w:val="23"/>
          <w:szCs w:val="23"/>
          <w:color w:val="51555C"/>
          <w:vertAlign w:val="superscript"/>
        </w:rPr>
      </w:pPr>
      <w:r>
        <w:rPr>
          <w:rFonts w:ascii="Calibri" w:cs="Calibri" w:eastAsia="Calibri" w:hAnsi="Calibri"/>
          <w:sz w:val="12"/>
          <w:szCs w:val="12"/>
          <w:color w:val="51555C"/>
        </w:rPr>
        <w:t>Increases in hostng and data center costs of $1.0 million and $2.3 million, respectvely, as we contnue to migrate our cloud infrastructure to leading public cloud service providers and make investments in security; currently, we expect our cloud infrastructure migraton eforts and increased level of cybersecurity investments to contnue for the foreseeable future</w:t>
      </w:r>
    </w:p>
    <w:p>
      <w:pPr>
        <w:spacing w:after="0" w:line="215" w:lineRule="exact"/>
        <w:rPr>
          <w:sz w:val="20"/>
          <w:szCs w:val="20"/>
          <w:color w:val="auto"/>
        </w:rPr>
      </w:pPr>
    </w:p>
    <w:p>
      <w:pPr>
        <w:spacing w:after="0" w:line="237" w:lineRule="auto"/>
        <w:rPr>
          <w:sz w:val="20"/>
          <w:szCs w:val="20"/>
          <w:color w:val="auto"/>
        </w:rPr>
      </w:pPr>
      <w:r>
        <w:rPr>
          <w:rFonts w:ascii="Calibri" w:cs="Calibri" w:eastAsia="Calibri" w:hAnsi="Calibri"/>
          <w:sz w:val="14"/>
          <w:szCs w:val="14"/>
          <w:color w:val="51555C"/>
        </w:rPr>
        <w:t>Recurring gross margin increased by 80 basis points and 110 basis points for the three and six months ended June 30, 2024, respectvely, when compared to the same periods in 2023, primarily due to the increases in recurring revenue outpacing the increases in cost of recurring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6268720</wp:posOffset>
            </wp:positionH>
            <wp:positionV relativeFrom="paragraph">
              <wp:posOffset>194310</wp:posOffset>
            </wp:positionV>
            <wp:extent cx="518795" cy="1346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8795" cy="134620"/>
                    </a:xfrm>
                    <a:prstGeom prst="rect">
                      <a:avLst/>
                    </a:prstGeom>
                    <a:noFill/>
                  </pic:spPr>
                </pic:pic>
              </a:graphicData>
            </a:graphic>
          </wp:anchor>
        </w:drawing>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0400" w:type="dxa"/>
            <w:vAlign w:val="bottom"/>
          </w:tcPr>
          <w:p>
            <w:pPr>
              <w:ind w:left="8160"/>
              <w:spacing w:after="0"/>
              <w:rPr>
                <w:sz w:val="20"/>
                <w:szCs w:val="20"/>
                <w:color w:val="auto"/>
              </w:rPr>
            </w:pPr>
            <w:r>
              <w:rPr>
                <w:rFonts w:ascii="Calibri" w:cs="Calibri" w:eastAsia="Calibri" w:hAnsi="Calibri"/>
                <w:sz w:val="11"/>
                <w:szCs w:val="11"/>
                <w:color w:val="51555C"/>
              </w:rPr>
              <w:t>Second Quarter 2024 Form 10-Q</w:t>
            </w:r>
          </w:p>
        </w:tc>
        <w:tc>
          <w:tcPr>
            <w:tcW w:w="880" w:type="dxa"/>
            <w:vAlign w:val="bottom"/>
          </w:tcPr>
          <w:p>
            <w:pPr>
              <w:jc w:val="right"/>
              <w:spacing w:after="0"/>
              <w:rPr>
                <w:sz w:val="20"/>
                <w:szCs w:val="20"/>
                <w:color w:val="auto"/>
              </w:rPr>
            </w:pPr>
            <w:r>
              <w:rPr>
                <w:rFonts w:ascii="Calibri" w:cs="Calibri" w:eastAsia="Calibri" w:hAnsi="Calibri"/>
                <w:sz w:val="11"/>
                <w:szCs w:val="11"/>
                <w:color w:val="51555C"/>
              </w:rPr>
              <w:t>33</w:t>
            </w:r>
          </w:p>
        </w:tc>
      </w:tr>
      <w:tr>
        <w:trPr>
          <w:trHeight w:val="270"/>
        </w:trPr>
        <w:tc>
          <w:tcPr>
            <w:tcW w:w="10400" w:type="dxa"/>
            <w:vAlign w:val="bottom"/>
            <w:tcBorders>
              <w:bottom w:val="single" w:sz="8" w:color="9A9A9A"/>
            </w:tcBorders>
          </w:tcPr>
          <w:p>
            <w:pPr>
              <w:spacing w:after="0"/>
              <w:rPr>
                <w:sz w:val="23"/>
                <w:szCs w:val="23"/>
                <w:color w:val="auto"/>
              </w:rPr>
            </w:pPr>
          </w:p>
        </w:tc>
        <w:tc>
          <w:tcPr>
            <w:tcW w:w="88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34" w:name="page35"/>
    <w:bookmarkEnd w:id="34"/>
    <w:p>
      <w:pPr>
        <w:spacing w:after="0"/>
        <w:rPr>
          <w:sz w:val="20"/>
          <w:szCs w:val="20"/>
          <w:color w:val="auto"/>
        </w:rPr>
      </w:pPr>
      <w:r>
        <w:rPr>
          <w:rFonts w:ascii="Calibri" w:cs="Calibri" w:eastAsia="Calibri" w:hAnsi="Calibri"/>
          <w:sz w:val="11"/>
          <w:szCs w:val="11"/>
          <w:u w:val="single" w:color="auto"/>
          <w:color w:val="7A04DD"/>
        </w:rPr>
        <w:t>Table of Contents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20" w:type="dxa"/>
            <w:vAlign w:val="bottom"/>
          </w:tcPr>
          <w:p>
            <w:pPr>
              <w:jc w:val="center"/>
              <w:ind w:right="929"/>
              <w:spacing w:after="0"/>
              <w:rPr>
                <w:sz w:val="20"/>
                <w:szCs w:val="20"/>
                <w:color w:val="auto"/>
              </w:rPr>
            </w:pPr>
            <w:r>
              <w:rPr>
                <w:rFonts w:ascii="Calibri" w:cs="Calibri" w:eastAsia="Calibri" w:hAnsi="Calibri"/>
                <w:sz w:val="14"/>
                <w:szCs w:val="14"/>
                <w:b w:val="1"/>
                <w:bCs w:val="1"/>
                <w:color w:val="51555C"/>
                <w:w w:val="97"/>
              </w:rPr>
              <w:t>Blackbaud, Inc.</w:t>
            </w:r>
          </w:p>
        </w:tc>
      </w:tr>
      <w:tr>
        <w:trPr>
          <w:trHeight w:val="170"/>
        </w:trPr>
        <w:tc>
          <w:tcPr>
            <w:tcW w:w="2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20" w:type="dxa"/>
            <w:vAlign w:val="bottom"/>
          </w:tcPr>
          <w:p>
            <w:pPr>
              <w:jc w:val="center"/>
              <w:ind w:right="949"/>
              <w:spacing w:after="0" w:line="170" w:lineRule="exact"/>
              <w:rPr>
                <w:sz w:val="20"/>
                <w:szCs w:val="20"/>
                <w:color w:val="auto"/>
              </w:rPr>
            </w:pPr>
            <w:r>
              <w:rPr>
                <w:rFonts w:ascii="Calibri" w:cs="Calibri" w:eastAsia="Calibri" w:hAnsi="Calibri"/>
                <w:sz w:val="14"/>
                <w:szCs w:val="14"/>
                <w:b w:val="1"/>
                <w:bCs w:val="1"/>
                <w:color w:val="51555C"/>
                <w:w w:val="96"/>
              </w:rPr>
              <w:t>(Unaudited)</w:t>
            </w:r>
          </w:p>
        </w:tc>
      </w:tr>
      <w:tr>
        <w:trPr>
          <w:trHeight w:val="753"/>
        </w:trPr>
        <w:tc>
          <w:tcPr>
            <w:tcW w:w="2500" w:type="dxa"/>
            <w:vAlign w:val="bottom"/>
            <w:gridSpan w:val="2"/>
          </w:tcPr>
          <w:p>
            <w:pPr>
              <w:ind w:left="20"/>
              <w:spacing w:after="0"/>
              <w:rPr>
                <w:sz w:val="20"/>
                <w:szCs w:val="20"/>
                <w:color w:val="auto"/>
              </w:rPr>
            </w:pPr>
            <w:r>
              <w:rPr>
                <w:rFonts w:ascii="Calibri" w:cs="Calibri" w:eastAsia="Calibri" w:hAnsi="Calibri"/>
                <w:sz w:val="14"/>
                <w:szCs w:val="14"/>
                <w:i w:val="1"/>
                <w:iCs w:val="1"/>
                <w:color w:val="51555C"/>
              </w:rPr>
              <w:t>One-tme services and other</w:t>
            </w:r>
          </w:p>
        </w:tc>
        <w:tc>
          <w:tcPr>
            <w:tcW w:w="2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276"/>
        </w:trPr>
        <w:tc>
          <w:tcPr>
            <w:tcW w:w="2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220" w:type="dxa"/>
            <w:vAlign w:val="bottom"/>
          </w:tcPr>
          <w:p>
            <w:pPr>
              <w:jc w:val="center"/>
              <w:spacing w:after="0"/>
              <w:rPr>
                <w:sz w:val="20"/>
                <w:szCs w:val="20"/>
                <w:color w:val="auto"/>
              </w:rPr>
            </w:pPr>
            <w:r>
              <w:rPr>
                <w:rFonts w:ascii="Calibri" w:cs="Calibri" w:eastAsia="Calibri" w:hAnsi="Calibri"/>
                <w:sz w:val="14"/>
                <w:szCs w:val="14"/>
                <w:i w:val="1"/>
                <w:iCs w:val="1"/>
                <w:color w:val="51555C"/>
              </w:rPr>
              <w:t>Gross proft ($M)</w:t>
            </w:r>
          </w:p>
        </w:tc>
      </w:tr>
      <w:tr>
        <w:trPr>
          <w:trHeight w:val="170"/>
        </w:trPr>
        <w:tc>
          <w:tcPr>
            <w:tcW w:w="2500" w:type="dxa"/>
            <w:vAlign w:val="bottom"/>
            <w:gridSpan w:val="2"/>
          </w:tcPr>
          <w:p>
            <w:pPr>
              <w:jc w:val="center"/>
              <w:ind w:right="380"/>
              <w:spacing w:after="0" w:line="170" w:lineRule="exact"/>
              <w:rPr>
                <w:sz w:val="20"/>
                <w:szCs w:val="20"/>
                <w:color w:val="auto"/>
              </w:rPr>
            </w:pPr>
            <w:r>
              <w:rPr>
                <w:rFonts w:ascii="Calibri" w:cs="Calibri" w:eastAsia="Calibri" w:hAnsi="Calibri"/>
                <w:sz w:val="14"/>
                <w:szCs w:val="14"/>
                <w:i w:val="1"/>
                <w:iCs w:val="1"/>
                <w:color w:val="51555C"/>
                <w:w w:val="96"/>
              </w:rPr>
              <w:t>Revenue ($M)</w:t>
            </w:r>
          </w:p>
        </w:tc>
        <w:tc>
          <w:tcPr>
            <w:tcW w:w="2540" w:type="dxa"/>
            <w:vAlign w:val="bottom"/>
            <w:gridSpan w:val="2"/>
          </w:tcPr>
          <w:p>
            <w:pPr>
              <w:jc w:val="center"/>
              <w:ind w:right="380"/>
              <w:spacing w:after="0" w:line="170" w:lineRule="exact"/>
              <w:rPr>
                <w:sz w:val="20"/>
                <w:szCs w:val="20"/>
                <w:color w:val="auto"/>
              </w:rPr>
            </w:pPr>
            <w:r>
              <w:rPr>
                <w:rFonts w:ascii="Calibri" w:cs="Calibri" w:eastAsia="Calibri" w:hAnsi="Calibri"/>
                <w:sz w:val="14"/>
                <w:szCs w:val="14"/>
                <w:i w:val="1"/>
                <w:iCs w:val="1"/>
                <w:color w:val="51555C"/>
                <w:w w:val="97"/>
              </w:rPr>
              <w:t>Cost of revenue ($M)</w:t>
            </w:r>
          </w:p>
        </w:tc>
        <w:tc>
          <w:tcPr>
            <w:tcW w:w="2220" w:type="dxa"/>
            <w:vAlign w:val="bottom"/>
          </w:tcPr>
          <w:p>
            <w:pPr>
              <w:jc w:val="center"/>
              <w:spacing w:after="0" w:line="170" w:lineRule="exact"/>
              <w:rPr>
                <w:sz w:val="20"/>
                <w:szCs w:val="20"/>
                <w:color w:val="auto"/>
              </w:rPr>
            </w:pPr>
            <w:r>
              <w:rPr>
                <w:rFonts w:ascii="Calibri" w:cs="Calibri" w:eastAsia="Calibri" w:hAnsi="Calibri"/>
                <w:sz w:val="14"/>
                <w:szCs w:val="14"/>
                <w:i w:val="1"/>
                <w:iCs w:val="1"/>
                <w:color w:val="51555C"/>
                <w:w w:val="98"/>
              </w:rPr>
              <w:t>and gross margin (%)</w:t>
            </w:r>
          </w:p>
        </w:tc>
      </w:tr>
      <w:tr>
        <w:trPr>
          <w:trHeight w:val="40"/>
        </w:trPr>
        <w:tc>
          <w:tcPr>
            <w:tcW w:w="2120" w:type="dxa"/>
            <w:vAlign w:val="bottom"/>
            <w:tcBorders>
              <w:bottom w:val="single" w:sz="8" w:color="51555C"/>
            </w:tcBorders>
          </w:tcPr>
          <w:p>
            <w:pPr>
              <w:spacing w:after="0"/>
              <w:rPr>
                <w:sz w:val="3"/>
                <w:szCs w:val="3"/>
                <w:color w:val="auto"/>
              </w:rPr>
            </w:pPr>
          </w:p>
        </w:tc>
        <w:tc>
          <w:tcPr>
            <w:tcW w:w="380" w:type="dxa"/>
            <w:vAlign w:val="bottom"/>
          </w:tcPr>
          <w:p>
            <w:pPr>
              <w:spacing w:after="0"/>
              <w:rPr>
                <w:sz w:val="3"/>
                <w:szCs w:val="3"/>
                <w:color w:val="auto"/>
              </w:rPr>
            </w:pPr>
          </w:p>
        </w:tc>
        <w:tc>
          <w:tcPr>
            <w:tcW w:w="2140" w:type="dxa"/>
            <w:vAlign w:val="bottom"/>
            <w:tcBorders>
              <w:bottom w:val="single" w:sz="8" w:color="51555C"/>
            </w:tcBorders>
          </w:tcPr>
          <w:p>
            <w:pPr>
              <w:spacing w:after="0"/>
              <w:rPr>
                <w:sz w:val="3"/>
                <w:szCs w:val="3"/>
                <w:color w:val="auto"/>
              </w:rPr>
            </w:pPr>
          </w:p>
        </w:tc>
        <w:tc>
          <w:tcPr>
            <w:tcW w:w="400" w:type="dxa"/>
            <w:vAlign w:val="bottom"/>
          </w:tcPr>
          <w:p>
            <w:pPr>
              <w:spacing w:after="0"/>
              <w:rPr>
                <w:sz w:val="3"/>
                <w:szCs w:val="3"/>
                <w:color w:val="auto"/>
              </w:rPr>
            </w:pPr>
          </w:p>
        </w:tc>
        <w:tc>
          <w:tcPr>
            <w:tcW w:w="2220" w:type="dxa"/>
            <w:vAlign w:val="bottom"/>
            <w:tcBorders>
              <w:bottom w:val="single" w:sz="8" w:color="51555C"/>
            </w:tcBorders>
          </w:tcPr>
          <w:p>
            <w:pPr>
              <w:spacing w:after="0"/>
              <w:rPr>
                <w:sz w:val="3"/>
                <w:szCs w:val="3"/>
                <w:color w:val="auto"/>
              </w:rPr>
            </w:pPr>
          </w:p>
        </w:tc>
      </w:tr>
      <w:tr>
        <w:trPr>
          <w:trHeight w:val="163"/>
        </w:trPr>
        <w:tc>
          <w:tcPr>
            <w:tcW w:w="2500" w:type="dxa"/>
            <w:vAlign w:val="bottom"/>
            <w:gridSpan w:val="2"/>
          </w:tcPr>
          <w:p>
            <w:pPr>
              <w:jc w:val="center"/>
              <w:ind w:right="380"/>
              <w:spacing w:after="0"/>
              <w:rPr>
                <w:sz w:val="20"/>
                <w:szCs w:val="20"/>
                <w:color w:val="auto"/>
              </w:rPr>
            </w:pPr>
            <w:r>
              <w:rPr>
                <w:rFonts w:ascii="Calibri" w:cs="Calibri" w:eastAsia="Calibri" w:hAnsi="Calibri"/>
                <w:sz w:val="10"/>
                <w:szCs w:val="10"/>
                <w:i w:val="1"/>
                <w:iCs w:val="1"/>
                <w:color w:val="51555C"/>
                <w:w w:val="94"/>
              </w:rPr>
              <w:t>YoY Growth (%)</w:t>
            </w:r>
          </w:p>
        </w:tc>
        <w:tc>
          <w:tcPr>
            <w:tcW w:w="2540" w:type="dxa"/>
            <w:vAlign w:val="bottom"/>
            <w:gridSpan w:val="2"/>
          </w:tcPr>
          <w:p>
            <w:pPr>
              <w:jc w:val="center"/>
              <w:ind w:right="400"/>
              <w:spacing w:after="0"/>
              <w:rPr>
                <w:sz w:val="20"/>
                <w:szCs w:val="20"/>
                <w:color w:val="auto"/>
              </w:rPr>
            </w:pPr>
            <w:r>
              <w:rPr>
                <w:rFonts w:ascii="Calibri" w:cs="Calibri" w:eastAsia="Calibri" w:hAnsi="Calibri"/>
                <w:sz w:val="10"/>
                <w:szCs w:val="10"/>
                <w:i w:val="1"/>
                <w:iCs w:val="1"/>
                <w:color w:val="51555C"/>
                <w:w w:val="98"/>
              </w:rPr>
              <w:t>YoY Growth (%)</w:t>
            </w:r>
          </w:p>
        </w:tc>
        <w:tc>
          <w:tcPr>
            <w:tcW w:w="222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4567555" cy="23577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567555" cy="2357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spacing w:after="0" w:line="237" w:lineRule="auto"/>
        <w:rPr>
          <w:sz w:val="20"/>
          <w:szCs w:val="20"/>
          <w:color w:val="auto"/>
        </w:rPr>
      </w:pPr>
      <w:r>
        <w:rPr>
          <w:rFonts w:ascii="Calibri" w:cs="Calibri" w:eastAsia="Calibri" w:hAnsi="Calibri"/>
          <w:sz w:val="14"/>
          <w:szCs w:val="14"/>
          <w:color w:val="51555C"/>
        </w:rPr>
        <w:t>One-tme services and other revenue is comprised of fees for one-tme consultng, analytc and onsite training services, and fees for retained and managed services contracts that we do not expect to have a term consistent with our cloud soluton contracts.</w:t>
      </w:r>
    </w:p>
    <w:p>
      <w:pPr>
        <w:spacing w:after="0" w:line="129" w:lineRule="exact"/>
        <w:rPr>
          <w:sz w:val="20"/>
          <w:szCs w:val="20"/>
          <w:color w:val="auto"/>
        </w:rPr>
      </w:pPr>
    </w:p>
    <w:p>
      <w:pPr>
        <w:jc w:val="both"/>
        <w:spacing w:after="0" w:line="237" w:lineRule="auto"/>
        <w:rPr>
          <w:sz w:val="20"/>
          <w:szCs w:val="20"/>
          <w:color w:val="auto"/>
        </w:rPr>
      </w:pPr>
      <w:r>
        <w:rPr>
          <w:rFonts w:ascii="Calibri" w:cs="Calibri" w:eastAsia="Calibri" w:hAnsi="Calibri"/>
          <w:sz w:val="14"/>
          <w:szCs w:val="14"/>
          <w:color w:val="51555C"/>
        </w:rPr>
        <w:t>Cost of one-tme services and other is primarily comprised of compensaton costs for professional services and onsite training personnel, other costs incurred in providing onsite customer training, third-party contractor expenses, data expense incurred to perform one-tme analytc services, third-party sofware royaltes, allocated depreciaton, facilites and IT support costs and amortzaton of intangible assets from business combinatons.</w:t>
      </w:r>
    </w:p>
    <w:p>
      <w:pPr>
        <w:spacing w:after="0" w:line="130" w:lineRule="exact"/>
        <w:rPr>
          <w:sz w:val="20"/>
          <w:szCs w:val="20"/>
          <w:color w:val="auto"/>
        </w:rPr>
      </w:pPr>
    </w:p>
    <w:p>
      <w:pPr>
        <w:jc w:val="both"/>
        <w:spacing w:after="0" w:line="237" w:lineRule="auto"/>
        <w:rPr>
          <w:sz w:val="20"/>
          <w:szCs w:val="20"/>
          <w:color w:val="auto"/>
        </w:rPr>
      </w:pPr>
      <w:r>
        <w:rPr>
          <w:rFonts w:ascii="Calibri" w:cs="Calibri" w:eastAsia="Calibri" w:hAnsi="Calibri"/>
          <w:sz w:val="14"/>
          <w:szCs w:val="14"/>
          <w:color w:val="51555C"/>
        </w:rPr>
        <w:t>One-tme services and other revenue decreased by $2.7 million, or 31.7%, and $4.0 million, or 22.7%, during the three and six months ended June 30, 2024, respectvely, when compared to the same periods in 2023, driven primarily by the following:</w:t>
      </w:r>
    </w:p>
    <w:p>
      <w:pPr>
        <w:spacing w:after="0" w:line="87" w:lineRule="exact"/>
        <w:rPr>
          <w:sz w:val="20"/>
          <w:szCs w:val="20"/>
          <w:color w:val="auto"/>
        </w:rPr>
      </w:pPr>
    </w:p>
    <w:p>
      <w:pPr>
        <w:jc w:val="both"/>
        <w:ind w:left="660" w:right="60" w:hanging="315"/>
        <w:spacing w:after="0" w:line="237" w:lineRule="auto"/>
        <w:tabs>
          <w:tab w:leader="none" w:pos="660" w:val="left"/>
        </w:tabs>
        <w:numPr>
          <w:ilvl w:val="0"/>
          <w:numId w:val="19"/>
        </w:numPr>
        <w:rPr>
          <w:rFonts w:ascii="Calibri" w:cs="Calibri" w:eastAsia="Calibri" w:hAnsi="Calibri"/>
          <w:sz w:val="14"/>
          <w:szCs w:val="14"/>
          <w:color w:val="51555C"/>
        </w:rPr>
      </w:pPr>
      <w:r>
        <w:rPr>
          <w:rFonts w:ascii="Calibri" w:cs="Calibri" w:eastAsia="Calibri" w:hAnsi="Calibri"/>
          <w:sz w:val="14"/>
          <w:szCs w:val="14"/>
          <w:color w:val="51555C"/>
        </w:rPr>
        <w:t>Decreases in one-tme consultng revenue of $2.4 million and $3.4 million, respectvely, primarily due to decreases of $1.9 million and $2.5 million, respectvely, resultng from our sale of EVERFI Limited as discussed in Note 3 to our unaudited, condensed consolidated fnancial statements in this report and less sales of implementaton and customizaton services. Also contributng to the decrease in one-tme consultng revenue is an increase in utlizaton of third-party service delivery partners. For several years, we have been strategically shifing away from a one-tme services business model towards sales of retained and managed services and also embedding services in our renewable cloud soluton contracts. Retained and managed services contracts that we expect to have a term consistent with our cloud soluton contracts, and embedded services are recorded as recurring revenue.</w:t>
      </w:r>
    </w:p>
    <w:p>
      <w:pPr>
        <w:spacing w:after="0" w:line="364" w:lineRule="exact"/>
        <w:rPr>
          <w:sz w:val="20"/>
          <w:szCs w:val="20"/>
          <w:color w:val="auto"/>
        </w:rPr>
      </w:pPr>
    </w:p>
    <w:p>
      <w:pPr>
        <w:ind w:left="20"/>
        <w:spacing w:after="0"/>
        <w:tabs>
          <w:tab w:leader="none" w:pos="589" w:val="left"/>
        </w:tabs>
        <w:rPr>
          <w:sz w:val="20"/>
          <w:szCs w:val="20"/>
          <w:color w:val="auto"/>
        </w:rPr>
      </w:pPr>
      <w:r>
        <w:rPr>
          <w:rFonts w:ascii="Calibri" w:cs="Calibri" w:eastAsia="Calibri" w:hAnsi="Calibri"/>
          <w:sz w:val="11"/>
          <w:szCs w:val="11"/>
          <w:color w:val="51555C"/>
        </w:rPr>
        <w:t>34</w:t>
      </w:r>
      <w:r>
        <w:rPr>
          <w:sz w:val="20"/>
          <w:szCs w:val="20"/>
          <w:color w:val="auto"/>
        </w:rPr>
        <w:tab/>
      </w:r>
      <w:r>
        <w:rPr>
          <w:sz w:val="1"/>
          <w:szCs w:val="1"/>
          <w:color w:val="auto"/>
        </w:rPr>
        <w:drawing>
          <wp:inline distT="0" distB="0" distL="0" distR="0">
            <wp:extent cx="511810" cy="134620"/>
            <wp:effectExtent l="0" t="0" r="0"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1810" cy="134620"/>
                    </a:xfrm>
                    <a:prstGeom prst="rect">
                      <a:avLst/>
                    </a:prstGeom>
                    <a:noFill/>
                    <a:ln>
                      <a:noFill/>
                    </a:ln>
                  </pic:spPr>
                </pic:pic>
              </a:graphicData>
            </a:graphic>
          </wp:inline>
        </w:drawing>
      </w:r>
      <w:r>
        <w:rPr>
          <w:rFonts w:ascii="Calibri" w:cs="Calibri" w:eastAsia="Calibri" w:hAnsi="Calibri"/>
          <w:sz w:val="11"/>
          <w:szCs w:val="11"/>
          <w:color w:val="51555C"/>
        </w:rPr>
        <w:t xml:space="preserve">    Second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135255</wp:posOffset>
            </wp:positionV>
            <wp:extent cx="7186930"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35" w:name="page36"/>
    <w:bookmarkEnd w:id="35"/>
    <w:p>
      <w:pPr>
        <w:spacing w:after="0"/>
        <w:rPr>
          <w:sz w:val="20"/>
          <w:szCs w:val="20"/>
          <w:color w:val="auto"/>
        </w:rPr>
      </w:pPr>
      <w:r>
        <w:rPr>
          <w:rFonts w:ascii="Calibri" w:cs="Calibri" w:eastAsia="Calibri" w:hAnsi="Calibri"/>
          <w:sz w:val="11"/>
          <w:szCs w:val="11"/>
          <w:u w:val="single" w:color="auto"/>
          <w:color w:val="7A04DD"/>
        </w:rPr>
        <w:t>Table of Contents</w:t>
      </w:r>
    </w:p>
    <w:p>
      <w:pPr>
        <w:spacing w:after="0" w:line="196" w:lineRule="exact"/>
        <w:rPr>
          <w:sz w:val="20"/>
          <w:szCs w:val="20"/>
          <w:color w:val="auto"/>
        </w:rPr>
      </w:pPr>
    </w:p>
    <w:p>
      <w:pPr>
        <w:jc w:val="center"/>
        <w:spacing w:after="0"/>
        <w:rPr>
          <w:sz w:val="20"/>
          <w:szCs w:val="20"/>
          <w:color w:val="auto"/>
        </w:rPr>
      </w:pPr>
      <w:r>
        <w:rPr>
          <w:rFonts w:ascii="Calibri" w:cs="Calibri" w:eastAsia="Calibri" w:hAnsi="Calibri"/>
          <w:sz w:val="14"/>
          <w:szCs w:val="14"/>
          <w:b w:val="1"/>
          <w:bCs w:val="1"/>
          <w:color w:val="51555C"/>
        </w:rPr>
        <w:t>Blackbaud, Inc.</w:t>
      </w:r>
    </w:p>
    <w:p>
      <w:pPr>
        <w:jc w:val="center"/>
        <w:spacing w:after="0" w:line="238" w:lineRule="auto"/>
        <w:rPr>
          <w:sz w:val="20"/>
          <w:szCs w:val="20"/>
          <w:color w:val="auto"/>
        </w:rPr>
      </w:pPr>
      <w:r>
        <w:rPr>
          <w:rFonts w:ascii="Calibri" w:cs="Calibri" w:eastAsia="Calibri" w:hAnsi="Calibri"/>
          <w:sz w:val="14"/>
          <w:szCs w:val="14"/>
          <w:b w:val="1"/>
          <w:bCs w:val="1"/>
          <w:color w:val="51555C"/>
        </w:rPr>
        <w:t>(Unaudited)</w:t>
      </w:r>
    </w:p>
    <w:p>
      <w:pPr>
        <w:spacing w:after="0" w:line="200" w:lineRule="exact"/>
        <w:rPr>
          <w:sz w:val="20"/>
          <w:szCs w:val="20"/>
          <w:color w:val="auto"/>
        </w:rPr>
      </w:pPr>
    </w:p>
    <w:p>
      <w:pPr>
        <w:spacing w:after="0" w:line="279" w:lineRule="exact"/>
        <w:rPr>
          <w:sz w:val="20"/>
          <w:szCs w:val="20"/>
          <w:color w:val="auto"/>
        </w:rPr>
      </w:pPr>
    </w:p>
    <w:p>
      <w:pPr>
        <w:spacing w:after="0" w:line="237" w:lineRule="auto"/>
        <w:rPr>
          <w:sz w:val="20"/>
          <w:szCs w:val="20"/>
          <w:color w:val="auto"/>
        </w:rPr>
      </w:pPr>
      <w:r>
        <w:rPr>
          <w:rFonts w:ascii="Calibri" w:cs="Calibri" w:eastAsia="Calibri" w:hAnsi="Calibri"/>
          <w:sz w:val="14"/>
          <w:szCs w:val="14"/>
          <w:color w:val="51555C"/>
        </w:rPr>
        <w:t>Cost of one-tme services and other decreased by $2.7 million, or 35.2%, and $4.3 million, or 26.3%, during the three and six months ended June 30, 2024, respectvely, when compared to the same periods in 2023, driven primarily by the following:</w:t>
      </w:r>
    </w:p>
    <w:p>
      <w:pPr>
        <w:spacing w:after="0" w:line="129" w:lineRule="exact"/>
        <w:rPr>
          <w:sz w:val="20"/>
          <w:szCs w:val="20"/>
          <w:color w:val="auto"/>
        </w:rPr>
      </w:pPr>
    </w:p>
    <w:p>
      <w:pPr>
        <w:ind w:left="660" w:right="20" w:hanging="315"/>
        <w:spacing w:after="0" w:line="189" w:lineRule="auto"/>
        <w:tabs>
          <w:tab w:leader="none" w:pos="660" w:val="left"/>
        </w:tabs>
        <w:numPr>
          <w:ilvl w:val="0"/>
          <w:numId w:val="20"/>
        </w:numPr>
        <w:rPr>
          <w:rFonts w:ascii="Calibri" w:cs="Calibri" w:eastAsia="Calibri" w:hAnsi="Calibri"/>
          <w:sz w:val="23"/>
          <w:szCs w:val="23"/>
          <w:color w:val="51555C"/>
          <w:vertAlign w:val="superscript"/>
        </w:rPr>
      </w:pPr>
      <w:r>
        <w:rPr>
          <w:rFonts w:ascii="Calibri" w:cs="Calibri" w:eastAsia="Calibri" w:hAnsi="Calibri"/>
          <w:sz w:val="12"/>
          <w:szCs w:val="12"/>
          <w:color w:val="51555C"/>
        </w:rPr>
        <w:t>Decreases in compensaton costs of $1.5 million and $2.7 million, respectvely, primarily related to our sale of EVERFI Limited as discussed above and a contnued shif in resources historically supportng one-tme services and other towards recurring revenue</w:t>
      </w:r>
    </w:p>
    <w:p>
      <w:pPr>
        <w:spacing w:after="0" w:line="1" w:lineRule="exact"/>
        <w:rPr>
          <w:rFonts w:ascii="Calibri" w:cs="Calibri" w:eastAsia="Calibri" w:hAnsi="Calibri"/>
          <w:sz w:val="23"/>
          <w:szCs w:val="23"/>
          <w:color w:val="51555C"/>
          <w:vertAlign w:val="superscript"/>
        </w:rPr>
      </w:pPr>
    </w:p>
    <w:p>
      <w:pPr>
        <w:ind w:left="660" w:hanging="315"/>
        <w:spacing w:after="0" w:line="185" w:lineRule="auto"/>
        <w:tabs>
          <w:tab w:leader="none" w:pos="660" w:val="left"/>
        </w:tabs>
        <w:numPr>
          <w:ilvl w:val="0"/>
          <w:numId w:val="20"/>
        </w:numPr>
        <w:rPr>
          <w:rFonts w:ascii="Calibri" w:cs="Calibri" w:eastAsia="Calibri" w:hAnsi="Calibri"/>
          <w:sz w:val="27"/>
          <w:szCs w:val="27"/>
          <w:color w:val="51555C"/>
          <w:vertAlign w:val="superscript"/>
        </w:rPr>
      </w:pPr>
      <w:r>
        <w:rPr>
          <w:rFonts w:ascii="Calibri" w:cs="Calibri" w:eastAsia="Calibri" w:hAnsi="Calibri"/>
          <w:sz w:val="14"/>
          <w:szCs w:val="14"/>
          <w:color w:val="51555C"/>
        </w:rPr>
        <w:t>Decreases in direct costs of revenue of $0.8 million and $0.9 million, respectvely, primarily due to our sale of EVERFI Limited as discussed above</w:t>
      </w:r>
    </w:p>
    <w:p>
      <w:pPr>
        <w:spacing w:after="0" w:line="225" w:lineRule="exact"/>
        <w:rPr>
          <w:sz w:val="20"/>
          <w:szCs w:val="20"/>
          <w:color w:val="auto"/>
        </w:rPr>
      </w:pPr>
    </w:p>
    <w:p>
      <w:pPr>
        <w:jc w:val="both"/>
        <w:spacing w:after="0" w:line="237" w:lineRule="auto"/>
        <w:rPr>
          <w:sz w:val="20"/>
          <w:szCs w:val="20"/>
          <w:color w:val="auto"/>
        </w:rPr>
      </w:pPr>
      <w:r>
        <w:rPr>
          <w:rFonts w:ascii="Calibri" w:cs="Calibri" w:eastAsia="Calibri" w:hAnsi="Calibri"/>
          <w:sz w:val="14"/>
          <w:szCs w:val="14"/>
          <w:color w:val="51555C"/>
        </w:rPr>
        <w:t>One-tme services and other gross margin increased by 450 basis points and 420 basis points during the three and six months ended June 30, 2024, respectvely, when compared to the same periods in 2023, primarily due to the decrease in compensaton costs discussed above outpacing the decrease of one-tme services and other revenue.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20" w:type="dxa"/>
            <w:vAlign w:val="bottom"/>
          </w:tcPr>
          <w:p>
            <w:pPr>
              <w:spacing w:after="0"/>
              <w:rPr>
                <w:sz w:val="20"/>
                <w:szCs w:val="20"/>
                <w:color w:val="auto"/>
              </w:rPr>
            </w:pPr>
            <w:r>
              <w:rPr>
                <w:rFonts w:ascii="Calibri" w:cs="Calibri" w:eastAsia="Calibri" w:hAnsi="Calibri"/>
                <w:sz w:val="14"/>
                <w:szCs w:val="14"/>
                <w:b w:val="1"/>
                <w:bCs w:val="1"/>
                <w:color w:val="51555C"/>
              </w:rPr>
              <w:t>Operatng Expenses</w:t>
            </w:r>
          </w:p>
        </w:tc>
        <w:tc>
          <w:tcPr>
            <w:tcW w:w="322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424"/>
        </w:trPr>
        <w:tc>
          <w:tcPr>
            <w:tcW w:w="2020" w:type="dxa"/>
            <w:vAlign w:val="bottom"/>
          </w:tcPr>
          <w:p>
            <w:pPr>
              <w:jc w:val="center"/>
              <w:ind w:left="29"/>
              <w:spacing w:after="0"/>
              <w:rPr>
                <w:sz w:val="20"/>
                <w:szCs w:val="20"/>
                <w:color w:val="auto"/>
              </w:rPr>
            </w:pPr>
            <w:r>
              <w:rPr>
                <w:rFonts w:ascii="Calibri" w:cs="Calibri" w:eastAsia="Calibri" w:hAnsi="Calibri"/>
                <w:sz w:val="14"/>
                <w:szCs w:val="14"/>
                <w:i w:val="1"/>
                <w:iCs w:val="1"/>
                <w:color w:val="51555C"/>
              </w:rPr>
              <w:t>Sales, marketng and</w:t>
            </w:r>
          </w:p>
        </w:tc>
        <w:tc>
          <w:tcPr>
            <w:tcW w:w="3220" w:type="dxa"/>
            <w:vAlign w:val="bottom"/>
          </w:tcPr>
          <w:p>
            <w:pPr>
              <w:jc w:val="center"/>
              <w:ind w:right="56"/>
              <w:spacing w:after="0"/>
              <w:rPr>
                <w:sz w:val="20"/>
                <w:szCs w:val="20"/>
                <w:color w:val="auto"/>
              </w:rPr>
            </w:pPr>
            <w:r>
              <w:rPr>
                <w:rFonts w:ascii="Calibri" w:cs="Calibri" w:eastAsia="Calibri" w:hAnsi="Calibri"/>
                <w:sz w:val="14"/>
                <w:szCs w:val="14"/>
                <w:i w:val="1"/>
                <w:iCs w:val="1"/>
                <w:color w:val="51555C"/>
                <w:w w:val="97"/>
              </w:rPr>
              <w:t>Research and</w:t>
            </w:r>
          </w:p>
        </w:tc>
        <w:tc>
          <w:tcPr>
            <w:tcW w:w="2020" w:type="dxa"/>
            <w:vAlign w:val="bottom"/>
          </w:tcPr>
          <w:p>
            <w:pPr>
              <w:jc w:val="center"/>
              <w:ind w:right="149"/>
              <w:spacing w:after="0"/>
              <w:rPr>
                <w:sz w:val="20"/>
                <w:szCs w:val="20"/>
                <w:color w:val="auto"/>
              </w:rPr>
            </w:pPr>
            <w:r>
              <w:rPr>
                <w:rFonts w:ascii="Calibri" w:cs="Calibri" w:eastAsia="Calibri" w:hAnsi="Calibri"/>
                <w:sz w:val="14"/>
                <w:szCs w:val="14"/>
                <w:i w:val="1"/>
                <w:iCs w:val="1"/>
                <w:color w:val="51555C"/>
                <w:w w:val="97"/>
              </w:rPr>
              <w:t>General and</w:t>
            </w:r>
          </w:p>
        </w:tc>
      </w:tr>
      <w:tr>
        <w:trPr>
          <w:trHeight w:val="170"/>
        </w:trPr>
        <w:tc>
          <w:tcPr>
            <w:tcW w:w="2020" w:type="dxa"/>
            <w:vAlign w:val="bottom"/>
          </w:tcPr>
          <w:p>
            <w:pPr>
              <w:jc w:val="center"/>
              <w:ind w:left="9"/>
              <w:spacing w:after="0" w:line="170" w:lineRule="exact"/>
              <w:rPr>
                <w:sz w:val="20"/>
                <w:szCs w:val="20"/>
                <w:color w:val="auto"/>
              </w:rPr>
            </w:pPr>
            <w:r>
              <w:rPr>
                <w:rFonts w:ascii="Calibri" w:cs="Calibri" w:eastAsia="Calibri" w:hAnsi="Calibri"/>
                <w:sz w:val="14"/>
                <w:szCs w:val="14"/>
                <w:i w:val="1"/>
                <w:iCs w:val="1"/>
                <w:color w:val="51555C"/>
                <w:w w:val="97"/>
              </w:rPr>
              <w:t>customer success ($M)</w:t>
            </w:r>
          </w:p>
        </w:tc>
        <w:tc>
          <w:tcPr>
            <w:tcW w:w="3220" w:type="dxa"/>
            <w:vAlign w:val="bottom"/>
          </w:tcPr>
          <w:p>
            <w:pPr>
              <w:jc w:val="center"/>
              <w:ind w:right="76"/>
              <w:spacing w:after="0" w:line="170" w:lineRule="exact"/>
              <w:rPr>
                <w:sz w:val="20"/>
                <w:szCs w:val="20"/>
                <w:color w:val="auto"/>
              </w:rPr>
            </w:pPr>
            <w:r>
              <w:rPr>
                <w:rFonts w:ascii="Calibri" w:cs="Calibri" w:eastAsia="Calibri" w:hAnsi="Calibri"/>
                <w:sz w:val="14"/>
                <w:szCs w:val="14"/>
                <w:i w:val="1"/>
                <w:iCs w:val="1"/>
                <w:color w:val="51555C"/>
                <w:w w:val="99"/>
              </w:rPr>
              <w:t>development ($M)</w:t>
            </w:r>
          </w:p>
        </w:tc>
        <w:tc>
          <w:tcPr>
            <w:tcW w:w="2020" w:type="dxa"/>
            <w:vAlign w:val="bottom"/>
          </w:tcPr>
          <w:p>
            <w:pPr>
              <w:jc w:val="center"/>
              <w:ind w:right="149"/>
              <w:spacing w:after="0" w:line="170" w:lineRule="exact"/>
              <w:rPr>
                <w:sz w:val="20"/>
                <w:szCs w:val="20"/>
                <w:color w:val="auto"/>
              </w:rPr>
            </w:pPr>
            <w:r>
              <w:rPr>
                <w:rFonts w:ascii="Calibri" w:cs="Calibri" w:eastAsia="Calibri" w:hAnsi="Calibri"/>
                <w:sz w:val="14"/>
                <w:szCs w:val="14"/>
                <w:i w:val="1"/>
                <w:iCs w:val="1"/>
                <w:color w:val="51555C"/>
              </w:rPr>
              <w:t>administratve ($M)</w:t>
            </w:r>
          </w:p>
        </w:tc>
      </w:tr>
      <w:tr>
        <w:trPr>
          <w:trHeight w:val="40"/>
        </w:trPr>
        <w:tc>
          <w:tcPr>
            <w:tcW w:w="2020" w:type="dxa"/>
            <w:vAlign w:val="bottom"/>
            <w:tcBorders>
              <w:bottom w:val="single" w:sz="8" w:color="51555C"/>
            </w:tcBorders>
          </w:tcPr>
          <w:p>
            <w:pPr>
              <w:spacing w:after="0"/>
              <w:rPr>
                <w:sz w:val="3"/>
                <w:szCs w:val="3"/>
                <w:color w:val="auto"/>
              </w:rPr>
            </w:pPr>
          </w:p>
        </w:tc>
        <w:tc>
          <w:tcPr>
            <w:tcW w:w="3220" w:type="dxa"/>
            <w:vAlign w:val="bottom"/>
            <w:tcBorders>
              <w:bottom w:val="single" w:sz="8" w:color="51555C"/>
            </w:tcBorders>
          </w:tcPr>
          <w:p>
            <w:pPr>
              <w:spacing w:after="0"/>
              <w:rPr>
                <w:sz w:val="3"/>
                <w:szCs w:val="3"/>
                <w:color w:val="auto"/>
              </w:rPr>
            </w:pPr>
          </w:p>
        </w:tc>
        <w:tc>
          <w:tcPr>
            <w:tcW w:w="2020" w:type="dxa"/>
            <w:vAlign w:val="bottom"/>
            <w:tcBorders>
              <w:bottom w:val="single" w:sz="8" w:color="51555C"/>
            </w:tcBorders>
          </w:tcPr>
          <w:p>
            <w:pPr>
              <w:spacing w:after="0"/>
              <w:rPr>
                <w:sz w:val="3"/>
                <w:szCs w:val="3"/>
                <w:color w:val="auto"/>
              </w:rPr>
            </w:pPr>
          </w:p>
        </w:tc>
      </w:tr>
      <w:tr>
        <w:trPr>
          <w:trHeight w:val="163"/>
        </w:trPr>
        <w:tc>
          <w:tcPr>
            <w:tcW w:w="2020" w:type="dxa"/>
            <w:vAlign w:val="bottom"/>
          </w:tcPr>
          <w:p>
            <w:pPr>
              <w:spacing w:after="0"/>
              <w:rPr>
                <w:sz w:val="14"/>
                <w:szCs w:val="14"/>
                <w:color w:val="auto"/>
              </w:rPr>
            </w:pPr>
          </w:p>
        </w:tc>
        <w:tc>
          <w:tcPr>
            <w:tcW w:w="3220" w:type="dxa"/>
            <w:vAlign w:val="bottom"/>
          </w:tcPr>
          <w:p>
            <w:pPr>
              <w:ind w:left="340"/>
              <w:spacing w:after="0"/>
              <w:rPr>
                <w:sz w:val="20"/>
                <w:szCs w:val="20"/>
                <w:color w:val="auto"/>
              </w:rPr>
            </w:pPr>
            <w:r>
              <w:rPr>
                <w:rFonts w:ascii="Calibri" w:cs="Calibri" w:eastAsia="Calibri" w:hAnsi="Calibri"/>
                <w:sz w:val="10"/>
                <w:szCs w:val="10"/>
                <w:i w:val="1"/>
                <w:iCs w:val="1"/>
                <w:color w:val="51555C"/>
              </w:rPr>
              <w:t>Percentages indicate expenses as a percentage of total revenue</w:t>
            </w:r>
          </w:p>
        </w:tc>
        <w:tc>
          <w:tcPr>
            <w:tcW w:w="202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139700</wp:posOffset>
            </wp:positionV>
            <wp:extent cx="4567555" cy="23647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567555" cy="2364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alibri" w:cs="Calibri" w:eastAsia="Calibri" w:hAnsi="Calibri"/>
          <w:sz w:val="14"/>
          <w:szCs w:val="14"/>
          <w:i w:val="1"/>
          <w:iCs w:val="1"/>
          <w:color w:val="51555C"/>
        </w:rPr>
        <w:t>Sales, marketng and customer success</w:t>
      </w:r>
    </w:p>
    <w:p>
      <w:pPr>
        <w:spacing w:after="0" w:line="129" w:lineRule="exact"/>
        <w:rPr>
          <w:sz w:val="20"/>
          <w:szCs w:val="20"/>
          <w:color w:val="auto"/>
        </w:rPr>
      </w:pPr>
    </w:p>
    <w:p>
      <w:pPr>
        <w:jc w:val="both"/>
        <w:spacing w:after="0" w:line="237" w:lineRule="auto"/>
        <w:rPr>
          <w:sz w:val="20"/>
          <w:szCs w:val="20"/>
          <w:color w:val="auto"/>
        </w:rPr>
      </w:pPr>
      <w:r>
        <w:rPr>
          <w:rFonts w:ascii="Calibri" w:cs="Calibri" w:eastAsia="Calibri" w:hAnsi="Calibri"/>
          <w:sz w:val="14"/>
          <w:szCs w:val="14"/>
          <w:color w:val="51555C"/>
        </w:rPr>
        <w:t>Sales, marketng and customer success expense includes compensaton costs, variable sales commissions, travel-related expenses, advertsing and marketng materials, public relatons costs, variable reseller commissions and allocated depreciaton, facilites and IT support costs.</w:t>
      </w:r>
    </w:p>
    <w:p>
      <w:pPr>
        <w:spacing w:after="0" w:line="129" w:lineRule="exact"/>
        <w:rPr>
          <w:sz w:val="20"/>
          <w:szCs w:val="20"/>
          <w:color w:val="auto"/>
        </w:rPr>
      </w:pPr>
    </w:p>
    <w:p>
      <w:pPr>
        <w:jc w:val="both"/>
        <w:spacing w:after="0" w:line="237" w:lineRule="auto"/>
        <w:rPr>
          <w:sz w:val="20"/>
          <w:szCs w:val="20"/>
          <w:color w:val="auto"/>
        </w:rPr>
      </w:pPr>
      <w:r>
        <w:rPr>
          <w:rFonts w:ascii="Calibri" w:cs="Calibri" w:eastAsia="Calibri" w:hAnsi="Calibri"/>
          <w:sz w:val="14"/>
          <w:szCs w:val="14"/>
          <w:color w:val="51555C"/>
        </w:rPr>
        <w:t>We see a large market opportunity in the long-term and will contnue to make investments to drive sales efectveness. We have also implemented sofware tools to enhance our digital footprint and drive lead generaton. The enhancements we are making in our go-to-market approach are expected to reduce our average customer acquisiton cost per customer as well as the related payback period while increasing sales velocity.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6268720</wp:posOffset>
            </wp:positionH>
            <wp:positionV relativeFrom="paragraph">
              <wp:posOffset>187960</wp:posOffset>
            </wp:positionV>
            <wp:extent cx="518795" cy="1346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8795" cy="134620"/>
                    </a:xfrm>
                    <a:prstGeom prst="rect">
                      <a:avLst/>
                    </a:prstGeom>
                    <a:noFill/>
                  </pic:spPr>
                </pic:pic>
              </a:graphicData>
            </a:graphic>
          </wp:anchor>
        </w:drawing>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0400" w:type="dxa"/>
            <w:vAlign w:val="bottom"/>
          </w:tcPr>
          <w:p>
            <w:pPr>
              <w:ind w:left="8160"/>
              <w:spacing w:after="0"/>
              <w:rPr>
                <w:sz w:val="20"/>
                <w:szCs w:val="20"/>
                <w:color w:val="auto"/>
              </w:rPr>
            </w:pPr>
            <w:r>
              <w:rPr>
                <w:rFonts w:ascii="Calibri" w:cs="Calibri" w:eastAsia="Calibri" w:hAnsi="Calibri"/>
                <w:sz w:val="11"/>
                <w:szCs w:val="11"/>
                <w:color w:val="51555C"/>
              </w:rPr>
              <w:t>Second Quarter 2024 Form 10-Q</w:t>
            </w:r>
          </w:p>
        </w:tc>
        <w:tc>
          <w:tcPr>
            <w:tcW w:w="880" w:type="dxa"/>
            <w:vAlign w:val="bottom"/>
          </w:tcPr>
          <w:p>
            <w:pPr>
              <w:jc w:val="right"/>
              <w:spacing w:after="0"/>
              <w:rPr>
                <w:sz w:val="20"/>
                <w:szCs w:val="20"/>
                <w:color w:val="auto"/>
              </w:rPr>
            </w:pPr>
            <w:r>
              <w:rPr>
                <w:rFonts w:ascii="Calibri" w:cs="Calibri" w:eastAsia="Calibri" w:hAnsi="Calibri"/>
                <w:sz w:val="11"/>
                <w:szCs w:val="11"/>
                <w:color w:val="51555C"/>
              </w:rPr>
              <w:t>35</w:t>
            </w:r>
          </w:p>
        </w:tc>
      </w:tr>
      <w:tr>
        <w:trPr>
          <w:trHeight w:val="281"/>
        </w:trPr>
        <w:tc>
          <w:tcPr>
            <w:tcW w:w="104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36" w:name="page37"/>
    <w:bookmarkEnd w:id="36"/>
    <w:p>
      <w:pPr>
        <w:spacing w:after="0"/>
        <w:rPr>
          <w:sz w:val="20"/>
          <w:szCs w:val="20"/>
          <w:color w:val="auto"/>
        </w:rPr>
      </w:pPr>
      <w:r>
        <w:rPr>
          <w:rFonts w:ascii="Calibri" w:cs="Calibri" w:eastAsia="Calibri" w:hAnsi="Calibri"/>
          <w:sz w:val="11"/>
          <w:szCs w:val="11"/>
          <w:u w:val="single" w:color="auto"/>
          <w:color w:val="7A04DD"/>
        </w:rPr>
        <w:t>Table of Contents</w:t>
      </w:r>
    </w:p>
    <w:p>
      <w:pPr>
        <w:spacing w:after="0" w:line="196" w:lineRule="exact"/>
        <w:rPr>
          <w:sz w:val="20"/>
          <w:szCs w:val="20"/>
          <w:color w:val="auto"/>
        </w:rPr>
      </w:pPr>
    </w:p>
    <w:p>
      <w:pPr>
        <w:jc w:val="center"/>
        <w:spacing w:after="0"/>
        <w:rPr>
          <w:sz w:val="20"/>
          <w:szCs w:val="20"/>
          <w:color w:val="auto"/>
        </w:rPr>
      </w:pPr>
      <w:r>
        <w:rPr>
          <w:rFonts w:ascii="Calibri" w:cs="Calibri" w:eastAsia="Calibri" w:hAnsi="Calibri"/>
          <w:sz w:val="14"/>
          <w:szCs w:val="14"/>
          <w:b w:val="1"/>
          <w:bCs w:val="1"/>
          <w:color w:val="51555C"/>
        </w:rPr>
        <w:t>Blackbaud, Inc.</w:t>
      </w:r>
    </w:p>
    <w:p>
      <w:pPr>
        <w:jc w:val="center"/>
        <w:spacing w:after="0" w:line="238" w:lineRule="auto"/>
        <w:rPr>
          <w:sz w:val="20"/>
          <w:szCs w:val="20"/>
          <w:color w:val="auto"/>
        </w:rPr>
      </w:pPr>
      <w:r>
        <w:rPr>
          <w:rFonts w:ascii="Calibri" w:cs="Calibri" w:eastAsia="Calibri" w:hAnsi="Calibri"/>
          <w:sz w:val="14"/>
          <w:szCs w:val="14"/>
          <w:b w:val="1"/>
          <w:bCs w:val="1"/>
          <w:color w:val="51555C"/>
        </w:rPr>
        <w:t>(Unaudited)</w:t>
      </w:r>
    </w:p>
    <w:p>
      <w:pPr>
        <w:spacing w:after="0" w:line="200" w:lineRule="exact"/>
        <w:rPr>
          <w:sz w:val="20"/>
          <w:szCs w:val="20"/>
          <w:color w:val="auto"/>
        </w:rPr>
      </w:pPr>
    </w:p>
    <w:p>
      <w:pPr>
        <w:spacing w:after="0" w:line="279" w:lineRule="exact"/>
        <w:rPr>
          <w:sz w:val="20"/>
          <w:szCs w:val="20"/>
          <w:color w:val="auto"/>
        </w:rPr>
      </w:pPr>
    </w:p>
    <w:p>
      <w:pPr>
        <w:spacing w:after="0" w:line="237" w:lineRule="auto"/>
        <w:rPr>
          <w:sz w:val="20"/>
          <w:szCs w:val="20"/>
          <w:color w:val="auto"/>
        </w:rPr>
      </w:pPr>
      <w:r>
        <w:rPr>
          <w:rFonts w:ascii="Calibri" w:cs="Calibri" w:eastAsia="Calibri" w:hAnsi="Calibri"/>
          <w:sz w:val="14"/>
          <w:szCs w:val="14"/>
          <w:color w:val="51555C"/>
        </w:rPr>
        <w:t>Sales, marketng and customer success expense decreased by $6.1 million, or 11.5%, and $9.6 million or 9.0%, during the three and six months ended June 30, 2024, respectvely, when compared to the same periods in 2023. The decreases in dollars and as a percentage of total revenue were primarily driven by the following:</w:t>
      </w:r>
    </w:p>
    <w:p>
      <w:pPr>
        <w:spacing w:after="0" w:line="84" w:lineRule="exact"/>
        <w:rPr>
          <w:sz w:val="20"/>
          <w:szCs w:val="20"/>
          <w:color w:val="auto"/>
        </w:rPr>
      </w:pPr>
    </w:p>
    <w:p>
      <w:pPr>
        <w:ind w:left="660" w:hanging="315"/>
        <w:spacing w:after="0"/>
        <w:tabs>
          <w:tab w:leader="none" w:pos="660" w:val="left"/>
        </w:tabs>
        <w:numPr>
          <w:ilvl w:val="0"/>
          <w:numId w:val="21"/>
        </w:numPr>
        <w:rPr>
          <w:rFonts w:ascii="Calibri" w:cs="Calibri" w:eastAsia="Calibri" w:hAnsi="Calibri"/>
          <w:sz w:val="14"/>
          <w:szCs w:val="14"/>
          <w:color w:val="51555C"/>
        </w:rPr>
      </w:pPr>
      <w:r>
        <w:rPr>
          <w:rFonts w:ascii="Calibri" w:cs="Calibri" w:eastAsia="Calibri" w:hAnsi="Calibri"/>
          <w:sz w:val="14"/>
          <w:szCs w:val="14"/>
          <w:color w:val="51555C"/>
        </w:rPr>
        <w:t>Decreases in compensaton costs of $3.4 million and $3.8 million, respectvely, primarily related to our prior period targeted workforce reductons</w:t>
      </w:r>
    </w:p>
    <w:p>
      <w:pPr>
        <w:spacing w:after="0" w:line="44" w:lineRule="exact"/>
        <w:rPr>
          <w:rFonts w:ascii="Calibri" w:cs="Calibri" w:eastAsia="Calibri" w:hAnsi="Calibri"/>
          <w:sz w:val="14"/>
          <w:szCs w:val="14"/>
          <w:color w:val="51555C"/>
        </w:rPr>
      </w:pPr>
    </w:p>
    <w:p>
      <w:pPr>
        <w:ind w:left="660" w:right="60" w:hanging="315"/>
        <w:spacing w:after="0" w:line="237" w:lineRule="auto"/>
        <w:tabs>
          <w:tab w:leader="none" w:pos="660" w:val="left"/>
        </w:tabs>
        <w:numPr>
          <w:ilvl w:val="0"/>
          <w:numId w:val="21"/>
        </w:numPr>
        <w:rPr>
          <w:rFonts w:ascii="Calibri" w:cs="Calibri" w:eastAsia="Calibri" w:hAnsi="Calibri"/>
          <w:sz w:val="14"/>
          <w:szCs w:val="14"/>
          <w:color w:val="51555C"/>
        </w:rPr>
      </w:pPr>
      <w:r>
        <w:rPr>
          <w:rFonts w:ascii="Calibri" w:cs="Calibri" w:eastAsia="Calibri" w:hAnsi="Calibri"/>
          <w:sz w:val="14"/>
          <w:szCs w:val="14"/>
          <w:color w:val="51555C"/>
        </w:rPr>
        <w:t>Decreases in commissions expense of $3.2 million and $6.7 million, respectvely, due to fewer sales headcount and a prospectve increase in the period of beneft over which we amortzed costs of obtaining contracts with customers from 5 to 6 years beginning in the year ending December 31, 2024</w:t>
      </w:r>
    </w:p>
    <w:p>
      <w:pPr>
        <w:spacing w:after="0" w:line="41" w:lineRule="exact"/>
        <w:rPr>
          <w:rFonts w:ascii="Calibri" w:cs="Calibri" w:eastAsia="Calibri" w:hAnsi="Calibri"/>
          <w:sz w:val="14"/>
          <w:szCs w:val="14"/>
          <w:color w:val="51555C"/>
        </w:rPr>
      </w:pPr>
    </w:p>
    <w:p>
      <w:pPr>
        <w:ind w:left="660" w:hanging="315"/>
        <w:spacing w:after="0"/>
        <w:tabs>
          <w:tab w:leader="none" w:pos="660" w:val="left"/>
        </w:tabs>
        <w:numPr>
          <w:ilvl w:val="0"/>
          <w:numId w:val="21"/>
        </w:numPr>
        <w:rPr>
          <w:rFonts w:ascii="Calibri" w:cs="Calibri" w:eastAsia="Calibri" w:hAnsi="Calibri"/>
          <w:sz w:val="14"/>
          <w:szCs w:val="14"/>
          <w:color w:val="51555C"/>
        </w:rPr>
      </w:pPr>
      <w:r>
        <w:rPr>
          <w:rFonts w:ascii="Calibri" w:cs="Calibri" w:eastAsia="Calibri" w:hAnsi="Calibri"/>
          <w:sz w:val="14"/>
          <w:szCs w:val="14"/>
          <w:color w:val="51555C"/>
        </w:rPr>
        <w:t>Decrease in severance costs of $2.1 million, during the six months ended June 30, 2024, related to our prior period targeted workforce reductons</w:t>
      </w:r>
    </w:p>
    <w:p>
      <w:pPr>
        <w:spacing w:after="0" w:line="87" w:lineRule="exact"/>
        <w:rPr>
          <w:sz w:val="20"/>
          <w:szCs w:val="20"/>
          <w:color w:val="auto"/>
        </w:rPr>
      </w:pPr>
    </w:p>
    <w:p>
      <w:pPr>
        <w:ind w:left="660" w:right="60" w:hanging="329"/>
        <w:spacing w:after="0" w:line="189" w:lineRule="auto"/>
        <w:tabs>
          <w:tab w:leader="none" w:pos="660" w:val="left"/>
        </w:tabs>
        <w:numPr>
          <w:ilvl w:val="0"/>
          <w:numId w:val="22"/>
        </w:numPr>
        <w:rPr>
          <w:rFonts w:ascii="Calibri" w:cs="Calibri" w:eastAsia="Calibri" w:hAnsi="Calibri"/>
          <w:sz w:val="23"/>
          <w:szCs w:val="23"/>
          <w:color w:val="51555C"/>
          <w:vertAlign w:val="superscript"/>
        </w:rPr>
      </w:pPr>
      <w:r>
        <w:rPr>
          <w:rFonts w:ascii="Calibri" w:cs="Calibri" w:eastAsia="Calibri" w:hAnsi="Calibri"/>
          <w:sz w:val="12"/>
          <w:szCs w:val="12"/>
          <w:color w:val="51555C"/>
        </w:rPr>
        <w:t>Increases in advertsing costs of $1.0 million and $3.0 million, respectvely, primarily due to tming diferences compared to 2023 and, to a lesser extent, increased digital marketng spend to drive fundraising page creaton for JustGiving</w:t>
      </w:r>
    </w:p>
    <w:p>
      <w:pPr>
        <w:spacing w:after="0" w:line="223" w:lineRule="exact"/>
        <w:rPr>
          <w:sz w:val="20"/>
          <w:szCs w:val="20"/>
          <w:color w:val="auto"/>
        </w:rPr>
      </w:pPr>
    </w:p>
    <w:p>
      <w:pPr>
        <w:spacing w:after="0"/>
        <w:rPr>
          <w:sz w:val="20"/>
          <w:szCs w:val="20"/>
          <w:color w:val="auto"/>
        </w:rPr>
      </w:pPr>
      <w:r>
        <w:rPr>
          <w:rFonts w:ascii="Calibri" w:cs="Calibri" w:eastAsia="Calibri" w:hAnsi="Calibri"/>
          <w:sz w:val="14"/>
          <w:szCs w:val="14"/>
          <w:i w:val="1"/>
          <w:iCs w:val="1"/>
          <w:color w:val="51555C"/>
        </w:rPr>
        <w:t>Research and development</w:t>
      </w:r>
    </w:p>
    <w:p>
      <w:pPr>
        <w:spacing w:after="0" w:line="129" w:lineRule="exact"/>
        <w:rPr>
          <w:sz w:val="20"/>
          <w:szCs w:val="20"/>
          <w:color w:val="auto"/>
        </w:rPr>
      </w:pPr>
    </w:p>
    <w:p>
      <w:pPr>
        <w:spacing w:after="0" w:line="237" w:lineRule="auto"/>
        <w:rPr>
          <w:sz w:val="20"/>
          <w:szCs w:val="20"/>
          <w:color w:val="auto"/>
        </w:rPr>
      </w:pPr>
      <w:r>
        <w:rPr>
          <w:rFonts w:ascii="Calibri" w:cs="Calibri" w:eastAsia="Calibri" w:hAnsi="Calibri"/>
          <w:sz w:val="14"/>
          <w:szCs w:val="14"/>
          <w:color w:val="51555C"/>
        </w:rPr>
        <w:t>Research and development expense includes compensaton costs for engineering and product management personnel, third-party contractor expenses, sofware development tools and other expenses related to developing new solutons or upgrading and enhancing existng solutons that do not qualify for capitalizaton, and allocated depreciaton, facilites and IT support costs.</w:t>
      </w:r>
    </w:p>
    <w:p>
      <w:pPr>
        <w:spacing w:after="0" w:line="129" w:lineRule="exact"/>
        <w:rPr>
          <w:sz w:val="20"/>
          <w:szCs w:val="20"/>
          <w:color w:val="auto"/>
        </w:rPr>
      </w:pPr>
    </w:p>
    <w:p>
      <w:pPr>
        <w:spacing w:after="0" w:line="237" w:lineRule="auto"/>
        <w:rPr>
          <w:sz w:val="20"/>
          <w:szCs w:val="20"/>
          <w:color w:val="auto"/>
        </w:rPr>
      </w:pPr>
      <w:r>
        <w:rPr>
          <w:rFonts w:ascii="Calibri" w:cs="Calibri" w:eastAsia="Calibri" w:hAnsi="Calibri"/>
          <w:sz w:val="14"/>
          <w:szCs w:val="14"/>
          <w:color w:val="51555C"/>
        </w:rPr>
        <w:t>We contnue to make investments to delight our customers with innovatve and secure cloud solutons. Research and development expenses increased by $2.9 million, or 8.1%, and $5.1 million or 6.7%, during the three and six months ended June 30, 2024, respectvely, when compared to the same periods in 2023, primarily driven by the following:</w:t>
      </w:r>
    </w:p>
    <w:p>
      <w:pPr>
        <w:spacing w:after="0" w:line="129" w:lineRule="exact"/>
        <w:rPr>
          <w:sz w:val="20"/>
          <w:szCs w:val="20"/>
          <w:color w:val="auto"/>
        </w:rPr>
      </w:pPr>
    </w:p>
    <w:p>
      <w:pPr>
        <w:ind w:left="680" w:right="40" w:hanging="327"/>
        <w:spacing w:after="0"/>
        <w:tabs>
          <w:tab w:leader="none" w:pos="680" w:val="left"/>
        </w:tabs>
        <w:numPr>
          <w:ilvl w:val="0"/>
          <w:numId w:val="23"/>
        </w:numPr>
        <w:rPr>
          <w:rFonts w:ascii="Calibri" w:cs="Calibri" w:eastAsia="Calibri" w:hAnsi="Calibri"/>
          <w:sz w:val="26"/>
          <w:szCs w:val="26"/>
          <w:color w:val="51555C"/>
          <w:vertAlign w:val="superscript"/>
        </w:rPr>
      </w:pPr>
      <w:r>
        <w:rPr>
          <w:rFonts w:ascii="Calibri" w:cs="Calibri" w:eastAsia="Calibri" w:hAnsi="Calibri"/>
          <w:sz w:val="13"/>
          <w:szCs w:val="13"/>
          <w:color w:val="51555C"/>
        </w:rPr>
        <w:t>Increase in compensaton costs of $2.7 million, during the six months ended June 30, 2024, primarily related to an increase in resources dedicated to the security-related compliance of our solutons</w:t>
      </w:r>
    </w:p>
    <w:p>
      <w:pPr>
        <w:spacing w:after="0" w:line="20" w:lineRule="exact"/>
        <w:rPr>
          <w:rFonts w:ascii="Calibri" w:cs="Calibri" w:eastAsia="Calibri" w:hAnsi="Calibri"/>
          <w:sz w:val="26"/>
          <w:szCs w:val="26"/>
          <w:color w:val="51555C"/>
          <w:vertAlign w:val="superscript"/>
        </w:rPr>
      </w:pPr>
    </w:p>
    <w:p>
      <w:pPr>
        <w:ind w:left="680" w:hanging="327"/>
        <w:spacing w:after="0" w:line="185" w:lineRule="auto"/>
        <w:tabs>
          <w:tab w:leader="none" w:pos="680" w:val="left"/>
        </w:tabs>
        <w:numPr>
          <w:ilvl w:val="0"/>
          <w:numId w:val="23"/>
        </w:numPr>
        <w:rPr>
          <w:rFonts w:ascii="Calibri" w:cs="Calibri" w:eastAsia="Calibri" w:hAnsi="Calibri"/>
          <w:sz w:val="27"/>
          <w:szCs w:val="27"/>
          <w:color w:val="51555C"/>
          <w:vertAlign w:val="superscript"/>
        </w:rPr>
      </w:pPr>
      <w:r>
        <w:rPr>
          <w:rFonts w:ascii="Calibri" w:cs="Calibri" w:eastAsia="Calibri" w:hAnsi="Calibri"/>
          <w:sz w:val="14"/>
          <w:szCs w:val="14"/>
          <w:color w:val="51555C"/>
        </w:rPr>
        <w:t>Increases in third-party contractor costs of $1.4 million and $1.3 million, respectvely, largely related to enhancements to our cybersecurity program</w:t>
      </w:r>
    </w:p>
    <w:p>
      <w:pPr>
        <w:spacing w:after="0" w:line="115" w:lineRule="exact"/>
        <w:rPr>
          <w:rFonts w:ascii="Calibri" w:cs="Calibri" w:eastAsia="Calibri" w:hAnsi="Calibri"/>
          <w:sz w:val="27"/>
          <w:szCs w:val="27"/>
          <w:color w:val="51555C"/>
          <w:vertAlign w:val="superscript"/>
        </w:rPr>
      </w:pPr>
    </w:p>
    <w:p>
      <w:pPr>
        <w:ind w:left="680" w:hanging="327"/>
        <w:spacing w:after="0" w:line="183" w:lineRule="auto"/>
        <w:tabs>
          <w:tab w:leader="none" w:pos="680" w:val="left"/>
        </w:tabs>
        <w:numPr>
          <w:ilvl w:val="0"/>
          <w:numId w:val="23"/>
        </w:numPr>
        <w:rPr>
          <w:rFonts w:ascii="Calibri" w:cs="Calibri" w:eastAsia="Calibri" w:hAnsi="Calibri"/>
          <w:sz w:val="15"/>
          <w:szCs w:val="15"/>
          <w:color w:val="51555C"/>
          <w:vertAlign w:val="superscript"/>
        </w:rPr>
      </w:pPr>
      <w:r>
        <w:rPr>
          <w:rFonts w:ascii="Calibri" w:cs="Calibri" w:eastAsia="Calibri" w:hAnsi="Calibri"/>
          <w:sz w:val="10"/>
          <w:szCs w:val="10"/>
          <w:color w:val="51555C"/>
        </w:rPr>
        <w:t>Decrease in sofware development costs of $1.1 million, during the six months ended June 30, 2024, that were required to be capitalized under GAAP</w:t>
      </w:r>
    </w:p>
    <w:p>
      <w:pPr>
        <w:spacing w:after="0" w:line="214" w:lineRule="exact"/>
        <w:rPr>
          <w:sz w:val="20"/>
          <w:szCs w:val="20"/>
          <w:color w:val="auto"/>
        </w:rPr>
      </w:pPr>
    </w:p>
    <w:p>
      <w:pPr>
        <w:jc w:val="both"/>
        <w:spacing w:after="0" w:line="238" w:lineRule="auto"/>
        <w:rPr>
          <w:sz w:val="20"/>
          <w:szCs w:val="20"/>
          <w:color w:val="auto"/>
        </w:rPr>
      </w:pPr>
      <w:r>
        <w:rPr>
          <w:rFonts w:ascii="Calibri" w:cs="Calibri" w:eastAsia="Calibri" w:hAnsi="Calibri"/>
          <w:sz w:val="14"/>
          <w:szCs w:val="14"/>
          <w:color w:val="51555C"/>
        </w:rPr>
        <w:t>Not included in research and development expense for the three months ended June 30, 2024 and 2023 were $14.8 million and $15.4 million, respectvely, and for the six months ended June 30, 2024 and 2023 were $28.5 million and $29.6 million, respectvely, of qualifying costs associated with sofware and content development actvites that are required to be capitalized under GAAP, such as those for our cloud solutons, as well as development costs associated with acquired companies. Qualifying capitalized development costs associated with our cloud solutons are subsequently amortzed to cost of recurring revenue over the related assets' estmated useful life, which generally range from three to seven years. We expect that the amount of sofware and content development costs capitalized will be relatvely consistent in the near-term as we contnue making investments in innovaton, quality, security and the integraton of our solutons, which we believe will drive long-term revenue growth.</w:t>
      </w:r>
    </w:p>
    <w:p>
      <w:pPr>
        <w:spacing w:after="0" w:line="126" w:lineRule="exact"/>
        <w:rPr>
          <w:sz w:val="20"/>
          <w:szCs w:val="20"/>
          <w:color w:val="auto"/>
        </w:rPr>
      </w:pPr>
    </w:p>
    <w:p>
      <w:pPr>
        <w:spacing w:after="0"/>
        <w:rPr>
          <w:sz w:val="20"/>
          <w:szCs w:val="20"/>
          <w:color w:val="auto"/>
        </w:rPr>
      </w:pPr>
      <w:r>
        <w:rPr>
          <w:rFonts w:ascii="Calibri" w:cs="Calibri" w:eastAsia="Calibri" w:hAnsi="Calibri"/>
          <w:sz w:val="14"/>
          <w:szCs w:val="14"/>
          <w:i w:val="1"/>
          <w:iCs w:val="1"/>
          <w:color w:val="51555C"/>
        </w:rPr>
        <w:t>General and administratve</w:t>
      </w:r>
    </w:p>
    <w:p>
      <w:pPr>
        <w:spacing w:after="0" w:line="129" w:lineRule="exact"/>
        <w:rPr>
          <w:sz w:val="20"/>
          <w:szCs w:val="20"/>
          <w:color w:val="auto"/>
        </w:rPr>
      </w:pPr>
    </w:p>
    <w:p>
      <w:pPr>
        <w:jc w:val="both"/>
        <w:spacing w:after="0" w:line="237" w:lineRule="auto"/>
        <w:rPr>
          <w:sz w:val="20"/>
          <w:szCs w:val="20"/>
          <w:color w:val="auto"/>
        </w:rPr>
      </w:pPr>
      <w:r>
        <w:rPr>
          <w:rFonts w:ascii="Calibri" w:cs="Calibri" w:eastAsia="Calibri" w:hAnsi="Calibri"/>
          <w:sz w:val="14"/>
          <w:szCs w:val="14"/>
          <w:color w:val="51555C"/>
        </w:rPr>
        <w:t>General and administratve expense consists primarily of compensaton costs for general corporate functons, including senior management, fnance, accountng, legal, human resources and corporate development, Security Incident-related expenses (including legal fees, setlements and loss contngency accruals), third-party professional fees, insurance, allocated depreciaton, facilites and IT support costs, acquisiton-related expenses and other administratve expenses.</w:t>
      </w:r>
    </w:p>
    <w:p>
      <w:pPr>
        <w:spacing w:after="0" w:line="277" w:lineRule="exact"/>
        <w:rPr>
          <w:sz w:val="20"/>
          <w:szCs w:val="20"/>
          <w:color w:val="auto"/>
        </w:rPr>
      </w:pPr>
    </w:p>
    <w:p>
      <w:pPr>
        <w:ind w:left="20"/>
        <w:spacing w:after="0"/>
        <w:tabs>
          <w:tab w:leader="none" w:pos="589" w:val="left"/>
        </w:tabs>
        <w:rPr>
          <w:sz w:val="20"/>
          <w:szCs w:val="20"/>
          <w:color w:val="auto"/>
        </w:rPr>
      </w:pPr>
      <w:r>
        <w:rPr>
          <w:rFonts w:ascii="Calibri" w:cs="Calibri" w:eastAsia="Calibri" w:hAnsi="Calibri"/>
          <w:sz w:val="11"/>
          <w:szCs w:val="11"/>
          <w:color w:val="51555C"/>
        </w:rPr>
        <w:t>36</w:t>
      </w:r>
      <w:r>
        <w:rPr>
          <w:sz w:val="20"/>
          <w:szCs w:val="20"/>
          <w:color w:val="auto"/>
        </w:rPr>
        <w:tab/>
      </w:r>
      <w:r>
        <w:rPr>
          <w:sz w:val="1"/>
          <w:szCs w:val="1"/>
          <w:color w:val="auto"/>
        </w:rPr>
        <w:drawing>
          <wp:inline distT="0" distB="0" distL="0" distR="0">
            <wp:extent cx="511810" cy="134620"/>
            <wp:effectExtent l="0" t="0" r="0" b="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1810" cy="134620"/>
                    </a:xfrm>
                    <a:prstGeom prst="rect">
                      <a:avLst/>
                    </a:prstGeom>
                    <a:noFill/>
                    <a:ln>
                      <a:noFill/>
                    </a:ln>
                  </pic:spPr>
                </pic:pic>
              </a:graphicData>
            </a:graphic>
          </wp:inline>
        </w:drawing>
      </w:r>
      <w:r>
        <w:rPr>
          <w:rFonts w:ascii="Calibri" w:cs="Calibri" w:eastAsia="Calibri" w:hAnsi="Calibri"/>
          <w:sz w:val="11"/>
          <w:szCs w:val="11"/>
          <w:color w:val="51555C"/>
        </w:rPr>
        <w:t xml:space="preserve">    Second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128905</wp:posOffset>
            </wp:positionV>
            <wp:extent cx="7186930"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37" w:name="page38"/>
    <w:bookmarkEnd w:id="37"/>
    <w:p>
      <w:pPr>
        <w:spacing w:after="0"/>
        <w:rPr>
          <w:sz w:val="20"/>
          <w:szCs w:val="20"/>
          <w:color w:val="auto"/>
        </w:rPr>
      </w:pPr>
      <w:r>
        <w:rPr>
          <w:rFonts w:ascii="Calibri" w:cs="Calibri" w:eastAsia="Calibri" w:hAnsi="Calibri"/>
          <w:sz w:val="11"/>
          <w:szCs w:val="11"/>
          <w:u w:val="single" w:color="auto"/>
          <w:color w:val="7A04DD"/>
        </w:rPr>
        <w:t>Table of Contents</w:t>
      </w:r>
    </w:p>
    <w:p>
      <w:pPr>
        <w:spacing w:after="0" w:line="196" w:lineRule="exact"/>
        <w:rPr>
          <w:sz w:val="20"/>
          <w:szCs w:val="20"/>
          <w:color w:val="auto"/>
        </w:rPr>
      </w:pPr>
    </w:p>
    <w:p>
      <w:pPr>
        <w:jc w:val="center"/>
        <w:spacing w:after="0"/>
        <w:rPr>
          <w:sz w:val="20"/>
          <w:szCs w:val="20"/>
          <w:color w:val="auto"/>
        </w:rPr>
      </w:pPr>
      <w:r>
        <w:rPr>
          <w:rFonts w:ascii="Calibri" w:cs="Calibri" w:eastAsia="Calibri" w:hAnsi="Calibri"/>
          <w:sz w:val="14"/>
          <w:szCs w:val="14"/>
          <w:b w:val="1"/>
          <w:bCs w:val="1"/>
          <w:color w:val="51555C"/>
        </w:rPr>
        <w:t>Blackbaud, Inc.</w:t>
      </w:r>
    </w:p>
    <w:p>
      <w:pPr>
        <w:jc w:val="center"/>
        <w:spacing w:after="0" w:line="238" w:lineRule="auto"/>
        <w:rPr>
          <w:sz w:val="20"/>
          <w:szCs w:val="20"/>
          <w:color w:val="auto"/>
        </w:rPr>
      </w:pPr>
      <w:r>
        <w:rPr>
          <w:rFonts w:ascii="Calibri" w:cs="Calibri" w:eastAsia="Calibri" w:hAnsi="Calibri"/>
          <w:sz w:val="14"/>
          <w:szCs w:val="14"/>
          <w:b w:val="1"/>
          <w:bCs w:val="1"/>
          <w:color w:val="51555C"/>
        </w:rPr>
        <w:t>(Unaudited)</w:t>
      </w:r>
    </w:p>
    <w:p>
      <w:pPr>
        <w:spacing w:after="0" w:line="200" w:lineRule="exact"/>
        <w:rPr>
          <w:sz w:val="20"/>
          <w:szCs w:val="20"/>
          <w:color w:val="auto"/>
        </w:rPr>
      </w:pPr>
    </w:p>
    <w:p>
      <w:pPr>
        <w:spacing w:after="0" w:line="279" w:lineRule="exact"/>
        <w:rPr>
          <w:sz w:val="20"/>
          <w:szCs w:val="20"/>
          <w:color w:val="auto"/>
        </w:rPr>
      </w:pPr>
    </w:p>
    <w:p>
      <w:pPr>
        <w:spacing w:after="0" w:line="237" w:lineRule="auto"/>
        <w:rPr>
          <w:sz w:val="20"/>
          <w:szCs w:val="20"/>
          <w:color w:val="auto"/>
        </w:rPr>
      </w:pPr>
      <w:r>
        <w:rPr>
          <w:rFonts w:ascii="Calibri" w:cs="Calibri" w:eastAsia="Calibri" w:hAnsi="Calibri"/>
          <w:sz w:val="14"/>
          <w:szCs w:val="14"/>
          <w:color w:val="51555C"/>
        </w:rPr>
        <w:t>General and administratve expense decreased by $25.7 million, or 43.5%, and $30.8 million, or 27.5%, three and six months ended June 30, 2024, respectvely, when compared to the same periods in 2023. The decreases in dollars and as a percentage of total revenue were primarily driven by the following:</w:t>
      </w:r>
    </w:p>
    <w:p>
      <w:pPr>
        <w:ind w:left="660" w:hanging="315"/>
        <w:spacing w:after="0" w:line="208" w:lineRule="auto"/>
        <w:tabs>
          <w:tab w:leader="none" w:pos="660" w:val="left"/>
        </w:tabs>
        <w:numPr>
          <w:ilvl w:val="0"/>
          <w:numId w:val="24"/>
        </w:numPr>
        <w:rPr>
          <w:rFonts w:ascii="Calibri" w:cs="Calibri" w:eastAsia="Calibri" w:hAnsi="Calibri"/>
          <w:sz w:val="28"/>
          <w:szCs w:val="28"/>
          <w:color w:val="51555C"/>
          <w:vertAlign w:val="superscript"/>
        </w:rPr>
      </w:pPr>
      <w:r>
        <w:rPr>
          <w:rFonts w:ascii="Calibri" w:cs="Calibri" w:eastAsia="Calibri" w:hAnsi="Calibri"/>
          <w:sz w:val="14"/>
          <w:szCs w:val="14"/>
          <w:color w:val="51555C"/>
        </w:rPr>
        <w:t>Decreases in Security Incident-related expenses of $25.0 million and $32.4 million, respectvely. See "Security Incident update" on page 31</w:t>
      </w:r>
    </w:p>
    <w:p>
      <w:pPr>
        <w:spacing w:after="0" w:line="115" w:lineRule="exact"/>
        <w:rPr>
          <w:rFonts w:ascii="Calibri" w:cs="Calibri" w:eastAsia="Calibri" w:hAnsi="Calibri"/>
          <w:sz w:val="28"/>
          <w:szCs w:val="28"/>
          <w:color w:val="51555C"/>
          <w:vertAlign w:val="superscript"/>
        </w:rPr>
      </w:pPr>
    </w:p>
    <w:p>
      <w:pPr>
        <w:ind w:left="660" w:right="20" w:hanging="315"/>
        <w:spacing w:after="0" w:line="184" w:lineRule="auto"/>
        <w:tabs>
          <w:tab w:leader="none" w:pos="660" w:val="left"/>
        </w:tabs>
        <w:numPr>
          <w:ilvl w:val="0"/>
          <w:numId w:val="24"/>
        </w:numPr>
        <w:rPr>
          <w:rFonts w:ascii="Calibri" w:cs="Calibri" w:eastAsia="Calibri" w:hAnsi="Calibri"/>
          <w:sz w:val="21"/>
          <w:szCs w:val="21"/>
          <w:color w:val="51555C"/>
          <w:vertAlign w:val="superscript"/>
        </w:rPr>
      </w:pPr>
      <w:r>
        <w:rPr>
          <w:rFonts w:ascii="Calibri" w:cs="Calibri" w:eastAsia="Calibri" w:hAnsi="Calibri"/>
          <w:sz w:val="12"/>
          <w:szCs w:val="12"/>
          <w:color w:val="51555C"/>
        </w:rPr>
        <w:t>Decrease in stock-based compensaton costs of $3.8 million, during the three months ended June 30, 2024, primarily due to estmated overall Company performance against 2024 goals for certain performance-based equity awards</w:t>
      </w:r>
    </w:p>
    <w:p>
      <w:pPr>
        <w:spacing w:after="0" w:line="87" w:lineRule="exact"/>
        <w:rPr>
          <w:rFonts w:ascii="Calibri" w:cs="Calibri" w:eastAsia="Calibri" w:hAnsi="Calibri"/>
          <w:sz w:val="21"/>
          <w:szCs w:val="21"/>
          <w:color w:val="51555C"/>
          <w:vertAlign w:val="superscript"/>
        </w:rPr>
      </w:pPr>
    </w:p>
    <w:p>
      <w:pPr>
        <w:ind w:left="660" w:right="20" w:hanging="315"/>
        <w:spacing w:after="0" w:line="189" w:lineRule="auto"/>
        <w:tabs>
          <w:tab w:leader="none" w:pos="660" w:val="left"/>
        </w:tabs>
        <w:numPr>
          <w:ilvl w:val="0"/>
          <w:numId w:val="24"/>
        </w:numPr>
        <w:rPr>
          <w:rFonts w:ascii="Calibri" w:cs="Calibri" w:eastAsia="Calibri" w:hAnsi="Calibri"/>
          <w:sz w:val="23"/>
          <w:szCs w:val="23"/>
          <w:color w:val="51555C"/>
          <w:vertAlign w:val="superscript"/>
        </w:rPr>
      </w:pPr>
      <w:r>
        <w:rPr>
          <w:rFonts w:ascii="Calibri" w:cs="Calibri" w:eastAsia="Calibri" w:hAnsi="Calibri"/>
          <w:sz w:val="12"/>
          <w:szCs w:val="12"/>
          <w:color w:val="51555C"/>
        </w:rPr>
        <w:t>Decrease in corporate costs of $2.4 million, during the six months ended June 30, 2024, primarily related to the release of certain accrued tax liabilites due to favorable sales tax rulings and a decrease in bad debt expense</w:t>
      </w:r>
    </w:p>
    <w:p>
      <w:pPr>
        <w:spacing w:after="0" w:line="42" w:lineRule="exact"/>
        <w:rPr>
          <w:rFonts w:ascii="Calibri" w:cs="Calibri" w:eastAsia="Calibri" w:hAnsi="Calibri"/>
          <w:sz w:val="23"/>
          <w:szCs w:val="23"/>
          <w:color w:val="51555C"/>
          <w:vertAlign w:val="superscript"/>
        </w:rPr>
      </w:pPr>
    </w:p>
    <w:p>
      <w:pPr>
        <w:ind w:left="660" w:hanging="315"/>
        <w:spacing w:after="0"/>
        <w:tabs>
          <w:tab w:leader="none" w:pos="660" w:val="left"/>
        </w:tabs>
        <w:numPr>
          <w:ilvl w:val="0"/>
          <w:numId w:val="24"/>
        </w:numPr>
        <w:rPr>
          <w:rFonts w:ascii="Calibri" w:cs="Calibri" w:eastAsia="Calibri" w:hAnsi="Calibri"/>
          <w:sz w:val="14"/>
          <w:szCs w:val="14"/>
          <w:color w:val="51555C"/>
        </w:rPr>
      </w:pPr>
      <w:r>
        <w:rPr>
          <w:rFonts w:ascii="Calibri" w:cs="Calibri" w:eastAsia="Calibri" w:hAnsi="Calibri"/>
          <w:sz w:val="14"/>
          <w:szCs w:val="14"/>
          <w:color w:val="51555C"/>
        </w:rPr>
        <w:t>Decreases in rent expense, net of allocated costs, of $1.7 million and $2.6 million, respectvely</w:t>
      </w:r>
    </w:p>
    <w:p>
      <w:pPr>
        <w:spacing w:after="0" w:line="87" w:lineRule="exact"/>
        <w:rPr>
          <w:sz w:val="20"/>
          <w:szCs w:val="20"/>
          <w:color w:val="auto"/>
        </w:rPr>
      </w:pPr>
    </w:p>
    <w:p>
      <w:pPr>
        <w:jc w:val="both"/>
        <w:ind w:left="660" w:right="20" w:hanging="329"/>
        <w:spacing w:after="0" w:line="190" w:lineRule="auto"/>
        <w:tabs>
          <w:tab w:leader="none" w:pos="660" w:val="left"/>
        </w:tabs>
        <w:numPr>
          <w:ilvl w:val="0"/>
          <w:numId w:val="25"/>
        </w:numPr>
        <w:rPr>
          <w:rFonts w:ascii="Calibri" w:cs="Calibri" w:eastAsia="Calibri" w:hAnsi="Calibri"/>
          <w:sz w:val="28"/>
          <w:szCs w:val="28"/>
          <w:color w:val="51555C"/>
          <w:vertAlign w:val="superscript"/>
        </w:rPr>
      </w:pPr>
      <w:r>
        <w:rPr>
          <w:rFonts w:ascii="Calibri" w:cs="Calibri" w:eastAsia="Calibri" w:hAnsi="Calibri"/>
          <w:sz w:val="14"/>
          <w:szCs w:val="14"/>
          <w:color w:val="51555C"/>
        </w:rPr>
        <w:t>Increases in acquisiton and dispositon-related costs of $3.2 million and $4.9 million, respectvely, primarily related to the noncash impairment charges against certain operatng lease right-of-use assets and property and equipment assets resultng from the sublease of our Washington, DC ofce locaton and the dispositon of EVERFI Limited; see Note 5 and Note 3 to our unaudited, condensed consolidated fnancial statements in this report for more informaton. These increases were partally ofset by the release of $1.4 million in accrued contngent consideraton related to our Kilter acquisiton as discussed in Note 3 to the consolidated fnancial statements in our Annual Report on From 10-K for the year ended December 31, 2023</w:t>
      </w:r>
    </w:p>
    <w:p>
      <w:pPr>
        <w:spacing w:after="0" w:line="87" w:lineRule="exact"/>
        <w:rPr>
          <w:rFonts w:ascii="Calibri" w:cs="Calibri" w:eastAsia="Calibri" w:hAnsi="Calibri"/>
          <w:sz w:val="28"/>
          <w:szCs w:val="28"/>
          <w:color w:val="51555C"/>
          <w:vertAlign w:val="superscript"/>
        </w:rPr>
      </w:pPr>
    </w:p>
    <w:p>
      <w:pPr>
        <w:ind w:left="660" w:hanging="329"/>
        <w:spacing w:after="0"/>
        <w:tabs>
          <w:tab w:leader="none" w:pos="660" w:val="left"/>
        </w:tabs>
        <w:numPr>
          <w:ilvl w:val="0"/>
          <w:numId w:val="25"/>
        </w:numPr>
        <w:rPr>
          <w:rFonts w:ascii="Calibri" w:cs="Calibri" w:eastAsia="Calibri" w:hAnsi="Calibri"/>
          <w:sz w:val="26"/>
          <w:szCs w:val="26"/>
          <w:color w:val="51555C"/>
          <w:vertAlign w:val="superscript"/>
        </w:rPr>
      </w:pPr>
      <w:r>
        <w:rPr>
          <w:rFonts w:ascii="Calibri" w:cs="Calibri" w:eastAsia="Calibri" w:hAnsi="Calibri"/>
          <w:sz w:val="13"/>
          <w:szCs w:val="13"/>
          <w:color w:val="51555C"/>
        </w:rPr>
        <w:t>Increases in compensaton costs other than stock-based compensaton of $1.5 million and $2.5 million, respectvely, primarily due to an increase in resources dedicated to our cybersecurity program</w:t>
      </w:r>
    </w:p>
    <w:p>
      <w:pPr>
        <w:spacing w:after="0" w:line="242"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51555C"/>
        </w:rPr>
        <w:t>Interest Expense</w:t>
      </w:r>
    </w:p>
    <w:p>
      <w:pPr>
        <w:spacing w:after="0" w:line="211" w:lineRule="exact"/>
        <w:rPr>
          <w:sz w:val="20"/>
          <w:szCs w:val="20"/>
          <w:color w:val="auto"/>
        </w:rPr>
      </w:pPr>
    </w:p>
    <w:p>
      <w:pPr>
        <w:ind w:left="3020"/>
        <w:spacing w:after="0"/>
        <w:rPr>
          <w:sz w:val="20"/>
          <w:szCs w:val="20"/>
          <w:color w:val="auto"/>
        </w:rPr>
      </w:pPr>
      <w:r>
        <w:rPr>
          <w:rFonts w:ascii="Calibri" w:cs="Calibri" w:eastAsia="Calibri" w:hAnsi="Calibri"/>
          <w:sz w:val="14"/>
          <w:szCs w:val="14"/>
          <w:i w:val="1"/>
          <w:iCs w:val="1"/>
          <w:color w:val="51555C"/>
        </w:rPr>
        <w:t>Interest expense ($M)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25400</wp:posOffset>
            </wp:positionV>
            <wp:extent cx="4608195" cy="69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608195" cy="6985"/>
                    </a:xfrm>
                    <a:prstGeom prst="rect">
                      <a:avLst/>
                    </a:prstGeom>
                    <a:noFill/>
                  </pic:spPr>
                </pic:pic>
              </a:graphicData>
            </a:graphic>
          </wp:anchor>
        </w:drawing>
      </w:r>
    </w:p>
    <w:p>
      <w:pPr>
        <w:spacing w:after="0" w:line="81" w:lineRule="exact"/>
        <w:rPr>
          <w:sz w:val="20"/>
          <w:szCs w:val="20"/>
          <w:color w:val="auto"/>
        </w:rPr>
      </w:pPr>
    </w:p>
    <w:p>
      <w:pPr>
        <w:ind w:left="2380"/>
        <w:spacing w:after="0"/>
        <w:rPr>
          <w:sz w:val="20"/>
          <w:szCs w:val="20"/>
          <w:color w:val="auto"/>
        </w:rPr>
      </w:pPr>
      <w:r>
        <w:rPr>
          <w:rFonts w:ascii="Calibri" w:cs="Calibri" w:eastAsia="Calibri" w:hAnsi="Calibri"/>
          <w:sz w:val="10"/>
          <w:szCs w:val="10"/>
          <w:i w:val="1"/>
          <w:iCs w:val="1"/>
          <w:color w:val="51555C"/>
        </w:rPr>
        <w:t>Percentages indicate expenses as a percentage of total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139700</wp:posOffset>
            </wp:positionV>
            <wp:extent cx="3874135" cy="11182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874135" cy="1118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37" w:lineRule="auto"/>
        <w:rPr>
          <w:sz w:val="20"/>
          <w:szCs w:val="20"/>
          <w:color w:val="auto"/>
        </w:rPr>
      </w:pPr>
      <w:r>
        <w:rPr>
          <w:rFonts w:ascii="Calibri" w:cs="Calibri" w:eastAsia="Calibri" w:hAnsi="Calibri"/>
          <w:sz w:val="14"/>
          <w:szCs w:val="14"/>
          <w:color w:val="51555C"/>
        </w:rPr>
        <w:t>The increases in interest expense in dollars and as a percentage of total revenue during the three and six months ended June 30, 2024, when compared to the same periods in 2023, were primarily due to our incremental borrowings to fund our ASR Transacton. We currently expect interest expense for the full year 2024 to be approximately $52 million to $56 million. Our interest expense in connecton with the variable rate porton of our outstanding debt could increase in a rising interest rate environment. See Note 8 to our unaudited, condensed consolidated fnancial statements in this report for more informaton regarding our derivatve instruments, which we use to manage our variable interest rate risk, and Item 3. Quanttatve and Qualitatve Disclosures about Market Risk: Interest Rate Risk (below) for more informaton about our variable interest rate exposure and related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6268720</wp:posOffset>
            </wp:positionH>
            <wp:positionV relativeFrom="paragraph">
              <wp:posOffset>189230</wp:posOffset>
            </wp:positionV>
            <wp:extent cx="518795" cy="1346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8795" cy="134620"/>
                    </a:xfrm>
                    <a:prstGeom prst="rect">
                      <a:avLst/>
                    </a:prstGeom>
                    <a:noFill/>
                  </pic:spPr>
                </pic:pic>
              </a:graphicData>
            </a:graphic>
          </wp:anchor>
        </w:drawing>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0400" w:type="dxa"/>
            <w:vAlign w:val="bottom"/>
          </w:tcPr>
          <w:p>
            <w:pPr>
              <w:ind w:left="8160"/>
              <w:spacing w:after="0"/>
              <w:rPr>
                <w:sz w:val="20"/>
                <w:szCs w:val="20"/>
                <w:color w:val="auto"/>
              </w:rPr>
            </w:pPr>
            <w:r>
              <w:rPr>
                <w:rFonts w:ascii="Calibri" w:cs="Calibri" w:eastAsia="Calibri" w:hAnsi="Calibri"/>
                <w:sz w:val="11"/>
                <w:szCs w:val="11"/>
                <w:color w:val="51555C"/>
              </w:rPr>
              <w:t>Second Quarter 2024 Form 10-Q</w:t>
            </w:r>
          </w:p>
        </w:tc>
        <w:tc>
          <w:tcPr>
            <w:tcW w:w="880" w:type="dxa"/>
            <w:vAlign w:val="bottom"/>
          </w:tcPr>
          <w:p>
            <w:pPr>
              <w:jc w:val="right"/>
              <w:spacing w:after="0"/>
              <w:rPr>
                <w:sz w:val="20"/>
                <w:szCs w:val="20"/>
                <w:color w:val="auto"/>
              </w:rPr>
            </w:pPr>
            <w:r>
              <w:rPr>
                <w:rFonts w:ascii="Calibri" w:cs="Calibri" w:eastAsia="Calibri" w:hAnsi="Calibri"/>
                <w:sz w:val="11"/>
                <w:szCs w:val="11"/>
                <w:color w:val="51555C"/>
              </w:rPr>
              <w:t>37</w:t>
            </w:r>
          </w:p>
        </w:tc>
      </w:tr>
      <w:tr>
        <w:trPr>
          <w:trHeight w:val="281"/>
        </w:trPr>
        <w:tc>
          <w:tcPr>
            <w:tcW w:w="104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38" w:name="page39"/>
    <w:bookmarkEnd w:id="38"/>
    <w:p>
      <w:pPr>
        <w:spacing w:after="0"/>
        <w:rPr>
          <w:sz w:val="20"/>
          <w:szCs w:val="20"/>
          <w:color w:val="auto"/>
        </w:rPr>
      </w:pPr>
      <w:r>
        <w:rPr>
          <w:rFonts w:ascii="Calibri" w:cs="Calibri" w:eastAsia="Calibri" w:hAnsi="Calibri"/>
          <w:sz w:val="11"/>
          <w:szCs w:val="11"/>
          <w:u w:val="single" w:color="auto"/>
          <w:color w:val="7A04DD"/>
        </w:rPr>
        <w:t>Table of Contents</w:t>
      </w:r>
    </w:p>
    <w:p>
      <w:pPr>
        <w:spacing w:after="0" w:line="196" w:lineRule="exact"/>
        <w:rPr>
          <w:sz w:val="20"/>
          <w:szCs w:val="20"/>
          <w:color w:val="auto"/>
        </w:rPr>
      </w:pPr>
    </w:p>
    <w:p>
      <w:pPr>
        <w:jc w:val="center"/>
        <w:ind w:right="20"/>
        <w:spacing w:after="0"/>
        <w:rPr>
          <w:sz w:val="20"/>
          <w:szCs w:val="20"/>
          <w:color w:val="auto"/>
        </w:rPr>
      </w:pPr>
      <w:r>
        <w:rPr>
          <w:rFonts w:ascii="Calibri" w:cs="Calibri" w:eastAsia="Calibri" w:hAnsi="Calibri"/>
          <w:sz w:val="14"/>
          <w:szCs w:val="14"/>
          <w:b w:val="1"/>
          <w:bCs w:val="1"/>
          <w:color w:val="51555C"/>
        </w:rPr>
        <w:t>Blackbaud, Inc.</w:t>
      </w:r>
    </w:p>
    <w:p>
      <w:pPr>
        <w:jc w:val="center"/>
        <w:ind w:right="20"/>
        <w:spacing w:after="0" w:line="238" w:lineRule="auto"/>
        <w:rPr>
          <w:sz w:val="20"/>
          <w:szCs w:val="20"/>
          <w:color w:val="auto"/>
        </w:rPr>
      </w:pPr>
      <w:r>
        <w:rPr>
          <w:rFonts w:ascii="Calibri" w:cs="Calibri" w:eastAsia="Calibri" w:hAnsi="Calibri"/>
          <w:sz w:val="14"/>
          <w:szCs w:val="14"/>
          <w:b w:val="1"/>
          <w:bCs w:val="1"/>
          <w:color w:val="51555C"/>
        </w:rPr>
        <w:t>(Unaudited)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51555C"/>
        </w:rPr>
        <w:t>Other Income</w:t>
      </w:r>
    </w:p>
    <w:p>
      <w:pPr>
        <w:spacing w:after="0" w:line="211" w:lineRule="exact"/>
        <w:rPr>
          <w:sz w:val="20"/>
          <w:szCs w:val="20"/>
          <w:color w:val="auto"/>
        </w:rPr>
      </w:pPr>
    </w:p>
    <w:p>
      <w:pPr>
        <w:ind w:left="3100"/>
        <w:spacing w:after="0"/>
        <w:rPr>
          <w:sz w:val="20"/>
          <w:szCs w:val="20"/>
          <w:color w:val="auto"/>
        </w:rPr>
      </w:pPr>
      <w:r>
        <w:rPr>
          <w:rFonts w:ascii="Calibri" w:cs="Calibri" w:eastAsia="Calibri" w:hAnsi="Calibri"/>
          <w:sz w:val="14"/>
          <w:szCs w:val="14"/>
          <w:i w:val="1"/>
          <w:iCs w:val="1"/>
          <w:color w:val="51555C"/>
        </w:rPr>
        <w:t>Other income ($M)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25400</wp:posOffset>
            </wp:positionV>
            <wp:extent cx="4608195" cy="69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608195" cy="6985"/>
                    </a:xfrm>
                    <a:prstGeom prst="rect">
                      <a:avLst/>
                    </a:prstGeom>
                    <a:noFill/>
                  </pic:spPr>
                </pic:pic>
              </a:graphicData>
            </a:graphic>
          </wp:anchor>
        </w:drawing>
      </w:r>
    </w:p>
    <w:p>
      <w:pPr>
        <w:spacing w:after="0" w:line="81" w:lineRule="exact"/>
        <w:rPr>
          <w:sz w:val="20"/>
          <w:szCs w:val="20"/>
          <w:color w:val="auto"/>
        </w:rPr>
      </w:pPr>
    </w:p>
    <w:p>
      <w:pPr>
        <w:ind w:left="2280"/>
        <w:spacing w:after="0"/>
        <w:rPr>
          <w:sz w:val="20"/>
          <w:szCs w:val="20"/>
          <w:color w:val="auto"/>
        </w:rPr>
      </w:pPr>
      <w:r>
        <w:rPr>
          <w:rFonts w:ascii="Calibri" w:cs="Calibri" w:eastAsia="Calibri" w:hAnsi="Calibri"/>
          <w:sz w:val="10"/>
          <w:szCs w:val="10"/>
          <w:i w:val="1"/>
          <w:iCs w:val="1"/>
          <w:color w:val="51555C"/>
        </w:rPr>
        <w:t>Percentages indicate other income as a percentage of total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146685</wp:posOffset>
            </wp:positionV>
            <wp:extent cx="3874135" cy="11182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874135" cy="1118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ind w:right="20"/>
        <w:spacing w:after="0" w:line="237" w:lineRule="auto"/>
        <w:rPr>
          <w:sz w:val="20"/>
          <w:szCs w:val="20"/>
          <w:color w:val="auto"/>
        </w:rPr>
      </w:pPr>
      <w:r>
        <w:rPr>
          <w:rFonts w:ascii="Calibri" w:cs="Calibri" w:eastAsia="Calibri" w:hAnsi="Calibri"/>
          <w:sz w:val="14"/>
          <w:szCs w:val="14"/>
          <w:color w:val="51555C"/>
        </w:rPr>
        <w:t>The increases in other income in dollars and as a percentage of total revenue during the three and six months ended June 30, 2024, when compared to the same periods in 2023, were primarily due to an increase in interest income. Interest income increased primarily due to higher interest earned on restricted cash held and payable by us to customers for our payment processing solutons. See Note 6 to our unaudited, condensed consolidated fnancial statements in this report for more informaton regarding our other income.</w:t>
      </w:r>
    </w:p>
    <w:p>
      <w:pPr>
        <w:spacing w:after="0" w:line="127"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51555C"/>
        </w:rPr>
        <w:t>Deferred Revenue</w:t>
      </w:r>
    </w:p>
    <w:p>
      <w:pPr>
        <w:spacing w:after="0" w:line="126" w:lineRule="exact"/>
        <w:rPr>
          <w:sz w:val="20"/>
          <w:szCs w:val="20"/>
          <w:color w:val="auto"/>
        </w:rPr>
      </w:pPr>
    </w:p>
    <w:p>
      <w:pPr>
        <w:spacing w:after="0"/>
        <w:rPr>
          <w:sz w:val="20"/>
          <w:szCs w:val="20"/>
          <w:color w:val="auto"/>
        </w:rPr>
      </w:pPr>
      <w:r>
        <w:rPr>
          <w:rFonts w:ascii="Calibri" w:cs="Calibri" w:eastAsia="Calibri" w:hAnsi="Calibri"/>
          <w:sz w:val="14"/>
          <w:szCs w:val="14"/>
          <w:color w:val="51555C"/>
        </w:rPr>
        <w:t>The table below compares the components of deferred revenue from our unaudited, condensed consolidated balance sheets: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7480" w:type="dxa"/>
            <w:vAlign w:val="bottom"/>
            <w:shd w:val="clear" w:color="auto" w:fill="004054"/>
          </w:tcPr>
          <w:p>
            <w:pPr>
              <w:spacing w:after="0"/>
              <w:rPr>
                <w:sz w:val="12"/>
                <w:szCs w:val="12"/>
                <w:color w:val="auto"/>
              </w:rPr>
            </w:pPr>
          </w:p>
        </w:tc>
        <w:tc>
          <w:tcPr>
            <w:tcW w:w="520" w:type="dxa"/>
            <w:vAlign w:val="bottom"/>
            <w:shd w:val="clear" w:color="auto" w:fill="004054"/>
          </w:tcPr>
          <w:p>
            <w:pPr>
              <w:spacing w:after="0"/>
              <w:rPr>
                <w:sz w:val="12"/>
                <w:szCs w:val="12"/>
                <w:color w:val="auto"/>
              </w:rPr>
            </w:pPr>
          </w:p>
        </w:tc>
        <w:tc>
          <w:tcPr>
            <w:tcW w:w="84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June 30,</w:t>
            </w:r>
          </w:p>
        </w:tc>
        <w:tc>
          <w:tcPr>
            <w:tcW w:w="380" w:type="dxa"/>
            <w:vAlign w:val="bottom"/>
            <w:shd w:val="clear" w:color="auto" w:fill="004054"/>
          </w:tcPr>
          <w:p>
            <w:pPr>
              <w:spacing w:after="0"/>
              <w:rPr>
                <w:sz w:val="12"/>
                <w:szCs w:val="12"/>
                <w:color w:val="auto"/>
              </w:rPr>
            </w:pPr>
          </w:p>
        </w:tc>
        <w:tc>
          <w:tcPr>
            <w:tcW w:w="98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December 31,</w:t>
            </w:r>
          </w:p>
        </w:tc>
        <w:tc>
          <w:tcPr>
            <w:tcW w:w="1080" w:type="dxa"/>
            <w:vAlign w:val="bottom"/>
            <w:shd w:val="clear" w:color="auto" w:fill="004054"/>
          </w:tcPr>
          <w:p>
            <w:pPr>
              <w:spacing w:after="0"/>
              <w:rPr>
                <w:sz w:val="12"/>
                <w:szCs w:val="12"/>
                <w:color w:val="auto"/>
              </w:rPr>
            </w:pPr>
          </w:p>
        </w:tc>
        <w:tc>
          <w:tcPr>
            <w:tcW w:w="20" w:type="dxa"/>
            <w:vAlign w:val="bottom"/>
            <w:shd w:val="clear" w:color="auto" w:fill="004054"/>
          </w:tcPr>
          <w:p>
            <w:pPr>
              <w:spacing w:after="0"/>
              <w:rPr>
                <w:sz w:val="12"/>
                <w:szCs w:val="12"/>
                <w:color w:val="auto"/>
              </w:rPr>
            </w:pPr>
          </w:p>
        </w:tc>
      </w:tr>
      <w:tr>
        <w:trPr>
          <w:trHeight w:val="172"/>
        </w:trPr>
        <w:tc>
          <w:tcPr>
            <w:tcW w:w="7480" w:type="dxa"/>
            <w:vAlign w:val="bottom"/>
            <w:tcBorders>
              <w:bottom w:val="single" w:sz="8" w:color="004054"/>
            </w:tcBorders>
            <w:shd w:val="clear" w:color="auto" w:fill="004054"/>
          </w:tcPr>
          <w:p>
            <w:pPr>
              <w:ind w:left="20"/>
              <w:spacing w:after="0"/>
              <w:rPr>
                <w:sz w:val="20"/>
                <w:szCs w:val="20"/>
                <w:color w:val="auto"/>
              </w:rPr>
            </w:pPr>
            <w:r>
              <w:rPr>
                <w:rFonts w:ascii="Calibri" w:cs="Calibri" w:eastAsia="Calibri" w:hAnsi="Calibri"/>
                <w:sz w:val="11"/>
                <w:szCs w:val="11"/>
                <w:b w:val="1"/>
                <w:bCs w:val="1"/>
                <w:color w:val="FFFFFF"/>
              </w:rPr>
              <w:t>(dollars in millions)</w:t>
            </w:r>
          </w:p>
        </w:tc>
        <w:tc>
          <w:tcPr>
            <w:tcW w:w="520" w:type="dxa"/>
            <w:vAlign w:val="bottom"/>
            <w:tcBorders>
              <w:bottom w:val="single" w:sz="8" w:color="004054"/>
            </w:tcBorders>
            <w:shd w:val="clear" w:color="auto" w:fill="004054"/>
          </w:tcPr>
          <w:p>
            <w:pPr>
              <w:spacing w:after="0"/>
              <w:rPr>
                <w:sz w:val="14"/>
                <w:szCs w:val="14"/>
                <w:color w:val="auto"/>
              </w:rPr>
            </w:pPr>
          </w:p>
        </w:tc>
        <w:tc>
          <w:tcPr>
            <w:tcW w:w="840" w:type="dxa"/>
            <w:vAlign w:val="bottom"/>
            <w:tcBorders>
              <w:bottom w:val="single" w:sz="8" w:color="004054"/>
            </w:tcBorders>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2024</w:t>
            </w:r>
          </w:p>
        </w:tc>
        <w:tc>
          <w:tcPr>
            <w:tcW w:w="380" w:type="dxa"/>
            <w:vAlign w:val="bottom"/>
            <w:tcBorders>
              <w:bottom w:val="single" w:sz="8" w:color="004054"/>
            </w:tcBorders>
            <w:shd w:val="clear" w:color="auto" w:fill="004054"/>
          </w:tcPr>
          <w:p>
            <w:pPr>
              <w:spacing w:after="0"/>
              <w:rPr>
                <w:sz w:val="14"/>
                <w:szCs w:val="14"/>
                <w:color w:val="auto"/>
              </w:rPr>
            </w:pPr>
          </w:p>
        </w:tc>
        <w:tc>
          <w:tcPr>
            <w:tcW w:w="980" w:type="dxa"/>
            <w:vAlign w:val="bottom"/>
            <w:tcBorders>
              <w:bottom w:val="single" w:sz="8" w:color="004054"/>
            </w:tcBorders>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2023</w:t>
            </w:r>
          </w:p>
        </w:tc>
        <w:tc>
          <w:tcPr>
            <w:tcW w:w="1080" w:type="dxa"/>
            <w:vAlign w:val="bottom"/>
            <w:tcBorders>
              <w:bottom w:val="single" w:sz="8" w:color="004054"/>
            </w:tcBorders>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Change</w:t>
            </w:r>
          </w:p>
        </w:tc>
        <w:tc>
          <w:tcPr>
            <w:tcW w:w="20" w:type="dxa"/>
            <w:vAlign w:val="bottom"/>
            <w:tcBorders>
              <w:bottom w:val="single" w:sz="8" w:color="004054"/>
            </w:tcBorders>
            <w:shd w:val="clear" w:color="auto" w:fill="004054"/>
          </w:tcPr>
          <w:p>
            <w:pPr>
              <w:spacing w:after="0"/>
              <w:rPr>
                <w:sz w:val="14"/>
                <w:szCs w:val="14"/>
                <w:color w:val="auto"/>
              </w:rPr>
            </w:pPr>
          </w:p>
        </w:tc>
      </w:tr>
      <w:tr>
        <w:trPr>
          <w:trHeight w:val="255"/>
        </w:trPr>
        <w:tc>
          <w:tcPr>
            <w:tcW w:w="7480" w:type="dxa"/>
            <w:vAlign w:val="bottom"/>
            <w:shd w:val="clear" w:color="auto" w:fill="EBFBFF"/>
          </w:tcPr>
          <w:p>
            <w:pPr>
              <w:ind w:left="20"/>
              <w:spacing w:after="0"/>
              <w:rPr>
                <w:sz w:val="20"/>
                <w:szCs w:val="20"/>
                <w:color w:val="auto"/>
              </w:rPr>
            </w:pPr>
            <w:r>
              <w:rPr>
                <w:rFonts w:ascii="Calibri" w:cs="Calibri" w:eastAsia="Calibri" w:hAnsi="Calibri"/>
                <w:sz w:val="14"/>
                <w:szCs w:val="14"/>
                <w:color w:val="51555C"/>
              </w:rPr>
              <w:t>Deferred revenue</w:t>
            </w:r>
            <w:r>
              <w:rPr>
                <w:rFonts w:ascii="Calibri" w:cs="Calibri" w:eastAsia="Calibri" w:hAnsi="Calibri"/>
                <w:sz w:val="18"/>
                <w:szCs w:val="18"/>
                <w:color w:val="51555C"/>
                <w:vertAlign w:val="superscript"/>
              </w:rPr>
              <w:t>(1)</w:t>
            </w:r>
          </w:p>
        </w:tc>
        <w:tc>
          <w:tcPr>
            <w:tcW w:w="520" w:type="dxa"/>
            <w:vAlign w:val="bottom"/>
            <w:shd w:val="clear" w:color="auto" w:fill="EBFBFF"/>
          </w:tcPr>
          <w:p>
            <w:pPr>
              <w:jc w:val="right"/>
              <w:ind w:right="369"/>
              <w:spacing w:after="0"/>
              <w:rPr>
                <w:sz w:val="20"/>
                <w:szCs w:val="20"/>
                <w:color w:val="auto"/>
              </w:rPr>
            </w:pPr>
            <w:r>
              <w:rPr>
                <w:rFonts w:ascii="Calibri" w:cs="Calibri" w:eastAsia="Calibri" w:hAnsi="Calibri"/>
                <w:sz w:val="14"/>
                <w:szCs w:val="14"/>
                <w:color w:val="51555C"/>
                <w:w w:val="83"/>
              </w:rPr>
              <w:t>$</w:t>
            </w:r>
          </w:p>
        </w:tc>
        <w:tc>
          <w:tcPr>
            <w:tcW w:w="840" w:type="dxa"/>
            <w:vAlign w:val="bottom"/>
            <w:shd w:val="clear" w:color="auto" w:fill="EBFBFF"/>
          </w:tcPr>
          <w:p>
            <w:pPr>
              <w:jc w:val="right"/>
              <w:spacing w:after="0"/>
              <w:rPr>
                <w:sz w:val="20"/>
                <w:szCs w:val="20"/>
                <w:color w:val="auto"/>
              </w:rPr>
            </w:pPr>
            <w:r>
              <w:rPr>
                <w:rFonts w:ascii="Calibri" w:cs="Calibri" w:eastAsia="Calibri" w:hAnsi="Calibri"/>
                <w:sz w:val="14"/>
                <w:szCs w:val="14"/>
                <w:color w:val="51555C"/>
              </w:rPr>
              <w:t>429.4</w:t>
            </w:r>
          </w:p>
        </w:tc>
        <w:tc>
          <w:tcPr>
            <w:tcW w:w="380" w:type="dxa"/>
            <w:vAlign w:val="bottom"/>
            <w:shd w:val="clear" w:color="auto" w:fill="EBFBFF"/>
          </w:tcPr>
          <w:p>
            <w:pPr>
              <w:jc w:val="right"/>
              <w:ind w:right="229"/>
              <w:spacing w:after="0"/>
              <w:rPr>
                <w:sz w:val="20"/>
                <w:szCs w:val="20"/>
                <w:color w:val="auto"/>
              </w:rPr>
            </w:pPr>
            <w:r>
              <w:rPr>
                <w:rFonts w:ascii="Calibri" w:cs="Calibri" w:eastAsia="Calibri" w:hAnsi="Calibri"/>
                <w:sz w:val="14"/>
                <w:szCs w:val="14"/>
                <w:color w:val="51555C"/>
                <w:w w:val="83"/>
              </w:rPr>
              <w:t>$</w:t>
            </w:r>
          </w:p>
        </w:tc>
        <w:tc>
          <w:tcPr>
            <w:tcW w:w="980" w:type="dxa"/>
            <w:vAlign w:val="bottom"/>
            <w:shd w:val="clear" w:color="auto" w:fill="EBFBFF"/>
          </w:tcPr>
          <w:p>
            <w:pPr>
              <w:jc w:val="right"/>
              <w:spacing w:after="0"/>
              <w:rPr>
                <w:sz w:val="20"/>
                <w:szCs w:val="20"/>
                <w:color w:val="auto"/>
              </w:rPr>
            </w:pPr>
            <w:r>
              <w:rPr>
                <w:rFonts w:ascii="Calibri" w:cs="Calibri" w:eastAsia="Calibri" w:hAnsi="Calibri"/>
                <w:sz w:val="14"/>
                <w:szCs w:val="14"/>
                <w:color w:val="51555C"/>
              </w:rPr>
              <w:t>394.9</w:t>
            </w:r>
          </w:p>
        </w:tc>
        <w:tc>
          <w:tcPr>
            <w:tcW w:w="1080" w:type="dxa"/>
            <w:vAlign w:val="bottom"/>
            <w:shd w:val="clear" w:color="auto" w:fill="EBFBFF"/>
          </w:tcPr>
          <w:p>
            <w:pPr>
              <w:jc w:val="right"/>
              <w:spacing w:after="0"/>
              <w:rPr>
                <w:sz w:val="20"/>
                <w:szCs w:val="20"/>
                <w:color w:val="auto"/>
              </w:rPr>
            </w:pPr>
            <w:r>
              <w:rPr>
                <w:rFonts w:ascii="Calibri" w:cs="Calibri" w:eastAsia="Calibri" w:hAnsi="Calibri"/>
                <w:sz w:val="14"/>
                <w:szCs w:val="14"/>
                <w:color w:val="51555C"/>
              </w:rPr>
              <w:t>8.7 %</w:t>
            </w:r>
          </w:p>
        </w:tc>
        <w:tc>
          <w:tcPr>
            <w:tcW w:w="20" w:type="dxa"/>
            <w:vAlign w:val="bottom"/>
          </w:tcPr>
          <w:p>
            <w:pPr>
              <w:spacing w:after="0"/>
              <w:rPr>
                <w:sz w:val="22"/>
                <w:szCs w:val="22"/>
                <w:color w:val="auto"/>
              </w:rPr>
            </w:pPr>
          </w:p>
        </w:tc>
      </w:tr>
      <w:tr>
        <w:trPr>
          <w:trHeight w:val="172"/>
        </w:trPr>
        <w:tc>
          <w:tcPr>
            <w:tcW w:w="7480" w:type="dxa"/>
            <w:vAlign w:val="bottom"/>
          </w:tcPr>
          <w:p>
            <w:pPr>
              <w:ind w:left="100"/>
              <w:spacing w:after="0"/>
              <w:rPr>
                <w:sz w:val="20"/>
                <w:szCs w:val="20"/>
                <w:color w:val="auto"/>
              </w:rPr>
            </w:pPr>
            <w:r>
              <w:rPr>
                <w:rFonts w:ascii="Calibri" w:cs="Calibri" w:eastAsia="Calibri" w:hAnsi="Calibri"/>
                <w:sz w:val="14"/>
                <w:szCs w:val="14"/>
                <w:color w:val="51555C"/>
              </w:rPr>
              <w:t>Less: Long-term porton</w:t>
            </w:r>
          </w:p>
        </w:tc>
        <w:tc>
          <w:tcPr>
            <w:tcW w:w="5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alibri" w:cs="Calibri" w:eastAsia="Calibri" w:hAnsi="Calibri"/>
                <w:sz w:val="14"/>
                <w:szCs w:val="14"/>
                <w:color w:val="51555C"/>
              </w:rPr>
              <w:t>2.3</w:t>
            </w:r>
          </w:p>
        </w:tc>
        <w:tc>
          <w:tcPr>
            <w:tcW w:w="3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alibri" w:cs="Calibri" w:eastAsia="Calibri" w:hAnsi="Calibri"/>
                <w:sz w:val="14"/>
                <w:szCs w:val="14"/>
                <w:color w:val="51555C"/>
              </w:rPr>
              <w:t>2.4</w:t>
            </w:r>
          </w:p>
        </w:tc>
        <w:tc>
          <w:tcPr>
            <w:tcW w:w="1080" w:type="dxa"/>
            <w:vAlign w:val="bottom"/>
          </w:tcPr>
          <w:p>
            <w:pPr>
              <w:jc w:val="right"/>
              <w:spacing w:after="0"/>
              <w:rPr>
                <w:sz w:val="20"/>
                <w:szCs w:val="20"/>
                <w:color w:val="auto"/>
              </w:rPr>
            </w:pPr>
            <w:r>
              <w:rPr>
                <w:rFonts w:ascii="Calibri" w:cs="Calibri" w:eastAsia="Calibri" w:hAnsi="Calibri"/>
                <w:sz w:val="14"/>
                <w:szCs w:val="14"/>
                <w:color w:val="51555C"/>
              </w:rPr>
              <w:t>(3.4)%</w:t>
            </w:r>
          </w:p>
        </w:tc>
        <w:tc>
          <w:tcPr>
            <w:tcW w:w="20" w:type="dxa"/>
            <w:vAlign w:val="bottom"/>
          </w:tcPr>
          <w:p>
            <w:pPr>
              <w:spacing w:after="0"/>
              <w:rPr>
                <w:sz w:val="14"/>
                <w:szCs w:val="14"/>
                <w:color w:val="auto"/>
              </w:rPr>
            </w:pPr>
          </w:p>
        </w:tc>
      </w:tr>
      <w:tr>
        <w:trPr>
          <w:trHeight w:val="40"/>
        </w:trPr>
        <w:tc>
          <w:tcPr>
            <w:tcW w:w="7480" w:type="dxa"/>
            <w:vAlign w:val="bottom"/>
            <w:tcBorders>
              <w:bottom w:val="single" w:sz="8" w:color="EBFBFF"/>
            </w:tcBorders>
          </w:tcPr>
          <w:p>
            <w:pPr>
              <w:spacing w:after="0"/>
              <w:rPr>
                <w:sz w:val="3"/>
                <w:szCs w:val="3"/>
                <w:color w:val="auto"/>
              </w:rPr>
            </w:pPr>
          </w:p>
        </w:tc>
        <w:tc>
          <w:tcPr>
            <w:tcW w:w="520" w:type="dxa"/>
            <w:vAlign w:val="bottom"/>
            <w:tcBorders>
              <w:bottom w:val="single" w:sz="8" w:color="51555C"/>
            </w:tcBorders>
          </w:tcPr>
          <w:p>
            <w:pPr>
              <w:spacing w:after="0"/>
              <w:rPr>
                <w:sz w:val="3"/>
                <w:szCs w:val="3"/>
                <w:color w:val="auto"/>
              </w:rPr>
            </w:pPr>
          </w:p>
        </w:tc>
        <w:tc>
          <w:tcPr>
            <w:tcW w:w="840" w:type="dxa"/>
            <w:vAlign w:val="bottom"/>
            <w:tcBorders>
              <w:bottom w:val="single" w:sz="8" w:color="51555C"/>
            </w:tcBorders>
          </w:tcPr>
          <w:p>
            <w:pPr>
              <w:spacing w:after="0"/>
              <w:rPr>
                <w:sz w:val="3"/>
                <w:szCs w:val="3"/>
                <w:color w:val="auto"/>
              </w:rPr>
            </w:pPr>
          </w:p>
        </w:tc>
        <w:tc>
          <w:tcPr>
            <w:tcW w:w="380" w:type="dxa"/>
            <w:vAlign w:val="bottom"/>
            <w:tcBorders>
              <w:bottom w:val="single" w:sz="8" w:color="51555C"/>
            </w:tcBorders>
          </w:tcPr>
          <w:p>
            <w:pPr>
              <w:spacing w:after="0"/>
              <w:rPr>
                <w:sz w:val="3"/>
                <w:szCs w:val="3"/>
                <w:color w:val="auto"/>
              </w:rPr>
            </w:pPr>
          </w:p>
        </w:tc>
        <w:tc>
          <w:tcPr>
            <w:tcW w:w="980" w:type="dxa"/>
            <w:vAlign w:val="bottom"/>
            <w:tcBorders>
              <w:bottom w:val="single" w:sz="8" w:color="51555C"/>
            </w:tcBorders>
          </w:tcPr>
          <w:p>
            <w:pPr>
              <w:spacing w:after="0"/>
              <w:rPr>
                <w:sz w:val="3"/>
                <w:szCs w:val="3"/>
                <w:color w:val="auto"/>
              </w:rPr>
            </w:pPr>
          </w:p>
        </w:tc>
        <w:tc>
          <w:tcPr>
            <w:tcW w:w="1080" w:type="dxa"/>
            <w:vAlign w:val="bottom"/>
            <w:tcBorders>
              <w:bottom w:val="single" w:sz="8" w:color="EBFBFF"/>
            </w:tcBorders>
          </w:tcPr>
          <w:p>
            <w:pPr>
              <w:spacing w:after="0"/>
              <w:rPr>
                <w:sz w:val="3"/>
                <w:szCs w:val="3"/>
                <w:color w:val="auto"/>
              </w:rPr>
            </w:pPr>
          </w:p>
        </w:tc>
        <w:tc>
          <w:tcPr>
            <w:tcW w:w="20" w:type="dxa"/>
            <w:vAlign w:val="bottom"/>
          </w:tcPr>
          <w:p>
            <w:pPr>
              <w:spacing w:after="0"/>
              <w:rPr>
                <w:sz w:val="3"/>
                <w:szCs w:val="3"/>
                <w:color w:val="auto"/>
              </w:rPr>
            </w:pPr>
          </w:p>
        </w:tc>
      </w:tr>
      <w:tr>
        <w:trPr>
          <w:trHeight w:val="235"/>
        </w:trPr>
        <w:tc>
          <w:tcPr>
            <w:tcW w:w="7480" w:type="dxa"/>
            <w:vAlign w:val="bottom"/>
            <w:tcBorders>
              <w:bottom w:val="single" w:sz="8" w:color="0CD973"/>
            </w:tcBorders>
            <w:shd w:val="clear" w:color="auto" w:fill="EBFBFF"/>
          </w:tcPr>
          <w:p>
            <w:pPr>
              <w:ind w:left="100"/>
              <w:spacing w:after="0"/>
              <w:rPr>
                <w:sz w:val="20"/>
                <w:szCs w:val="20"/>
                <w:color w:val="auto"/>
              </w:rPr>
            </w:pPr>
            <w:r>
              <w:rPr>
                <w:rFonts w:ascii="Calibri" w:cs="Calibri" w:eastAsia="Calibri" w:hAnsi="Calibri"/>
                <w:sz w:val="14"/>
                <w:szCs w:val="14"/>
                <w:color w:val="51555C"/>
              </w:rPr>
              <w:t>Current porton</w:t>
            </w:r>
            <w:r>
              <w:rPr>
                <w:rFonts w:ascii="Calibri" w:cs="Calibri" w:eastAsia="Calibri" w:hAnsi="Calibri"/>
                <w:sz w:val="18"/>
                <w:szCs w:val="18"/>
                <w:color w:val="51555C"/>
                <w:vertAlign w:val="superscript"/>
              </w:rPr>
              <w:t>(1)</w:t>
            </w:r>
          </w:p>
        </w:tc>
        <w:tc>
          <w:tcPr>
            <w:tcW w:w="520" w:type="dxa"/>
            <w:vAlign w:val="bottom"/>
            <w:tcBorders>
              <w:bottom w:val="single" w:sz="8" w:color="0CD973"/>
            </w:tcBorders>
            <w:shd w:val="clear" w:color="auto" w:fill="EBFBFF"/>
          </w:tcPr>
          <w:p>
            <w:pPr>
              <w:jc w:val="right"/>
              <w:ind w:right="369"/>
              <w:spacing w:after="0"/>
              <w:rPr>
                <w:sz w:val="20"/>
                <w:szCs w:val="20"/>
                <w:color w:val="auto"/>
              </w:rPr>
            </w:pPr>
            <w:r>
              <w:rPr>
                <w:rFonts w:ascii="Calibri" w:cs="Calibri" w:eastAsia="Calibri" w:hAnsi="Calibri"/>
                <w:sz w:val="14"/>
                <w:szCs w:val="14"/>
                <w:color w:val="51555C"/>
                <w:w w:val="83"/>
              </w:rPr>
              <w:t>$</w:t>
            </w:r>
          </w:p>
        </w:tc>
        <w:tc>
          <w:tcPr>
            <w:tcW w:w="840" w:type="dxa"/>
            <w:vAlign w:val="bottom"/>
            <w:tcBorders>
              <w:bottom w:val="single" w:sz="8" w:color="0CD973"/>
            </w:tcBorders>
            <w:shd w:val="clear" w:color="auto" w:fill="EBFBFF"/>
          </w:tcPr>
          <w:p>
            <w:pPr>
              <w:jc w:val="right"/>
              <w:spacing w:after="0"/>
              <w:rPr>
                <w:sz w:val="20"/>
                <w:szCs w:val="20"/>
                <w:color w:val="auto"/>
              </w:rPr>
            </w:pPr>
            <w:r>
              <w:rPr>
                <w:rFonts w:ascii="Calibri" w:cs="Calibri" w:eastAsia="Calibri" w:hAnsi="Calibri"/>
                <w:sz w:val="14"/>
                <w:szCs w:val="14"/>
                <w:color w:val="51555C"/>
              </w:rPr>
              <w:t>427.1</w:t>
            </w:r>
          </w:p>
        </w:tc>
        <w:tc>
          <w:tcPr>
            <w:tcW w:w="380" w:type="dxa"/>
            <w:vAlign w:val="bottom"/>
            <w:tcBorders>
              <w:bottom w:val="single" w:sz="8" w:color="0CD973"/>
            </w:tcBorders>
            <w:shd w:val="clear" w:color="auto" w:fill="EBFBFF"/>
          </w:tcPr>
          <w:p>
            <w:pPr>
              <w:jc w:val="right"/>
              <w:ind w:right="229"/>
              <w:spacing w:after="0"/>
              <w:rPr>
                <w:sz w:val="20"/>
                <w:szCs w:val="20"/>
                <w:color w:val="auto"/>
              </w:rPr>
            </w:pPr>
            <w:r>
              <w:rPr>
                <w:rFonts w:ascii="Calibri" w:cs="Calibri" w:eastAsia="Calibri" w:hAnsi="Calibri"/>
                <w:sz w:val="14"/>
                <w:szCs w:val="14"/>
                <w:color w:val="51555C"/>
                <w:w w:val="83"/>
              </w:rPr>
              <w:t>$</w:t>
            </w:r>
          </w:p>
        </w:tc>
        <w:tc>
          <w:tcPr>
            <w:tcW w:w="980" w:type="dxa"/>
            <w:vAlign w:val="bottom"/>
            <w:tcBorders>
              <w:bottom w:val="single" w:sz="8" w:color="0CD973"/>
            </w:tcBorders>
            <w:shd w:val="clear" w:color="auto" w:fill="EBFBFF"/>
          </w:tcPr>
          <w:p>
            <w:pPr>
              <w:jc w:val="right"/>
              <w:spacing w:after="0"/>
              <w:rPr>
                <w:sz w:val="20"/>
                <w:szCs w:val="20"/>
                <w:color w:val="auto"/>
              </w:rPr>
            </w:pPr>
            <w:r>
              <w:rPr>
                <w:rFonts w:ascii="Calibri" w:cs="Calibri" w:eastAsia="Calibri" w:hAnsi="Calibri"/>
                <w:sz w:val="14"/>
                <w:szCs w:val="14"/>
                <w:color w:val="51555C"/>
              </w:rPr>
              <w:t>392.5</w:t>
            </w:r>
          </w:p>
        </w:tc>
        <w:tc>
          <w:tcPr>
            <w:tcW w:w="1080" w:type="dxa"/>
            <w:vAlign w:val="bottom"/>
            <w:tcBorders>
              <w:bottom w:val="single" w:sz="8" w:color="0CD973"/>
            </w:tcBorders>
            <w:shd w:val="clear" w:color="auto" w:fill="EBFBFF"/>
          </w:tcPr>
          <w:p>
            <w:pPr>
              <w:jc w:val="right"/>
              <w:spacing w:after="0"/>
              <w:rPr>
                <w:sz w:val="20"/>
                <w:szCs w:val="20"/>
                <w:color w:val="auto"/>
              </w:rPr>
            </w:pPr>
            <w:r>
              <w:rPr>
                <w:rFonts w:ascii="Calibri" w:cs="Calibri" w:eastAsia="Calibri" w:hAnsi="Calibri"/>
                <w:sz w:val="14"/>
                <w:szCs w:val="14"/>
                <w:color w:val="51555C"/>
              </w:rPr>
              <w:t>8.8 %</w:t>
            </w:r>
          </w:p>
        </w:tc>
        <w:tc>
          <w:tcPr>
            <w:tcW w:w="20" w:type="dxa"/>
            <w:vAlign w:val="bottom"/>
          </w:tcPr>
          <w:p>
            <w:pPr>
              <w:spacing w:after="0"/>
              <w:rPr>
                <w:sz w:val="20"/>
                <w:szCs w:val="20"/>
                <w:color w:val="auto"/>
              </w:rPr>
            </w:pPr>
          </w:p>
        </w:tc>
      </w:tr>
    </w:tbl>
    <w:p>
      <w:pPr>
        <w:spacing w:after="0" w:line="52" w:lineRule="exact"/>
        <w:rPr>
          <w:sz w:val="20"/>
          <w:szCs w:val="20"/>
          <w:color w:val="auto"/>
        </w:rPr>
      </w:pPr>
    </w:p>
    <w:p>
      <w:pPr>
        <w:ind w:left="260" w:hanging="255"/>
        <w:spacing w:after="0"/>
        <w:tabs>
          <w:tab w:leader="none" w:pos="260" w:val="left"/>
        </w:tabs>
        <w:numPr>
          <w:ilvl w:val="0"/>
          <w:numId w:val="26"/>
        </w:numPr>
        <w:rPr>
          <w:rFonts w:ascii="Calibri" w:cs="Calibri" w:eastAsia="Calibri" w:hAnsi="Calibri"/>
          <w:sz w:val="11"/>
          <w:szCs w:val="11"/>
          <w:color w:val="51555C"/>
        </w:rPr>
      </w:pPr>
      <w:r>
        <w:rPr>
          <w:rFonts w:ascii="Calibri" w:cs="Calibri" w:eastAsia="Calibri" w:hAnsi="Calibri"/>
          <w:sz w:val="11"/>
          <w:szCs w:val="11"/>
          <w:color w:val="51555C"/>
        </w:rPr>
        <w:t>The individual amounts for each year may not sum to deferred revenue or current porton of deferred revenue due to rounding.</w:t>
      </w:r>
    </w:p>
    <w:p>
      <w:pPr>
        <w:spacing w:after="0" w:line="136" w:lineRule="exact"/>
        <w:rPr>
          <w:sz w:val="20"/>
          <w:szCs w:val="20"/>
          <w:color w:val="auto"/>
        </w:rPr>
      </w:pPr>
    </w:p>
    <w:p>
      <w:pPr>
        <w:jc w:val="both"/>
        <w:ind w:right="20"/>
        <w:spacing w:after="0" w:line="237" w:lineRule="auto"/>
        <w:rPr>
          <w:sz w:val="20"/>
          <w:szCs w:val="20"/>
          <w:color w:val="auto"/>
        </w:rPr>
      </w:pPr>
      <w:r>
        <w:rPr>
          <w:rFonts w:ascii="Calibri" w:cs="Calibri" w:eastAsia="Calibri" w:hAnsi="Calibri"/>
          <w:sz w:val="14"/>
          <w:szCs w:val="14"/>
          <w:color w:val="51555C"/>
        </w:rPr>
        <w:t>To the extent that our customers are billed for our solutons and services in advance of delivery, we record such amounts in deferred revenue. Our recurring revenue contracts are generally for a term of three years at contract incepton, billed annually in advance, and non-cancelable. We generally invoice our customers with recurring revenue contracts in annual cycles 30 days prior to the end of each one-year period.</w:t>
      </w:r>
    </w:p>
    <w:p>
      <w:pPr>
        <w:spacing w:after="0" w:line="130" w:lineRule="exact"/>
        <w:rPr>
          <w:sz w:val="20"/>
          <w:szCs w:val="20"/>
          <w:color w:val="auto"/>
        </w:rPr>
      </w:pPr>
    </w:p>
    <w:p>
      <w:pPr>
        <w:jc w:val="both"/>
        <w:ind w:right="20"/>
        <w:spacing w:after="0" w:line="237" w:lineRule="auto"/>
        <w:rPr>
          <w:sz w:val="20"/>
          <w:szCs w:val="20"/>
          <w:color w:val="auto"/>
        </w:rPr>
      </w:pPr>
      <w:r>
        <w:rPr>
          <w:rFonts w:ascii="Calibri" w:cs="Calibri" w:eastAsia="Calibri" w:hAnsi="Calibri"/>
          <w:sz w:val="14"/>
          <w:szCs w:val="14"/>
          <w:color w:val="51555C"/>
        </w:rPr>
        <w:t>The increase in deferred revenue during the six months ended June 30, 2024 was primarily due to a seasonal increase in customer contract renewals. Historically, due to the tming of customer budget cycles, we have an increase in customer contract renewals at or near the beginning of our third quarter. Generally, our lowest balance of deferred revenue during the year is at the end of our frst quarter.</w:t>
      </w:r>
    </w:p>
    <w:p>
      <w:pPr>
        <w:spacing w:after="0" w:line="267" w:lineRule="exact"/>
        <w:rPr>
          <w:sz w:val="20"/>
          <w:szCs w:val="20"/>
          <w:color w:val="auto"/>
        </w:rPr>
      </w:pPr>
    </w:p>
    <w:p>
      <w:pPr>
        <w:ind w:left="20"/>
        <w:spacing w:after="0"/>
        <w:tabs>
          <w:tab w:leader="none" w:pos="589" w:val="left"/>
        </w:tabs>
        <w:rPr>
          <w:sz w:val="20"/>
          <w:szCs w:val="20"/>
          <w:color w:val="auto"/>
        </w:rPr>
      </w:pPr>
      <w:r>
        <w:rPr>
          <w:rFonts w:ascii="Calibri" w:cs="Calibri" w:eastAsia="Calibri" w:hAnsi="Calibri"/>
          <w:sz w:val="11"/>
          <w:szCs w:val="11"/>
          <w:color w:val="51555C"/>
        </w:rPr>
        <w:t>38</w:t>
      </w:r>
      <w:r>
        <w:rPr>
          <w:sz w:val="20"/>
          <w:szCs w:val="20"/>
          <w:color w:val="auto"/>
        </w:rPr>
        <w:tab/>
      </w:r>
      <w:r>
        <w:rPr>
          <w:sz w:val="1"/>
          <w:szCs w:val="1"/>
          <w:color w:val="auto"/>
        </w:rPr>
        <w:drawing>
          <wp:inline distT="0" distB="0" distL="0" distR="0">
            <wp:extent cx="511810" cy="134620"/>
            <wp:effectExtent l="0" t="0" r="0"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1810" cy="134620"/>
                    </a:xfrm>
                    <a:prstGeom prst="rect">
                      <a:avLst/>
                    </a:prstGeom>
                    <a:noFill/>
                    <a:ln>
                      <a:noFill/>
                    </a:ln>
                  </pic:spPr>
                </pic:pic>
              </a:graphicData>
            </a:graphic>
          </wp:inline>
        </w:drawing>
      </w:r>
      <w:r>
        <w:rPr>
          <w:rFonts w:ascii="Calibri" w:cs="Calibri" w:eastAsia="Calibri" w:hAnsi="Calibri"/>
          <w:sz w:val="11"/>
          <w:szCs w:val="11"/>
          <w:color w:val="51555C"/>
        </w:rPr>
        <w:t xml:space="preserve">    Second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135255</wp:posOffset>
            </wp:positionV>
            <wp:extent cx="7186930"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39" w:name="page40"/>
    <w:bookmarkEnd w:id="39"/>
    <w:p>
      <w:pPr>
        <w:spacing w:after="0"/>
        <w:rPr>
          <w:sz w:val="20"/>
          <w:szCs w:val="20"/>
          <w:color w:val="auto"/>
        </w:rPr>
      </w:pPr>
      <w:r>
        <w:rPr>
          <w:rFonts w:ascii="Calibri" w:cs="Calibri" w:eastAsia="Calibri" w:hAnsi="Calibri"/>
          <w:sz w:val="11"/>
          <w:szCs w:val="11"/>
          <w:u w:val="single" w:color="auto"/>
          <w:color w:val="7A04DD"/>
        </w:rPr>
        <w:t>Table of Contents</w:t>
      </w:r>
    </w:p>
    <w:p>
      <w:pPr>
        <w:spacing w:after="0" w:line="196" w:lineRule="exact"/>
        <w:rPr>
          <w:sz w:val="20"/>
          <w:szCs w:val="20"/>
          <w:color w:val="auto"/>
        </w:rPr>
      </w:pPr>
    </w:p>
    <w:p>
      <w:pPr>
        <w:jc w:val="center"/>
        <w:spacing w:after="0"/>
        <w:rPr>
          <w:sz w:val="20"/>
          <w:szCs w:val="20"/>
          <w:color w:val="auto"/>
        </w:rPr>
      </w:pPr>
      <w:r>
        <w:rPr>
          <w:rFonts w:ascii="Calibri" w:cs="Calibri" w:eastAsia="Calibri" w:hAnsi="Calibri"/>
          <w:sz w:val="14"/>
          <w:szCs w:val="14"/>
          <w:b w:val="1"/>
          <w:bCs w:val="1"/>
          <w:color w:val="51555C"/>
        </w:rPr>
        <w:t>Blackbaud, Inc.</w:t>
      </w:r>
    </w:p>
    <w:p>
      <w:pPr>
        <w:jc w:val="center"/>
        <w:spacing w:after="0" w:line="238" w:lineRule="auto"/>
        <w:rPr>
          <w:sz w:val="20"/>
          <w:szCs w:val="20"/>
          <w:color w:val="auto"/>
        </w:rPr>
      </w:pPr>
      <w:r>
        <w:rPr>
          <w:rFonts w:ascii="Calibri" w:cs="Calibri" w:eastAsia="Calibri" w:hAnsi="Calibri"/>
          <w:sz w:val="14"/>
          <w:szCs w:val="14"/>
          <w:b w:val="1"/>
          <w:bCs w:val="1"/>
          <w:color w:val="51555C"/>
        </w:rPr>
        <w:t>(Unaudited)</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51555C"/>
        </w:rPr>
        <w:t>Income Taxes</w:t>
      </w:r>
    </w:p>
    <w:p>
      <w:pPr>
        <w:spacing w:after="0" w:line="381" w:lineRule="exact"/>
        <w:rPr>
          <w:sz w:val="20"/>
          <w:szCs w:val="20"/>
          <w:color w:val="auto"/>
        </w:rPr>
      </w:pPr>
    </w:p>
    <w:p>
      <w:pPr>
        <w:ind w:left="2660"/>
        <w:spacing w:after="0"/>
        <w:rPr>
          <w:sz w:val="20"/>
          <w:szCs w:val="20"/>
          <w:color w:val="auto"/>
        </w:rPr>
      </w:pPr>
      <w:r>
        <w:rPr>
          <w:rFonts w:ascii="Calibri" w:cs="Calibri" w:eastAsia="Calibri" w:hAnsi="Calibri"/>
          <w:sz w:val="14"/>
          <w:szCs w:val="14"/>
          <w:i w:val="1"/>
          <w:iCs w:val="1"/>
          <w:color w:val="51555C"/>
        </w:rPr>
        <w:t>Income tax provision (beneft) ($M)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25400</wp:posOffset>
            </wp:positionV>
            <wp:extent cx="4608195" cy="69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608195" cy="6985"/>
                    </a:xfrm>
                    <a:prstGeom prst="rect">
                      <a:avLst/>
                    </a:prstGeom>
                    <a:noFill/>
                  </pic:spPr>
                </pic:pic>
              </a:graphicData>
            </a:graphic>
          </wp:anchor>
        </w:drawing>
      </w:r>
    </w:p>
    <w:p>
      <w:pPr>
        <w:spacing w:after="0" w:line="81" w:lineRule="exact"/>
        <w:rPr>
          <w:sz w:val="20"/>
          <w:szCs w:val="20"/>
          <w:color w:val="auto"/>
        </w:rPr>
      </w:pPr>
    </w:p>
    <w:p>
      <w:pPr>
        <w:ind w:left="2700"/>
        <w:spacing w:after="0"/>
        <w:rPr>
          <w:sz w:val="20"/>
          <w:szCs w:val="20"/>
          <w:color w:val="auto"/>
        </w:rPr>
      </w:pPr>
      <w:r>
        <w:rPr>
          <w:rFonts w:ascii="Calibri" w:cs="Calibri" w:eastAsia="Calibri" w:hAnsi="Calibri"/>
          <w:sz w:val="10"/>
          <w:szCs w:val="10"/>
          <w:i w:val="1"/>
          <w:iCs w:val="1"/>
          <w:color w:val="51555C"/>
        </w:rPr>
        <w:t>Percentages indicate efectve income tax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146685</wp:posOffset>
            </wp:positionV>
            <wp:extent cx="3874135" cy="11182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874135" cy="1118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37" w:lineRule="auto"/>
        <w:rPr>
          <w:sz w:val="20"/>
          <w:szCs w:val="20"/>
          <w:color w:val="auto"/>
        </w:rPr>
      </w:pPr>
      <w:r>
        <w:rPr>
          <w:rFonts w:ascii="Calibri" w:cs="Calibri" w:eastAsia="Calibri" w:hAnsi="Calibri"/>
          <w:sz w:val="14"/>
          <w:szCs w:val="14"/>
          <w:color w:val="51555C"/>
        </w:rPr>
        <w:t>The change in our efectve income tax rate for the three and six months ended June 30, 2024, when compared to the same periods in 2023 were largely driven by prior year pre-tax losses versus current year pre-tax income. Additonally, the 2024 periods were favorably impacted by benefts atributable to stock-based compensaton and research and development tax credits whereas stock-based compensaton negatvely impacted our efectve income tax rates for the 2023 periods. Lastly, the 2023 periods were negatvely impacted by non-deductble accruals related to security incident, which have impacted the 2024 periods to a much lesser degree.</w:t>
      </w:r>
    </w:p>
    <w:p>
      <w:pPr>
        <w:spacing w:after="0" w:line="128"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51555C"/>
        </w:rPr>
        <w:t>Non-GAAP Financial Measures</w:t>
      </w:r>
    </w:p>
    <w:p>
      <w:pPr>
        <w:spacing w:after="0" w:line="129" w:lineRule="exact"/>
        <w:rPr>
          <w:sz w:val="20"/>
          <w:szCs w:val="20"/>
          <w:color w:val="auto"/>
        </w:rPr>
      </w:pPr>
    </w:p>
    <w:p>
      <w:pPr>
        <w:jc w:val="both"/>
        <w:spacing w:after="0" w:line="237" w:lineRule="auto"/>
        <w:rPr>
          <w:sz w:val="20"/>
          <w:szCs w:val="20"/>
          <w:color w:val="auto"/>
        </w:rPr>
      </w:pPr>
      <w:r>
        <w:rPr>
          <w:rFonts w:ascii="Calibri" w:cs="Calibri" w:eastAsia="Calibri" w:hAnsi="Calibri"/>
          <w:sz w:val="14"/>
          <w:szCs w:val="14"/>
          <w:color w:val="51555C"/>
        </w:rPr>
        <w:t>The operatng results analyzed below are presented on a non-GAAP basis. We use non-GAAP fnancial measures internally in analyzing our operatonal performance. Accordingly, we believe these non-GAAP measures are useful to investors, as a supplement to GAAP measures, in evaluatng our ongoing operatonal performance. While we believe these non-GAAP measures provide useful supplemental informaton, non-GAAP fnancial measures should not be considered in isolaton from, or as a substtute for, fnancial informaton prepared in accordance with GAAP. In additon, these non-GAAP fnancial measures may not be completely comparable to similarly ttled measures of other companies due to potental diferences in the exact method of calculaton between companies.</w:t>
      </w:r>
    </w:p>
    <w:p>
      <w:pPr>
        <w:spacing w:after="0" w:line="131" w:lineRule="exact"/>
        <w:rPr>
          <w:sz w:val="20"/>
          <w:szCs w:val="20"/>
          <w:color w:val="auto"/>
        </w:rPr>
      </w:pPr>
    </w:p>
    <w:p>
      <w:pPr>
        <w:jc w:val="both"/>
        <w:spacing w:after="0" w:line="237" w:lineRule="auto"/>
        <w:rPr>
          <w:sz w:val="20"/>
          <w:szCs w:val="20"/>
          <w:color w:val="auto"/>
        </w:rPr>
      </w:pPr>
      <w:r>
        <w:rPr>
          <w:rFonts w:ascii="Calibri" w:cs="Calibri" w:eastAsia="Calibri" w:hAnsi="Calibri"/>
          <w:sz w:val="14"/>
          <w:szCs w:val="14"/>
          <w:color w:val="51555C"/>
        </w:rPr>
        <w:t>The non-GAAP fnancial measures discussed below exclude the impact of certain transactons because we believe they are not directly related to our operatng performance in any partcular period, but are for our long-term beneft over multple periods. We believe that these non-GAAP fnancial measures refect our ongoing business in a manner that allows for meaningful period-to-period comparisons and analysis of trends in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6268720</wp:posOffset>
            </wp:positionH>
            <wp:positionV relativeFrom="paragraph">
              <wp:posOffset>194945</wp:posOffset>
            </wp:positionV>
            <wp:extent cx="518795" cy="1346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8795" cy="134620"/>
                    </a:xfrm>
                    <a:prstGeom prst="rect">
                      <a:avLst/>
                    </a:prstGeom>
                    <a:noFill/>
                  </pic:spPr>
                </pic:pic>
              </a:graphicData>
            </a:graphic>
          </wp:anchor>
        </w:drawing>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0400" w:type="dxa"/>
            <w:vAlign w:val="bottom"/>
          </w:tcPr>
          <w:p>
            <w:pPr>
              <w:ind w:left="8160"/>
              <w:spacing w:after="0"/>
              <w:rPr>
                <w:sz w:val="20"/>
                <w:szCs w:val="20"/>
                <w:color w:val="auto"/>
              </w:rPr>
            </w:pPr>
            <w:r>
              <w:rPr>
                <w:rFonts w:ascii="Calibri" w:cs="Calibri" w:eastAsia="Calibri" w:hAnsi="Calibri"/>
                <w:sz w:val="11"/>
                <w:szCs w:val="11"/>
                <w:color w:val="51555C"/>
              </w:rPr>
              <w:t>Second Quarter 2024 Form 10-Q</w:t>
            </w:r>
          </w:p>
        </w:tc>
        <w:tc>
          <w:tcPr>
            <w:tcW w:w="880" w:type="dxa"/>
            <w:vAlign w:val="bottom"/>
          </w:tcPr>
          <w:p>
            <w:pPr>
              <w:jc w:val="right"/>
              <w:spacing w:after="0"/>
              <w:rPr>
                <w:sz w:val="20"/>
                <w:szCs w:val="20"/>
                <w:color w:val="auto"/>
              </w:rPr>
            </w:pPr>
            <w:r>
              <w:rPr>
                <w:rFonts w:ascii="Calibri" w:cs="Calibri" w:eastAsia="Calibri" w:hAnsi="Calibri"/>
                <w:sz w:val="11"/>
                <w:szCs w:val="11"/>
                <w:color w:val="51555C"/>
              </w:rPr>
              <w:t>39</w:t>
            </w:r>
          </w:p>
        </w:tc>
      </w:tr>
      <w:tr>
        <w:trPr>
          <w:trHeight w:val="270"/>
        </w:trPr>
        <w:tc>
          <w:tcPr>
            <w:tcW w:w="10400" w:type="dxa"/>
            <w:vAlign w:val="bottom"/>
            <w:tcBorders>
              <w:bottom w:val="single" w:sz="8" w:color="9A9A9A"/>
            </w:tcBorders>
          </w:tcPr>
          <w:p>
            <w:pPr>
              <w:spacing w:after="0"/>
              <w:rPr>
                <w:sz w:val="23"/>
                <w:szCs w:val="23"/>
                <w:color w:val="auto"/>
              </w:rPr>
            </w:pPr>
          </w:p>
        </w:tc>
        <w:tc>
          <w:tcPr>
            <w:tcW w:w="88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40" w:name="page41"/>
    <w:bookmarkEnd w:id="40"/>
    <w:p>
      <w:pPr>
        <w:spacing w:after="0"/>
        <w:rPr>
          <w:sz w:val="20"/>
          <w:szCs w:val="20"/>
          <w:color w:val="auto"/>
        </w:rPr>
      </w:pPr>
      <w:r>
        <w:rPr>
          <w:rFonts w:ascii="Calibri" w:cs="Calibri" w:eastAsia="Calibri" w:hAnsi="Calibri"/>
          <w:sz w:val="11"/>
          <w:szCs w:val="11"/>
          <w:u w:val="single" w:color="auto"/>
          <w:color w:val="7A04DD"/>
        </w:rPr>
        <w:t>Table of Contents</w:t>
      </w:r>
    </w:p>
    <w:p>
      <w:pPr>
        <w:spacing w:after="0" w:line="196" w:lineRule="exact"/>
        <w:rPr>
          <w:sz w:val="20"/>
          <w:szCs w:val="20"/>
          <w:color w:val="auto"/>
        </w:rPr>
      </w:pPr>
    </w:p>
    <w:p>
      <w:pPr>
        <w:jc w:val="center"/>
        <w:spacing w:after="0"/>
        <w:rPr>
          <w:sz w:val="20"/>
          <w:szCs w:val="20"/>
          <w:color w:val="auto"/>
        </w:rPr>
      </w:pPr>
      <w:r>
        <w:rPr>
          <w:rFonts w:ascii="Calibri" w:cs="Calibri" w:eastAsia="Calibri" w:hAnsi="Calibri"/>
          <w:sz w:val="14"/>
          <w:szCs w:val="14"/>
          <w:b w:val="1"/>
          <w:bCs w:val="1"/>
          <w:color w:val="51555C"/>
        </w:rPr>
        <w:t>Blackbaud, Inc.</w:t>
      </w:r>
    </w:p>
    <w:p>
      <w:pPr>
        <w:jc w:val="center"/>
        <w:spacing w:after="0" w:line="238" w:lineRule="auto"/>
        <w:rPr>
          <w:sz w:val="20"/>
          <w:szCs w:val="20"/>
          <w:color w:val="auto"/>
        </w:rPr>
      </w:pPr>
      <w:r>
        <w:rPr>
          <w:rFonts w:ascii="Calibri" w:cs="Calibri" w:eastAsia="Calibri" w:hAnsi="Calibri"/>
          <w:sz w:val="14"/>
          <w:szCs w:val="14"/>
          <w:b w:val="1"/>
          <w:bCs w:val="1"/>
          <w:color w:val="51555C"/>
        </w:rPr>
        <w:t>(Unaudited)</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0" w:type="dxa"/>
            <w:vAlign w:val="bottom"/>
            <w:shd w:val="clear" w:color="auto" w:fill="004054"/>
          </w:tcPr>
          <w:p>
            <w:pPr>
              <w:spacing w:after="0"/>
              <w:rPr>
                <w:sz w:val="12"/>
                <w:szCs w:val="12"/>
                <w:color w:val="auto"/>
              </w:rPr>
            </w:pPr>
          </w:p>
        </w:tc>
        <w:tc>
          <w:tcPr>
            <w:tcW w:w="5940" w:type="dxa"/>
            <w:vAlign w:val="bottom"/>
            <w:shd w:val="clear" w:color="auto" w:fill="004054"/>
          </w:tcPr>
          <w:p>
            <w:pPr>
              <w:spacing w:after="0"/>
              <w:rPr>
                <w:sz w:val="12"/>
                <w:szCs w:val="12"/>
                <w:color w:val="auto"/>
              </w:rPr>
            </w:pPr>
          </w:p>
        </w:tc>
        <w:tc>
          <w:tcPr>
            <w:tcW w:w="380" w:type="dxa"/>
            <w:vAlign w:val="bottom"/>
            <w:shd w:val="clear" w:color="auto" w:fill="004054"/>
          </w:tcPr>
          <w:p>
            <w:pPr>
              <w:spacing w:after="0"/>
              <w:rPr>
                <w:sz w:val="12"/>
                <w:szCs w:val="12"/>
                <w:color w:val="auto"/>
              </w:rPr>
            </w:pPr>
          </w:p>
        </w:tc>
        <w:tc>
          <w:tcPr>
            <w:tcW w:w="940" w:type="dxa"/>
            <w:vAlign w:val="bottom"/>
            <w:shd w:val="clear" w:color="auto" w:fill="004054"/>
          </w:tcPr>
          <w:p>
            <w:pPr>
              <w:spacing w:after="0"/>
              <w:rPr>
                <w:sz w:val="12"/>
                <w:szCs w:val="12"/>
                <w:color w:val="auto"/>
              </w:rPr>
            </w:pPr>
          </w:p>
        </w:tc>
        <w:tc>
          <w:tcPr>
            <w:tcW w:w="180" w:type="dxa"/>
            <w:vAlign w:val="bottom"/>
            <w:shd w:val="clear" w:color="auto" w:fill="004054"/>
          </w:tcPr>
          <w:p>
            <w:pPr>
              <w:spacing w:after="0"/>
              <w:rPr>
                <w:sz w:val="12"/>
                <w:szCs w:val="12"/>
                <w:color w:val="auto"/>
              </w:rPr>
            </w:pPr>
          </w:p>
        </w:tc>
        <w:tc>
          <w:tcPr>
            <w:tcW w:w="112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Three months ended</w:t>
            </w:r>
          </w:p>
        </w:tc>
        <w:tc>
          <w:tcPr>
            <w:tcW w:w="120" w:type="dxa"/>
            <w:vAlign w:val="bottom"/>
            <w:tcBorders>
              <w:right w:val="single" w:sz="8" w:color="004054"/>
            </w:tcBorders>
          </w:tcPr>
          <w:p>
            <w:pPr>
              <w:spacing w:after="0"/>
              <w:rPr>
                <w:sz w:val="12"/>
                <w:szCs w:val="12"/>
                <w:color w:val="auto"/>
              </w:rPr>
            </w:pPr>
          </w:p>
        </w:tc>
        <w:tc>
          <w:tcPr>
            <w:tcW w:w="340" w:type="dxa"/>
            <w:vAlign w:val="bottom"/>
            <w:shd w:val="clear" w:color="auto" w:fill="004054"/>
          </w:tcPr>
          <w:p>
            <w:pPr>
              <w:spacing w:after="0"/>
              <w:rPr>
                <w:sz w:val="12"/>
                <w:szCs w:val="12"/>
                <w:color w:val="auto"/>
              </w:rPr>
            </w:pPr>
          </w:p>
        </w:tc>
        <w:tc>
          <w:tcPr>
            <w:tcW w:w="940" w:type="dxa"/>
            <w:vAlign w:val="bottom"/>
            <w:shd w:val="clear" w:color="auto" w:fill="004054"/>
          </w:tcPr>
          <w:p>
            <w:pPr>
              <w:spacing w:after="0"/>
              <w:rPr>
                <w:sz w:val="12"/>
                <w:szCs w:val="12"/>
                <w:color w:val="auto"/>
              </w:rPr>
            </w:pPr>
          </w:p>
        </w:tc>
        <w:tc>
          <w:tcPr>
            <w:tcW w:w="260" w:type="dxa"/>
            <w:vAlign w:val="bottom"/>
            <w:shd w:val="clear" w:color="auto" w:fill="004054"/>
          </w:tcPr>
          <w:p>
            <w:pPr>
              <w:spacing w:after="0"/>
              <w:rPr>
                <w:sz w:val="12"/>
                <w:szCs w:val="12"/>
                <w:color w:val="auto"/>
              </w:rPr>
            </w:pPr>
          </w:p>
        </w:tc>
        <w:tc>
          <w:tcPr>
            <w:tcW w:w="104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Six months ended</w:t>
            </w:r>
          </w:p>
        </w:tc>
      </w:tr>
      <w:tr>
        <w:trPr>
          <w:trHeight w:val="135"/>
        </w:trPr>
        <w:tc>
          <w:tcPr>
            <w:tcW w:w="20" w:type="dxa"/>
            <w:vAlign w:val="bottom"/>
            <w:shd w:val="clear" w:color="auto" w:fill="004054"/>
          </w:tcPr>
          <w:p>
            <w:pPr>
              <w:spacing w:after="0"/>
              <w:rPr>
                <w:sz w:val="11"/>
                <w:szCs w:val="11"/>
                <w:color w:val="auto"/>
              </w:rPr>
            </w:pPr>
          </w:p>
        </w:tc>
        <w:tc>
          <w:tcPr>
            <w:tcW w:w="5940" w:type="dxa"/>
            <w:vAlign w:val="bottom"/>
            <w:shd w:val="clear" w:color="auto" w:fill="004054"/>
          </w:tcPr>
          <w:p>
            <w:pPr>
              <w:spacing w:after="0"/>
              <w:rPr>
                <w:sz w:val="11"/>
                <w:szCs w:val="11"/>
                <w:color w:val="auto"/>
              </w:rPr>
            </w:pPr>
          </w:p>
        </w:tc>
        <w:tc>
          <w:tcPr>
            <w:tcW w:w="380" w:type="dxa"/>
            <w:vAlign w:val="bottom"/>
            <w:shd w:val="clear" w:color="auto" w:fill="004054"/>
          </w:tcPr>
          <w:p>
            <w:pPr>
              <w:spacing w:after="0"/>
              <w:rPr>
                <w:sz w:val="11"/>
                <w:szCs w:val="11"/>
                <w:color w:val="auto"/>
              </w:rPr>
            </w:pPr>
          </w:p>
        </w:tc>
        <w:tc>
          <w:tcPr>
            <w:tcW w:w="940" w:type="dxa"/>
            <w:vAlign w:val="bottom"/>
            <w:shd w:val="clear" w:color="auto" w:fill="004054"/>
          </w:tcPr>
          <w:p>
            <w:pPr>
              <w:spacing w:after="0"/>
              <w:rPr>
                <w:sz w:val="11"/>
                <w:szCs w:val="11"/>
                <w:color w:val="auto"/>
              </w:rPr>
            </w:pPr>
          </w:p>
        </w:tc>
        <w:tc>
          <w:tcPr>
            <w:tcW w:w="180" w:type="dxa"/>
            <w:vAlign w:val="bottom"/>
            <w:shd w:val="clear" w:color="auto" w:fill="004054"/>
          </w:tcPr>
          <w:p>
            <w:pPr>
              <w:spacing w:after="0"/>
              <w:rPr>
                <w:sz w:val="11"/>
                <w:szCs w:val="11"/>
                <w:color w:val="auto"/>
              </w:rPr>
            </w:pPr>
          </w:p>
        </w:tc>
        <w:tc>
          <w:tcPr>
            <w:tcW w:w="112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June 30,</w:t>
            </w:r>
          </w:p>
        </w:tc>
        <w:tc>
          <w:tcPr>
            <w:tcW w:w="120" w:type="dxa"/>
            <w:vAlign w:val="bottom"/>
            <w:tcBorders>
              <w:right w:val="single" w:sz="8" w:color="004054"/>
            </w:tcBorders>
          </w:tcPr>
          <w:p>
            <w:pPr>
              <w:spacing w:after="0"/>
              <w:rPr>
                <w:sz w:val="11"/>
                <w:szCs w:val="11"/>
                <w:color w:val="auto"/>
              </w:rPr>
            </w:pPr>
          </w:p>
        </w:tc>
        <w:tc>
          <w:tcPr>
            <w:tcW w:w="340" w:type="dxa"/>
            <w:vAlign w:val="bottom"/>
            <w:shd w:val="clear" w:color="auto" w:fill="004054"/>
          </w:tcPr>
          <w:p>
            <w:pPr>
              <w:spacing w:after="0"/>
              <w:rPr>
                <w:sz w:val="11"/>
                <w:szCs w:val="11"/>
                <w:color w:val="auto"/>
              </w:rPr>
            </w:pPr>
          </w:p>
        </w:tc>
        <w:tc>
          <w:tcPr>
            <w:tcW w:w="940" w:type="dxa"/>
            <w:vAlign w:val="bottom"/>
            <w:shd w:val="clear" w:color="auto" w:fill="004054"/>
          </w:tcPr>
          <w:p>
            <w:pPr>
              <w:spacing w:after="0"/>
              <w:rPr>
                <w:sz w:val="11"/>
                <w:szCs w:val="11"/>
                <w:color w:val="auto"/>
              </w:rPr>
            </w:pPr>
          </w:p>
        </w:tc>
        <w:tc>
          <w:tcPr>
            <w:tcW w:w="260" w:type="dxa"/>
            <w:vAlign w:val="bottom"/>
            <w:shd w:val="clear" w:color="auto" w:fill="004054"/>
          </w:tcPr>
          <w:p>
            <w:pPr>
              <w:spacing w:after="0"/>
              <w:rPr>
                <w:sz w:val="11"/>
                <w:szCs w:val="11"/>
                <w:color w:val="auto"/>
              </w:rPr>
            </w:pPr>
          </w:p>
        </w:tc>
        <w:tc>
          <w:tcPr>
            <w:tcW w:w="104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June 30,</w:t>
            </w:r>
          </w:p>
        </w:tc>
      </w:tr>
      <w:tr>
        <w:trPr>
          <w:trHeight w:val="237"/>
        </w:trPr>
        <w:tc>
          <w:tcPr>
            <w:tcW w:w="20" w:type="dxa"/>
            <w:vAlign w:val="bottom"/>
            <w:tcBorders>
              <w:bottom w:val="single" w:sz="8" w:color="004054"/>
            </w:tcBorders>
            <w:shd w:val="clear" w:color="auto" w:fill="004054"/>
          </w:tcPr>
          <w:p>
            <w:pPr>
              <w:spacing w:after="0"/>
              <w:rPr>
                <w:sz w:val="20"/>
                <w:szCs w:val="20"/>
                <w:color w:val="auto"/>
              </w:rPr>
            </w:pPr>
          </w:p>
        </w:tc>
        <w:tc>
          <w:tcPr>
            <w:tcW w:w="5940" w:type="dxa"/>
            <w:vAlign w:val="bottom"/>
            <w:tcBorders>
              <w:bottom w:val="single" w:sz="8" w:color="004054"/>
            </w:tcBorders>
            <w:shd w:val="clear" w:color="auto" w:fill="004054"/>
          </w:tcPr>
          <w:p>
            <w:pPr>
              <w:spacing w:after="0"/>
              <w:rPr>
                <w:sz w:val="20"/>
                <w:szCs w:val="20"/>
                <w:color w:val="auto"/>
              </w:rPr>
            </w:pPr>
            <w:r>
              <w:rPr>
                <w:rFonts w:ascii="Calibri" w:cs="Calibri" w:eastAsia="Calibri" w:hAnsi="Calibri"/>
                <w:sz w:val="11"/>
                <w:szCs w:val="11"/>
                <w:b w:val="1"/>
                <w:bCs w:val="1"/>
                <w:color w:val="FFFFFF"/>
              </w:rPr>
              <w:t>(dollars in millions, except per share amounts)</w:t>
            </w:r>
          </w:p>
        </w:tc>
        <w:tc>
          <w:tcPr>
            <w:tcW w:w="380" w:type="dxa"/>
            <w:vAlign w:val="bottom"/>
            <w:tcBorders>
              <w:bottom w:val="single" w:sz="8" w:color="004054"/>
            </w:tcBorders>
            <w:shd w:val="clear" w:color="auto" w:fill="004054"/>
          </w:tcPr>
          <w:p>
            <w:pPr>
              <w:spacing w:after="0"/>
              <w:rPr>
                <w:sz w:val="20"/>
                <w:szCs w:val="20"/>
                <w:color w:val="auto"/>
              </w:rPr>
            </w:pPr>
          </w:p>
        </w:tc>
        <w:tc>
          <w:tcPr>
            <w:tcW w:w="940" w:type="dxa"/>
            <w:vAlign w:val="bottom"/>
            <w:tcBorders>
              <w:bottom w:val="single" w:sz="8" w:color="004054"/>
            </w:tcBorders>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2024</w:t>
            </w:r>
          </w:p>
        </w:tc>
        <w:tc>
          <w:tcPr>
            <w:tcW w:w="180" w:type="dxa"/>
            <w:vAlign w:val="bottom"/>
            <w:tcBorders>
              <w:bottom w:val="single" w:sz="8" w:color="004054"/>
            </w:tcBorders>
            <w:shd w:val="clear" w:color="auto" w:fill="004054"/>
          </w:tcPr>
          <w:p>
            <w:pPr>
              <w:spacing w:after="0"/>
              <w:rPr>
                <w:sz w:val="20"/>
                <w:szCs w:val="20"/>
                <w:color w:val="auto"/>
              </w:rPr>
            </w:pPr>
          </w:p>
        </w:tc>
        <w:tc>
          <w:tcPr>
            <w:tcW w:w="1120" w:type="dxa"/>
            <w:vAlign w:val="bottom"/>
            <w:tcBorders>
              <w:bottom w:val="single" w:sz="8" w:color="004054"/>
            </w:tcBorders>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2023</w:t>
            </w:r>
          </w:p>
        </w:tc>
        <w:tc>
          <w:tcPr>
            <w:tcW w:w="120" w:type="dxa"/>
            <w:vAlign w:val="bottom"/>
            <w:tcBorders>
              <w:right w:val="single" w:sz="8" w:color="004054"/>
            </w:tcBorders>
          </w:tcPr>
          <w:p>
            <w:pPr>
              <w:spacing w:after="0"/>
              <w:rPr>
                <w:sz w:val="20"/>
                <w:szCs w:val="20"/>
                <w:color w:val="auto"/>
              </w:rPr>
            </w:pPr>
          </w:p>
        </w:tc>
        <w:tc>
          <w:tcPr>
            <w:tcW w:w="340" w:type="dxa"/>
            <w:vAlign w:val="bottom"/>
            <w:tcBorders>
              <w:bottom w:val="single" w:sz="8" w:color="004054"/>
            </w:tcBorders>
            <w:shd w:val="clear" w:color="auto" w:fill="004054"/>
          </w:tcPr>
          <w:p>
            <w:pPr>
              <w:spacing w:after="0"/>
              <w:rPr>
                <w:sz w:val="20"/>
                <w:szCs w:val="20"/>
                <w:color w:val="auto"/>
              </w:rPr>
            </w:pPr>
          </w:p>
        </w:tc>
        <w:tc>
          <w:tcPr>
            <w:tcW w:w="940" w:type="dxa"/>
            <w:vAlign w:val="bottom"/>
            <w:tcBorders>
              <w:bottom w:val="single" w:sz="8" w:color="004054"/>
            </w:tcBorders>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2024</w:t>
            </w:r>
          </w:p>
        </w:tc>
        <w:tc>
          <w:tcPr>
            <w:tcW w:w="260" w:type="dxa"/>
            <w:vAlign w:val="bottom"/>
            <w:tcBorders>
              <w:bottom w:val="single" w:sz="8" w:color="004054"/>
            </w:tcBorders>
            <w:shd w:val="clear" w:color="auto" w:fill="004054"/>
          </w:tcPr>
          <w:p>
            <w:pPr>
              <w:spacing w:after="0"/>
              <w:rPr>
                <w:sz w:val="20"/>
                <w:szCs w:val="20"/>
                <w:color w:val="auto"/>
              </w:rPr>
            </w:pPr>
          </w:p>
        </w:tc>
        <w:tc>
          <w:tcPr>
            <w:tcW w:w="1040" w:type="dxa"/>
            <w:vAlign w:val="bottom"/>
            <w:tcBorders>
              <w:bottom w:val="single" w:sz="8" w:color="004054"/>
            </w:tcBorders>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2023</w:t>
            </w:r>
          </w:p>
        </w:tc>
      </w:tr>
      <w:tr>
        <w:trPr>
          <w:trHeight w:val="171"/>
        </w:trPr>
        <w:tc>
          <w:tcPr>
            <w:tcW w:w="20" w:type="dxa"/>
            <w:vAlign w:val="bottom"/>
            <w:tcBorders>
              <w:top w:val="single" w:sz="8" w:color="EBFBFF"/>
              <w:bottom w:val="single" w:sz="8" w:color="EBFBFF"/>
            </w:tcBorders>
            <w:shd w:val="clear" w:color="auto" w:fill="EBFBFF"/>
          </w:tcPr>
          <w:p>
            <w:pPr>
              <w:spacing w:after="0"/>
              <w:rPr>
                <w:sz w:val="14"/>
                <w:szCs w:val="14"/>
                <w:color w:val="auto"/>
              </w:rPr>
            </w:pPr>
          </w:p>
        </w:tc>
        <w:tc>
          <w:tcPr>
            <w:tcW w:w="5940" w:type="dxa"/>
            <w:vAlign w:val="bottom"/>
            <w:tcBorders>
              <w:top w:val="single" w:sz="8" w:color="004054"/>
              <w:bottom w:val="single" w:sz="8" w:color="EBFBFF"/>
            </w:tcBorders>
            <w:shd w:val="clear" w:color="auto" w:fill="EBFBFF"/>
          </w:tcPr>
          <w:p>
            <w:pPr>
              <w:spacing w:after="0" w:line="126" w:lineRule="exact"/>
              <w:rPr>
                <w:sz w:val="20"/>
                <w:szCs w:val="20"/>
                <w:color w:val="auto"/>
              </w:rPr>
            </w:pPr>
            <w:r>
              <w:rPr>
                <w:rFonts w:ascii="Calibri" w:cs="Calibri" w:eastAsia="Calibri" w:hAnsi="Calibri"/>
                <w:sz w:val="11"/>
                <w:szCs w:val="11"/>
                <w:b w:val="1"/>
                <w:bCs w:val="1"/>
                <w:color w:val="51555C"/>
              </w:rPr>
              <w:t>GAAP Revenue</w:t>
            </w:r>
          </w:p>
        </w:tc>
        <w:tc>
          <w:tcPr>
            <w:tcW w:w="380" w:type="dxa"/>
            <w:vAlign w:val="bottom"/>
            <w:tcBorders>
              <w:top w:val="single" w:sz="8" w:color="004054"/>
              <w:bottom w:val="single" w:sz="8" w:color="EBFBFF"/>
            </w:tcBorders>
            <w:shd w:val="clear" w:color="auto" w:fill="EBFBFF"/>
          </w:tcPr>
          <w:p>
            <w:pPr>
              <w:jc w:val="right"/>
              <w:ind w:right="243"/>
              <w:spacing w:after="0" w:line="126" w:lineRule="exact"/>
              <w:rPr>
                <w:sz w:val="20"/>
                <w:szCs w:val="20"/>
                <w:color w:val="auto"/>
              </w:rPr>
            </w:pPr>
            <w:r>
              <w:rPr>
                <w:rFonts w:ascii="Calibri" w:cs="Calibri" w:eastAsia="Calibri" w:hAnsi="Calibri"/>
                <w:sz w:val="11"/>
                <w:szCs w:val="11"/>
                <w:color w:val="51555C"/>
              </w:rPr>
              <w:t>$</w:t>
            </w:r>
          </w:p>
        </w:tc>
        <w:tc>
          <w:tcPr>
            <w:tcW w:w="940" w:type="dxa"/>
            <w:vAlign w:val="bottom"/>
            <w:tcBorders>
              <w:top w:val="single" w:sz="8" w:color="004054"/>
              <w:bottom w:val="single" w:sz="8" w:color="EBFBFF"/>
            </w:tcBorders>
            <w:shd w:val="clear" w:color="auto" w:fill="EBFBFF"/>
          </w:tcPr>
          <w:p>
            <w:pPr>
              <w:jc w:val="right"/>
              <w:ind w:right="63"/>
              <w:spacing w:after="0" w:line="126" w:lineRule="exact"/>
              <w:rPr>
                <w:sz w:val="20"/>
                <w:szCs w:val="20"/>
                <w:color w:val="auto"/>
              </w:rPr>
            </w:pPr>
            <w:r>
              <w:rPr>
                <w:rFonts w:ascii="Calibri" w:cs="Calibri" w:eastAsia="Calibri" w:hAnsi="Calibri"/>
                <w:sz w:val="11"/>
                <w:szCs w:val="11"/>
                <w:color w:val="51555C"/>
              </w:rPr>
              <w:t>287.3</w:t>
            </w:r>
          </w:p>
        </w:tc>
        <w:tc>
          <w:tcPr>
            <w:tcW w:w="180" w:type="dxa"/>
            <w:vAlign w:val="bottom"/>
            <w:tcBorders>
              <w:top w:val="single" w:sz="8" w:color="004054"/>
              <w:bottom w:val="single" w:sz="8" w:color="EBFBFF"/>
            </w:tcBorders>
            <w:shd w:val="clear" w:color="auto" w:fill="EBFBFF"/>
          </w:tcPr>
          <w:p>
            <w:pPr>
              <w:jc w:val="right"/>
              <w:ind w:right="63"/>
              <w:spacing w:after="0" w:line="126" w:lineRule="exact"/>
              <w:rPr>
                <w:sz w:val="20"/>
                <w:szCs w:val="20"/>
                <w:color w:val="auto"/>
              </w:rPr>
            </w:pPr>
            <w:r>
              <w:rPr>
                <w:rFonts w:ascii="Calibri" w:cs="Calibri" w:eastAsia="Calibri" w:hAnsi="Calibri"/>
                <w:sz w:val="11"/>
                <w:szCs w:val="11"/>
                <w:color w:val="51555C"/>
                <w:w w:val="70"/>
              </w:rPr>
              <w:t>$</w:t>
            </w:r>
          </w:p>
        </w:tc>
        <w:tc>
          <w:tcPr>
            <w:tcW w:w="1120" w:type="dxa"/>
            <w:vAlign w:val="bottom"/>
            <w:tcBorders>
              <w:top w:val="single" w:sz="8" w:color="004054"/>
              <w:bottom w:val="single" w:sz="8" w:color="EBFBFF"/>
            </w:tcBorders>
            <w:shd w:val="clear" w:color="auto" w:fill="EBFBFF"/>
          </w:tcPr>
          <w:p>
            <w:pPr>
              <w:jc w:val="right"/>
              <w:ind w:right="63"/>
              <w:spacing w:after="0" w:line="126" w:lineRule="exact"/>
              <w:rPr>
                <w:sz w:val="20"/>
                <w:szCs w:val="20"/>
                <w:color w:val="auto"/>
              </w:rPr>
            </w:pPr>
            <w:r>
              <w:rPr>
                <w:rFonts w:ascii="Calibri" w:cs="Calibri" w:eastAsia="Calibri" w:hAnsi="Calibri"/>
                <w:sz w:val="11"/>
                <w:szCs w:val="11"/>
                <w:color w:val="51555C"/>
              </w:rPr>
              <w:t>271.0</w:t>
            </w:r>
          </w:p>
        </w:tc>
        <w:tc>
          <w:tcPr>
            <w:tcW w:w="120" w:type="dxa"/>
            <w:vAlign w:val="bottom"/>
            <w:tcBorders>
              <w:top w:val="single" w:sz="8" w:color="EBFBFF"/>
              <w:bottom w:val="single" w:sz="8" w:color="EBFBFF"/>
              <w:right w:val="single" w:sz="8" w:color="EBFBFF"/>
            </w:tcBorders>
            <w:shd w:val="clear" w:color="auto" w:fill="EBFBFF"/>
          </w:tcPr>
          <w:p>
            <w:pPr>
              <w:spacing w:after="0"/>
              <w:rPr>
                <w:sz w:val="14"/>
                <w:szCs w:val="14"/>
                <w:color w:val="auto"/>
              </w:rPr>
            </w:pPr>
          </w:p>
        </w:tc>
        <w:tc>
          <w:tcPr>
            <w:tcW w:w="340" w:type="dxa"/>
            <w:vAlign w:val="bottom"/>
            <w:tcBorders>
              <w:top w:val="single" w:sz="8" w:color="004054"/>
              <w:bottom w:val="single" w:sz="8" w:color="EBFBFF"/>
            </w:tcBorders>
            <w:shd w:val="clear" w:color="auto" w:fill="EBFBFF"/>
          </w:tcPr>
          <w:p>
            <w:pPr>
              <w:jc w:val="right"/>
              <w:ind w:right="277"/>
              <w:spacing w:after="0"/>
              <w:rPr>
                <w:sz w:val="20"/>
                <w:szCs w:val="20"/>
                <w:color w:val="auto"/>
              </w:rPr>
            </w:pPr>
            <w:r>
              <w:rPr>
                <w:rFonts w:ascii="Calibri" w:cs="Calibri" w:eastAsia="Calibri" w:hAnsi="Calibri"/>
                <w:sz w:val="5"/>
                <w:szCs w:val="5"/>
                <w:color w:val="51555C"/>
                <w:w w:val="76"/>
              </w:rPr>
              <w:t>$</w:t>
            </w:r>
          </w:p>
        </w:tc>
        <w:tc>
          <w:tcPr>
            <w:tcW w:w="940" w:type="dxa"/>
            <w:vAlign w:val="bottom"/>
            <w:tcBorders>
              <w:top w:val="single" w:sz="8" w:color="004054"/>
              <w:bottom w:val="single" w:sz="8" w:color="EBFBFF"/>
            </w:tcBorders>
            <w:shd w:val="clear" w:color="auto" w:fill="EBFBFF"/>
          </w:tcPr>
          <w:p>
            <w:pPr>
              <w:jc w:val="right"/>
              <w:ind w:right="63"/>
              <w:spacing w:after="0" w:line="126" w:lineRule="exact"/>
              <w:rPr>
                <w:sz w:val="20"/>
                <w:szCs w:val="20"/>
                <w:color w:val="auto"/>
              </w:rPr>
            </w:pPr>
            <w:r>
              <w:rPr>
                <w:rFonts w:ascii="Calibri" w:cs="Calibri" w:eastAsia="Calibri" w:hAnsi="Calibri"/>
                <w:sz w:val="11"/>
                <w:szCs w:val="11"/>
                <w:color w:val="51555C"/>
              </w:rPr>
              <w:t>566.5</w:t>
            </w:r>
          </w:p>
        </w:tc>
        <w:tc>
          <w:tcPr>
            <w:tcW w:w="260" w:type="dxa"/>
            <w:vAlign w:val="bottom"/>
            <w:tcBorders>
              <w:top w:val="single" w:sz="8" w:color="004054"/>
              <w:bottom w:val="single" w:sz="8" w:color="EBFBFF"/>
            </w:tcBorders>
            <w:shd w:val="clear" w:color="auto" w:fill="EBFBFF"/>
          </w:tcPr>
          <w:p>
            <w:pPr>
              <w:jc w:val="right"/>
              <w:ind w:right="143"/>
              <w:spacing w:after="0" w:line="126" w:lineRule="exact"/>
              <w:rPr>
                <w:sz w:val="20"/>
                <w:szCs w:val="20"/>
                <w:color w:val="auto"/>
              </w:rPr>
            </w:pPr>
            <w:r>
              <w:rPr>
                <w:rFonts w:ascii="Calibri" w:cs="Calibri" w:eastAsia="Calibri" w:hAnsi="Calibri"/>
                <w:sz w:val="11"/>
                <w:szCs w:val="11"/>
                <w:color w:val="51555C"/>
                <w:w w:val="70"/>
              </w:rPr>
              <w:t>$</w:t>
            </w:r>
          </w:p>
        </w:tc>
        <w:tc>
          <w:tcPr>
            <w:tcW w:w="1040" w:type="dxa"/>
            <w:vAlign w:val="bottom"/>
            <w:tcBorders>
              <w:top w:val="single" w:sz="8" w:color="004054"/>
              <w:bottom w:val="single" w:sz="8" w:color="EBFBFF"/>
            </w:tcBorders>
            <w:shd w:val="clear" w:color="auto" w:fill="EBFBFF"/>
          </w:tcPr>
          <w:p>
            <w:pPr>
              <w:jc w:val="right"/>
              <w:ind w:right="63"/>
              <w:spacing w:after="0" w:line="126" w:lineRule="exact"/>
              <w:rPr>
                <w:sz w:val="20"/>
                <w:szCs w:val="20"/>
                <w:color w:val="auto"/>
              </w:rPr>
            </w:pPr>
            <w:r>
              <w:rPr>
                <w:rFonts w:ascii="Calibri" w:cs="Calibri" w:eastAsia="Calibri" w:hAnsi="Calibri"/>
                <w:sz w:val="11"/>
                <w:szCs w:val="11"/>
                <w:color w:val="51555C"/>
              </w:rPr>
              <w:t>532.8</w:t>
            </w:r>
          </w:p>
        </w:tc>
      </w:tr>
      <w:tr>
        <w:trPr>
          <w:trHeight w:val="22"/>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380" w:type="dxa"/>
            <w:vAlign w:val="bottom"/>
            <w:tcBorders>
              <w:top w:val="single" w:sz="8" w:color="51555C"/>
            </w:tcBorders>
          </w:tcPr>
          <w:p>
            <w:pPr>
              <w:spacing w:after="0" w:line="20" w:lineRule="exact"/>
              <w:rPr>
                <w:sz w:val="1"/>
                <w:szCs w:val="1"/>
                <w:color w:val="auto"/>
              </w:rPr>
            </w:pPr>
          </w:p>
        </w:tc>
        <w:tc>
          <w:tcPr>
            <w:tcW w:w="940" w:type="dxa"/>
            <w:vAlign w:val="bottom"/>
            <w:tcBorders>
              <w:top w:val="single" w:sz="8" w:color="51555C"/>
            </w:tcBorders>
          </w:tcPr>
          <w:p>
            <w:pPr>
              <w:spacing w:after="0" w:line="20" w:lineRule="exact"/>
              <w:rPr>
                <w:sz w:val="1"/>
                <w:szCs w:val="1"/>
                <w:color w:val="auto"/>
              </w:rPr>
            </w:pPr>
          </w:p>
        </w:tc>
        <w:tc>
          <w:tcPr>
            <w:tcW w:w="180" w:type="dxa"/>
            <w:vAlign w:val="bottom"/>
            <w:tcBorders>
              <w:top w:val="single" w:sz="8" w:color="51555C"/>
            </w:tcBorders>
          </w:tcPr>
          <w:p>
            <w:pPr>
              <w:spacing w:after="0" w:line="20" w:lineRule="exact"/>
              <w:rPr>
                <w:sz w:val="1"/>
                <w:szCs w:val="1"/>
                <w:color w:val="auto"/>
              </w:rPr>
            </w:pPr>
          </w:p>
        </w:tc>
        <w:tc>
          <w:tcPr>
            <w:tcW w:w="1120" w:type="dxa"/>
            <w:vAlign w:val="bottom"/>
            <w:tcBorders>
              <w:top w:val="single" w:sz="8" w:color="51555C"/>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51555C"/>
            </w:tcBorders>
          </w:tcPr>
          <w:p>
            <w:pPr>
              <w:spacing w:after="0" w:line="20" w:lineRule="exact"/>
              <w:rPr>
                <w:sz w:val="1"/>
                <w:szCs w:val="1"/>
                <w:color w:val="auto"/>
              </w:rPr>
            </w:pPr>
          </w:p>
        </w:tc>
        <w:tc>
          <w:tcPr>
            <w:tcW w:w="940" w:type="dxa"/>
            <w:vAlign w:val="bottom"/>
            <w:tcBorders>
              <w:top w:val="single" w:sz="8" w:color="51555C"/>
            </w:tcBorders>
          </w:tcPr>
          <w:p>
            <w:pPr>
              <w:spacing w:after="0" w:line="20" w:lineRule="exact"/>
              <w:rPr>
                <w:sz w:val="1"/>
                <w:szCs w:val="1"/>
                <w:color w:val="auto"/>
              </w:rPr>
            </w:pPr>
          </w:p>
        </w:tc>
        <w:tc>
          <w:tcPr>
            <w:tcW w:w="260" w:type="dxa"/>
            <w:vAlign w:val="bottom"/>
            <w:tcBorders>
              <w:top w:val="single" w:sz="8" w:color="51555C"/>
            </w:tcBorders>
          </w:tcPr>
          <w:p>
            <w:pPr>
              <w:spacing w:after="0" w:line="20" w:lineRule="exact"/>
              <w:rPr>
                <w:sz w:val="1"/>
                <w:szCs w:val="1"/>
                <w:color w:val="auto"/>
              </w:rPr>
            </w:pPr>
          </w:p>
        </w:tc>
        <w:tc>
          <w:tcPr>
            <w:tcW w:w="1040" w:type="dxa"/>
            <w:vAlign w:val="bottom"/>
            <w:tcBorders>
              <w:top w:val="single" w:sz="8" w:color="51555C"/>
            </w:tcBorders>
          </w:tcPr>
          <w:p>
            <w:pPr>
              <w:spacing w:after="0" w:line="20" w:lineRule="exact"/>
              <w:rPr>
                <w:sz w:val="1"/>
                <w:szCs w:val="1"/>
                <w:color w:val="auto"/>
              </w:rPr>
            </w:pPr>
          </w:p>
        </w:tc>
      </w:tr>
      <w:tr>
        <w:trPr>
          <w:trHeight w:val="160"/>
        </w:trPr>
        <w:tc>
          <w:tcPr>
            <w:tcW w:w="20" w:type="dxa"/>
            <w:vAlign w:val="bottom"/>
            <w:tcBorders>
              <w:bottom w:val="single" w:sz="8" w:color="EBFBFF"/>
            </w:tcBorders>
            <w:shd w:val="clear" w:color="auto" w:fill="EBFBFF"/>
          </w:tcPr>
          <w:p>
            <w:pPr>
              <w:spacing w:after="0"/>
              <w:rPr>
                <w:sz w:val="13"/>
                <w:szCs w:val="13"/>
                <w:color w:val="auto"/>
              </w:rPr>
            </w:pPr>
          </w:p>
        </w:tc>
        <w:tc>
          <w:tcPr>
            <w:tcW w:w="5940" w:type="dxa"/>
            <w:vAlign w:val="bottom"/>
            <w:tcBorders>
              <w:bottom w:val="single" w:sz="8" w:color="EBFBFF"/>
            </w:tcBorders>
            <w:shd w:val="clear" w:color="auto" w:fill="EBFBFF"/>
          </w:tcPr>
          <w:p>
            <w:pPr>
              <w:spacing w:after="0"/>
              <w:rPr>
                <w:sz w:val="20"/>
                <w:szCs w:val="20"/>
                <w:color w:val="auto"/>
              </w:rPr>
            </w:pPr>
            <w:r>
              <w:rPr>
                <w:rFonts w:ascii="Calibri" w:cs="Calibri" w:eastAsia="Calibri" w:hAnsi="Calibri"/>
                <w:sz w:val="11"/>
                <w:szCs w:val="11"/>
                <w:b w:val="1"/>
                <w:bCs w:val="1"/>
                <w:color w:val="51555C"/>
              </w:rPr>
              <w:t>GAAP gross proft</w:t>
            </w:r>
          </w:p>
        </w:tc>
        <w:tc>
          <w:tcPr>
            <w:tcW w:w="380" w:type="dxa"/>
            <w:vAlign w:val="bottom"/>
            <w:tcBorders>
              <w:bottom w:val="single" w:sz="8" w:color="EBFBFF"/>
            </w:tcBorders>
            <w:shd w:val="clear" w:color="auto" w:fill="EBFBFF"/>
          </w:tcPr>
          <w:p>
            <w:pPr>
              <w:jc w:val="right"/>
              <w:ind w:right="243"/>
              <w:spacing w:after="0"/>
              <w:rPr>
                <w:sz w:val="20"/>
                <w:szCs w:val="20"/>
                <w:color w:val="auto"/>
              </w:rPr>
            </w:pPr>
            <w:r>
              <w:rPr>
                <w:rFonts w:ascii="Calibri" w:cs="Calibri" w:eastAsia="Calibri" w:hAnsi="Calibri"/>
                <w:sz w:val="11"/>
                <w:szCs w:val="11"/>
                <w:color w:val="51555C"/>
              </w:rPr>
              <w:t>$</w:t>
            </w:r>
          </w:p>
        </w:tc>
        <w:tc>
          <w:tcPr>
            <w:tcW w:w="940" w:type="dxa"/>
            <w:vAlign w:val="bottom"/>
            <w:tcBorders>
              <w:bottom w:val="single" w:sz="8" w:color="EBFBFF"/>
            </w:tcBorders>
            <w:shd w:val="clear" w:color="auto" w:fill="EBFBFF"/>
          </w:tcPr>
          <w:p>
            <w:pPr>
              <w:jc w:val="right"/>
              <w:ind w:right="63"/>
              <w:spacing w:after="0"/>
              <w:rPr>
                <w:sz w:val="20"/>
                <w:szCs w:val="20"/>
                <w:color w:val="auto"/>
              </w:rPr>
            </w:pPr>
            <w:r>
              <w:rPr>
                <w:rFonts w:ascii="Calibri" w:cs="Calibri" w:eastAsia="Calibri" w:hAnsi="Calibri"/>
                <w:sz w:val="11"/>
                <w:szCs w:val="11"/>
                <w:color w:val="51555C"/>
              </w:rPr>
              <w:t>162.6</w:t>
            </w:r>
          </w:p>
        </w:tc>
        <w:tc>
          <w:tcPr>
            <w:tcW w:w="180" w:type="dxa"/>
            <w:vAlign w:val="bottom"/>
            <w:tcBorders>
              <w:bottom w:val="single" w:sz="8" w:color="EBFBFF"/>
            </w:tcBorders>
            <w:shd w:val="clear" w:color="auto" w:fill="EBFBFF"/>
          </w:tcPr>
          <w:p>
            <w:pPr>
              <w:jc w:val="right"/>
              <w:ind w:right="63"/>
              <w:spacing w:after="0"/>
              <w:rPr>
                <w:sz w:val="20"/>
                <w:szCs w:val="20"/>
                <w:color w:val="auto"/>
              </w:rPr>
            </w:pPr>
            <w:r>
              <w:rPr>
                <w:rFonts w:ascii="Calibri" w:cs="Calibri" w:eastAsia="Calibri" w:hAnsi="Calibri"/>
                <w:sz w:val="11"/>
                <w:szCs w:val="11"/>
                <w:color w:val="51555C"/>
                <w:w w:val="70"/>
              </w:rPr>
              <w:t>$</w:t>
            </w:r>
          </w:p>
        </w:tc>
        <w:tc>
          <w:tcPr>
            <w:tcW w:w="1120" w:type="dxa"/>
            <w:vAlign w:val="bottom"/>
            <w:tcBorders>
              <w:bottom w:val="single" w:sz="8" w:color="EBFBFF"/>
            </w:tcBorders>
            <w:shd w:val="clear" w:color="auto" w:fill="EBFBFF"/>
          </w:tcPr>
          <w:p>
            <w:pPr>
              <w:jc w:val="right"/>
              <w:ind w:right="63"/>
              <w:spacing w:after="0"/>
              <w:rPr>
                <w:sz w:val="20"/>
                <w:szCs w:val="20"/>
                <w:color w:val="auto"/>
              </w:rPr>
            </w:pPr>
            <w:r>
              <w:rPr>
                <w:rFonts w:ascii="Calibri" w:cs="Calibri" w:eastAsia="Calibri" w:hAnsi="Calibri"/>
                <w:sz w:val="11"/>
                <w:szCs w:val="11"/>
                <w:color w:val="51555C"/>
              </w:rPr>
              <w:t>149.6</w:t>
            </w:r>
          </w:p>
        </w:tc>
        <w:tc>
          <w:tcPr>
            <w:tcW w:w="460" w:type="dxa"/>
            <w:vAlign w:val="bottom"/>
            <w:tcBorders>
              <w:bottom w:val="single" w:sz="8" w:color="EBFBFF"/>
            </w:tcBorders>
            <w:gridSpan w:val="2"/>
            <w:shd w:val="clear" w:color="auto" w:fill="EBFBFF"/>
          </w:tcPr>
          <w:p>
            <w:pPr>
              <w:jc w:val="right"/>
              <w:ind w:right="277"/>
              <w:spacing w:after="0"/>
              <w:rPr>
                <w:sz w:val="20"/>
                <w:szCs w:val="20"/>
                <w:color w:val="auto"/>
              </w:rPr>
            </w:pPr>
            <w:r>
              <w:rPr>
                <w:rFonts w:ascii="Calibri" w:cs="Calibri" w:eastAsia="Calibri" w:hAnsi="Calibri"/>
                <w:sz w:val="11"/>
                <w:szCs w:val="11"/>
                <w:color w:val="51555C"/>
              </w:rPr>
              <w:t>$</w:t>
            </w:r>
          </w:p>
        </w:tc>
        <w:tc>
          <w:tcPr>
            <w:tcW w:w="940" w:type="dxa"/>
            <w:vAlign w:val="bottom"/>
            <w:tcBorders>
              <w:bottom w:val="single" w:sz="8" w:color="EBFBFF"/>
            </w:tcBorders>
            <w:shd w:val="clear" w:color="auto" w:fill="EBFBFF"/>
          </w:tcPr>
          <w:p>
            <w:pPr>
              <w:jc w:val="right"/>
              <w:ind w:right="63"/>
              <w:spacing w:after="0"/>
              <w:rPr>
                <w:sz w:val="20"/>
                <w:szCs w:val="20"/>
                <w:color w:val="auto"/>
              </w:rPr>
            </w:pPr>
            <w:r>
              <w:rPr>
                <w:rFonts w:ascii="Calibri" w:cs="Calibri" w:eastAsia="Calibri" w:hAnsi="Calibri"/>
                <w:sz w:val="11"/>
                <w:szCs w:val="11"/>
                <w:color w:val="51555C"/>
              </w:rPr>
              <w:t>315.6</w:t>
            </w:r>
          </w:p>
        </w:tc>
        <w:tc>
          <w:tcPr>
            <w:tcW w:w="260" w:type="dxa"/>
            <w:vAlign w:val="bottom"/>
            <w:tcBorders>
              <w:bottom w:val="single" w:sz="8" w:color="EBFBFF"/>
            </w:tcBorders>
            <w:shd w:val="clear" w:color="auto" w:fill="EBFBFF"/>
          </w:tcPr>
          <w:p>
            <w:pPr>
              <w:jc w:val="right"/>
              <w:ind w:right="143"/>
              <w:spacing w:after="0"/>
              <w:rPr>
                <w:sz w:val="20"/>
                <w:szCs w:val="20"/>
                <w:color w:val="auto"/>
              </w:rPr>
            </w:pPr>
            <w:r>
              <w:rPr>
                <w:rFonts w:ascii="Calibri" w:cs="Calibri" w:eastAsia="Calibri" w:hAnsi="Calibri"/>
                <w:sz w:val="11"/>
                <w:szCs w:val="11"/>
                <w:color w:val="51555C"/>
                <w:w w:val="70"/>
              </w:rPr>
              <w:t>$</w:t>
            </w:r>
          </w:p>
        </w:tc>
        <w:tc>
          <w:tcPr>
            <w:tcW w:w="1040" w:type="dxa"/>
            <w:vAlign w:val="bottom"/>
            <w:tcBorders>
              <w:bottom w:val="single" w:sz="8" w:color="EBFBFF"/>
            </w:tcBorders>
            <w:shd w:val="clear" w:color="auto" w:fill="EBFBFF"/>
          </w:tcPr>
          <w:p>
            <w:pPr>
              <w:jc w:val="right"/>
              <w:ind w:right="63"/>
              <w:spacing w:after="0"/>
              <w:rPr>
                <w:sz w:val="20"/>
                <w:szCs w:val="20"/>
                <w:color w:val="auto"/>
              </w:rPr>
            </w:pPr>
            <w:r>
              <w:rPr>
                <w:rFonts w:ascii="Calibri" w:cs="Calibri" w:eastAsia="Calibri" w:hAnsi="Calibri"/>
                <w:sz w:val="11"/>
                <w:szCs w:val="11"/>
                <w:color w:val="51555C"/>
              </w:rPr>
              <w:t>288.2</w:t>
            </w:r>
          </w:p>
        </w:tc>
      </w:tr>
      <w:tr>
        <w:trPr>
          <w:trHeight w:val="135"/>
        </w:trPr>
        <w:tc>
          <w:tcPr>
            <w:tcW w:w="20" w:type="dxa"/>
            <w:vAlign w:val="bottom"/>
          </w:tcPr>
          <w:p>
            <w:pPr>
              <w:spacing w:after="0"/>
              <w:rPr>
                <w:sz w:val="11"/>
                <w:szCs w:val="11"/>
                <w:color w:val="auto"/>
              </w:rPr>
            </w:pPr>
          </w:p>
        </w:tc>
        <w:tc>
          <w:tcPr>
            <w:tcW w:w="5940" w:type="dxa"/>
            <w:vAlign w:val="bottom"/>
          </w:tcPr>
          <w:p>
            <w:pPr>
              <w:ind w:left="80"/>
              <w:spacing w:after="0"/>
              <w:rPr>
                <w:sz w:val="20"/>
                <w:szCs w:val="20"/>
                <w:color w:val="auto"/>
              </w:rPr>
            </w:pPr>
            <w:r>
              <w:rPr>
                <w:rFonts w:ascii="Calibri" w:cs="Calibri" w:eastAsia="Calibri" w:hAnsi="Calibri"/>
                <w:sz w:val="11"/>
                <w:szCs w:val="11"/>
                <w:b w:val="1"/>
                <w:bCs w:val="1"/>
                <w:color w:val="51555C"/>
              </w:rPr>
              <w:t>GAAP gross margin</w:t>
            </w:r>
          </w:p>
        </w:tc>
        <w:tc>
          <w:tcPr>
            <w:tcW w:w="38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Calibri" w:cs="Calibri" w:eastAsia="Calibri" w:hAnsi="Calibri"/>
                <w:sz w:val="11"/>
                <w:szCs w:val="11"/>
                <w:color w:val="51555C"/>
              </w:rPr>
              <w:t>56.6 %</w:t>
            </w:r>
          </w:p>
        </w:tc>
        <w:tc>
          <w:tcPr>
            <w:tcW w:w="18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Calibri" w:cs="Calibri" w:eastAsia="Calibri" w:hAnsi="Calibri"/>
                <w:sz w:val="11"/>
                <w:szCs w:val="11"/>
                <w:color w:val="51555C"/>
              </w:rPr>
              <w:t>55.2 %</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Calibri" w:cs="Calibri" w:eastAsia="Calibri" w:hAnsi="Calibri"/>
                <w:sz w:val="11"/>
                <w:szCs w:val="11"/>
                <w:color w:val="51555C"/>
              </w:rPr>
              <w:t>55.7 %</w:t>
            </w:r>
          </w:p>
        </w:tc>
        <w:tc>
          <w:tcPr>
            <w:tcW w:w="26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Calibri" w:cs="Calibri" w:eastAsia="Calibri" w:hAnsi="Calibri"/>
                <w:sz w:val="11"/>
                <w:szCs w:val="11"/>
                <w:color w:val="51555C"/>
              </w:rPr>
              <w:t>54.1 %</w:t>
            </w:r>
          </w:p>
        </w:tc>
      </w:tr>
      <w:tr>
        <w:trPr>
          <w:trHeight w:val="46"/>
        </w:trPr>
        <w:tc>
          <w:tcPr>
            <w:tcW w:w="20" w:type="dxa"/>
            <w:vAlign w:val="bottom"/>
          </w:tcPr>
          <w:p>
            <w:pPr>
              <w:spacing w:after="0"/>
              <w:rPr>
                <w:sz w:val="3"/>
                <w:szCs w:val="3"/>
                <w:color w:val="auto"/>
              </w:rPr>
            </w:pPr>
          </w:p>
        </w:tc>
        <w:tc>
          <w:tcPr>
            <w:tcW w:w="5940" w:type="dxa"/>
            <w:vAlign w:val="bottom"/>
          </w:tcPr>
          <w:p>
            <w:pPr>
              <w:spacing w:after="0"/>
              <w:rPr>
                <w:sz w:val="3"/>
                <w:szCs w:val="3"/>
                <w:color w:val="auto"/>
              </w:rPr>
            </w:pPr>
          </w:p>
        </w:tc>
        <w:tc>
          <w:tcPr>
            <w:tcW w:w="3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160"/>
        </w:trPr>
        <w:tc>
          <w:tcPr>
            <w:tcW w:w="20" w:type="dxa"/>
            <w:vAlign w:val="bottom"/>
            <w:tcBorders>
              <w:bottom w:val="single" w:sz="8" w:color="EBFBFF"/>
            </w:tcBorders>
            <w:shd w:val="clear" w:color="auto" w:fill="EBFBFF"/>
          </w:tcPr>
          <w:p>
            <w:pPr>
              <w:spacing w:after="0"/>
              <w:rPr>
                <w:sz w:val="13"/>
                <w:szCs w:val="13"/>
                <w:color w:val="auto"/>
              </w:rPr>
            </w:pPr>
          </w:p>
        </w:tc>
        <w:tc>
          <w:tcPr>
            <w:tcW w:w="5940" w:type="dxa"/>
            <w:vAlign w:val="bottom"/>
            <w:tcBorders>
              <w:bottom w:val="single" w:sz="8" w:color="EBFBFF"/>
            </w:tcBorders>
            <w:shd w:val="clear" w:color="auto" w:fill="EBFBFF"/>
          </w:tcPr>
          <w:p>
            <w:pPr>
              <w:spacing w:after="0"/>
              <w:rPr>
                <w:sz w:val="20"/>
                <w:szCs w:val="20"/>
                <w:color w:val="auto"/>
              </w:rPr>
            </w:pPr>
            <w:r>
              <w:rPr>
                <w:rFonts w:ascii="Calibri" w:cs="Calibri" w:eastAsia="Calibri" w:hAnsi="Calibri"/>
                <w:sz w:val="11"/>
                <w:szCs w:val="11"/>
                <w:b w:val="1"/>
                <w:bCs w:val="1"/>
                <w:color w:val="51555C"/>
              </w:rPr>
              <w:t>Non-GAAP adjustments:</w:t>
            </w:r>
          </w:p>
        </w:tc>
        <w:tc>
          <w:tcPr>
            <w:tcW w:w="380" w:type="dxa"/>
            <w:vAlign w:val="bottom"/>
            <w:tcBorders>
              <w:bottom w:val="single" w:sz="8" w:color="EBFBFF"/>
            </w:tcBorders>
            <w:shd w:val="clear" w:color="auto" w:fill="EBFBFF"/>
          </w:tcPr>
          <w:p>
            <w:pPr>
              <w:spacing w:after="0"/>
              <w:rPr>
                <w:sz w:val="13"/>
                <w:szCs w:val="13"/>
                <w:color w:val="auto"/>
              </w:rPr>
            </w:pPr>
          </w:p>
        </w:tc>
        <w:tc>
          <w:tcPr>
            <w:tcW w:w="940" w:type="dxa"/>
            <w:vAlign w:val="bottom"/>
            <w:tcBorders>
              <w:bottom w:val="single" w:sz="8" w:color="EBFBFF"/>
            </w:tcBorders>
            <w:shd w:val="clear" w:color="auto" w:fill="EBFBFF"/>
          </w:tcPr>
          <w:p>
            <w:pPr>
              <w:spacing w:after="0"/>
              <w:rPr>
                <w:sz w:val="13"/>
                <w:szCs w:val="13"/>
                <w:color w:val="auto"/>
              </w:rPr>
            </w:pPr>
          </w:p>
        </w:tc>
        <w:tc>
          <w:tcPr>
            <w:tcW w:w="180" w:type="dxa"/>
            <w:vAlign w:val="bottom"/>
            <w:tcBorders>
              <w:bottom w:val="single" w:sz="8" w:color="EBFBFF"/>
            </w:tcBorders>
            <w:shd w:val="clear" w:color="auto" w:fill="EBFBFF"/>
          </w:tcPr>
          <w:p>
            <w:pPr>
              <w:spacing w:after="0"/>
              <w:rPr>
                <w:sz w:val="13"/>
                <w:szCs w:val="13"/>
                <w:color w:val="auto"/>
              </w:rPr>
            </w:pPr>
          </w:p>
        </w:tc>
        <w:tc>
          <w:tcPr>
            <w:tcW w:w="1120" w:type="dxa"/>
            <w:vAlign w:val="bottom"/>
            <w:tcBorders>
              <w:bottom w:val="single" w:sz="8" w:color="EBFBFF"/>
            </w:tcBorders>
            <w:shd w:val="clear" w:color="auto" w:fill="EBFBFF"/>
          </w:tcPr>
          <w:p>
            <w:pPr>
              <w:spacing w:after="0"/>
              <w:rPr>
                <w:sz w:val="13"/>
                <w:szCs w:val="13"/>
                <w:color w:val="auto"/>
              </w:rPr>
            </w:pPr>
          </w:p>
        </w:tc>
        <w:tc>
          <w:tcPr>
            <w:tcW w:w="120" w:type="dxa"/>
            <w:vAlign w:val="bottom"/>
            <w:tcBorders>
              <w:bottom w:val="single" w:sz="8" w:color="EBFBFF"/>
              <w:right w:val="single" w:sz="8" w:color="EBFBFF"/>
            </w:tcBorders>
            <w:shd w:val="clear" w:color="auto" w:fill="EBFBFF"/>
          </w:tcPr>
          <w:p>
            <w:pPr>
              <w:spacing w:after="0"/>
              <w:rPr>
                <w:sz w:val="13"/>
                <w:szCs w:val="13"/>
                <w:color w:val="auto"/>
              </w:rPr>
            </w:pPr>
          </w:p>
        </w:tc>
        <w:tc>
          <w:tcPr>
            <w:tcW w:w="340" w:type="dxa"/>
            <w:vAlign w:val="bottom"/>
            <w:tcBorders>
              <w:bottom w:val="single" w:sz="8" w:color="EBFBFF"/>
            </w:tcBorders>
            <w:shd w:val="clear" w:color="auto" w:fill="EBFBFF"/>
          </w:tcPr>
          <w:p>
            <w:pPr>
              <w:spacing w:after="0"/>
              <w:rPr>
                <w:sz w:val="13"/>
                <w:szCs w:val="13"/>
                <w:color w:val="auto"/>
              </w:rPr>
            </w:pPr>
          </w:p>
        </w:tc>
        <w:tc>
          <w:tcPr>
            <w:tcW w:w="940" w:type="dxa"/>
            <w:vAlign w:val="bottom"/>
            <w:tcBorders>
              <w:bottom w:val="single" w:sz="8" w:color="EBFBFF"/>
            </w:tcBorders>
            <w:shd w:val="clear" w:color="auto" w:fill="EBFBFF"/>
          </w:tcPr>
          <w:p>
            <w:pPr>
              <w:spacing w:after="0"/>
              <w:rPr>
                <w:sz w:val="13"/>
                <w:szCs w:val="13"/>
                <w:color w:val="auto"/>
              </w:rPr>
            </w:pPr>
          </w:p>
        </w:tc>
        <w:tc>
          <w:tcPr>
            <w:tcW w:w="260" w:type="dxa"/>
            <w:vAlign w:val="bottom"/>
            <w:tcBorders>
              <w:bottom w:val="single" w:sz="8" w:color="EBFBFF"/>
            </w:tcBorders>
            <w:shd w:val="clear" w:color="auto" w:fill="EBFBFF"/>
          </w:tcPr>
          <w:p>
            <w:pPr>
              <w:spacing w:after="0"/>
              <w:rPr>
                <w:sz w:val="13"/>
                <w:szCs w:val="13"/>
                <w:color w:val="auto"/>
              </w:rPr>
            </w:pPr>
          </w:p>
        </w:tc>
        <w:tc>
          <w:tcPr>
            <w:tcW w:w="1040" w:type="dxa"/>
            <w:vAlign w:val="bottom"/>
            <w:tcBorders>
              <w:bottom w:val="single" w:sz="8" w:color="EBFBFF"/>
            </w:tcBorders>
            <w:shd w:val="clear" w:color="auto" w:fill="EBFBFF"/>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5940" w:type="dxa"/>
            <w:vAlign w:val="bottom"/>
          </w:tcPr>
          <w:p>
            <w:pPr>
              <w:ind w:left="80"/>
              <w:spacing w:after="0"/>
              <w:rPr>
                <w:sz w:val="20"/>
                <w:szCs w:val="20"/>
                <w:color w:val="auto"/>
              </w:rPr>
            </w:pPr>
            <w:r>
              <w:rPr>
                <w:rFonts w:ascii="Calibri" w:cs="Calibri" w:eastAsia="Calibri" w:hAnsi="Calibri"/>
                <w:sz w:val="11"/>
                <w:szCs w:val="11"/>
                <w:color w:val="51555C"/>
              </w:rPr>
              <w:t>Add: Stock-based compensaton expense</w:t>
            </w:r>
          </w:p>
        </w:tc>
        <w:tc>
          <w:tcPr>
            <w:tcW w:w="380" w:type="dxa"/>
            <w:vAlign w:val="bottom"/>
          </w:tcPr>
          <w:p>
            <w:pPr>
              <w:spacing w:after="0"/>
              <w:rPr>
                <w:sz w:val="11"/>
                <w:szCs w:val="11"/>
                <w:color w:val="auto"/>
              </w:rPr>
            </w:pPr>
          </w:p>
        </w:tc>
        <w:tc>
          <w:tcPr>
            <w:tcW w:w="940" w:type="dxa"/>
            <w:vAlign w:val="bottom"/>
          </w:tcPr>
          <w:p>
            <w:pPr>
              <w:jc w:val="right"/>
              <w:ind w:right="63"/>
              <w:spacing w:after="0"/>
              <w:rPr>
                <w:sz w:val="20"/>
                <w:szCs w:val="20"/>
                <w:color w:val="auto"/>
              </w:rPr>
            </w:pPr>
            <w:r>
              <w:rPr>
                <w:rFonts w:ascii="Calibri" w:cs="Calibri" w:eastAsia="Calibri" w:hAnsi="Calibri"/>
                <w:sz w:val="11"/>
                <w:szCs w:val="11"/>
                <w:color w:val="51555C"/>
              </w:rPr>
              <w:t>3.4</w:t>
            </w:r>
          </w:p>
        </w:tc>
        <w:tc>
          <w:tcPr>
            <w:tcW w:w="180" w:type="dxa"/>
            <w:vAlign w:val="bottom"/>
          </w:tcPr>
          <w:p>
            <w:pPr>
              <w:spacing w:after="0"/>
              <w:rPr>
                <w:sz w:val="11"/>
                <w:szCs w:val="11"/>
                <w:color w:val="auto"/>
              </w:rPr>
            </w:pPr>
          </w:p>
        </w:tc>
        <w:tc>
          <w:tcPr>
            <w:tcW w:w="1120" w:type="dxa"/>
            <w:vAlign w:val="bottom"/>
          </w:tcPr>
          <w:p>
            <w:pPr>
              <w:jc w:val="right"/>
              <w:ind w:right="63"/>
              <w:spacing w:after="0"/>
              <w:rPr>
                <w:sz w:val="20"/>
                <w:szCs w:val="20"/>
                <w:color w:val="auto"/>
              </w:rPr>
            </w:pPr>
            <w:r>
              <w:rPr>
                <w:rFonts w:ascii="Calibri" w:cs="Calibri" w:eastAsia="Calibri" w:hAnsi="Calibri"/>
                <w:sz w:val="11"/>
                <w:szCs w:val="11"/>
                <w:color w:val="51555C"/>
              </w:rPr>
              <w:t>4.1</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jc w:val="right"/>
              <w:ind w:right="63"/>
              <w:spacing w:after="0"/>
              <w:rPr>
                <w:sz w:val="20"/>
                <w:szCs w:val="20"/>
                <w:color w:val="auto"/>
              </w:rPr>
            </w:pPr>
            <w:r>
              <w:rPr>
                <w:rFonts w:ascii="Calibri" w:cs="Calibri" w:eastAsia="Calibri" w:hAnsi="Calibri"/>
                <w:sz w:val="11"/>
                <w:szCs w:val="11"/>
                <w:color w:val="51555C"/>
              </w:rPr>
              <w:t>7.2</w:t>
            </w:r>
          </w:p>
        </w:tc>
        <w:tc>
          <w:tcPr>
            <w:tcW w:w="260" w:type="dxa"/>
            <w:vAlign w:val="bottom"/>
          </w:tcPr>
          <w:p>
            <w:pPr>
              <w:spacing w:after="0"/>
              <w:rPr>
                <w:sz w:val="11"/>
                <w:szCs w:val="11"/>
                <w:color w:val="auto"/>
              </w:rPr>
            </w:pPr>
          </w:p>
        </w:tc>
        <w:tc>
          <w:tcPr>
            <w:tcW w:w="1040" w:type="dxa"/>
            <w:vAlign w:val="bottom"/>
          </w:tcPr>
          <w:p>
            <w:pPr>
              <w:jc w:val="right"/>
              <w:ind w:right="63"/>
              <w:spacing w:after="0"/>
              <w:rPr>
                <w:sz w:val="20"/>
                <w:szCs w:val="20"/>
                <w:color w:val="auto"/>
              </w:rPr>
            </w:pPr>
            <w:r>
              <w:rPr>
                <w:rFonts w:ascii="Calibri" w:cs="Calibri" w:eastAsia="Calibri" w:hAnsi="Calibri"/>
                <w:sz w:val="11"/>
                <w:szCs w:val="11"/>
                <w:color w:val="51555C"/>
              </w:rPr>
              <w:t>8.1</w:t>
            </w:r>
          </w:p>
        </w:tc>
      </w:tr>
      <w:tr>
        <w:trPr>
          <w:trHeight w:val="46"/>
        </w:trPr>
        <w:tc>
          <w:tcPr>
            <w:tcW w:w="20" w:type="dxa"/>
            <w:vAlign w:val="bottom"/>
          </w:tcPr>
          <w:p>
            <w:pPr>
              <w:spacing w:after="0"/>
              <w:rPr>
                <w:sz w:val="3"/>
                <w:szCs w:val="3"/>
                <w:color w:val="auto"/>
              </w:rPr>
            </w:pPr>
          </w:p>
        </w:tc>
        <w:tc>
          <w:tcPr>
            <w:tcW w:w="5940" w:type="dxa"/>
            <w:vAlign w:val="bottom"/>
          </w:tcPr>
          <w:p>
            <w:pPr>
              <w:spacing w:after="0"/>
              <w:rPr>
                <w:sz w:val="3"/>
                <w:szCs w:val="3"/>
                <w:color w:val="auto"/>
              </w:rPr>
            </w:pPr>
          </w:p>
        </w:tc>
        <w:tc>
          <w:tcPr>
            <w:tcW w:w="3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160"/>
        </w:trPr>
        <w:tc>
          <w:tcPr>
            <w:tcW w:w="20" w:type="dxa"/>
            <w:vAlign w:val="bottom"/>
            <w:tcBorders>
              <w:bottom w:val="single" w:sz="8" w:color="EBFBFF"/>
            </w:tcBorders>
            <w:shd w:val="clear" w:color="auto" w:fill="EBFBFF"/>
          </w:tcPr>
          <w:p>
            <w:pPr>
              <w:spacing w:after="0"/>
              <w:rPr>
                <w:sz w:val="13"/>
                <w:szCs w:val="13"/>
                <w:color w:val="auto"/>
              </w:rPr>
            </w:pPr>
          </w:p>
        </w:tc>
        <w:tc>
          <w:tcPr>
            <w:tcW w:w="5940" w:type="dxa"/>
            <w:vAlign w:val="bottom"/>
            <w:tcBorders>
              <w:bottom w:val="single" w:sz="8" w:color="EBFBFF"/>
            </w:tcBorders>
            <w:shd w:val="clear" w:color="auto" w:fill="EBFBFF"/>
          </w:tcPr>
          <w:p>
            <w:pPr>
              <w:ind w:left="80"/>
              <w:spacing w:after="0"/>
              <w:rPr>
                <w:sz w:val="20"/>
                <w:szCs w:val="20"/>
                <w:color w:val="auto"/>
              </w:rPr>
            </w:pPr>
            <w:r>
              <w:rPr>
                <w:rFonts w:ascii="Calibri" w:cs="Calibri" w:eastAsia="Calibri" w:hAnsi="Calibri"/>
                <w:sz w:val="11"/>
                <w:szCs w:val="11"/>
                <w:color w:val="51555C"/>
              </w:rPr>
              <w:t>Add: Amortzaton of intangibles from business combinatons</w:t>
            </w:r>
          </w:p>
        </w:tc>
        <w:tc>
          <w:tcPr>
            <w:tcW w:w="380" w:type="dxa"/>
            <w:vAlign w:val="bottom"/>
            <w:tcBorders>
              <w:bottom w:val="single" w:sz="8" w:color="EBFBFF"/>
            </w:tcBorders>
            <w:shd w:val="clear" w:color="auto" w:fill="EBFBFF"/>
          </w:tcPr>
          <w:p>
            <w:pPr>
              <w:spacing w:after="0"/>
              <w:rPr>
                <w:sz w:val="13"/>
                <w:szCs w:val="13"/>
                <w:color w:val="auto"/>
              </w:rPr>
            </w:pPr>
          </w:p>
        </w:tc>
        <w:tc>
          <w:tcPr>
            <w:tcW w:w="940" w:type="dxa"/>
            <w:vAlign w:val="bottom"/>
            <w:tcBorders>
              <w:bottom w:val="single" w:sz="8" w:color="EBFBFF"/>
            </w:tcBorders>
            <w:shd w:val="clear" w:color="auto" w:fill="EBFBFF"/>
          </w:tcPr>
          <w:p>
            <w:pPr>
              <w:jc w:val="right"/>
              <w:ind w:right="63"/>
              <w:spacing w:after="0"/>
              <w:rPr>
                <w:sz w:val="20"/>
                <w:szCs w:val="20"/>
                <w:color w:val="auto"/>
              </w:rPr>
            </w:pPr>
            <w:r>
              <w:rPr>
                <w:rFonts w:ascii="Calibri" w:cs="Calibri" w:eastAsia="Calibri" w:hAnsi="Calibri"/>
                <w:sz w:val="11"/>
                <w:szCs w:val="11"/>
                <w:color w:val="51555C"/>
              </w:rPr>
              <w:t>14.6</w:t>
            </w:r>
          </w:p>
        </w:tc>
        <w:tc>
          <w:tcPr>
            <w:tcW w:w="180" w:type="dxa"/>
            <w:vAlign w:val="bottom"/>
            <w:tcBorders>
              <w:bottom w:val="single" w:sz="8" w:color="EBFBFF"/>
            </w:tcBorders>
            <w:shd w:val="clear" w:color="auto" w:fill="EBFBFF"/>
          </w:tcPr>
          <w:p>
            <w:pPr>
              <w:spacing w:after="0"/>
              <w:rPr>
                <w:sz w:val="13"/>
                <w:szCs w:val="13"/>
                <w:color w:val="auto"/>
              </w:rPr>
            </w:pPr>
          </w:p>
        </w:tc>
        <w:tc>
          <w:tcPr>
            <w:tcW w:w="1120" w:type="dxa"/>
            <w:vAlign w:val="bottom"/>
            <w:tcBorders>
              <w:bottom w:val="single" w:sz="8" w:color="EBFBFF"/>
            </w:tcBorders>
            <w:shd w:val="clear" w:color="auto" w:fill="EBFBFF"/>
          </w:tcPr>
          <w:p>
            <w:pPr>
              <w:jc w:val="right"/>
              <w:ind w:right="63"/>
              <w:spacing w:after="0"/>
              <w:rPr>
                <w:sz w:val="20"/>
                <w:szCs w:val="20"/>
                <w:color w:val="auto"/>
              </w:rPr>
            </w:pPr>
            <w:r>
              <w:rPr>
                <w:rFonts w:ascii="Calibri" w:cs="Calibri" w:eastAsia="Calibri" w:hAnsi="Calibri"/>
                <w:sz w:val="11"/>
                <w:szCs w:val="11"/>
                <w:color w:val="51555C"/>
              </w:rPr>
              <w:t>13.1</w:t>
            </w:r>
          </w:p>
        </w:tc>
        <w:tc>
          <w:tcPr>
            <w:tcW w:w="120" w:type="dxa"/>
            <w:vAlign w:val="bottom"/>
            <w:tcBorders>
              <w:bottom w:val="single" w:sz="8" w:color="EBFBFF"/>
              <w:right w:val="single" w:sz="8" w:color="EBFBFF"/>
            </w:tcBorders>
            <w:shd w:val="clear" w:color="auto" w:fill="EBFBFF"/>
          </w:tcPr>
          <w:p>
            <w:pPr>
              <w:spacing w:after="0"/>
              <w:rPr>
                <w:sz w:val="13"/>
                <w:szCs w:val="13"/>
                <w:color w:val="auto"/>
              </w:rPr>
            </w:pPr>
          </w:p>
        </w:tc>
        <w:tc>
          <w:tcPr>
            <w:tcW w:w="340" w:type="dxa"/>
            <w:vAlign w:val="bottom"/>
            <w:tcBorders>
              <w:bottom w:val="single" w:sz="8" w:color="EBFBFF"/>
            </w:tcBorders>
            <w:shd w:val="clear" w:color="auto" w:fill="EBFBFF"/>
          </w:tcPr>
          <w:p>
            <w:pPr>
              <w:spacing w:after="0"/>
              <w:rPr>
                <w:sz w:val="13"/>
                <w:szCs w:val="13"/>
                <w:color w:val="auto"/>
              </w:rPr>
            </w:pPr>
          </w:p>
        </w:tc>
        <w:tc>
          <w:tcPr>
            <w:tcW w:w="940" w:type="dxa"/>
            <w:vAlign w:val="bottom"/>
            <w:tcBorders>
              <w:bottom w:val="single" w:sz="8" w:color="EBFBFF"/>
            </w:tcBorders>
            <w:shd w:val="clear" w:color="auto" w:fill="EBFBFF"/>
          </w:tcPr>
          <w:p>
            <w:pPr>
              <w:jc w:val="right"/>
              <w:ind w:right="63"/>
              <w:spacing w:after="0"/>
              <w:rPr>
                <w:sz w:val="20"/>
                <w:szCs w:val="20"/>
                <w:color w:val="auto"/>
              </w:rPr>
            </w:pPr>
            <w:r>
              <w:rPr>
                <w:rFonts w:ascii="Calibri" w:cs="Calibri" w:eastAsia="Calibri" w:hAnsi="Calibri"/>
                <w:sz w:val="11"/>
                <w:szCs w:val="11"/>
                <w:color w:val="51555C"/>
              </w:rPr>
              <w:t>29.3</w:t>
            </w:r>
          </w:p>
        </w:tc>
        <w:tc>
          <w:tcPr>
            <w:tcW w:w="260" w:type="dxa"/>
            <w:vAlign w:val="bottom"/>
            <w:tcBorders>
              <w:bottom w:val="single" w:sz="8" w:color="EBFBFF"/>
            </w:tcBorders>
            <w:shd w:val="clear" w:color="auto" w:fill="EBFBFF"/>
          </w:tcPr>
          <w:p>
            <w:pPr>
              <w:spacing w:after="0"/>
              <w:rPr>
                <w:sz w:val="13"/>
                <w:szCs w:val="13"/>
                <w:color w:val="auto"/>
              </w:rPr>
            </w:pPr>
          </w:p>
        </w:tc>
        <w:tc>
          <w:tcPr>
            <w:tcW w:w="1040" w:type="dxa"/>
            <w:vAlign w:val="bottom"/>
            <w:tcBorders>
              <w:bottom w:val="single" w:sz="8" w:color="EBFBFF"/>
            </w:tcBorders>
            <w:shd w:val="clear" w:color="auto" w:fill="EBFBFF"/>
          </w:tcPr>
          <w:p>
            <w:pPr>
              <w:jc w:val="right"/>
              <w:ind w:right="63"/>
              <w:spacing w:after="0"/>
              <w:rPr>
                <w:sz w:val="20"/>
                <w:szCs w:val="20"/>
                <w:color w:val="auto"/>
              </w:rPr>
            </w:pPr>
            <w:r>
              <w:rPr>
                <w:rFonts w:ascii="Calibri" w:cs="Calibri" w:eastAsia="Calibri" w:hAnsi="Calibri"/>
                <w:sz w:val="11"/>
                <w:szCs w:val="11"/>
                <w:color w:val="51555C"/>
              </w:rPr>
              <w:t>26.2</w:t>
            </w:r>
          </w:p>
        </w:tc>
      </w:tr>
      <w:tr>
        <w:trPr>
          <w:trHeight w:val="135"/>
        </w:trPr>
        <w:tc>
          <w:tcPr>
            <w:tcW w:w="20" w:type="dxa"/>
            <w:vAlign w:val="bottom"/>
          </w:tcPr>
          <w:p>
            <w:pPr>
              <w:spacing w:after="0"/>
              <w:rPr>
                <w:sz w:val="11"/>
                <w:szCs w:val="11"/>
                <w:color w:val="auto"/>
              </w:rPr>
            </w:pPr>
          </w:p>
        </w:tc>
        <w:tc>
          <w:tcPr>
            <w:tcW w:w="5940" w:type="dxa"/>
            <w:vAlign w:val="bottom"/>
          </w:tcPr>
          <w:p>
            <w:pPr>
              <w:ind w:left="80"/>
              <w:spacing w:after="0"/>
              <w:rPr>
                <w:sz w:val="20"/>
                <w:szCs w:val="20"/>
                <w:color w:val="auto"/>
              </w:rPr>
            </w:pPr>
            <w:r>
              <w:rPr>
                <w:rFonts w:ascii="Calibri" w:cs="Calibri" w:eastAsia="Calibri" w:hAnsi="Calibri"/>
                <w:sz w:val="11"/>
                <w:szCs w:val="11"/>
                <w:color w:val="51555C"/>
              </w:rPr>
              <w:t>Add: Employee severance</w:t>
            </w:r>
          </w:p>
        </w:tc>
        <w:tc>
          <w:tcPr>
            <w:tcW w:w="380" w:type="dxa"/>
            <w:vAlign w:val="bottom"/>
          </w:tcPr>
          <w:p>
            <w:pPr>
              <w:spacing w:after="0"/>
              <w:rPr>
                <w:sz w:val="11"/>
                <w:szCs w:val="11"/>
                <w:color w:val="auto"/>
              </w:rPr>
            </w:pPr>
          </w:p>
        </w:tc>
        <w:tc>
          <w:tcPr>
            <w:tcW w:w="940" w:type="dxa"/>
            <w:vAlign w:val="bottom"/>
          </w:tcPr>
          <w:p>
            <w:pPr>
              <w:jc w:val="right"/>
              <w:ind w:right="63"/>
              <w:spacing w:after="0"/>
              <w:rPr>
                <w:sz w:val="20"/>
                <w:szCs w:val="20"/>
                <w:color w:val="auto"/>
              </w:rPr>
            </w:pPr>
            <w:r>
              <w:rPr>
                <w:rFonts w:ascii="Calibri" w:cs="Calibri" w:eastAsia="Calibri" w:hAnsi="Calibri"/>
                <w:sz w:val="11"/>
                <w:szCs w:val="11"/>
                <w:color w:val="51555C"/>
              </w:rPr>
              <w:t>—</w:t>
            </w:r>
          </w:p>
        </w:tc>
        <w:tc>
          <w:tcPr>
            <w:tcW w:w="180" w:type="dxa"/>
            <w:vAlign w:val="bottom"/>
          </w:tcPr>
          <w:p>
            <w:pPr>
              <w:spacing w:after="0"/>
              <w:rPr>
                <w:sz w:val="11"/>
                <w:szCs w:val="11"/>
                <w:color w:val="auto"/>
              </w:rPr>
            </w:pPr>
          </w:p>
        </w:tc>
        <w:tc>
          <w:tcPr>
            <w:tcW w:w="1120" w:type="dxa"/>
            <w:vAlign w:val="bottom"/>
          </w:tcPr>
          <w:p>
            <w:pPr>
              <w:jc w:val="right"/>
              <w:ind w:right="63"/>
              <w:spacing w:after="0"/>
              <w:rPr>
                <w:sz w:val="20"/>
                <w:szCs w:val="20"/>
                <w:color w:val="auto"/>
              </w:rPr>
            </w:pPr>
            <w:r>
              <w:rPr>
                <w:rFonts w:ascii="Calibri" w:cs="Calibri" w:eastAsia="Calibri" w:hAnsi="Calibri"/>
                <w:sz w:val="11"/>
                <w:szCs w:val="11"/>
                <w:color w:val="51555C"/>
              </w:rPr>
              <w:t>0.1</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jc w:val="right"/>
              <w:ind w:right="63"/>
              <w:spacing w:after="0"/>
              <w:rPr>
                <w:sz w:val="20"/>
                <w:szCs w:val="20"/>
                <w:color w:val="auto"/>
              </w:rPr>
            </w:pPr>
            <w:r>
              <w:rPr>
                <w:rFonts w:ascii="Calibri" w:cs="Calibri" w:eastAsia="Calibri" w:hAnsi="Calibri"/>
                <w:sz w:val="11"/>
                <w:szCs w:val="11"/>
                <w:color w:val="51555C"/>
              </w:rPr>
              <w:t>—</w:t>
            </w:r>
          </w:p>
        </w:tc>
        <w:tc>
          <w:tcPr>
            <w:tcW w:w="260" w:type="dxa"/>
            <w:vAlign w:val="bottom"/>
          </w:tcPr>
          <w:p>
            <w:pPr>
              <w:spacing w:after="0"/>
              <w:rPr>
                <w:sz w:val="11"/>
                <w:szCs w:val="11"/>
                <w:color w:val="auto"/>
              </w:rPr>
            </w:pPr>
          </w:p>
        </w:tc>
        <w:tc>
          <w:tcPr>
            <w:tcW w:w="1040" w:type="dxa"/>
            <w:vAlign w:val="bottom"/>
          </w:tcPr>
          <w:p>
            <w:pPr>
              <w:jc w:val="right"/>
              <w:ind w:right="63"/>
              <w:spacing w:after="0"/>
              <w:rPr>
                <w:sz w:val="20"/>
                <w:szCs w:val="20"/>
                <w:color w:val="auto"/>
              </w:rPr>
            </w:pPr>
            <w:r>
              <w:rPr>
                <w:rFonts w:ascii="Calibri" w:cs="Calibri" w:eastAsia="Calibri" w:hAnsi="Calibri"/>
                <w:sz w:val="11"/>
                <w:szCs w:val="11"/>
                <w:color w:val="51555C"/>
              </w:rPr>
              <w:t>0.8</w:t>
            </w:r>
          </w:p>
        </w:tc>
      </w:tr>
      <w:tr>
        <w:trPr>
          <w:trHeight w:val="46"/>
        </w:trPr>
        <w:tc>
          <w:tcPr>
            <w:tcW w:w="20" w:type="dxa"/>
            <w:vAlign w:val="bottom"/>
            <w:tcBorders>
              <w:bottom w:val="single" w:sz="8" w:color="EBFBFF"/>
            </w:tcBorders>
          </w:tcPr>
          <w:p>
            <w:pPr>
              <w:spacing w:after="0"/>
              <w:rPr>
                <w:sz w:val="3"/>
                <w:szCs w:val="3"/>
                <w:color w:val="auto"/>
              </w:rPr>
            </w:pPr>
          </w:p>
        </w:tc>
        <w:tc>
          <w:tcPr>
            <w:tcW w:w="5940" w:type="dxa"/>
            <w:vAlign w:val="bottom"/>
            <w:tcBorders>
              <w:bottom w:val="single" w:sz="8" w:color="EBFBFF"/>
            </w:tcBorders>
          </w:tcPr>
          <w:p>
            <w:pPr>
              <w:spacing w:after="0"/>
              <w:rPr>
                <w:sz w:val="3"/>
                <w:szCs w:val="3"/>
                <w:color w:val="auto"/>
              </w:rPr>
            </w:pPr>
          </w:p>
        </w:tc>
        <w:tc>
          <w:tcPr>
            <w:tcW w:w="380" w:type="dxa"/>
            <w:vAlign w:val="bottom"/>
            <w:tcBorders>
              <w:bottom w:val="single" w:sz="8" w:color="51555C"/>
            </w:tcBorders>
          </w:tcPr>
          <w:p>
            <w:pPr>
              <w:spacing w:after="0"/>
              <w:rPr>
                <w:sz w:val="3"/>
                <w:szCs w:val="3"/>
                <w:color w:val="auto"/>
              </w:rPr>
            </w:pPr>
          </w:p>
        </w:tc>
        <w:tc>
          <w:tcPr>
            <w:tcW w:w="940" w:type="dxa"/>
            <w:vAlign w:val="bottom"/>
            <w:tcBorders>
              <w:bottom w:val="single" w:sz="8" w:color="51555C"/>
            </w:tcBorders>
          </w:tcPr>
          <w:p>
            <w:pPr>
              <w:spacing w:after="0"/>
              <w:rPr>
                <w:sz w:val="3"/>
                <w:szCs w:val="3"/>
                <w:color w:val="auto"/>
              </w:rPr>
            </w:pPr>
          </w:p>
        </w:tc>
        <w:tc>
          <w:tcPr>
            <w:tcW w:w="180" w:type="dxa"/>
            <w:vAlign w:val="bottom"/>
            <w:tcBorders>
              <w:bottom w:val="single" w:sz="8" w:color="51555C"/>
            </w:tcBorders>
          </w:tcPr>
          <w:p>
            <w:pPr>
              <w:spacing w:after="0"/>
              <w:rPr>
                <w:sz w:val="3"/>
                <w:szCs w:val="3"/>
                <w:color w:val="auto"/>
              </w:rPr>
            </w:pPr>
          </w:p>
        </w:tc>
        <w:tc>
          <w:tcPr>
            <w:tcW w:w="1120" w:type="dxa"/>
            <w:vAlign w:val="bottom"/>
            <w:tcBorders>
              <w:bottom w:val="single" w:sz="8" w:color="51555C"/>
            </w:tcBorders>
          </w:tcPr>
          <w:p>
            <w:pPr>
              <w:spacing w:after="0"/>
              <w:rPr>
                <w:sz w:val="3"/>
                <w:szCs w:val="3"/>
                <w:color w:val="auto"/>
              </w:rPr>
            </w:pPr>
          </w:p>
        </w:tc>
        <w:tc>
          <w:tcPr>
            <w:tcW w:w="120" w:type="dxa"/>
            <w:vAlign w:val="bottom"/>
            <w:tcBorders>
              <w:bottom w:val="single" w:sz="8" w:color="EBFBFF"/>
            </w:tcBorders>
          </w:tcPr>
          <w:p>
            <w:pPr>
              <w:spacing w:after="0"/>
              <w:rPr>
                <w:sz w:val="3"/>
                <w:szCs w:val="3"/>
                <w:color w:val="auto"/>
              </w:rPr>
            </w:pPr>
          </w:p>
        </w:tc>
        <w:tc>
          <w:tcPr>
            <w:tcW w:w="340" w:type="dxa"/>
            <w:vAlign w:val="bottom"/>
            <w:tcBorders>
              <w:bottom w:val="single" w:sz="8" w:color="51555C"/>
            </w:tcBorders>
          </w:tcPr>
          <w:p>
            <w:pPr>
              <w:spacing w:after="0"/>
              <w:rPr>
                <w:sz w:val="3"/>
                <w:szCs w:val="3"/>
                <w:color w:val="auto"/>
              </w:rPr>
            </w:pPr>
          </w:p>
        </w:tc>
        <w:tc>
          <w:tcPr>
            <w:tcW w:w="940" w:type="dxa"/>
            <w:vAlign w:val="bottom"/>
            <w:tcBorders>
              <w:bottom w:val="single" w:sz="8" w:color="51555C"/>
            </w:tcBorders>
          </w:tcPr>
          <w:p>
            <w:pPr>
              <w:spacing w:after="0"/>
              <w:rPr>
                <w:sz w:val="3"/>
                <w:szCs w:val="3"/>
                <w:color w:val="auto"/>
              </w:rPr>
            </w:pPr>
          </w:p>
        </w:tc>
        <w:tc>
          <w:tcPr>
            <w:tcW w:w="260" w:type="dxa"/>
            <w:vAlign w:val="bottom"/>
            <w:tcBorders>
              <w:bottom w:val="single" w:sz="8" w:color="51555C"/>
            </w:tcBorders>
          </w:tcPr>
          <w:p>
            <w:pPr>
              <w:spacing w:after="0"/>
              <w:rPr>
                <w:sz w:val="3"/>
                <w:szCs w:val="3"/>
                <w:color w:val="auto"/>
              </w:rPr>
            </w:pPr>
          </w:p>
        </w:tc>
        <w:tc>
          <w:tcPr>
            <w:tcW w:w="1040" w:type="dxa"/>
            <w:vAlign w:val="bottom"/>
            <w:tcBorders>
              <w:bottom w:val="single" w:sz="8" w:color="51555C"/>
            </w:tcBorders>
          </w:tcPr>
          <w:p>
            <w:pPr>
              <w:spacing w:after="0"/>
              <w:rPr>
                <w:sz w:val="3"/>
                <w:szCs w:val="3"/>
                <w:color w:val="auto"/>
              </w:rPr>
            </w:pPr>
          </w:p>
        </w:tc>
      </w:tr>
      <w:tr>
        <w:trPr>
          <w:trHeight w:val="171"/>
        </w:trPr>
        <w:tc>
          <w:tcPr>
            <w:tcW w:w="20" w:type="dxa"/>
            <w:vAlign w:val="bottom"/>
            <w:shd w:val="clear" w:color="auto" w:fill="EBFBFF"/>
          </w:tcPr>
          <w:p>
            <w:pPr>
              <w:spacing w:after="0"/>
              <w:rPr>
                <w:sz w:val="14"/>
                <w:szCs w:val="14"/>
                <w:color w:val="auto"/>
              </w:rPr>
            </w:pPr>
          </w:p>
        </w:tc>
        <w:tc>
          <w:tcPr>
            <w:tcW w:w="5940" w:type="dxa"/>
            <w:vAlign w:val="bottom"/>
            <w:shd w:val="clear" w:color="auto" w:fill="EBFBFF"/>
          </w:tcPr>
          <w:p>
            <w:pPr>
              <w:ind w:left="160"/>
              <w:spacing w:after="0" w:line="155" w:lineRule="exact"/>
              <w:rPr>
                <w:sz w:val="20"/>
                <w:szCs w:val="20"/>
                <w:color w:val="auto"/>
              </w:rPr>
            </w:pPr>
            <w:r>
              <w:rPr>
                <w:rFonts w:ascii="Calibri" w:cs="Calibri" w:eastAsia="Calibri" w:hAnsi="Calibri"/>
                <w:sz w:val="11"/>
                <w:szCs w:val="11"/>
                <w:color w:val="51555C"/>
              </w:rPr>
              <w:t>Subtotal</w:t>
            </w:r>
            <w:r>
              <w:rPr>
                <w:rFonts w:ascii="Calibri" w:cs="Calibri" w:eastAsia="Calibri" w:hAnsi="Calibri"/>
                <w:sz w:val="14"/>
                <w:szCs w:val="14"/>
                <w:color w:val="51555C"/>
                <w:vertAlign w:val="superscript"/>
              </w:rPr>
              <w:t>(1)</w:t>
            </w:r>
          </w:p>
        </w:tc>
        <w:tc>
          <w:tcPr>
            <w:tcW w:w="380" w:type="dxa"/>
            <w:vAlign w:val="bottom"/>
            <w:tcBorders>
              <w:bottom w:val="single" w:sz="8" w:color="51555C"/>
            </w:tcBorders>
            <w:shd w:val="clear" w:color="auto" w:fill="EBFBFF"/>
          </w:tcPr>
          <w:p>
            <w:pPr>
              <w:spacing w:after="0"/>
              <w:rPr>
                <w:sz w:val="14"/>
                <w:szCs w:val="14"/>
                <w:color w:val="auto"/>
              </w:rPr>
            </w:pPr>
          </w:p>
        </w:tc>
        <w:tc>
          <w:tcPr>
            <w:tcW w:w="940" w:type="dxa"/>
            <w:vAlign w:val="bottom"/>
            <w:tcBorders>
              <w:bottom w:val="single" w:sz="8" w:color="51555C"/>
            </w:tcBorders>
            <w:shd w:val="clear" w:color="auto" w:fill="EBFBFF"/>
          </w:tcPr>
          <w:p>
            <w:pPr>
              <w:jc w:val="right"/>
              <w:ind w:right="63"/>
              <w:spacing w:after="0"/>
              <w:rPr>
                <w:sz w:val="20"/>
                <w:szCs w:val="20"/>
                <w:color w:val="auto"/>
              </w:rPr>
            </w:pPr>
            <w:r>
              <w:rPr>
                <w:rFonts w:ascii="Calibri" w:cs="Calibri" w:eastAsia="Calibri" w:hAnsi="Calibri"/>
                <w:sz w:val="11"/>
                <w:szCs w:val="11"/>
                <w:color w:val="51555C"/>
              </w:rPr>
              <w:t>18.0</w:t>
            </w:r>
          </w:p>
        </w:tc>
        <w:tc>
          <w:tcPr>
            <w:tcW w:w="180" w:type="dxa"/>
            <w:vAlign w:val="bottom"/>
            <w:tcBorders>
              <w:bottom w:val="single" w:sz="8" w:color="51555C"/>
            </w:tcBorders>
            <w:shd w:val="clear" w:color="auto" w:fill="EBFBFF"/>
          </w:tcPr>
          <w:p>
            <w:pPr>
              <w:spacing w:after="0"/>
              <w:rPr>
                <w:sz w:val="14"/>
                <w:szCs w:val="14"/>
                <w:color w:val="auto"/>
              </w:rPr>
            </w:pPr>
          </w:p>
        </w:tc>
        <w:tc>
          <w:tcPr>
            <w:tcW w:w="1120" w:type="dxa"/>
            <w:vAlign w:val="bottom"/>
            <w:tcBorders>
              <w:bottom w:val="single" w:sz="8" w:color="51555C"/>
            </w:tcBorders>
            <w:shd w:val="clear" w:color="auto" w:fill="EBFBFF"/>
          </w:tcPr>
          <w:p>
            <w:pPr>
              <w:jc w:val="right"/>
              <w:ind w:right="63"/>
              <w:spacing w:after="0"/>
              <w:rPr>
                <w:sz w:val="20"/>
                <w:szCs w:val="20"/>
                <w:color w:val="auto"/>
              </w:rPr>
            </w:pPr>
            <w:r>
              <w:rPr>
                <w:rFonts w:ascii="Calibri" w:cs="Calibri" w:eastAsia="Calibri" w:hAnsi="Calibri"/>
                <w:sz w:val="11"/>
                <w:szCs w:val="11"/>
                <w:color w:val="51555C"/>
              </w:rPr>
              <w:t>17.3</w:t>
            </w:r>
          </w:p>
        </w:tc>
        <w:tc>
          <w:tcPr>
            <w:tcW w:w="120" w:type="dxa"/>
            <w:vAlign w:val="bottom"/>
            <w:tcBorders>
              <w:right w:val="single" w:sz="8" w:color="EBFBFF"/>
            </w:tcBorders>
            <w:shd w:val="clear" w:color="auto" w:fill="EBFBFF"/>
          </w:tcPr>
          <w:p>
            <w:pPr>
              <w:spacing w:after="0"/>
              <w:rPr>
                <w:sz w:val="14"/>
                <w:szCs w:val="14"/>
                <w:color w:val="auto"/>
              </w:rPr>
            </w:pPr>
          </w:p>
        </w:tc>
        <w:tc>
          <w:tcPr>
            <w:tcW w:w="340" w:type="dxa"/>
            <w:vAlign w:val="bottom"/>
            <w:tcBorders>
              <w:bottom w:val="single" w:sz="8" w:color="51555C"/>
            </w:tcBorders>
            <w:shd w:val="clear" w:color="auto" w:fill="EBFBFF"/>
          </w:tcPr>
          <w:p>
            <w:pPr>
              <w:spacing w:after="0"/>
              <w:rPr>
                <w:sz w:val="14"/>
                <w:szCs w:val="14"/>
                <w:color w:val="auto"/>
              </w:rPr>
            </w:pPr>
          </w:p>
        </w:tc>
        <w:tc>
          <w:tcPr>
            <w:tcW w:w="940" w:type="dxa"/>
            <w:vAlign w:val="bottom"/>
            <w:tcBorders>
              <w:bottom w:val="single" w:sz="8" w:color="51555C"/>
            </w:tcBorders>
            <w:shd w:val="clear" w:color="auto" w:fill="EBFBFF"/>
          </w:tcPr>
          <w:p>
            <w:pPr>
              <w:jc w:val="right"/>
              <w:ind w:right="63"/>
              <w:spacing w:after="0"/>
              <w:rPr>
                <w:sz w:val="20"/>
                <w:szCs w:val="20"/>
                <w:color w:val="auto"/>
              </w:rPr>
            </w:pPr>
            <w:r>
              <w:rPr>
                <w:rFonts w:ascii="Calibri" w:cs="Calibri" w:eastAsia="Calibri" w:hAnsi="Calibri"/>
                <w:sz w:val="11"/>
                <w:szCs w:val="11"/>
                <w:color w:val="51555C"/>
              </w:rPr>
              <w:t>36.5</w:t>
            </w:r>
          </w:p>
        </w:tc>
        <w:tc>
          <w:tcPr>
            <w:tcW w:w="260" w:type="dxa"/>
            <w:vAlign w:val="bottom"/>
            <w:tcBorders>
              <w:bottom w:val="single" w:sz="8" w:color="51555C"/>
            </w:tcBorders>
            <w:shd w:val="clear" w:color="auto" w:fill="EBFBFF"/>
          </w:tcPr>
          <w:p>
            <w:pPr>
              <w:spacing w:after="0"/>
              <w:rPr>
                <w:sz w:val="14"/>
                <w:szCs w:val="14"/>
                <w:color w:val="auto"/>
              </w:rPr>
            </w:pPr>
          </w:p>
        </w:tc>
        <w:tc>
          <w:tcPr>
            <w:tcW w:w="1040" w:type="dxa"/>
            <w:vAlign w:val="bottom"/>
            <w:tcBorders>
              <w:bottom w:val="single" w:sz="8" w:color="51555C"/>
            </w:tcBorders>
            <w:shd w:val="clear" w:color="auto" w:fill="EBFBFF"/>
          </w:tcPr>
          <w:p>
            <w:pPr>
              <w:jc w:val="right"/>
              <w:ind w:right="63"/>
              <w:spacing w:after="0"/>
              <w:rPr>
                <w:sz w:val="20"/>
                <w:szCs w:val="20"/>
                <w:color w:val="auto"/>
              </w:rPr>
            </w:pPr>
            <w:r>
              <w:rPr>
                <w:rFonts w:ascii="Calibri" w:cs="Calibri" w:eastAsia="Calibri" w:hAnsi="Calibri"/>
                <w:sz w:val="11"/>
                <w:szCs w:val="11"/>
                <w:color w:val="51555C"/>
              </w:rPr>
              <w:t>35.1</w:t>
            </w:r>
          </w:p>
        </w:tc>
      </w:tr>
      <w:tr>
        <w:trPr>
          <w:trHeight w:val="163"/>
        </w:trPr>
        <w:tc>
          <w:tcPr>
            <w:tcW w:w="20" w:type="dxa"/>
            <w:vAlign w:val="bottom"/>
            <w:tcBorders>
              <w:bottom w:val="single" w:sz="8" w:color="EBFBFF"/>
            </w:tcBorders>
          </w:tcPr>
          <w:p>
            <w:pPr>
              <w:spacing w:after="0"/>
              <w:rPr>
                <w:sz w:val="14"/>
                <w:szCs w:val="14"/>
                <w:color w:val="auto"/>
              </w:rPr>
            </w:pPr>
          </w:p>
        </w:tc>
        <w:tc>
          <w:tcPr>
            <w:tcW w:w="5940" w:type="dxa"/>
            <w:vAlign w:val="bottom"/>
            <w:tcBorders>
              <w:bottom w:val="single" w:sz="8" w:color="EBFBFF"/>
            </w:tcBorders>
          </w:tcPr>
          <w:p>
            <w:pPr>
              <w:spacing w:after="0" w:line="155" w:lineRule="exact"/>
              <w:rPr>
                <w:sz w:val="20"/>
                <w:szCs w:val="20"/>
                <w:color w:val="auto"/>
              </w:rPr>
            </w:pPr>
            <w:r>
              <w:rPr>
                <w:rFonts w:ascii="Calibri" w:cs="Calibri" w:eastAsia="Calibri" w:hAnsi="Calibri"/>
                <w:sz w:val="11"/>
                <w:szCs w:val="11"/>
                <w:b w:val="1"/>
                <w:bCs w:val="1"/>
                <w:color w:val="51555C"/>
              </w:rPr>
              <w:t>Non-GAAP gross proft</w:t>
            </w:r>
            <w:r>
              <w:rPr>
                <w:rFonts w:ascii="Calibri" w:cs="Calibri" w:eastAsia="Calibri" w:hAnsi="Calibri"/>
                <w:sz w:val="14"/>
                <w:szCs w:val="14"/>
                <w:b w:val="1"/>
                <w:bCs w:val="1"/>
                <w:color w:val="51555C"/>
                <w:vertAlign w:val="superscript"/>
              </w:rPr>
              <w:t>(1)</w:t>
            </w:r>
          </w:p>
        </w:tc>
        <w:tc>
          <w:tcPr>
            <w:tcW w:w="380" w:type="dxa"/>
            <w:vAlign w:val="bottom"/>
            <w:tcBorders>
              <w:bottom w:val="single" w:sz="8" w:color="51555C"/>
            </w:tcBorders>
          </w:tcPr>
          <w:p>
            <w:pPr>
              <w:jc w:val="right"/>
              <w:ind w:right="243"/>
              <w:spacing w:after="0"/>
              <w:rPr>
                <w:sz w:val="20"/>
                <w:szCs w:val="20"/>
                <w:color w:val="auto"/>
              </w:rPr>
            </w:pPr>
            <w:r>
              <w:rPr>
                <w:rFonts w:ascii="Calibri" w:cs="Calibri" w:eastAsia="Calibri" w:hAnsi="Calibri"/>
                <w:sz w:val="11"/>
                <w:szCs w:val="11"/>
                <w:color w:val="51555C"/>
              </w:rPr>
              <w:t>$</w:t>
            </w:r>
          </w:p>
        </w:tc>
        <w:tc>
          <w:tcPr>
            <w:tcW w:w="940" w:type="dxa"/>
            <w:vAlign w:val="bottom"/>
            <w:tcBorders>
              <w:bottom w:val="single" w:sz="8" w:color="51555C"/>
            </w:tcBorders>
          </w:tcPr>
          <w:p>
            <w:pPr>
              <w:jc w:val="right"/>
              <w:ind w:right="63"/>
              <w:spacing w:after="0"/>
              <w:rPr>
                <w:sz w:val="20"/>
                <w:szCs w:val="20"/>
                <w:color w:val="auto"/>
              </w:rPr>
            </w:pPr>
            <w:r>
              <w:rPr>
                <w:rFonts w:ascii="Calibri" w:cs="Calibri" w:eastAsia="Calibri" w:hAnsi="Calibri"/>
                <w:sz w:val="11"/>
                <w:szCs w:val="11"/>
                <w:color w:val="51555C"/>
              </w:rPr>
              <w:t>180.6</w:t>
            </w:r>
          </w:p>
        </w:tc>
        <w:tc>
          <w:tcPr>
            <w:tcW w:w="180" w:type="dxa"/>
            <w:vAlign w:val="bottom"/>
            <w:tcBorders>
              <w:bottom w:val="single" w:sz="8" w:color="51555C"/>
            </w:tcBorders>
          </w:tcPr>
          <w:p>
            <w:pPr>
              <w:jc w:val="right"/>
              <w:ind w:right="63"/>
              <w:spacing w:after="0"/>
              <w:rPr>
                <w:sz w:val="20"/>
                <w:szCs w:val="20"/>
                <w:color w:val="auto"/>
              </w:rPr>
            </w:pPr>
            <w:r>
              <w:rPr>
                <w:rFonts w:ascii="Calibri" w:cs="Calibri" w:eastAsia="Calibri" w:hAnsi="Calibri"/>
                <w:sz w:val="11"/>
                <w:szCs w:val="11"/>
                <w:color w:val="51555C"/>
                <w:w w:val="70"/>
              </w:rPr>
              <w:t>$</w:t>
            </w:r>
          </w:p>
        </w:tc>
        <w:tc>
          <w:tcPr>
            <w:tcW w:w="1120" w:type="dxa"/>
            <w:vAlign w:val="bottom"/>
            <w:tcBorders>
              <w:bottom w:val="single" w:sz="8" w:color="51555C"/>
            </w:tcBorders>
          </w:tcPr>
          <w:p>
            <w:pPr>
              <w:jc w:val="right"/>
              <w:ind w:right="63"/>
              <w:spacing w:after="0"/>
              <w:rPr>
                <w:sz w:val="20"/>
                <w:szCs w:val="20"/>
                <w:color w:val="auto"/>
              </w:rPr>
            </w:pPr>
            <w:r>
              <w:rPr>
                <w:rFonts w:ascii="Calibri" w:cs="Calibri" w:eastAsia="Calibri" w:hAnsi="Calibri"/>
                <w:sz w:val="11"/>
                <w:szCs w:val="11"/>
                <w:color w:val="51555C"/>
              </w:rPr>
              <w:t>166.9</w:t>
            </w:r>
          </w:p>
        </w:tc>
        <w:tc>
          <w:tcPr>
            <w:tcW w:w="120" w:type="dxa"/>
            <w:vAlign w:val="bottom"/>
            <w:tcBorders>
              <w:bottom w:val="single" w:sz="8" w:color="EBFBFF"/>
            </w:tcBorders>
          </w:tcPr>
          <w:p>
            <w:pPr>
              <w:spacing w:after="0"/>
              <w:rPr>
                <w:sz w:val="14"/>
                <w:szCs w:val="14"/>
                <w:color w:val="auto"/>
              </w:rPr>
            </w:pPr>
          </w:p>
        </w:tc>
        <w:tc>
          <w:tcPr>
            <w:tcW w:w="340" w:type="dxa"/>
            <w:vAlign w:val="bottom"/>
            <w:tcBorders>
              <w:bottom w:val="single" w:sz="8" w:color="51555C"/>
            </w:tcBorders>
          </w:tcPr>
          <w:p>
            <w:pPr>
              <w:jc w:val="right"/>
              <w:ind w:right="277"/>
              <w:spacing w:after="0"/>
              <w:rPr>
                <w:sz w:val="20"/>
                <w:szCs w:val="20"/>
                <w:color w:val="auto"/>
              </w:rPr>
            </w:pPr>
            <w:r>
              <w:rPr>
                <w:rFonts w:ascii="Calibri" w:cs="Calibri" w:eastAsia="Calibri" w:hAnsi="Calibri"/>
                <w:sz w:val="5"/>
                <w:szCs w:val="5"/>
                <w:color w:val="51555C"/>
                <w:w w:val="76"/>
              </w:rPr>
              <w:t>$</w:t>
            </w:r>
          </w:p>
        </w:tc>
        <w:tc>
          <w:tcPr>
            <w:tcW w:w="940" w:type="dxa"/>
            <w:vAlign w:val="bottom"/>
            <w:tcBorders>
              <w:bottom w:val="single" w:sz="8" w:color="51555C"/>
            </w:tcBorders>
          </w:tcPr>
          <w:p>
            <w:pPr>
              <w:jc w:val="right"/>
              <w:ind w:right="63"/>
              <w:spacing w:after="0"/>
              <w:rPr>
                <w:sz w:val="20"/>
                <w:szCs w:val="20"/>
                <w:color w:val="auto"/>
              </w:rPr>
            </w:pPr>
            <w:r>
              <w:rPr>
                <w:rFonts w:ascii="Calibri" w:cs="Calibri" w:eastAsia="Calibri" w:hAnsi="Calibri"/>
                <w:sz w:val="11"/>
                <w:szCs w:val="11"/>
                <w:color w:val="51555C"/>
              </w:rPr>
              <w:t>352.1</w:t>
            </w:r>
          </w:p>
        </w:tc>
        <w:tc>
          <w:tcPr>
            <w:tcW w:w="260" w:type="dxa"/>
            <w:vAlign w:val="bottom"/>
            <w:tcBorders>
              <w:bottom w:val="single" w:sz="8" w:color="51555C"/>
            </w:tcBorders>
          </w:tcPr>
          <w:p>
            <w:pPr>
              <w:jc w:val="right"/>
              <w:ind w:right="143"/>
              <w:spacing w:after="0"/>
              <w:rPr>
                <w:sz w:val="20"/>
                <w:szCs w:val="20"/>
                <w:color w:val="auto"/>
              </w:rPr>
            </w:pPr>
            <w:r>
              <w:rPr>
                <w:rFonts w:ascii="Calibri" w:cs="Calibri" w:eastAsia="Calibri" w:hAnsi="Calibri"/>
                <w:sz w:val="11"/>
                <w:szCs w:val="11"/>
                <w:color w:val="51555C"/>
                <w:w w:val="70"/>
              </w:rPr>
              <w:t>$</w:t>
            </w:r>
          </w:p>
        </w:tc>
        <w:tc>
          <w:tcPr>
            <w:tcW w:w="1040" w:type="dxa"/>
            <w:vAlign w:val="bottom"/>
            <w:tcBorders>
              <w:bottom w:val="single" w:sz="8" w:color="51555C"/>
            </w:tcBorders>
          </w:tcPr>
          <w:p>
            <w:pPr>
              <w:jc w:val="right"/>
              <w:ind w:right="63"/>
              <w:spacing w:after="0"/>
              <w:rPr>
                <w:sz w:val="20"/>
                <w:szCs w:val="20"/>
                <w:color w:val="auto"/>
              </w:rPr>
            </w:pPr>
            <w:r>
              <w:rPr>
                <w:rFonts w:ascii="Calibri" w:cs="Calibri" w:eastAsia="Calibri" w:hAnsi="Calibri"/>
                <w:sz w:val="11"/>
                <w:szCs w:val="11"/>
                <w:color w:val="51555C"/>
              </w:rPr>
              <w:t>323.3</w:t>
            </w:r>
          </w:p>
        </w:tc>
      </w:tr>
      <w:tr>
        <w:trPr>
          <w:trHeight w:val="159"/>
        </w:trPr>
        <w:tc>
          <w:tcPr>
            <w:tcW w:w="20" w:type="dxa"/>
            <w:vAlign w:val="bottom"/>
            <w:tcBorders>
              <w:bottom w:val="single" w:sz="8" w:color="EBFBFF"/>
            </w:tcBorders>
            <w:shd w:val="clear" w:color="auto" w:fill="EBFBFF"/>
          </w:tcPr>
          <w:p>
            <w:pPr>
              <w:spacing w:after="0"/>
              <w:rPr>
                <w:sz w:val="13"/>
                <w:szCs w:val="13"/>
                <w:color w:val="auto"/>
              </w:rPr>
            </w:pPr>
          </w:p>
        </w:tc>
        <w:tc>
          <w:tcPr>
            <w:tcW w:w="5940" w:type="dxa"/>
            <w:vAlign w:val="bottom"/>
            <w:tcBorders>
              <w:bottom w:val="single" w:sz="8" w:color="EBFBFF"/>
            </w:tcBorders>
            <w:shd w:val="clear" w:color="auto" w:fill="EBFBFF"/>
          </w:tcPr>
          <w:p>
            <w:pPr>
              <w:ind w:left="80"/>
              <w:spacing w:after="0" w:line="133" w:lineRule="exact"/>
              <w:rPr>
                <w:sz w:val="20"/>
                <w:szCs w:val="20"/>
                <w:color w:val="auto"/>
              </w:rPr>
            </w:pPr>
            <w:r>
              <w:rPr>
                <w:rFonts w:ascii="Calibri" w:cs="Calibri" w:eastAsia="Calibri" w:hAnsi="Calibri"/>
                <w:sz w:val="11"/>
                <w:szCs w:val="11"/>
                <w:b w:val="1"/>
                <w:bCs w:val="1"/>
                <w:color w:val="51555C"/>
              </w:rPr>
              <w:t>Non-GAAP gross margin</w:t>
            </w:r>
          </w:p>
        </w:tc>
        <w:tc>
          <w:tcPr>
            <w:tcW w:w="380" w:type="dxa"/>
            <w:vAlign w:val="bottom"/>
            <w:tcBorders>
              <w:bottom w:val="single" w:sz="8" w:color="EBFBFF"/>
            </w:tcBorders>
            <w:shd w:val="clear" w:color="auto" w:fill="EBFBFF"/>
          </w:tcPr>
          <w:p>
            <w:pPr>
              <w:spacing w:after="0"/>
              <w:rPr>
                <w:sz w:val="13"/>
                <w:szCs w:val="13"/>
                <w:color w:val="auto"/>
              </w:rPr>
            </w:pPr>
          </w:p>
        </w:tc>
        <w:tc>
          <w:tcPr>
            <w:tcW w:w="9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1"/>
                <w:szCs w:val="11"/>
                <w:color w:val="51555C"/>
              </w:rPr>
              <w:t>62.9 %</w:t>
            </w:r>
          </w:p>
        </w:tc>
        <w:tc>
          <w:tcPr>
            <w:tcW w:w="180" w:type="dxa"/>
            <w:vAlign w:val="bottom"/>
            <w:tcBorders>
              <w:bottom w:val="single" w:sz="8" w:color="EBFBFF"/>
            </w:tcBorders>
            <w:shd w:val="clear" w:color="auto" w:fill="EBFBFF"/>
          </w:tcPr>
          <w:p>
            <w:pPr>
              <w:spacing w:after="0"/>
              <w:rPr>
                <w:sz w:val="13"/>
                <w:szCs w:val="13"/>
                <w:color w:val="auto"/>
              </w:rPr>
            </w:pPr>
          </w:p>
        </w:tc>
        <w:tc>
          <w:tcPr>
            <w:tcW w:w="11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1"/>
                <w:szCs w:val="11"/>
                <w:color w:val="51555C"/>
              </w:rPr>
              <w:t>61.6 %</w:t>
            </w:r>
          </w:p>
        </w:tc>
        <w:tc>
          <w:tcPr>
            <w:tcW w:w="120" w:type="dxa"/>
            <w:vAlign w:val="bottom"/>
            <w:tcBorders>
              <w:bottom w:val="single" w:sz="8" w:color="EBFBFF"/>
              <w:right w:val="single" w:sz="8" w:color="EBFBFF"/>
            </w:tcBorders>
            <w:shd w:val="clear" w:color="auto" w:fill="EBFBFF"/>
          </w:tcPr>
          <w:p>
            <w:pPr>
              <w:spacing w:after="0"/>
              <w:rPr>
                <w:sz w:val="13"/>
                <w:szCs w:val="13"/>
                <w:color w:val="auto"/>
              </w:rPr>
            </w:pPr>
          </w:p>
        </w:tc>
        <w:tc>
          <w:tcPr>
            <w:tcW w:w="340" w:type="dxa"/>
            <w:vAlign w:val="bottom"/>
            <w:tcBorders>
              <w:bottom w:val="single" w:sz="8" w:color="EBFBFF"/>
            </w:tcBorders>
            <w:shd w:val="clear" w:color="auto" w:fill="EBFBFF"/>
          </w:tcPr>
          <w:p>
            <w:pPr>
              <w:spacing w:after="0"/>
              <w:rPr>
                <w:sz w:val="13"/>
                <w:szCs w:val="13"/>
                <w:color w:val="auto"/>
              </w:rPr>
            </w:pPr>
          </w:p>
        </w:tc>
        <w:tc>
          <w:tcPr>
            <w:tcW w:w="9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1"/>
                <w:szCs w:val="11"/>
                <w:color w:val="51555C"/>
              </w:rPr>
              <w:t>62.1 %</w:t>
            </w:r>
          </w:p>
        </w:tc>
        <w:tc>
          <w:tcPr>
            <w:tcW w:w="260" w:type="dxa"/>
            <w:vAlign w:val="bottom"/>
            <w:tcBorders>
              <w:bottom w:val="single" w:sz="8" w:color="EBFBFF"/>
            </w:tcBorders>
            <w:shd w:val="clear" w:color="auto" w:fill="EBFBFF"/>
          </w:tcPr>
          <w:p>
            <w:pPr>
              <w:spacing w:after="0"/>
              <w:rPr>
                <w:sz w:val="13"/>
                <w:szCs w:val="13"/>
                <w:color w:val="auto"/>
              </w:rPr>
            </w:pPr>
          </w:p>
        </w:tc>
        <w:tc>
          <w:tcPr>
            <w:tcW w:w="10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1"/>
                <w:szCs w:val="11"/>
                <w:color w:val="51555C"/>
              </w:rPr>
              <w:t>60.7 %</w:t>
            </w:r>
          </w:p>
        </w:tc>
      </w:tr>
      <w:tr>
        <w:trPr>
          <w:trHeight w:val="42"/>
        </w:trPr>
        <w:tc>
          <w:tcPr>
            <w:tcW w:w="20" w:type="dxa"/>
            <w:vAlign w:val="bottom"/>
          </w:tcPr>
          <w:p>
            <w:pPr>
              <w:spacing w:after="0"/>
              <w:rPr>
                <w:sz w:val="3"/>
                <w:szCs w:val="3"/>
                <w:color w:val="auto"/>
              </w:rPr>
            </w:pPr>
          </w:p>
        </w:tc>
        <w:tc>
          <w:tcPr>
            <w:tcW w:w="5940" w:type="dxa"/>
            <w:vAlign w:val="bottom"/>
          </w:tcPr>
          <w:p>
            <w:pPr>
              <w:spacing w:after="0"/>
              <w:rPr>
                <w:sz w:val="3"/>
                <w:szCs w:val="3"/>
                <w:color w:val="auto"/>
              </w:rPr>
            </w:pPr>
          </w:p>
        </w:tc>
        <w:tc>
          <w:tcPr>
            <w:tcW w:w="3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160"/>
        </w:trPr>
        <w:tc>
          <w:tcPr>
            <w:tcW w:w="20" w:type="dxa"/>
            <w:vAlign w:val="bottom"/>
            <w:tcBorders>
              <w:bottom w:val="single" w:sz="8" w:color="EBFBFF"/>
            </w:tcBorders>
            <w:shd w:val="clear" w:color="auto" w:fill="EBFBFF"/>
          </w:tcPr>
          <w:p>
            <w:pPr>
              <w:spacing w:after="0"/>
              <w:rPr>
                <w:sz w:val="13"/>
                <w:szCs w:val="13"/>
                <w:color w:val="auto"/>
              </w:rPr>
            </w:pPr>
          </w:p>
        </w:tc>
        <w:tc>
          <w:tcPr>
            <w:tcW w:w="5940" w:type="dxa"/>
            <w:vAlign w:val="bottom"/>
            <w:tcBorders>
              <w:bottom w:val="single" w:sz="8" w:color="EBFBFF"/>
            </w:tcBorders>
            <w:shd w:val="clear" w:color="auto" w:fill="EBFBFF"/>
          </w:tcPr>
          <w:p>
            <w:pPr>
              <w:spacing w:after="0"/>
              <w:rPr>
                <w:sz w:val="20"/>
                <w:szCs w:val="20"/>
                <w:color w:val="auto"/>
              </w:rPr>
            </w:pPr>
            <w:r>
              <w:rPr>
                <w:rFonts w:ascii="Calibri" w:cs="Calibri" w:eastAsia="Calibri" w:hAnsi="Calibri"/>
                <w:sz w:val="11"/>
                <w:szCs w:val="11"/>
                <w:b w:val="1"/>
                <w:bCs w:val="1"/>
                <w:color w:val="51555C"/>
              </w:rPr>
              <w:t>GAAP income (loss) from operatons</w:t>
            </w:r>
          </w:p>
        </w:tc>
        <w:tc>
          <w:tcPr>
            <w:tcW w:w="380" w:type="dxa"/>
            <w:vAlign w:val="bottom"/>
            <w:tcBorders>
              <w:bottom w:val="single" w:sz="8" w:color="EBFBFF"/>
            </w:tcBorders>
            <w:shd w:val="clear" w:color="auto" w:fill="EBFBFF"/>
          </w:tcPr>
          <w:p>
            <w:pPr>
              <w:jc w:val="right"/>
              <w:ind w:right="243"/>
              <w:spacing w:after="0"/>
              <w:rPr>
                <w:sz w:val="20"/>
                <w:szCs w:val="20"/>
                <w:color w:val="auto"/>
              </w:rPr>
            </w:pPr>
            <w:r>
              <w:rPr>
                <w:rFonts w:ascii="Calibri" w:cs="Calibri" w:eastAsia="Calibri" w:hAnsi="Calibri"/>
                <w:sz w:val="11"/>
                <w:szCs w:val="11"/>
                <w:color w:val="51555C"/>
              </w:rPr>
              <w:t>$</w:t>
            </w:r>
          </w:p>
        </w:tc>
        <w:tc>
          <w:tcPr>
            <w:tcW w:w="940" w:type="dxa"/>
            <w:vAlign w:val="bottom"/>
            <w:tcBorders>
              <w:bottom w:val="single" w:sz="8" w:color="EBFBFF"/>
            </w:tcBorders>
            <w:shd w:val="clear" w:color="auto" w:fill="EBFBFF"/>
          </w:tcPr>
          <w:p>
            <w:pPr>
              <w:jc w:val="right"/>
              <w:ind w:right="63"/>
              <w:spacing w:after="0"/>
              <w:rPr>
                <w:sz w:val="20"/>
                <w:szCs w:val="20"/>
                <w:color w:val="auto"/>
              </w:rPr>
            </w:pPr>
            <w:r>
              <w:rPr>
                <w:rFonts w:ascii="Calibri" w:cs="Calibri" w:eastAsia="Calibri" w:hAnsi="Calibri"/>
                <w:sz w:val="11"/>
                <w:szCs w:val="11"/>
                <w:color w:val="51555C"/>
              </w:rPr>
              <w:t>42.1</w:t>
            </w:r>
          </w:p>
        </w:tc>
        <w:tc>
          <w:tcPr>
            <w:tcW w:w="180" w:type="dxa"/>
            <w:vAlign w:val="bottom"/>
            <w:tcBorders>
              <w:bottom w:val="single" w:sz="8" w:color="EBFBFF"/>
            </w:tcBorders>
            <w:shd w:val="clear" w:color="auto" w:fill="EBFBFF"/>
          </w:tcPr>
          <w:p>
            <w:pPr>
              <w:jc w:val="right"/>
              <w:ind w:right="63"/>
              <w:spacing w:after="0"/>
              <w:rPr>
                <w:sz w:val="20"/>
                <w:szCs w:val="20"/>
                <w:color w:val="auto"/>
              </w:rPr>
            </w:pPr>
            <w:r>
              <w:rPr>
                <w:rFonts w:ascii="Calibri" w:cs="Calibri" w:eastAsia="Calibri" w:hAnsi="Calibri"/>
                <w:sz w:val="11"/>
                <w:szCs w:val="11"/>
                <w:color w:val="51555C"/>
                <w:w w:val="70"/>
              </w:rPr>
              <w:t>$</w:t>
            </w:r>
          </w:p>
        </w:tc>
        <w:tc>
          <w:tcPr>
            <w:tcW w:w="1120" w:type="dxa"/>
            <w:vAlign w:val="bottom"/>
            <w:tcBorders>
              <w:bottom w:val="single" w:sz="8" w:color="EBFBFF"/>
            </w:tcBorders>
            <w:shd w:val="clear" w:color="auto" w:fill="EBFBFF"/>
          </w:tcPr>
          <w:p>
            <w:pPr>
              <w:jc w:val="right"/>
              <w:ind w:right="63"/>
              <w:spacing w:after="0"/>
              <w:rPr>
                <w:sz w:val="20"/>
                <w:szCs w:val="20"/>
                <w:color w:val="auto"/>
              </w:rPr>
            </w:pPr>
            <w:r>
              <w:rPr>
                <w:rFonts w:ascii="Calibri" w:cs="Calibri" w:eastAsia="Calibri" w:hAnsi="Calibri"/>
                <w:sz w:val="11"/>
                <w:szCs w:val="11"/>
                <w:color w:val="51555C"/>
              </w:rPr>
              <w:t>0.3</w:t>
            </w:r>
          </w:p>
        </w:tc>
        <w:tc>
          <w:tcPr>
            <w:tcW w:w="460" w:type="dxa"/>
            <w:vAlign w:val="bottom"/>
            <w:tcBorders>
              <w:bottom w:val="single" w:sz="8" w:color="EBFBFF"/>
            </w:tcBorders>
            <w:gridSpan w:val="2"/>
            <w:shd w:val="clear" w:color="auto" w:fill="EBFBFF"/>
          </w:tcPr>
          <w:p>
            <w:pPr>
              <w:jc w:val="right"/>
              <w:ind w:right="277"/>
              <w:spacing w:after="0"/>
              <w:rPr>
                <w:sz w:val="20"/>
                <w:szCs w:val="20"/>
                <w:color w:val="auto"/>
              </w:rPr>
            </w:pPr>
            <w:r>
              <w:rPr>
                <w:rFonts w:ascii="Calibri" w:cs="Calibri" w:eastAsia="Calibri" w:hAnsi="Calibri"/>
                <w:sz w:val="11"/>
                <w:szCs w:val="11"/>
                <w:color w:val="51555C"/>
              </w:rPr>
              <w:t>$</w:t>
            </w:r>
          </w:p>
        </w:tc>
        <w:tc>
          <w:tcPr>
            <w:tcW w:w="940" w:type="dxa"/>
            <w:vAlign w:val="bottom"/>
            <w:tcBorders>
              <w:bottom w:val="single" w:sz="8" w:color="EBFBFF"/>
            </w:tcBorders>
            <w:shd w:val="clear" w:color="auto" w:fill="EBFBFF"/>
          </w:tcPr>
          <w:p>
            <w:pPr>
              <w:jc w:val="right"/>
              <w:ind w:right="63"/>
              <w:spacing w:after="0"/>
              <w:rPr>
                <w:sz w:val="20"/>
                <w:szCs w:val="20"/>
                <w:color w:val="auto"/>
              </w:rPr>
            </w:pPr>
            <w:r>
              <w:rPr>
                <w:rFonts w:ascii="Calibri" w:cs="Calibri" w:eastAsia="Calibri" w:hAnsi="Calibri"/>
                <w:sz w:val="11"/>
                <w:szCs w:val="11"/>
                <w:color w:val="51555C"/>
              </w:rPr>
              <w:t>52.8</w:t>
            </w:r>
          </w:p>
        </w:tc>
        <w:tc>
          <w:tcPr>
            <w:tcW w:w="260" w:type="dxa"/>
            <w:vAlign w:val="bottom"/>
            <w:tcBorders>
              <w:bottom w:val="single" w:sz="8" w:color="EBFBFF"/>
            </w:tcBorders>
            <w:shd w:val="clear" w:color="auto" w:fill="EBFBFF"/>
          </w:tcPr>
          <w:p>
            <w:pPr>
              <w:jc w:val="right"/>
              <w:ind w:right="143"/>
              <w:spacing w:after="0"/>
              <w:rPr>
                <w:sz w:val="20"/>
                <w:szCs w:val="20"/>
                <w:color w:val="auto"/>
              </w:rPr>
            </w:pPr>
            <w:r>
              <w:rPr>
                <w:rFonts w:ascii="Calibri" w:cs="Calibri" w:eastAsia="Calibri" w:hAnsi="Calibri"/>
                <w:sz w:val="11"/>
                <w:szCs w:val="11"/>
                <w:color w:val="51555C"/>
                <w:w w:val="70"/>
              </w:rPr>
              <w:t>$</w:t>
            </w:r>
          </w:p>
        </w:tc>
        <w:tc>
          <w:tcPr>
            <w:tcW w:w="1040" w:type="dxa"/>
            <w:vAlign w:val="bottom"/>
            <w:tcBorders>
              <w:bottom w:val="single" w:sz="8" w:color="EBFBFF"/>
            </w:tcBorders>
            <w:shd w:val="clear" w:color="auto" w:fill="EBFBFF"/>
          </w:tcPr>
          <w:p>
            <w:pPr>
              <w:jc w:val="right"/>
              <w:ind w:right="43"/>
              <w:spacing w:after="0"/>
              <w:rPr>
                <w:sz w:val="20"/>
                <w:szCs w:val="20"/>
                <w:color w:val="auto"/>
              </w:rPr>
            </w:pPr>
            <w:r>
              <w:rPr>
                <w:rFonts w:ascii="Calibri" w:cs="Calibri" w:eastAsia="Calibri" w:hAnsi="Calibri"/>
                <w:sz w:val="11"/>
                <w:szCs w:val="11"/>
                <w:color w:val="51555C"/>
              </w:rPr>
              <w:t>(9.7)</w:t>
            </w:r>
          </w:p>
        </w:tc>
      </w:tr>
      <w:tr>
        <w:trPr>
          <w:trHeight w:val="135"/>
        </w:trPr>
        <w:tc>
          <w:tcPr>
            <w:tcW w:w="20" w:type="dxa"/>
            <w:vAlign w:val="bottom"/>
          </w:tcPr>
          <w:p>
            <w:pPr>
              <w:spacing w:after="0"/>
              <w:rPr>
                <w:sz w:val="11"/>
                <w:szCs w:val="11"/>
                <w:color w:val="auto"/>
              </w:rPr>
            </w:pPr>
          </w:p>
        </w:tc>
        <w:tc>
          <w:tcPr>
            <w:tcW w:w="5940" w:type="dxa"/>
            <w:vAlign w:val="bottom"/>
          </w:tcPr>
          <w:p>
            <w:pPr>
              <w:ind w:left="80"/>
              <w:spacing w:after="0"/>
              <w:rPr>
                <w:sz w:val="20"/>
                <w:szCs w:val="20"/>
                <w:color w:val="auto"/>
              </w:rPr>
            </w:pPr>
            <w:r>
              <w:rPr>
                <w:rFonts w:ascii="Calibri" w:cs="Calibri" w:eastAsia="Calibri" w:hAnsi="Calibri"/>
                <w:sz w:val="11"/>
                <w:szCs w:val="11"/>
                <w:b w:val="1"/>
                <w:bCs w:val="1"/>
                <w:color w:val="51555C"/>
              </w:rPr>
              <w:t>GAAP operatng margin</w:t>
            </w:r>
          </w:p>
        </w:tc>
        <w:tc>
          <w:tcPr>
            <w:tcW w:w="38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Calibri" w:cs="Calibri" w:eastAsia="Calibri" w:hAnsi="Calibri"/>
                <w:sz w:val="11"/>
                <w:szCs w:val="11"/>
                <w:color w:val="51555C"/>
              </w:rPr>
              <w:t>14.7 %</w:t>
            </w:r>
          </w:p>
        </w:tc>
        <w:tc>
          <w:tcPr>
            <w:tcW w:w="18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Calibri" w:cs="Calibri" w:eastAsia="Calibri" w:hAnsi="Calibri"/>
                <w:sz w:val="11"/>
                <w:szCs w:val="11"/>
                <w:color w:val="51555C"/>
              </w:rPr>
              <w:t>0.1 %</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Calibri" w:cs="Calibri" w:eastAsia="Calibri" w:hAnsi="Calibri"/>
                <w:sz w:val="11"/>
                <w:szCs w:val="11"/>
                <w:color w:val="51555C"/>
              </w:rPr>
              <w:t>9.3 %</w:t>
            </w:r>
          </w:p>
        </w:tc>
        <w:tc>
          <w:tcPr>
            <w:tcW w:w="26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Calibri" w:cs="Calibri" w:eastAsia="Calibri" w:hAnsi="Calibri"/>
                <w:sz w:val="11"/>
                <w:szCs w:val="11"/>
                <w:color w:val="51555C"/>
              </w:rPr>
              <w:t>(1.8)%</w:t>
            </w:r>
          </w:p>
        </w:tc>
      </w:tr>
      <w:tr>
        <w:trPr>
          <w:trHeight w:val="46"/>
        </w:trPr>
        <w:tc>
          <w:tcPr>
            <w:tcW w:w="20" w:type="dxa"/>
            <w:vAlign w:val="bottom"/>
          </w:tcPr>
          <w:p>
            <w:pPr>
              <w:spacing w:after="0"/>
              <w:rPr>
                <w:sz w:val="3"/>
                <w:szCs w:val="3"/>
                <w:color w:val="auto"/>
              </w:rPr>
            </w:pPr>
          </w:p>
        </w:tc>
        <w:tc>
          <w:tcPr>
            <w:tcW w:w="5940" w:type="dxa"/>
            <w:vAlign w:val="bottom"/>
          </w:tcPr>
          <w:p>
            <w:pPr>
              <w:spacing w:after="0"/>
              <w:rPr>
                <w:sz w:val="3"/>
                <w:szCs w:val="3"/>
                <w:color w:val="auto"/>
              </w:rPr>
            </w:pPr>
          </w:p>
        </w:tc>
        <w:tc>
          <w:tcPr>
            <w:tcW w:w="3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160"/>
        </w:trPr>
        <w:tc>
          <w:tcPr>
            <w:tcW w:w="20" w:type="dxa"/>
            <w:vAlign w:val="bottom"/>
            <w:tcBorders>
              <w:bottom w:val="single" w:sz="8" w:color="EBFBFF"/>
            </w:tcBorders>
            <w:shd w:val="clear" w:color="auto" w:fill="EBFBFF"/>
          </w:tcPr>
          <w:p>
            <w:pPr>
              <w:spacing w:after="0"/>
              <w:rPr>
                <w:sz w:val="13"/>
                <w:szCs w:val="13"/>
                <w:color w:val="auto"/>
              </w:rPr>
            </w:pPr>
          </w:p>
        </w:tc>
        <w:tc>
          <w:tcPr>
            <w:tcW w:w="5940" w:type="dxa"/>
            <w:vAlign w:val="bottom"/>
            <w:tcBorders>
              <w:bottom w:val="single" w:sz="8" w:color="EBFBFF"/>
            </w:tcBorders>
            <w:shd w:val="clear" w:color="auto" w:fill="EBFBFF"/>
          </w:tcPr>
          <w:p>
            <w:pPr>
              <w:spacing w:after="0"/>
              <w:rPr>
                <w:sz w:val="20"/>
                <w:szCs w:val="20"/>
                <w:color w:val="auto"/>
              </w:rPr>
            </w:pPr>
            <w:r>
              <w:rPr>
                <w:rFonts w:ascii="Calibri" w:cs="Calibri" w:eastAsia="Calibri" w:hAnsi="Calibri"/>
                <w:sz w:val="11"/>
                <w:szCs w:val="11"/>
                <w:b w:val="1"/>
                <w:bCs w:val="1"/>
                <w:color w:val="51555C"/>
              </w:rPr>
              <w:t>Non-GAAP adjustments:</w:t>
            </w:r>
          </w:p>
        </w:tc>
        <w:tc>
          <w:tcPr>
            <w:tcW w:w="380" w:type="dxa"/>
            <w:vAlign w:val="bottom"/>
            <w:tcBorders>
              <w:bottom w:val="single" w:sz="8" w:color="EBFBFF"/>
            </w:tcBorders>
            <w:shd w:val="clear" w:color="auto" w:fill="EBFBFF"/>
          </w:tcPr>
          <w:p>
            <w:pPr>
              <w:spacing w:after="0"/>
              <w:rPr>
                <w:sz w:val="13"/>
                <w:szCs w:val="13"/>
                <w:color w:val="auto"/>
              </w:rPr>
            </w:pPr>
          </w:p>
        </w:tc>
        <w:tc>
          <w:tcPr>
            <w:tcW w:w="940" w:type="dxa"/>
            <w:vAlign w:val="bottom"/>
            <w:tcBorders>
              <w:bottom w:val="single" w:sz="8" w:color="EBFBFF"/>
            </w:tcBorders>
            <w:shd w:val="clear" w:color="auto" w:fill="EBFBFF"/>
          </w:tcPr>
          <w:p>
            <w:pPr>
              <w:spacing w:after="0"/>
              <w:rPr>
                <w:sz w:val="13"/>
                <w:szCs w:val="13"/>
                <w:color w:val="auto"/>
              </w:rPr>
            </w:pPr>
          </w:p>
        </w:tc>
        <w:tc>
          <w:tcPr>
            <w:tcW w:w="180" w:type="dxa"/>
            <w:vAlign w:val="bottom"/>
            <w:tcBorders>
              <w:bottom w:val="single" w:sz="8" w:color="EBFBFF"/>
            </w:tcBorders>
            <w:shd w:val="clear" w:color="auto" w:fill="EBFBFF"/>
          </w:tcPr>
          <w:p>
            <w:pPr>
              <w:spacing w:after="0"/>
              <w:rPr>
                <w:sz w:val="13"/>
                <w:szCs w:val="13"/>
                <w:color w:val="auto"/>
              </w:rPr>
            </w:pPr>
          </w:p>
        </w:tc>
        <w:tc>
          <w:tcPr>
            <w:tcW w:w="1120" w:type="dxa"/>
            <w:vAlign w:val="bottom"/>
            <w:tcBorders>
              <w:bottom w:val="single" w:sz="8" w:color="EBFBFF"/>
            </w:tcBorders>
            <w:shd w:val="clear" w:color="auto" w:fill="EBFBFF"/>
          </w:tcPr>
          <w:p>
            <w:pPr>
              <w:spacing w:after="0"/>
              <w:rPr>
                <w:sz w:val="13"/>
                <w:szCs w:val="13"/>
                <w:color w:val="auto"/>
              </w:rPr>
            </w:pPr>
          </w:p>
        </w:tc>
        <w:tc>
          <w:tcPr>
            <w:tcW w:w="120" w:type="dxa"/>
            <w:vAlign w:val="bottom"/>
            <w:tcBorders>
              <w:bottom w:val="single" w:sz="8" w:color="EBFBFF"/>
              <w:right w:val="single" w:sz="8" w:color="EBFBFF"/>
            </w:tcBorders>
            <w:shd w:val="clear" w:color="auto" w:fill="EBFBFF"/>
          </w:tcPr>
          <w:p>
            <w:pPr>
              <w:spacing w:after="0"/>
              <w:rPr>
                <w:sz w:val="13"/>
                <w:szCs w:val="13"/>
                <w:color w:val="auto"/>
              </w:rPr>
            </w:pPr>
          </w:p>
        </w:tc>
        <w:tc>
          <w:tcPr>
            <w:tcW w:w="340" w:type="dxa"/>
            <w:vAlign w:val="bottom"/>
            <w:tcBorders>
              <w:bottom w:val="single" w:sz="8" w:color="EBFBFF"/>
            </w:tcBorders>
            <w:shd w:val="clear" w:color="auto" w:fill="EBFBFF"/>
          </w:tcPr>
          <w:p>
            <w:pPr>
              <w:spacing w:after="0"/>
              <w:rPr>
                <w:sz w:val="13"/>
                <w:szCs w:val="13"/>
                <w:color w:val="auto"/>
              </w:rPr>
            </w:pPr>
          </w:p>
        </w:tc>
        <w:tc>
          <w:tcPr>
            <w:tcW w:w="940" w:type="dxa"/>
            <w:vAlign w:val="bottom"/>
            <w:tcBorders>
              <w:bottom w:val="single" w:sz="8" w:color="EBFBFF"/>
            </w:tcBorders>
            <w:shd w:val="clear" w:color="auto" w:fill="EBFBFF"/>
          </w:tcPr>
          <w:p>
            <w:pPr>
              <w:spacing w:after="0"/>
              <w:rPr>
                <w:sz w:val="13"/>
                <w:szCs w:val="13"/>
                <w:color w:val="auto"/>
              </w:rPr>
            </w:pPr>
          </w:p>
        </w:tc>
        <w:tc>
          <w:tcPr>
            <w:tcW w:w="260" w:type="dxa"/>
            <w:vAlign w:val="bottom"/>
            <w:tcBorders>
              <w:bottom w:val="single" w:sz="8" w:color="EBFBFF"/>
            </w:tcBorders>
            <w:shd w:val="clear" w:color="auto" w:fill="EBFBFF"/>
          </w:tcPr>
          <w:p>
            <w:pPr>
              <w:spacing w:after="0"/>
              <w:rPr>
                <w:sz w:val="13"/>
                <w:szCs w:val="13"/>
                <w:color w:val="auto"/>
              </w:rPr>
            </w:pPr>
          </w:p>
        </w:tc>
        <w:tc>
          <w:tcPr>
            <w:tcW w:w="1040" w:type="dxa"/>
            <w:vAlign w:val="bottom"/>
            <w:tcBorders>
              <w:bottom w:val="single" w:sz="8" w:color="EBFBFF"/>
            </w:tcBorders>
            <w:shd w:val="clear" w:color="auto" w:fill="EBFBFF"/>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5940" w:type="dxa"/>
            <w:vAlign w:val="bottom"/>
          </w:tcPr>
          <w:p>
            <w:pPr>
              <w:ind w:left="80"/>
              <w:spacing w:after="0"/>
              <w:rPr>
                <w:sz w:val="20"/>
                <w:szCs w:val="20"/>
                <w:color w:val="auto"/>
              </w:rPr>
            </w:pPr>
            <w:r>
              <w:rPr>
                <w:rFonts w:ascii="Calibri" w:cs="Calibri" w:eastAsia="Calibri" w:hAnsi="Calibri"/>
                <w:sz w:val="11"/>
                <w:szCs w:val="11"/>
                <w:color w:val="51555C"/>
              </w:rPr>
              <w:t>Add: Stock-based compensaton expense</w:t>
            </w:r>
          </w:p>
        </w:tc>
        <w:tc>
          <w:tcPr>
            <w:tcW w:w="380" w:type="dxa"/>
            <w:vAlign w:val="bottom"/>
          </w:tcPr>
          <w:p>
            <w:pPr>
              <w:spacing w:after="0"/>
              <w:rPr>
                <w:sz w:val="11"/>
                <w:szCs w:val="11"/>
                <w:color w:val="auto"/>
              </w:rPr>
            </w:pPr>
          </w:p>
        </w:tc>
        <w:tc>
          <w:tcPr>
            <w:tcW w:w="940" w:type="dxa"/>
            <w:vAlign w:val="bottom"/>
          </w:tcPr>
          <w:p>
            <w:pPr>
              <w:jc w:val="right"/>
              <w:ind w:right="63"/>
              <w:spacing w:after="0"/>
              <w:rPr>
                <w:sz w:val="20"/>
                <w:szCs w:val="20"/>
                <w:color w:val="auto"/>
              </w:rPr>
            </w:pPr>
            <w:r>
              <w:rPr>
                <w:rFonts w:ascii="Calibri" w:cs="Calibri" w:eastAsia="Calibri" w:hAnsi="Calibri"/>
                <w:sz w:val="11"/>
                <w:szCs w:val="11"/>
                <w:color w:val="51555C"/>
              </w:rPr>
              <w:t>24.3</w:t>
            </w:r>
          </w:p>
        </w:tc>
        <w:tc>
          <w:tcPr>
            <w:tcW w:w="180" w:type="dxa"/>
            <w:vAlign w:val="bottom"/>
          </w:tcPr>
          <w:p>
            <w:pPr>
              <w:spacing w:after="0"/>
              <w:rPr>
                <w:sz w:val="11"/>
                <w:szCs w:val="11"/>
                <w:color w:val="auto"/>
              </w:rPr>
            </w:pPr>
          </w:p>
        </w:tc>
        <w:tc>
          <w:tcPr>
            <w:tcW w:w="1120" w:type="dxa"/>
            <w:vAlign w:val="bottom"/>
          </w:tcPr>
          <w:p>
            <w:pPr>
              <w:jc w:val="right"/>
              <w:ind w:right="63"/>
              <w:spacing w:after="0"/>
              <w:rPr>
                <w:sz w:val="20"/>
                <w:szCs w:val="20"/>
                <w:color w:val="auto"/>
              </w:rPr>
            </w:pPr>
            <w:r>
              <w:rPr>
                <w:rFonts w:ascii="Calibri" w:cs="Calibri" w:eastAsia="Calibri" w:hAnsi="Calibri"/>
                <w:sz w:val="11"/>
                <w:szCs w:val="11"/>
                <w:color w:val="51555C"/>
              </w:rPr>
              <w:t>33.4</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jc w:val="right"/>
              <w:ind w:right="63"/>
              <w:spacing w:after="0"/>
              <w:rPr>
                <w:sz w:val="20"/>
                <w:szCs w:val="20"/>
                <w:color w:val="auto"/>
              </w:rPr>
            </w:pPr>
            <w:r>
              <w:rPr>
                <w:rFonts w:ascii="Calibri" w:cs="Calibri" w:eastAsia="Calibri" w:hAnsi="Calibri"/>
                <w:sz w:val="11"/>
                <w:szCs w:val="11"/>
                <w:color w:val="51555C"/>
              </w:rPr>
              <w:t>57.9</w:t>
            </w:r>
          </w:p>
        </w:tc>
        <w:tc>
          <w:tcPr>
            <w:tcW w:w="260" w:type="dxa"/>
            <w:vAlign w:val="bottom"/>
          </w:tcPr>
          <w:p>
            <w:pPr>
              <w:spacing w:after="0"/>
              <w:rPr>
                <w:sz w:val="11"/>
                <w:szCs w:val="11"/>
                <w:color w:val="auto"/>
              </w:rPr>
            </w:pPr>
          </w:p>
        </w:tc>
        <w:tc>
          <w:tcPr>
            <w:tcW w:w="1040" w:type="dxa"/>
            <w:vAlign w:val="bottom"/>
          </w:tcPr>
          <w:p>
            <w:pPr>
              <w:jc w:val="right"/>
              <w:ind w:right="63"/>
              <w:spacing w:after="0"/>
              <w:rPr>
                <w:sz w:val="20"/>
                <w:szCs w:val="20"/>
                <w:color w:val="auto"/>
              </w:rPr>
            </w:pPr>
            <w:r>
              <w:rPr>
                <w:rFonts w:ascii="Calibri" w:cs="Calibri" w:eastAsia="Calibri" w:hAnsi="Calibri"/>
                <w:sz w:val="11"/>
                <w:szCs w:val="11"/>
                <w:color w:val="51555C"/>
              </w:rPr>
              <w:t>63.3</w:t>
            </w:r>
          </w:p>
        </w:tc>
      </w:tr>
      <w:tr>
        <w:trPr>
          <w:trHeight w:val="46"/>
        </w:trPr>
        <w:tc>
          <w:tcPr>
            <w:tcW w:w="20" w:type="dxa"/>
            <w:vAlign w:val="bottom"/>
          </w:tcPr>
          <w:p>
            <w:pPr>
              <w:spacing w:after="0"/>
              <w:rPr>
                <w:sz w:val="3"/>
                <w:szCs w:val="3"/>
                <w:color w:val="auto"/>
              </w:rPr>
            </w:pPr>
          </w:p>
        </w:tc>
        <w:tc>
          <w:tcPr>
            <w:tcW w:w="5940" w:type="dxa"/>
            <w:vAlign w:val="bottom"/>
          </w:tcPr>
          <w:p>
            <w:pPr>
              <w:spacing w:after="0"/>
              <w:rPr>
                <w:sz w:val="3"/>
                <w:szCs w:val="3"/>
                <w:color w:val="auto"/>
              </w:rPr>
            </w:pPr>
          </w:p>
        </w:tc>
        <w:tc>
          <w:tcPr>
            <w:tcW w:w="3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160"/>
        </w:trPr>
        <w:tc>
          <w:tcPr>
            <w:tcW w:w="20" w:type="dxa"/>
            <w:vAlign w:val="bottom"/>
            <w:tcBorders>
              <w:bottom w:val="single" w:sz="8" w:color="EBFBFF"/>
            </w:tcBorders>
            <w:shd w:val="clear" w:color="auto" w:fill="EBFBFF"/>
          </w:tcPr>
          <w:p>
            <w:pPr>
              <w:spacing w:after="0"/>
              <w:rPr>
                <w:sz w:val="13"/>
                <w:szCs w:val="13"/>
                <w:color w:val="auto"/>
              </w:rPr>
            </w:pPr>
          </w:p>
        </w:tc>
        <w:tc>
          <w:tcPr>
            <w:tcW w:w="5940" w:type="dxa"/>
            <w:vAlign w:val="bottom"/>
            <w:tcBorders>
              <w:bottom w:val="single" w:sz="8" w:color="EBFBFF"/>
            </w:tcBorders>
            <w:shd w:val="clear" w:color="auto" w:fill="EBFBFF"/>
          </w:tcPr>
          <w:p>
            <w:pPr>
              <w:ind w:left="80"/>
              <w:spacing w:after="0"/>
              <w:rPr>
                <w:sz w:val="20"/>
                <w:szCs w:val="20"/>
                <w:color w:val="auto"/>
              </w:rPr>
            </w:pPr>
            <w:r>
              <w:rPr>
                <w:rFonts w:ascii="Calibri" w:cs="Calibri" w:eastAsia="Calibri" w:hAnsi="Calibri"/>
                <w:sz w:val="11"/>
                <w:szCs w:val="11"/>
                <w:color w:val="51555C"/>
              </w:rPr>
              <w:t>Add: Amortzaton of intangibles from business combinatons</w:t>
            </w:r>
          </w:p>
        </w:tc>
        <w:tc>
          <w:tcPr>
            <w:tcW w:w="380" w:type="dxa"/>
            <w:vAlign w:val="bottom"/>
            <w:tcBorders>
              <w:bottom w:val="single" w:sz="8" w:color="EBFBFF"/>
            </w:tcBorders>
            <w:shd w:val="clear" w:color="auto" w:fill="EBFBFF"/>
          </w:tcPr>
          <w:p>
            <w:pPr>
              <w:spacing w:after="0"/>
              <w:rPr>
                <w:sz w:val="13"/>
                <w:szCs w:val="13"/>
                <w:color w:val="auto"/>
              </w:rPr>
            </w:pPr>
          </w:p>
        </w:tc>
        <w:tc>
          <w:tcPr>
            <w:tcW w:w="940" w:type="dxa"/>
            <w:vAlign w:val="bottom"/>
            <w:tcBorders>
              <w:bottom w:val="single" w:sz="8" w:color="EBFBFF"/>
            </w:tcBorders>
            <w:shd w:val="clear" w:color="auto" w:fill="EBFBFF"/>
          </w:tcPr>
          <w:p>
            <w:pPr>
              <w:jc w:val="right"/>
              <w:ind w:right="63"/>
              <w:spacing w:after="0"/>
              <w:rPr>
                <w:sz w:val="20"/>
                <w:szCs w:val="20"/>
                <w:color w:val="auto"/>
              </w:rPr>
            </w:pPr>
            <w:r>
              <w:rPr>
                <w:rFonts w:ascii="Calibri" w:cs="Calibri" w:eastAsia="Calibri" w:hAnsi="Calibri"/>
                <w:sz w:val="11"/>
                <w:szCs w:val="11"/>
                <w:color w:val="51555C"/>
              </w:rPr>
              <w:t>15.5</w:t>
            </w:r>
          </w:p>
        </w:tc>
        <w:tc>
          <w:tcPr>
            <w:tcW w:w="180" w:type="dxa"/>
            <w:vAlign w:val="bottom"/>
            <w:tcBorders>
              <w:bottom w:val="single" w:sz="8" w:color="EBFBFF"/>
            </w:tcBorders>
            <w:shd w:val="clear" w:color="auto" w:fill="EBFBFF"/>
          </w:tcPr>
          <w:p>
            <w:pPr>
              <w:spacing w:after="0"/>
              <w:rPr>
                <w:sz w:val="13"/>
                <w:szCs w:val="13"/>
                <w:color w:val="auto"/>
              </w:rPr>
            </w:pPr>
          </w:p>
        </w:tc>
        <w:tc>
          <w:tcPr>
            <w:tcW w:w="1120" w:type="dxa"/>
            <w:vAlign w:val="bottom"/>
            <w:tcBorders>
              <w:bottom w:val="single" w:sz="8" w:color="EBFBFF"/>
            </w:tcBorders>
            <w:shd w:val="clear" w:color="auto" w:fill="EBFBFF"/>
          </w:tcPr>
          <w:p>
            <w:pPr>
              <w:jc w:val="right"/>
              <w:ind w:right="63"/>
              <w:spacing w:after="0"/>
              <w:rPr>
                <w:sz w:val="20"/>
                <w:szCs w:val="20"/>
                <w:color w:val="auto"/>
              </w:rPr>
            </w:pPr>
            <w:r>
              <w:rPr>
                <w:rFonts w:ascii="Calibri" w:cs="Calibri" w:eastAsia="Calibri" w:hAnsi="Calibri"/>
                <w:sz w:val="11"/>
                <w:szCs w:val="11"/>
                <w:color w:val="51555C"/>
              </w:rPr>
              <w:t>13.9</w:t>
            </w:r>
          </w:p>
        </w:tc>
        <w:tc>
          <w:tcPr>
            <w:tcW w:w="120" w:type="dxa"/>
            <w:vAlign w:val="bottom"/>
            <w:tcBorders>
              <w:bottom w:val="single" w:sz="8" w:color="EBFBFF"/>
              <w:right w:val="single" w:sz="8" w:color="EBFBFF"/>
            </w:tcBorders>
            <w:shd w:val="clear" w:color="auto" w:fill="EBFBFF"/>
          </w:tcPr>
          <w:p>
            <w:pPr>
              <w:spacing w:after="0"/>
              <w:rPr>
                <w:sz w:val="13"/>
                <w:szCs w:val="13"/>
                <w:color w:val="auto"/>
              </w:rPr>
            </w:pPr>
          </w:p>
        </w:tc>
        <w:tc>
          <w:tcPr>
            <w:tcW w:w="340" w:type="dxa"/>
            <w:vAlign w:val="bottom"/>
            <w:tcBorders>
              <w:bottom w:val="single" w:sz="8" w:color="EBFBFF"/>
            </w:tcBorders>
            <w:shd w:val="clear" w:color="auto" w:fill="EBFBFF"/>
          </w:tcPr>
          <w:p>
            <w:pPr>
              <w:spacing w:after="0"/>
              <w:rPr>
                <w:sz w:val="13"/>
                <w:szCs w:val="13"/>
                <w:color w:val="auto"/>
              </w:rPr>
            </w:pPr>
          </w:p>
        </w:tc>
        <w:tc>
          <w:tcPr>
            <w:tcW w:w="940" w:type="dxa"/>
            <w:vAlign w:val="bottom"/>
            <w:tcBorders>
              <w:bottom w:val="single" w:sz="8" w:color="EBFBFF"/>
            </w:tcBorders>
            <w:shd w:val="clear" w:color="auto" w:fill="EBFBFF"/>
          </w:tcPr>
          <w:p>
            <w:pPr>
              <w:jc w:val="right"/>
              <w:ind w:right="63"/>
              <w:spacing w:after="0"/>
              <w:rPr>
                <w:sz w:val="20"/>
                <w:szCs w:val="20"/>
                <w:color w:val="auto"/>
              </w:rPr>
            </w:pPr>
            <w:r>
              <w:rPr>
                <w:rFonts w:ascii="Calibri" w:cs="Calibri" w:eastAsia="Calibri" w:hAnsi="Calibri"/>
                <w:sz w:val="11"/>
                <w:szCs w:val="11"/>
                <w:color w:val="51555C"/>
              </w:rPr>
              <w:t>31.1</w:t>
            </w:r>
          </w:p>
        </w:tc>
        <w:tc>
          <w:tcPr>
            <w:tcW w:w="260" w:type="dxa"/>
            <w:vAlign w:val="bottom"/>
            <w:tcBorders>
              <w:bottom w:val="single" w:sz="8" w:color="EBFBFF"/>
            </w:tcBorders>
            <w:shd w:val="clear" w:color="auto" w:fill="EBFBFF"/>
          </w:tcPr>
          <w:p>
            <w:pPr>
              <w:spacing w:after="0"/>
              <w:rPr>
                <w:sz w:val="13"/>
                <w:szCs w:val="13"/>
                <w:color w:val="auto"/>
              </w:rPr>
            </w:pPr>
          </w:p>
        </w:tc>
        <w:tc>
          <w:tcPr>
            <w:tcW w:w="1040" w:type="dxa"/>
            <w:vAlign w:val="bottom"/>
            <w:tcBorders>
              <w:bottom w:val="single" w:sz="8" w:color="EBFBFF"/>
            </w:tcBorders>
            <w:shd w:val="clear" w:color="auto" w:fill="EBFBFF"/>
          </w:tcPr>
          <w:p>
            <w:pPr>
              <w:jc w:val="right"/>
              <w:ind w:right="63"/>
              <w:spacing w:after="0"/>
              <w:rPr>
                <w:sz w:val="20"/>
                <w:szCs w:val="20"/>
                <w:color w:val="auto"/>
              </w:rPr>
            </w:pPr>
            <w:r>
              <w:rPr>
                <w:rFonts w:ascii="Calibri" w:cs="Calibri" w:eastAsia="Calibri" w:hAnsi="Calibri"/>
                <w:sz w:val="11"/>
                <w:szCs w:val="11"/>
                <w:color w:val="51555C"/>
              </w:rPr>
              <w:t>27.8</w:t>
            </w:r>
          </w:p>
        </w:tc>
      </w:tr>
      <w:tr>
        <w:trPr>
          <w:trHeight w:val="135"/>
        </w:trPr>
        <w:tc>
          <w:tcPr>
            <w:tcW w:w="20" w:type="dxa"/>
            <w:vAlign w:val="bottom"/>
          </w:tcPr>
          <w:p>
            <w:pPr>
              <w:spacing w:after="0"/>
              <w:rPr>
                <w:sz w:val="11"/>
                <w:szCs w:val="11"/>
                <w:color w:val="auto"/>
              </w:rPr>
            </w:pPr>
          </w:p>
        </w:tc>
        <w:tc>
          <w:tcPr>
            <w:tcW w:w="5940" w:type="dxa"/>
            <w:vAlign w:val="bottom"/>
          </w:tcPr>
          <w:p>
            <w:pPr>
              <w:ind w:left="80"/>
              <w:spacing w:after="0"/>
              <w:rPr>
                <w:sz w:val="20"/>
                <w:szCs w:val="20"/>
                <w:color w:val="auto"/>
              </w:rPr>
            </w:pPr>
            <w:r>
              <w:rPr>
                <w:rFonts w:ascii="Calibri" w:cs="Calibri" w:eastAsia="Calibri" w:hAnsi="Calibri"/>
                <w:sz w:val="11"/>
                <w:szCs w:val="11"/>
                <w:color w:val="51555C"/>
              </w:rPr>
              <w:t>Add: Employee severance</w:t>
            </w:r>
          </w:p>
        </w:tc>
        <w:tc>
          <w:tcPr>
            <w:tcW w:w="380" w:type="dxa"/>
            <w:vAlign w:val="bottom"/>
          </w:tcPr>
          <w:p>
            <w:pPr>
              <w:spacing w:after="0"/>
              <w:rPr>
                <w:sz w:val="11"/>
                <w:szCs w:val="11"/>
                <w:color w:val="auto"/>
              </w:rPr>
            </w:pPr>
          </w:p>
        </w:tc>
        <w:tc>
          <w:tcPr>
            <w:tcW w:w="940" w:type="dxa"/>
            <w:vAlign w:val="bottom"/>
          </w:tcPr>
          <w:p>
            <w:pPr>
              <w:jc w:val="right"/>
              <w:ind w:right="63"/>
              <w:spacing w:after="0"/>
              <w:rPr>
                <w:sz w:val="20"/>
                <w:szCs w:val="20"/>
                <w:color w:val="auto"/>
              </w:rPr>
            </w:pPr>
            <w:r>
              <w:rPr>
                <w:rFonts w:ascii="Calibri" w:cs="Calibri" w:eastAsia="Calibri" w:hAnsi="Calibri"/>
                <w:sz w:val="11"/>
                <w:szCs w:val="11"/>
                <w:color w:val="51555C"/>
              </w:rPr>
              <w:t>—</w:t>
            </w:r>
          </w:p>
        </w:tc>
        <w:tc>
          <w:tcPr>
            <w:tcW w:w="180" w:type="dxa"/>
            <w:vAlign w:val="bottom"/>
          </w:tcPr>
          <w:p>
            <w:pPr>
              <w:spacing w:after="0"/>
              <w:rPr>
                <w:sz w:val="11"/>
                <w:szCs w:val="11"/>
                <w:color w:val="auto"/>
              </w:rPr>
            </w:pPr>
          </w:p>
        </w:tc>
        <w:tc>
          <w:tcPr>
            <w:tcW w:w="1120" w:type="dxa"/>
            <w:vAlign w:val="bottom"/>
          </w:tcPr>
          <w:p>
            <w:pPr>
              <w:jc w:val="right"/>
              <w:ind w:right="63"/>
              <w:spacing w:after="0"/>
              <w:rPr>
                <w:sz w:val="20"/>
                <w:szCs w:val="20"/>
                <w:color w:val="auto"/>
              </w:rPr>
            </w:pPr>
            <w:r>
              <w:rPr>
                <w:rFonts w:ascii="Calibri" w:cs="Calibri" w:eastAsia="Calibri" w:hAnsi="Calibri"/>
                <w:sz w:val="11"/>
                <w:szCs w:val="11"/>
                <w:color w:val="51555C"/>
              </w:rPr>
              <w:t>0.6</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jc w:val="right"/>
              <w:ind w:right="63"/>
              <w:spacing w:after="0"/>
              <w:rPr>
                <w:sz w:val="20"/>
                <w:szCs w:val="20"/>
                <w:color w:val="auto"/>
              </w:rPr>
            </w:pPr>
            <w:r>
              <w:rPr>
                <w:rFonts w:ascii="Calibri" w:cs="Calibri" w:eastAsia="Calibri" w:hAnsi="Calibri"/>
                <w:sz w:val="11"/>
                <w:szCs w:val="11"/>
                <w:color w:val="51555C"/>
              </w:rPr>
              <w:t>—</w:t>
            </w:r>
          </w:p>
        </w:tc>
        <w:tc>
          <w:tcPr>
            <w:tcW w:w="260" w:type="dxa"/>
            <w:vAlign w:val="bottom"/>
          </w:tcPr>
          <w:p>
            <w:pPr>
              <w:spacing w:after="0"/>
              <w:rPr>
                <w:sz w:val="11"/>
                <w:szCs w:val="11"/>
                <w:color w:val="auto"/>
              </w:rPr>
            </w:pPr>
          </w:p>
        </w:tc>
        <w:tc>
          <w:tcPr>
            <w:tcW w:w="1040" w:type="dxa"/>
            <w:vAlign w:val="bottom"/>
          </w:tcPr>
          <w:p>
            <w:pPr>
              <w:jc w:val="right"/>
              <w:ind w:right="63"/>
              <w:spacing w:after="0"/>
              <w:rPr>
                <w:sz w:val="20"/>
                <w:szCs w:val="20"/>
                <w:color w:val="auto"/>
              </w:rPr>
            </w:pPr>
            <w:r>
              <w:rPr>
                <w:rFonts w:ascii="Calibri" w:cs="Calibri" w:eastAsia="Calibri" w:hAnsi="Calibri"/>
                <w:sz w:val="11"/>
                <w:szCs w:val="11"/>
                <w:color w:val="51555C"/>
              </w:rPr>
              <w:t>5.0</w:t>
            </w:r>
          </w:p>
        </w:tc>
      </w:tr>
      <w:tr>
        <w:trPr>
          <w:trHeight w:val="46"/>
        </w:trPr>
        <w:tc>
          <w:tcPr>
            <w:tcW w:w="20" w:type="dxa"/>
            <w:vAlign w:val="bottom"/>
          </w:tcPr>
          <w:p>
            <w:pPr>
              <w:spacing w:after="0"/>
              <w:rPr>
                <w:sz w:val="3"/>
                <w:szCs w:val="3"/>
                <w:color w:val="auto"/>
              </w:rPr>
            </w:pPr>
          </w:p>
        </w:tc>
        <w:tc>
          <w:tcPr>
            <w:tcW w:w="5940" w:type="dxa"/>
            <w:vAlign w:val="bottom"/>
          </w:tcPr>
          <w:p>
            <w:pPr>
              <w:spacing w:after="0"/>
              <w:rPr>
                <w:sz w:val="3"/>
                <w:szCs w:val="3"/>
                <w:color w:val="auto"/>
              </w:rPr>
            </w:pPr>
          </w:p>
        </w:tc>
        <w:tc>
          <w:tcPr>
            <w:tcW w:w="3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160"/>
        </w:trPr>
        <w:tc>
          <w:tcPr>
            <w:tcW w:w="20" w:type="dxa"/>
            <w:vAlign w:val="bottom"/>
            <w:tcBorders>
              <w:bottom w:val="single" w:sz="8" w:color="EBFBFF"/>
            </w:tcBorders>
            <w:shd w:val="clear" w:color="auto" w:fill="EBFBFF"/>
          </w:tcPr>
          <w:p>
            <w:pPr>
              <w:spacing w:after="0"/>
              <w:rPr>
                <w:sz w:val="13"/>
                <w:szCs w:val="13"/>
                <w:color w:val="auto"/>
              </w:rPr>
            </w:pPr>
          </w:p>
        </w:tc>
        <w:tc>
          <w:tcPr>
            <w:tcW w:w="5940" w:type="dxa"/>
            <w:vAlign w:val="bottom"/>
            <w:tcBorders>
              <w:bottom w:val="single" w:sz="8" w:color="EBFBFF"/>
            </w:tcBorders>
            <w:shd w:val="clear" w:color="auto" w:fill="EBFBFF"/>
          </w:tcPr>
          <w:p>
            <w:pPr>
              <w:ind w:left="80"/>
              <w:spacing w:after="0"/>
              <w:rPr>
                <w:sz w:val="20"/>
                <w:szCs w:val="20"/>
                <w:color w:val="auto"/>
              </w:rPr>
            </w:pPr>
            <w:r>
              <w:rPr>
                <w:rFonts w:ascii="Calibri" w:cs="Calibri" w:eastAsia="Calibri" w:hAnsi="Calibri"/>
                <w:sz w:val="11"/>
                <w:szCs w:val="11"/>
                <w:color w:val="51555C"/>
              </w:rPr>
              <w:t>Add: Acquisiton and dispositon-related costs</w:t>
            </w:r>
          </w:p>
        </w:tc>
        <w:tc>
          <w:tcPr>
            <w:tcW w:w="380" w:type="dxa"/>
            <w:vAlign w:val="bottom"/>
            <w:tcBorders>
              <w:bottom w:val="single" w:sz="8" w:color="EBFBFF"/>
            </w:tcBorders>
            <w:shd w:val="clear" w:color="auto" w:fill="EBFBFF"/>
          </w:tcPr>
          <w:p>
            <w:pPr>
              <w:spacing w:after="0"/>
              <w:rPr>
                <w:sz w:val="13"/>
                <w:szCs w:val="13"/>
                <w:color w:val="auto"/>
              </w:rPr>
            </w:pPr>
          </w:p>
        </w:tc>
        <w:tc>
          <w:tcPr>
            <w:tcW w:w="940" w:type="dxa"/>
            <w:vAlign w:val="bottom"/>
            <w:tcBorders>
              <w:bottom w:val="single" w:sz="8" w:color="EBFBFF"/>
            </w:tcBorders>
            <w:shd w:val="clear" w:color="auto" w:fill="EBFBFF"/>
          </w:tcPr>
          <w:p>
            <w:pPr>
              <w:jc w:val="right"/>
              <w:ind w:right="63"/>
              <w:spacing w:after="0"/>
              <w:rPr>
                <w:sz w:val="20"/>
                <w:szCs w:val="20"/>
                <w:color w:val="auto"/>
              </w:rPr>
            </w:pPr>
            <w:r>
              <w:rPr>
                <w:rFonts w:ascii="Calibri" w:cs="Calibri" w:eastAsia="Calibri" w:hAnsi="Calibri"/>
                <w:sz w:val="11"/>
                <w:szCs w:val="11"/>
                <w:color w:val="51555C"/>
              </w:rPr>
              <w:t>2.4</w:t>
            </w:r>
          </w:p>
        </w:tc>
        <w:tc>
          <w:tcPr>
            <w:tcW w:w="180" w:type="dxa"/>
            <w:vAlign w:val="bottom"/>
            <w:tcBorders>
              <w:bottom w:val="single" w:sz="8" w:color="EBFBFF"/>
            </w:tcBorders>
            <w:shd w:val="clear" w:color="auto" w:fill="EBFBFF"/>
          </w:tcPr>
          <w:p>
            <w:pPr>
              <w:spacing w:after="0"/>
              <w:rPr>
                <w:sz w:val="13"/>
                <w:szCs w:val="13"/>
                <w:color w:val="auto"/>
              </w:rPr>
            </w:pPr>
          </w:p>
        </w:tc>
        <w:tc>
          <w:tcPr>
            <w:tcW w:w="1120" w:type="dxa"/>
            <w:vAlign w:val="bottom"/>
            <w:tcBorders>
              <w:bottom w:val="single" w:sz="8" w:color="EBFBFF"/>
            </w:tcBorders>
            <w:shd w:val="clear" w:color="auto" w:fill="EBFBFF"/>
          </w:tcPr>
          <w:p>
            <w:pPr>
              <w:jc w:val="right"/>
              <w:ind w:right="43"/>
              <w:spacing w:after="0"/>
              <w:rPr>
                <w:sz w:val="20"/>
                <w:szCs w:val="20"/>
                <w:color w:val="auto"/>
              </w:rPr>
            </w:pPr>
            <w:r>
              <w:rPr>
                <w:rFonts w:ascii="Calibri" w:cs="Calibri" w:eastAsia="Calibri" w:hAnsi="Calibri"/>
                <w:sz w:val="11"/>
                <w:szCs w:val="11"/>
                <w:color w:val="51555C"/>
              </w:rPr>
              <w:t>(0.8)</w:t>
            </w:r>
          </w:p>
        </w:tc>
        <w:tc>
          <w:tcPr>
            <w:tcW w:w="120" w:type="dxa"/>
            <w:vAlign w:val="bottom"/>
            <w:tcBorders>
              <w:bottom w:val="single" w:sz="8" w:color="EBFBFF"/>
              <w:right w:val="single" w:sz="8" w:color="EBFBFF"/>
            </w:tcBorders>
            <w:shd w:val="clear" w:color="auto" w:fill="EBFBFF"/>
          </w:tcPr>
          <w:p>
            <w:pPr>
              <w:spacing w:after="0"/>
              <w:rPr>
                <w:sz w:val="13"/>
                <w:szCs w:val="13"/>
                <w:color w:val="auto"/>
              </w:rPr>
            </w:pPr>
          </w:p>
        </w:tc>
        <w:tc>
          <w:tcPr>
            <w:tcW w:w="340" w:type="dxa"/>
            <w:vAlign w:val="bottom"/>
            <w:tcBorders>
              <w:bottom w:val="single" w:sz="8" w:color="EBFBFF"/>
            </w:tcBorders>
            <w:shd w:val="clear" w:color="auto" w:fill="EBFBFF"/>
          </w:tcPr>
          <w:p>
            <w:pPr>
              <w:spacing w:after="0"/>
              <w:rPr>
                <w:sz w:val="13"/>
                <w:szCs w:val="13"/>
                <w:color w:val="auto"/>
              </w:rPr>
            </w:pPr>
          </w:p>
        </w:tc>
        <w:tc>
          <w:tcPr>
            <w:tcW w:w="940" w:type="dxa"/>
            <w:vAlign w:val="bottom"/>
            <w:tcBorders>
              <w:bottom w:val="single" w:sz="8" w:color="EBFBFF"/>
            </w:tcBorders>
            <w:shd w:val="clear" w:color="auto" w:fill="EBFBFF"/>
          </w:tcPr>
          <w:p>
            <w:pPr>
              <w:jc w:val="right"/>
              <w:ind w:right="63"/>
              <w:spacing w:after="0"/>
              <w:rPr>
                <w:sz w:val="20"/>
                <w:szCs w:val="20"/>
                <w:color w:val="auto"/>
              </w:rPr>
            </w:pPr>
            <w:r>
              <w:rPr>
                <w:rFonts w:ascii="Calibri" w:cs="Calibri" w:eastAsia="Calibri" w:hAnsi="Calibri"/>
                <w:sz w:val="11"/>
                <w:szCs w:val="11"/>
                <w:color w:val="51555C"/>
              </w:rPr>
              <w:t>4.7</w:t>
            </w:r>
          </w:p>
        </w:tc>
        <w:tc>
          <w:tcPr>
            <w:tcW w:w="260" w:type="dxa"/>
            <w:vAlign w:val="bottom"/>
            <w:tcBorders>
              <w:bottom w:val="single" w:sz="8" w:color="EBFBFF"/>
            </w:tcBorders>
            <w:shd w:val="clear" w:color="auto" w:fill="EBFBFF"/>
          </w:tcPr>
          <w:p>
            <w:pPr>
              <w:spacing w:after="0"/>
              <w:rPr>
                <w:sz w:val="13"/>
                <w:szCs w:val="13"/>
                <w:color w:val="auto"/>
              </w:rPr>
            </w:pPr>
          </w:p>
        </w:tc>
        <w:tc>
          <w:tcPr>
            <w:tcW w:w="1040" w:type="dxa"/>
            <w:vAlign w:val="bottom"/>
            <w:tcBorders>
              <w:bottom w:val="single" w:sz="8" w:color="EBFBFF"/>
            </w:tcBorders>
            <w:shd w:val="clear" w:color="auto" w:fill="EBFBFF"/>
          </w:tcPr>
          <w:p>
            <w:pPr>
              <w:jc w:val="right"/>
              <w:ind w:right="43"/>
              <w:spacing w:after="0"/>
              <w:rPr>
                <w:sz w:val="20"/>
                <w:szCs w:val="20"/>
                <w:color w:val="auto"/>
              </w:rPr>
            </w:pPr>
            <w:r>
              <w:rPr>
                <w:rFonts w:ascii="Calibri" w:cs="Calibri" w:eastAsia="Calibri" w:hAnsi="Calibri"/>
                <w:sz w:val="11"/>
                <w:szCs w:val="11"/>
                <w:color w:val="51555C"/>
              </w:rPr>
              <w:t>(0.2)</w:t>
            </w:r>
          </w:p>
        </w:tc>
      </w:tr>
      <w:tr>
        <w:trPr>
          <w:trHeight w:val="175"/>
        </w:trPr>
        <w:tc>
          <w:tcPr>
            <w:tcW w:w="20" w:type="dxa"/>
            <w:vAlign w:val="bottom"/>
            <w:tcBorders>
              <w:bottom w:val="single" w:sz="8" w:color="EBFBFF"/>
            </w:tcBorders>
          </w:tcPr>
          <w:p>
            <w:pPr>
              <w:spacing w:after="0"/>
              <w:rPr>
                <w:sz w:val="15"/>
                <w:szCs w:val="15"/>
                <w:color w:val="auto"/>
              </w:rPr>
            </w:pPr>
          </w:p>
        </w:tc>
        <w:tc>
          <w:tcPr>
            <w:tcW w:w="5940" w:type="dxa"/>
            <w:vAlign w:val="bottom"/>
            <w:tcBorders>
              <w:bottom w:val="single" w:sz="8" w:color="EBFBFF"/>
            </w:tcBorders>
          </w:tcPr>
          <w:p>
            <w:pPr>
              <w:ind w:left="80"/>
              <w:spacing w:after="0" w:line="170" w:lineRule="exact"/>
              <w:rPr>
                <w:sz w:val="20"/>
                <w:szCs w:val="20"/>
                <w:color w:val="auto"/>
              </w:rPr>
            </w:pPr>
            <w:r>
              <w:rPr>
                <w:rFonts w:ascii="Calibri" w:cs="Calibri" w:eastAsia="Calibri" w:hAnsi="Calibri"/>
                <w:sz w:val="11"/>
                <w:szCs w:val="11"/>
                <w:color w:val="51555C"/>
              </w:rPr>
              <w:t>Add: Security Incident-related costs</w:t>
            </w:r>
            <w:r>
              <w:rPr>
                <w:rFonts w:ascii="Calibri" w:cs="Calibri" w:eastAsia="Calibri" w:hAnsi="Calibri"/>
                <w:sz w:val="14"/>
                <w:szCs w:val="14"/>
                <w:color w:val="51555C"/>
                <w:vertAlign w:val="superscript"/>
              </w:rPr>
              <w:t>(2)</w:t>
            </w:r>
          </w:p>
        </w:tc>
        <w:tc>
          <w:tcPr>
            <w:tcW w:w="380" w:type="dxa"/>
            <w:vAlign w:val="bottom"/>
            <w:tcBorders>
              <w:bottom w:val="single" w:sz="8" w:color="51555C"/>
            </w:tcBorders>
          </w:tcPr>
          <w:p>
            <w:pPr>
              <w:spacing w:after="0"/>
              <w:rPr>
                <w:sz w:val="15"/>
                <w:szCs w:val="15"/>
                <w:color w:val="auto"/>
              </w:rPr>
            </w:pPr>
          </w:p>
        </w:tc>
        <w:tc>
          <w:tcPr>
            <w:tcW w:w="940" w:type="dxa"/>
            <w:vAlign w:val="bottom"/>
            <w:tcBorders>
              <w:bottom w:val="single" w:sz="8" w:color="51555C"/>
            </w:tcBorders>
          </w:tcPr>
          <w:p>
            <w:pPr>
              <w:jc w:val="right"/>
              <w:ind w:right="63"/>
              <w:spacing w:after="0"/>
              <w:rPr>
                <w:sz w:val="20"/>
                <w:szCs w:val="20"/>
                <w:color w:val="auto"/>
              </w:rPr>
            </w:pPr>
            <w:r>
              <w:rPr>
                <w:rFonts w:ascii="Calibri" w:cs="Calibri" w:eastAsia="Calibri" w:hAnsi="Calibri"/>
                <w:sz w:val="11"/>
                <w:szCs w:val="11"/>
                <w:color w:val="51555C"/>
              </w:rPr>
              <w:t>1.8</w:t>
            </w:r>
          </w:p>
        </w:tc>
        <w:tc>
          <w:tcPr>
            <w:tcW w:w="180" w:type="dxa"/>
            <w:vAlign w:val="bottom"/>
            <w:tcBorders>
              <w:bottom w:val="single" w:sz="8" w:color="51555C"/>
            </w:tcBorders>
          </w:tcPr>
          <w:p>
            <w:pPr>
              <w:spacing w:after="0"/>
              <w:rPr>
                <w:sz w:val="15"/>
                <w:szCs w:val="15"/>
                <w:color w:val="auto"/>
              </w:rPr>
            </w:pPr>
          </w:p>
        </w:tc>
        <w:tc>
          <w:tcPr>
            <w:tcW w:w="1120" w:type="dxa"/>
            <w:vAlign w:val="bottom"/>
            <w:tcBorders>
              <w:bottom w:val="single" w:sz="8" w:color="51555C"/>
            </w:tcBorders>
          </w:tcPr>
          <w:p>
            <w:pPr>
              <w:jc w:val="right"/>
              <w:ind w:right="63"/>
              <w:spacing w:after="0"/>
              <w:rPr>
                <w:sz w:val="20"/>
                <w:szCs w:val="20"/>
                <w:color w:val="auto"/>
              </w:rPr>
            </w:pPr>
            <w:r>
              <w:rPr>
                <w:rFonts w:ascii="Calibri" w:cs="Calibri" w:eastAsia="Calibri" w:hAnsi="Calibri"/>
                <w:sz w:val="11"/>
                <w:szCs w:val="11"/>
                <w:color w:val="51555C"/>
              </w:rPr>
              <w:t>26.8</w:t>
            </w:r>
          </w:p>
        </w:tc>
        <w:tc>
          <w:tcPr>
            <w:tcW w:w="120" w:type="dxa"/>
            <w:vAlign w:val="bottom"/>
            <w:tcBorders>
              <w:bottom w:val="single" w:sz="8" w:color="EBFBFF"/>
            </w:tcBorders>
          </w:tcPr>
          <w:p>
            <w:pPr>
              <w:spacing w:after="0"/>
              <w:rPr>
                <w:sz w:val="15"/>
                <w:szCs w:val="15"/>
                <w:color w:val="auto"/>
              </w:rPr>
            </w:pPr>
          </w:p>
        </w:tc>
        <w:tc>
          <w:tcPr>
            <w:tcW w:w="340" w:type="dxa"/>
            <w:vAlign w:val="bottom"/>
            <w:tcBorders>
              <w:bottom w:val="single" w:sz="8" w:color="51555C"/>
            </w:tcBorders>
          </w:tcPr>
          <w:p>
            <w:pPr>
              <w:spacing w:after="0"/>
              <w:rPr>
                <w:sz w:val="15"/>
                <w:szCs w:val="15"/>
                <w:color w:val="auto"/>
              </w:rPr>
            </w:pPr>
          </w:p>
        </w:tc>
        <w:tc>
          <w:tcPr>
            <w:tcW w:w="940" w:type="dxa"/>
            <w:vAlign w:val="bottom"/>
            <w:tcBorders>
              <w:bottom w:val="single" w:sz="8" w:color="51555C"/>
            </w:tcBorders>
          </w:tcPr>
          <w:p>
            <w:pPr>
              <w:jc w:val="right"/>
              <w:ind w:right="63"/>
              <w:spacing w:after="0"/>
              <w:rPr>
                <w:sz w:val="20"/>
                <w:szCs w:val="20"/>
                <w:color w:val="auto"/>
              </w:rPr>
            </w:pPr>
            <w:r>
              <w:rPr>
                <w:rFonts w:ascii="Calibri" w:cs="Calibri" w:eastAsia="Calibri" w:hAnsi="Calibri"/>
                <w:sz w:val="11"/>
                <w:szCs w:val="11"/>
                <w:color w:val="51555C"/>
              </w:rPr>
              <w:t>12.1</w:t>
            </w:r>
          </w:p>
        </w:tc>
        <w:tc>
          <w:tcPr>
            <w:tcW w:w="260" w:type="dxa"/>
            <w:vAlign w:val="bottom"/>
            <w:tcBorders>
              <w:bottom w:val="single" w:sz="8" w:color="51555C"/>
            </w:tcBorders>
          </w:tcPr>
          <w:p>
            <w:pPr>
              <w:spacing w:after="0"/>
              <w:rPr>
                <w:sz w:val="15"/>
                <w:szCs w:val="15"/>
                <w:color w:val="auto"/>
              </w:rPr>
            </w:pPr>
          </w:p>
        </w:tc>
        <w:tc>
          <w:tcPr>
            <w:tcW w:w="1040" w:type="dxa"/>
            <w:vAlign w:val="bottom"/>
            <w:tcBorders>
              <w:bottom w:val="single" w:sz="8" w:color="51555C"/>
            </w:tcBorders>
          </w:tcPr>
          <w:p>
            <w:pPr>
              <w:jc w:val="right"/>
              <w:ind w:right="63"/>
              <w:spacing w:after="0"/>
              <w:rPr>
                <w:sz w:val="20"/>
                <w:szCs w:val="20"/>
                <w:color w:val="auto"/>
              </w:rPr>
            </w:pPr>
            <w:r>
              <w:rPr>
                <w:rFonts w:ascii="Calibri" w:cs="Calibri" w:eastAsia="Calibri" w:hAnsi="Calibri"/>
                <w:sz w:val="11"/>
                <w:szCs w:val="11"/>
                <w:color w:val="51555C"/>
              </w:rPr>
              <w:t>44.6</w:t>
            </w:r>
          </w:p>
        </w:tc>
      </w:tr>
      <w:tr>
        <w:trPr>
          <w:trHeight w:val="176"/>
        </w:trPr>
        <w:tc>
          <w:tcPr>
            <w:tcW w:w="20" w:type="dxa"/>
            <w:vAlign w:val="bottom"/>
            <w:shd w:val="clear" w:color="auto" w:fill="EBFBFF"/>
          </w:tcPr>
          <w:p>
            <w:pPr>
              <w:spacing w:after="0"/>
              <w:rPr>
                <w:sz w:val="15"/>
                <w:szCs w:val="15"/>
                <w:color w:val="auto"/>
              </w:rPr>
            </w:pPr>
          </w:p>
        </w:tc>
        <w:tc>
          <w:tcPr>
            <w:tcW w:w="5940" w:type="dxa"/>
            <w:vAlign w:val="bottom"/>
            <w:shd w:val="clear" w:color="auto" w:fill="EBFBFF"/>
          </w:tcPr>
          <w:p>
            <w:pPr>
              <w:ind w:left="160"/>
              <w:spacing w:after="0" w:line="161" w:lineRule="exact"/>
              <w:rPr>
                <w:sz w:val="20"/>
                <w:szCs w:val="20"/>
                <w:color w:val="auto"/>
              </w:rPr>
            </w:pPr>
            <w:r>
              <w:rPr>
                <w:rFonts w:ascii="Calibri" w:cs="Calibri" w:eastAsia="Calibri" w:hAnsi="Calibri"/>
                <w:sz w:val="11"/>
                <w:szCs w:val="11"/>
                <w:color w:val="51555C"/>
              </w:rPr>
              <w:t>Subtotal</w:t>
            </w:r>
            <w:r>
              <w:rPr>
                <w:rFonts w:ascii="Calibri" w:cs="Calibri" w:eastAsia="Calibri" w:hAnsi="Calibri"/>
                <w:sz w:val="14"/>
                <w:szCs w:val="14"/>
                <w:color w:val="51555C"/>
                <w:vertAlign w:val="superscript"/>
              </w:rPr>
              <w:t>(1)</w:t>
            </w:r>
          </w:p>
        </w:tc>
        <w:tc>
          <w:tcPr>
            <w:tcW w:w="380" w:type="dxa"/>
            <w:vAlign w:val="bottom"/>
            <w:tcBorders>
              <w:bottom w:val="single" w:sz="8" w:color="51555C"/>
            </w:tcBorders>
            <w:shd w:val="clear" w:color="auto" w:fill="EBFBFF"/>
          </w:tcPr>
          <w:p>
            <w:pPr>
              <w:spacing w:after="0"/>
              <w:rPr>
                <w:sz w:val="15"/>
                <w:szCs w:val="15"/>
                <w:color w:val="auto"/>
              </w:rPr>
            </w:pPr>
          </w:p>
        </w:tc>
        <w:tc>
          <w:tcPr>
            <w:tcW w:w="940" w:type="dxa"/>
            <w:vAlign w:val="bottom"/>
            <w:tcBorders>
              <w:bottom w:val="single" w:sz="8" w:color="51555C"/>
            </w:tcBorders>
            <w:shd w:val="clear" w:color="auto" w:fill="EBFBFF"/>
          </w:tcPr>
          <w:p>
            <w:pPr>
              <w:jc w:val="right"/>
              <w:ind w:right="63"/>
              <w:spacing w:after="0"/>
              <w:rPr>
                <w:sz w:val="20"/>
                <w:szCs w:val="20"/>
                <w:color w:val="auto"/>
              </w:rPr>
            </w:pPr>
            <w:r>
              <w:rPr>
                <w:rFonts w:ascii="Calibri" w:cs="Calibri" w:eastAsia="Calibri" w:hAnsi="Calibri"/>
                <w:sz w:val="11"/>
                <w:szCs w:val="11"/>
                <w:color w:val="51555C"/>
              </w:rPr>
              <w:t>44.0</w:t>
            </w:r>
          </w:p>
        </w:tc>
        <w:tc>
          <w:tcPr>
            <w:tcW w:w="180" w:type="dxa"/>
            <w:vAlign w:val="bottom"/>
            <w:tcBorders>
              <w:bottom w:val="single" w:sz="8" w:color="51555C"/>
            </w:tcBorders>
            <w:shd w:val="clear" w:color="auto" w:fill="EBFBFF"/>
          </w:tcPr>
          <w:p>
            <w:pPr>
              <w:spacing w:after="0"/>
              <w:rPr>
                <w:sz w:val="15"/>
                <w:szCs w:val="15"/>
                <w:color w:val="auto"/>
              </w:rPr>
            </w:pPr>
          </w:p>
        </w:tc>
        <w:tc>
          <w:tcPr>
            <w:tcW w:w="1120" w:type="dxa"/>
            <w:vAlign w:val="bottom"/>
            <w:tcBorders>
              <w:bottom w:val="single" w:sz="8" w:color="51555C"/>
            </w:tcBorders>
            <w:shd w:val="clear" w:color="auto" w:fill="EBFBFF"/>
          </w:tcPr>
          <w:p>
            <w:pPr>
              <w:jc w:val="right"/>
              <w:ind w:right="63"/>
              <w:spacing w:after="0"/>
              <w:rPr>
                <w:sz w:val="20"/>
                <w:szCs w:val="20"/>
                <w:color w:val="auto"/>
              </w:rPr>
            </w:pPr>
            <w:r>
              <w:rPr>
                <w:rFonts w:ascii="Calibri" w:cs="Calibri" w:eastAsia="Calibri" w:hAnsi="Calibri"/>
                <w:sz w:val="11"/>
                <w:szCs w:val="11"/>
                <w:color w:val="51555C"/>
              </w:rPr>
              <w:t>73.8</w:t>
            </w:r>
          </w:p>
        </w:tc>
        <w:tc>
          <w:tcPr>
            <w:tcW w:w="120" w:type="dxa"/>
            <w:vAlign w:val="bottom"/>
            <w:tcBorders>
              <w:right w:val="single" w:sz="8" w:color="EBFBFF"/>
            </w:tcBorders>
            <w:shd w:val="clear" w:color="auto" w:fill="EBFBFF"/>
          </w:tcPr>
          <w:p>
            <w:pPr>
              <w:spacing w:after="0"/>
              <w:rPr>
                <w:sz w:val="15"/>
                <w:szCs w:val="15"/>
                <w:color w:val="auto"/>
              </w:rPr>
            </w:pPr>
          </w:p>
        </w:tc>
        <w:tc>
          <w:tcPr>
            <w:tcW w:w="340" w:type="dxa"/>
            <w:vAlign w:val="bottom"/>
            <w:tcBorders>
              <w:bottom w:val="single" w:sz="8" w:color="51555C"/>
            </w:tcBorders>
            <w:shd w:val="clear" w:color="auto" w:fill="EBFBFF"/>
          </w:tcPr>
          <w:p>
            <w:pPr>
              <w:spacing w:after="0"/>
              <w:rPr>
                <w:sz w:val="15"/>
                <w:szCs w:val="15"/>
                <w:color w:val="auto"/>
              </w:rPr>
            </w:pPr>
          </w:p>
        </w:tc>
        <w:tc>
          <w:tcPr>
            <w:tcW w:w="940" w:type="dxa"/>
            <w:vAlign w:val="bottom"/>
            <w:tcBorders>
              <w:bottom w:val="single" w:sz="8" w:color="51555C"/>
            </w:tcBorders>
            <w:shd w:val="clear" w:color="auto" w:fill="EBFBFF"/>
          </w:tcPr>
          <w:p>
            <w:pPr>
              <w:jc w:val="right"/>
              <w:ind w:right="63"/>
              <w:spacing w:after="0"/>
              <w:rPr>
                <w:sz w:val="20"/>
                <w:szCs w:val="20"/>
                <w:color w:val="auto"/>
              </w:rPr>
            </w:pPr>
            <w:r>
              <w:rPr>
                <w:rFonts w:ascii="Calibri" w:cs="Calibri" w:eastAsia="Calibri" w:hAnsi="Calibri"/>
                <w:sz w:val="11"/>
                <w:szCs w:val="11"/>
                <w:color w:val="51555C"/>
              </w:rPr>
              <w:t>105.8</w:t>
            </w:r>
          </w:p>
        </w:tc>
        <w:tc>
          <w:tcPr>
            <w:tcW w:w="260" w:type="dxa"/>
            <w:vAlign w:val="bottom"/>
            <w:tcBorders>
              <w:bottom w:val="single" w:sz="8" w:color="51555C"/>
            </w:tcBorders>
            <w:shd w:val="clear" w:color="auto" w:fill="EBFBFF"/>
          </w:tcPr>
          <w:p>
            <w:pPr>
              <w:spacing w:after="0"/>
              <w:rPr>
                <w:sz w:val="15"/>
                <w:szCs w:val="15"/>
                <w:color w:val="auto"/>
              </w:rPr>
            </w:pPr>
          </w:p>
        </w:tc>
        <w:tc>
          <w:tcPr>
            <w:tcW w:w="1040" w:type="dxa"/>
            <w:vAlign w:val="bottom"/>
            <w:tcBorders>
              <w:bottom w:val="single" w:sz="8" w:color="51555C"/>
            </w:tcBorders>
            <w:shd w:val="clear" w:color="auto" w:fill="EBFBFF"/>
          </w:tcPr>
          <w:p>
            <w:pPr>
              <w:jc w:val="right"/>
              <w:ind w:right="63"/>
              <w:spacing w:after="0"/>
              <w:rPr>
                <w:sz w:val="20"/>
                <w:szCs w:val="20"/>
                <w:color w:val="auto"/>
              </w:rPr>
            </w:pPr>
            <w:r>
              <w:rPr>
                <w:rFonts w:ascii="Calibri" w:cs="Calibri" w:eastAsia="Calibri" w:hAnsi="Calibri"/>
                <w:sz w:val="11"/>
                <w:szCs w:val="11"/>
                <w:color w:val="51555C"/>
              </w:rPr>
              <w:t>140.4</w:t>
            </w:r>
          </w:p>
        </w:tc>
      </w:tr>
      <w:tr>
        <w:trPr>
          <w:trHeight w:val="163"/>
        </w:trPr>
        <w:tc>
          <w:tcPr>
            <w:tcW w:w="20" w:type="dxa"/>
            <w:vAlign w:val="bottom"/>
            <w:tcBorders>
              <w:bottom w:val="single" w:sz="8" w:color="EBFBFF"/>
            </w:tcBorders>
          </w:tcPr>
          <w:p>
            <w:pPr>
              <w:spacing w:after="0"/>
              <w:rPr>
                <w:sz w:val="14"/>
                <w:szCs w:val="14"/>
                <w:color w:val="auto"/>
              </w:rPr>
            </w:pPr>
          </w:p>
        </w:tc>
        <w:tc>
          <w:tcPr>
            <w:tcW w:w="5940" w:type="dxa"/>
            <w:vAlign w:val="bottom"/>
            <w:tcBorders>
              <w:bottom w:val="single" w:sz="8" w:color="EBFBFF"/>
            </w:tcBorders>
          </w:tcPr>
          <w:p>
            <w:pPr>
              <w:spacing w:after="0" w:line="155" w:lineRule="exact"/>
              <w:rPr>
                <w:sz w:val="20"/>
                <w:szCs w:val="20"/>
                <w:color w:val="auto"/>
              </w:rPr>
            </w:pPr>
            <w:r>
              <w:rPr>
                <w:rFonts w:ascii="Calibri" w:cs="Calibri" w:eastAsia="Calibri" w:hAnsi="Calibri"/>
                <w:sz w:val="11"/>
                <w:szCs w:val="11"/>
                <w:b w:val="1"/>
                <w:bCs w:val="1"/>
                <w:color w:val="51555C"/>
              </w:rPr>
              <w:t>Non-GAAP income from operatons</w:t>
            </w:r>
            <w:r>
              <w:rPr>
                <w:rFonts w:ascii="Calibri" w:cs="Calibri" w:eastAsia="Calibri" w:hAnsi="Calibri"/>
                <w:sz w:val="14"/>
                <w:szCs w:val="14"/>
                <w:b w:val="1"/>
                <w:bCs w:val="1"/>
                <w:color w:val="51555C"/>
                <w:vertAlign w:val="superscript"/>
              </w:rPr>
              <w:t>(1)</w:t>
            </w:r>
          </w:p>
        </w:tc>
        <w:tc>
          <w:tcPr>
            <w:tcW w:w="380" w:type="dxa"/>
            <w:vAlign w:val="bottom"/>
            <w:tcBorders>
              <w:bottom w:val="single" w:sz="8" w:color="51555C"/>
            </w:tcBorders>
          </w:tcPr>
          <w:p>
            <w:pPr>
              <w:jc w:val="right"/>
              <w:ind w:right="243"/>
              <w:spacing w:after="0"/>
              <w:rPr>
                <w:sz w:val="20"/>
                <w:szCs w:val="20"/>
                <w:color w:val="auto"/>
              </w:rPr>
            </w:pPr>
            <w:r>
              <w:rPr>
                <w:rFonts w:ascii="Calibri" w:cs="Calibri" w:eastAsia="Calibri" w:hAnsi="Calibri"/>
                <w:sz w:val="11"/>
                <w:szCs w:val="11"/>
                <w:color w:val="51555C"/>
              </w:rPr>
              <w:t>$</w:t>
            </w:r>
          </w:p>
        </w:tc>
        <w:tc>
          <w:tcPr>
            <w:tcW w:w="940" w:type="dxa"/>
            <w:vAlign w:val="bottom"/>
            <w:tcBorders>
              <w:bottom w:val="single" w:sz="8" w:color="51555C"/>
            </w:tcBorders>
          </w:tcPr>
          <w:p>
            <w:pPr>
              <w:jc w:val="right"/>
              <w:ind w:right="63"/>
              <w:spacing w:after="0"/>
              <w:rPr>
                <w:sz w:val="20"/>
                <w:szCs w:val="20"/>
                <w:color w:val="auto"/>
              </w:rPr>
            </w:pPr>
            <w:r>
              <w:rPr>
                <w:rFonts w:ascii="Calibri" w:cs="Calibri" w:eastAsia="Calibri" w:hAnsi="Calibri"/>
                <w:sz w:val="11"/>
                <w:szCs w:val="11"/>
                <w:color w:val="51555C"/>
              </w:rPr>
              <w:t>86.1</w:t>
            </w:r>
          </w:p>
        </w:tc>
        <w:tc>
          <w:tcPr>
            <w:tcW w:w="180" w:type="dxa"/>
            <w:vAlign w:val="bottom"/>
            <w:tcBorders>
              <w:bottom w:val="single" w:sz="8" w:color="51555C"/>
            </w:tcBorders>
          </w:tcPr>
          <w:p>
            <w:pPr>
              <w:jc w:val="right"/>
              <w:ind w:right="63"/>
              <w:spacing w:after="0"/>
              <w:rPr>
                <w:sz w:val="20"/>
                <w:szCs w:val="20"/>
                <w:color w:val="auto"/>
              </w:rPr>
            </w:pPr>
            <w:r>
              <w:rPr>
                <w:rFonts w:ascii="Calibri" w:cs="Calibri" w:eastAsia="Calibri" w:hAnsi="Calibri"/>
                <w:sz w:val="11"/>
                <w:szCs w:val="11"/>
                <w:color w:val="51555C"/>
                <w:w w:val="70"/>
              </w:rPr>
              <w:t>$</w:t>
            </w:r>
          </w:p>
        </w:tc>
        <w:tc>
          <w:tcPr>
            <w:tcW w:w="1120" w:type="dxa"/>
            <w:vAlign w:val="bottom"/>
            <w:tcBorders>
              <w:bottom w:val="single" w:sz="8" w:color="51555C"/>
            </w:tcBorders>
          </w:tcPr>
          <w:p>
            <w:pPr>
              <w:jc w:val="right"/>
              <w:ind w:right="63"/>
              <w:spacing w:after="0"/>
              <w:rPr>
                <w:sz w:val="20"/>
                <w:szCs w:val="20"/>
                <w:color w:val="auto"/>
              </w:rPr>
            </w:pPr>
            <w:r>
              <w:rPr>
                <w:rFonts w:ascii="Calibri" w:cs="Calibri" w:eastAsia="Calibri" w:hAnsi="Calibri"/>
                <w:sz w:val="11"/>
                <w:szCs w:val="11"/>
                <w:color w:val="51555C"/>
              </w:rPr>
              <w:t>74.1</w:t>
            </w:r>
          </w:p>
        </w:tc>
        <w:tc>
          <w:tcPr>
            <w:tcW w:w="120" w:type="dxa"/>
            <w:vAlign w:val="bottom"/>
            <w:tcBorders>
              <w:bottom w:val="single" w:sz="8" w:color="EBFBFF"/>
            </w:tcBorders>
          </w:tcPr>
          <w:p>
            <w:pPr>
              <w:spacing w:after="0"/>
              <w:rPr>
                <w:sz w:val="14"/>
                <w:szCs w:val="14"/>
                <w:color w:val="auto"/>
              </w:rPr>
            </w:pPr>
          </w:p>
        </w:tc>
        <w:tc>
          <w:tcPr>
            <w:tcW w:w="340" w:type="dxa"/>
            <w:vAlign w:val="bottom"/>
            <w:tcBorders>
              <w:bottom w:val="single" w:sz="8" w:color="51555C"/>
            </w:tcBorders>
          </w:tcPr>
          <w:p>
            <w:pPr>
              <w:jc w:val="right"/>
              <w:ind w:right="277"/>
              <w:spacing w:after="0"/>
              <w:rPr>
                <w:sz w:val="20"/>
                <w:szCs w:val="20"/>
                <w:color w:val="auto"/>
              </w:rPr>
            </w:pPr>
            <w:r>
              <w:rPr>
                <w:rFonts w:ascii="Calibri" w:cs="Calibri" w:eastAsia="Calibri" w:hAnsi="Calibri"/>
                <w:sz w:val="5"/>
                <w:szCs w:val="5"/>
                <w:color w:val="51555C"/>
                <w:w w:val="76"/>
              </w:rPr>
              <w:t>$</w:t>
            </w:r>
          </w:p>
        </w:tc>
        <w:tc>
          <w:tcPr>
            <w:tcW w:w="940" w:type="dxa"/>
            <w:vAlign w:val="bottom"/>
            <w:tcBorders>
              <w:bottom w:val="single" w:sz="8" w:color="51555C"/>
            </w:tcBorders>
          </w:tcPr>
          <w:p>
            <w:pPr>
              <w:jc w:val="right"/>
              <w:ind w:right="63"/>
              <w:spacing w:after="0"/>
              <w:rPr>
                <w:sz w:val="20"/>
                <w:szCs w:val="20"/>
                <w:color w:val="auto"/>
              </w:rPr>
            </w:pPr>
            <w:r>
              <w:rPr>
                <w:rFonts w:ascii="Calibri" w:cs="Calibri" w:eastAsia="Calibri" w:hAnsi="Calibri"/>
                <w:sz w:val="11"/>
                <w:szCs w:val="11"/>
                <w:color w:val="51555C"/>
              </w:rPr>
              <w:t>158.6</w:t>
            </w:r>
          </w:p>
        </w:tc>
        <w:tc>
          <w:tcPr>
            <w:tcW w:w="260" w:type="dxa"/>
            <w:vAlign w:val="bottom"/>
            <w:tcBorders>
              <w:bottom w:val="single" w:sz="8" w:color="51555C"/>
            </w:tcBorders>
          </w:tcPr>
          <w:p>
            <w:pPr>
              <w:jc w:val="right"/>
              <w:ind w:right="143"/>
              <w:spacing w:after="0"/>
              <w:rPr>
                <w:sz w:val="20"/>
                <w:szCs w:val="20"/>
                <w:color w:val="auto"/>
              </w:rPr>
            </w:pPr>
            <w:r>
              <w:rPr>
                <w:rFonts w:ascii="Calibri" w:cs="Calibri" w:eastAsia="Calibri" w:hAnsi="Calibri"/>
                <w:sz w:val="11"/>
                <w:szCs w:val="11"/>
                <w:color w:val="51555C"/>
                <w:w w:val="70"/>
              </w:rPr>
              <w:t>$</w:t>
            </w:r>
          </w:p>
        </w:tc>
        <w:tc>
          <w:tcPr>
            <w:tcW w:w="1040" w:type="dxa"/>
            <w:vAlign w:val="bottom"/>
            <w:tcBorders>
              <w:bottom w:val="single" w:sz="8" w:color="51555C"/>
            </w:tcBorders>
          </w:tcPr>
          <w:p>
            <w:pPr>
              <w:jc w:val="right"/>
              <w:ind w:right="63"/>
              <w:spacing w:after="0"/>
              <w:rPr>
                <w:sz w:val="20"/>
                <w:szCs w:val="20"/>
                <w:color w:val="auto"/>
              </w:rPr>
            </w:pPr>
            <w:r>
              <w:rPr>
                <w:rFonts w:ascii="Calibri" w:cs="Calibri" w:eastAsia="Calibri" w:hAnsi="Calibri"/>
                <w:sz w:val="11"/>
                <w:szCs w:val="11"/>
                <w:color w:val="51555C"/>
              </w:rPr>
              <w:t>130.7</w:t>
            </w:r>
          </w:p>
        </w:tc>
      </w:tr>
      <w:tr>
        <w:trPr>
          <w:trHeight w:val="159"/>
        </w:trPr>
        <w:tc>
          <w:tcPr>
            <w:tcW w:w="20" w:type="dxa"/>
            <w:vAlign w:val="bottom"/>
            <w:tcBorders>
              <w:bottom w:val="single" w:sz="8" w:color="EBFBFF"/>
            </w:tcBorders>
            <w:shd w:val="clear" w:color="auto" w:fill="EBFBFF"/>
          </w:tcPr>
          <w:p>
            <w:pPr>
              <w:spacing w:after="0"/>
              <w:rPr>
                <w:sz w:val="13"/>
                <w:szCs w:val="13"/>
                <w:color w:val="auto"/>
              </w:rPr>
            </w:pPr>
          </w:p>
        </w:tc>
        <w:tc>
          <w:tcPr>
            <w:tcW w:w="5940" w:type="dxa"/>
            <w:vAlign w:val="bottom"/>
            <w:tcBorders>
              <w:bottom w:val="single" w:sz="8" w:color="EBFBFF"/>
            </w:tcBorders>
            <w:shd w:val="clear" w:color="auto" w:fill="EBFBFF"/>
          </w:tcPr>
          <w:p>
            <w:pPr>
              <w:ind w:left="80"/>
              <w:spacing w:after="0" w:line="133" w:lineRule="exact"/>
              <w:rPr>
                <w:sz w:val="20"/>
                <w:szCs w:val="20"/>
                <w:color w:val="auto"/>
              </w:rPr>
            </w:pPr>
            <w:r>
              <w:rPr>
                <w:rFonts w:ascii="Calibri" w:cs="Calibri" w:eastAsia="Calibri" w:hAnsi="Calibri"/>
                <w:sz w:val="11"/>
                <w:szCs w:val="11"/>
                <w:b w:val="1"/>
                <w:bCs w:val="1"/>
                <w:color w:val="51555C"/>
              </w:rPr>
              <w:t>Non-GAAP operatng margin</w:t>
            </w:r>
          </w:p>
        </w:tc>
        <w:tc>
          <w:tcPr>
            <w:tcW w:w="380" w:type="dxa"/>
            <w:vAlign w:val="bottom"/>
            <w:tcBorders>
              <w:bottom w:val="single" w:sz="8" w:color="EBFBFF"/>
            </w:tcBorders>
            <w:shd w:val="clear" w:color="auto" w:fill="EBFBFF"/>
          </w:tcPr>
          <w:p>
            <w:pPr>
              <w:spacing w:after="0"/>
              <w:rPr>
                <w:sz w:val="13"/>
                <w:szCs w:val="13"/>
                <w:color w:val="auto"/>
              </w:rPr>
            </w:pPr>
          </w:p>
        </w:tc>
        <w:tc>
          <w:tcPr>
            <w:tcW w:w="9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1"/>
                <w:szCs w:val="11"/>
                <w:color w:val="51555C"/>
              </w:rPr>
              <w:t>30.0 %</w:t>
            </w:r>
          </w:p>
        </w:tc>
        <w:tc>
          <w:tcPr>
            <w:tcW w:w="180" w:type="dxa"/>
            <w:vAlign w:val="bottom"/>
            <w:tcBorders>
              <w:bottom w:val="single" w:sz="8" w:color="EBFBFF"/>
            </w:tcBorders>
            <w:shd w:val="clear" w:color="auto" w:fill="EBFBFF"/>
          </w:tcPr>
          <w:p>
            <w:pPr>
              <w:spacing w:after="0"/>
              <w:rPr>
                <w:sz w:val="13"/>
                <w:szCs w:val="13"/>
                <w:color w:val="auto"/>
              </w:rPr>
            </w:pPr>
          </w:p>
        </w:tc>
        <w:tc>
          <w:tcPr>
            <w:tcW w:w="11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1"/>
                <w:szCs w:val="11"/>
                <w:color w:val="51555C"/>
              </w:rPr>
              <w:t>27.4 %</w:t>
            </w:r>
          </w:p>
        </w:tc>
        <w:tc>
          <w:tcPr>
            <w:tcW w:w="120" w:type="dxa"/>
            <w:vAlign w:val="bottom"/>
            <w:tcBorders>
              <w:bottom w:val="single" w:sz="8" w:color="EBFBFF"/>
              <w:right w:val="single" w:sz="8" w:color="EBFBFF"/>
            </w:tcBorders>
            <w:shd w:val="clear" w:color="auto" w:fill="EBFBFF"/>
          </w:tcPr>
          <w:p>
            <w:pPr>
              <w:spacing w:after="0"/>
              <w:rPr>
                <w:sz w:val="13"/>
                <w:szCs w:val="13"/>
                <w:color w:val="auto"/>
              </w:rPr>
            </w:pPr>
          </w:p>
        </w:tc>
        <w:tc>
          <w:tcPr>
            <w:tcW w:w="340" w:type="dxa"/>
            <w:vAlign w:val="bottom"/>
            <w:tcBorders>
              <w:bottom w:val="single" w:sz="8" w:color="EBFBFF"/>
            </w:tcBorders>
            <w:shd w:val="clear" w:color="auto" w:fill="EBFBFF"/>
          </w:tcPr>
          <w:p>
            <w:pPr>
              <w:spacing w:after="0"/>
              <w:rPr>
                <w:sz w:val="13"/>
                <w:szCs w:val="13"/>
                <w:color w:val="auto"/>
              </w:rPr>
            </w:pPr>
          </w:p>
        </w:tc>
        <w:tc>
          <w:tcPr>
            <w:tcW w:w="9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1"/>
                <w:szCs w:val="11"/>
                <w:color w:val="51555C"/>
              </w:rPr>
              <w:t>28.0 %</w:t>
            </w:r>
          </w:p>
        </w:tc>
        <w:tc>
          <w:tcPr>
            <w:tcW w:w="260" w:type="dxa"/>
            <w:vAlign w:val="bottom"/>
            <w:tcBorders>
              <w:bottom w:val="single" w:sz="8" w:color="EBFBFF"/>
            </w:tcBorders>
            <w:shd w:val="clear" w:color="auto" w:fill="EBFBFF"/>
          </w:tcPr>
          <w:p>
            <w:pPr>
              <w:spacing w:after="0"/>
              <w:rPr>
                <w:sz w:val="13"/>
                <w:szCs w:val="13"/>
                <w:color w:val="auto"/>
              </w:rPr>
            </w:pPr>
          </w:p>
        </w:tc>
        <w:tc>
          <w:tcPr>
            <w:tcW w:w="10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1"/>
                <w:szCs w:val="11"/>
                <w:color w:val="51555C"/>
              </w:rPr>
              <w:t>24.5 %</w:t>
            </w:r>
          </w:p>
        </w:tc>
      </w:tr>
      <w:tr>
        <w:trPr>
          <w:trHeight w:val="42"/>
        </w:trPr>
        <w:tc>
          <w:tcPr>
            <w:tcW w:w="20" w:type="dxa"/>
            <w:vAlign w:val="bottom"/>
          </w:tcPr>
          <w:p>
            <w:pPr>
              <w:spacing w:after="0"/>
              <w:rPr>
                <w:sz w:val="3"/>
                <w:szCs w:val="3"/>
                <w:color w:val="auto"/>
              </w:rPr>
            </w:pPr>
          </w:p>
        </w:tc>
        <w:tc>
          <w:tcPr>
            <w:tcW w:w="5940" w:type="dxa"/>
            <w:vAlign w:val="bottom"/>
          </w:tcPr>
          <w:p>
            <w:pPr>
              <w:spacing w:after="0"/>
              <w:rPr>
                <w:sz w:val="3"/>
                <w:szCs w:val="3"/>
                <w:color w:val="auto"/>
              </w:rPr>
            </w:pPr>
          </w:p>
        </w:tc>
        <w:tc>
          <w:tcPr>
            <w:tcW w:w="3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160"/>
        </w:trPr>
        <w:tc>
          <w:tcPr>
            <w:tcW w:w="20" w:type="dxa"/>
            <w:vAlign w:val="bottom"/>
            <w:tcBorders>
              <w:bottom w:val="single" w:sz="8" w:color="EBFBFF"/>
            </w:tcBorders>
            <w:shd w:val="clear" w:color="auto" w:fill="EBFBFF"/>
          </w:tcPr>
          <w:p>
            <w:pPr>
              <w:spacing w:after="0"/>
              <w:rPr>
                <w:sz w:val="13"/>
                <w:szCs w:val="13"/>
                <w:color w:val="auto"/>
              </w:rPr>
            </w:pPr>
          </w:p>
        </w:tc>
        <w:tc>
          <w:tcPr>
            <w:tcW w:w="5940" w:type="dxa"/>
            <w:vAlign w:val="bottom"/>
            <w:tcBorders>
              <w:bottom w:val="single" w:sz="8" w:color="EBFBFF"/>
            </w:tcBorders>
            <w:shd w:val="clear" w:color="auto" w:fill="EBFBFF"/>
          </w:tcPr>
          <w:p>
            <w:pPr>
              <w:spacing w:after="0"/>
              <w:rPr>
                <w:sz w:val="20"/>
                <w:szCs w:val="20"/>
                <w:color w:val="auto"/>
              </w:rPr>
            </w:pPr>
            <w:r>
              <w:rPr>
                <w:rFonts w:ascii="Calibri" w:cs="Calibri" w:eastAsia="Calibri" w:hAnsi="Calibri"/>
                <w:sz w:val="11"/>
                <w:szCs w:val="11"/>
                <w:b w:val="1"/>
                <w:bCs w:val="1"/>
                <w:color w:val="51555C"/>
              </w:rPr>
              <w:t>GAAP income (loss) before provision (beneft) for income taxes</w:t>
            </w:r>
          </w:p>
        </w:tc>
        <w:tc>
          <w:tcPr>
            <w:tcW w:w="380" w:type="dxa"/>
            <w:vAlign w:val="bottom"/>
            <w:tcBorders>
              <w:bottom w:val="single" w:sz="8" w:color="EBFBFF"/>
            </w:tcBorders>
            <w:shd w:val="clear" w:color="auto" w:fill="EBFBFF"/>
          </w:tcPr>
          <w:p>
            <w:pPr>
              <w:jc w:val="right"/>
              <w:ind w:right="243"/>
              <w:spacing w:after="0"/>
              <w:rPr>
                <w:sz w:val="20"/>
                <w:szCs w:val="20"/>
                <w:color w:val="auto"/>
              </w:rPr>
            </w:pPr>
            <w:r>
              <w:rPr>
                <w:rFonts w:ascii="Calibri" w:cs="Calibri" w:eastAsia="Calibri" w:hAnsi="Calibri"/>
                <w:sz w:val="11"/>
                <w:szCs w:val="11"/>
                <w:color w:val="51555C"/>
              </w:rPr>
              <w:t>$</w:t>
            </w:r>
          </w:p>
        </w:tc>
        <w:tc>
          <w:tcPr>
            <w:tcW w:w="940" w:type="dxa"/>
            <w:vAlign w:val="bottom"/>
            <w:tcBorders>
              <w:bottom w:val="single" w:sz="8" w:color="EBFBFF"/>
            </w:tcBorders>
            <w:shd w:val="clear" w:color="auto" w:fill="EBFBFF"/>
          </w:tcPr>
          <w:p>
            <w:pPr>
              <w:jc w:val="right"/>
              <w:ind w:right="63"/>
              <w:spacing w:after="0"/>
              <w:rPr>
                <w:sz w:val="20"/>
                <w:szCs w:val="20"/>
                <w:color w:val="auto"/>
              </w:rPr>
            </w:pPr>
            <w:r>
              <w:rPr>
                <w:rFonts w:ascii="Calibri" w:cs="Calibri" w:eastAsia="Calibri" w:hAnsi="Calibri"/>
                <w:sz w:val="11"/>
                <w:szCs w:val="11"/>
                <w:color w:val="51555C"/>
              </w:rPr>
              <w:t>29.7</w:t>
            </w:r>
          </w:p>
        </w:tc>
        <w:tc>
          <w:tcPr>
            <w:tcW w:w="180" w:type="dxa"/>
            <w:vAlign w:val="bottom"/>
            <w:tcBorders>
              <w:bottom w:val="single" w:sz="8" w:color="EBFBFF"/>
            </w:tcBorders>
            <w:shd w:val="clear" w:color="auto" w:fill="EBFBFF"/>
          </w:tcPr>
          <w:p>
            <w:pPr>
              <w:jc w:val="right"/>
              <w:ind w:right="63"/>
              <w:spacing w:after="0"/>
              <w:rPr>
                <w:sz w:val="20"/>
                <w:szCs w:val="20"/>
                <w:color w:val="auto"/>
              </w:rPr>
            </w:pPr>
            <w:r>
              <w:rPr>
                <w:rFonts w:ascii="Calibri" w:cs="Calibri" w:eastAsia="Calibri" w:hAnsi="Calibri"/>
                <w:sz w:val="11"/>
                <w:szCs w:val="11"/>
                <w:color w:val="51555C"/>
                <w:w w:val="70"/>
              </w:rPr>
              <w:t>$</w:t>
            </w:r>
          </w:p>
        </w:tc>
        <w:tc>
          <w:tcPr>
            <w:tcW w:w="1120" w:type="dxa"/>
            <w:vAlign w:val="bottom"/>
            <w:tcBorders>
              <w:bottom w:val="single" w:sz="8" w:color="EBFBFF"/>
            </w:tcBorders>
            <w:shd w:val="clear" w:color="auto" w:fill="EBFBFF"/>
          </w:tcPr>
          <w:p>
            <w:pPr>
              <w:jc w:val="right"/>
              <w:ind w:right="43"/>
              <w:spacing w:after="0"/>
              <w:rPr>
                <w:sz w:val="20"/>
                <w:szCs w:val="20"/>
                <w:color w:val="auto"/>
              </w:rPr>
            </w:pPr>
            <w:r>
              <w:rPr>
                <w:rFonts w:ascii="Calibri" w:cs="Calibri" w:eastAsia="Calibri" w:hAnsi="Calibri"/>
                <w:sz w:val="11"/>
                <w:szCs w:val="11"/>
                <w:color w:val="51555C"/>
              </w:rPr>
              <w:t>(8.1)</w:t>
            </w:r>
          </w:p>
        </w:tc>
        <w:tc>
          <w:tcPr>
            <w:tcW w:w="460" w:type="dxa"/>
            <w:vAlign w:val="bottom"/>
            <w:tcBorders>
              <w:bottom w:val="single" w:sz="8" w:color="EBFBFF"/>
            </w:tcBorders>
            <w:gridSpan w:val="2"/>
            <w:shd w:val="clear" w:color="auto" w:fill="EBFBFF"/>
          </w:tcPr>
          <w:p>
            <w:pPr>
              <w:jc w:val="right"/>
              <w:ind w:right="277"/>
              <w:spacing w:after="0"/>
              <w:rPr>
                <w:sz w:val="20"/>
                <w:szCs w:val="20"/>
                <w:color w:val="auto"/>
              </w:rPr>
            </w:pPr>
            <w:r>
              <w:rPr>
                <w:rFonts w:ascii="Calibri" w:cs="Calibri" w:eastAsia="Calibri" w:hAnsi="Calibri"/>
                <w:sz w:val="11"/>
                <w:szCs w:val="11"/>
                <w:color w:val="51555C"/>
              </w:rPr>
              <w:t>$</w:t>
            </w:r>
          </w:p>
        </w:tc>
        <w:tc>
          <w:tcPr>
            <w:tcW w:w="940" w:type="dxa"/>
            <w:vAlign w:val="bottom"/>
            <w:tcBorders>
              <w:bottom w:val="single" w:sz="8" w:color="EBFBFF"/>
            </w:tcBorders>
            <w:shd w:val="clear" w:color="auto" w:fill="EBFBFF"/>
          </w:tcPr>
          <w:p>
            <w:pPr>
              <w:jc w:val="right"/>
              <w:ind w:right="63"/>
              <w:spacing w:after="0"/>
              <w:rPr>
                <w:sz w:val="20"/>
                <w:szCs w:val="20"/>
                <w:color w:val="auto"/>
              </w:rPr>
            </w:pPr>
            <w:r>
              <w:rPr>
                <w:rFonts w:ascii="Calibri" w:cs="Calibri" w:eastAsia="Calibri" w:hAnsi="Calibri"/>
                <w:sz w:val="11"/>
                <w:szCs w:val="11"/>
                <w:color w:val="51555C"/>
              </w:rPr>
              <w:t>33.5</w:t>
            </w:r>
          </w:p>
        </w:tc>
        <w:tc>
          <w:tcPr>
            <w:tcW w:w="260" w:type="dxa"/>
            <w:vAlign w:val="bottom"/>
            <w:tcBorders>
              <w:bottom w:val="single" w:sz="8" w:color="EBFBFF"/>
            </w:tcBorders>
            <w:shd w:val="clear" w:color="auto" w:fill="EBFBFF"/>
          </w:tcPr>
          <w:p>
            <w:pPr>
              <w:jc w:val="right"/>
              <w:ind w:right="143"/>
              <w:spacing w:after="0"/>
              <w:rPr>
                <w:sz w:val="20"/>
                <w:szCs w:val="20"/>
                <w:color w:val="auto"/>
              </w:rPr>
            </w:pPr>
            <w:r>
              <w:rPr>
                <w:rFonts w:ascii="Calibri" w:cs="Calibri" w:eastAsia="Calibri" w:hAnsi="Calibri"/>
                <w:sz w:val="11"/>
                <w:szCs w:val="11"/>
                <w:color w:val="51555C"/>
                <w:w w:val="70"/>
              </w:rPr>
              <w:t>$</w:t>
            </w:r>
          </w:p>
        </w:tc>
        <w:tc>
          <w:tcPr>
            <w:tcW w:w="1040" w:type="dxa"/>
            <w:vAlign w:val="bottom"/>
            <w:tcBorders>
              <w:bottom w:val="single" w:sz="8" w:color="EBFBFF"/>
            </w:tcBorders>
            <w:shd w:val="clear" w:color="auto" w:fill="EBFBFF"/>
          </w:tcPr>
          <w:p>
            <w:pPr>
              <w:jc w:val="right"/>
              <w:ind w:right="43"/>
              <w:spacing w:after="0"/>
              <w:rPr>
                <w:sz w:val="20"/>
                <w:szCs w:val="20"/>
                <w:color w:val="auto"/>
              </w:rPr>
            </w:pPr>
            <w:r>
              <w:rPr>
                <w:rFonts w:ascii="Calibri" w:cs="Calibri" w:eastAsia="Calibri" w:hAnsi="Calibri"/>
                <w:sz w:val="11"/>
                <w:szCs w:val="11"/>
                <w:color w:val="51555C"/>
              </w:rPr>
              <w:t>(26.7)</w:t>
            </w:r>
          </w:p>
        </w:tc>
      </w:tr>
      <w:tr>
        <w:trPr>
          <w:trHeight w:val="135"/>
        </w:trPr>
        <w:tc>
          <w:tcPr>
            <w:tcW w:w="20" w:type="dxa"/>
            <w:vAlign w:val="bottom"/>
          </w:tcPr>
          <w:p>
            <w:pPr>
              <w:spacing w:after="0"/>
              <w:rPr>
                <w:sz w:val="11"/>
                <w:szCs w:val="11"/>
                <w:color w:val="auto"/>
              </w:rPr>
            </w:pPr>
          </w:p>
        </w:tc>
        <w:tc>
          <w:tcPr>
            <w:tcW w:w="5940" w:type="dxa"/>
            <w:vAlign w:val="bottom"/>
          </w:tcPr>
          <w:p>
            <w:pPr>
              <w:spacing w:after="0"/>
              <w:rPr>
                <w:sz w:val="20"/>
                <w:szCs w:val="20"/>
                <w:color w:val="auto"/>
              </w:rPr>
            </w:pPr>
            <w:r>
              <w:rPr>
                <w:rFonts w:ascii="Calibri" w:cs="Calibri" w:eastAsia="Calibri" w:hAnsi="Calibri"/>
                <w:sz w:val="11"/>
                <w:szCs w:val="11"/>
                <w:b w:val="1"/>
                <w:bCs w:val="1"/>
                <w:color w:val="51555C"/>
              </w:rPr>
              <w:t>GAAP net income (loss)</w:t>
            </w:r>
          </w:p>
        </w:tc>
        <w:tc>
          <w:tcPr>
            <w:tcW w:w="380" w:type="dxa"/>
            <w:vAlign w:val="bottom"/>
          </w:tcPr>
          <w:p>
            <w:pPr>
              <w:jc w:val="right"/>
              <w:ind w:right="243"/>
              <w:spacing w:after="0"/>
              <w:rPr>
                <w:sz w:val="20"/>
                <w:szCs w:val="20"/>
                <w:color w:val="auto"/>
              </w:rPr>
            </w:pPr>
            <w:r>
              <w:rPr>
                <w:rFonts w:ascii="Calibri" w:cs="Calibri" w:eastAsia="Calibri" w:hAnsi="Calibri"/>
                <w:sz w:val="11"/>
                <w:szCs w:val="11"/>
                <w:color w:val="51555C"/>
              </w:rPr>
              <w:t>$</w:t>
            </w:r>
          </w:p>
        </w:tc>
        <w:tc>
          <w:tcPr>
            <w:tcW w:w="940" w:type="dxa"/>
            <w:vAlign w:val="bottom"/>
          </w:tcPr>
          <w:p>
            <w:pPr>
              <w:jc w:val="right"/>
              <w:ind w:right="63"/>
              <w:spacing w:after="0"/>
              <w:rPr>
                <w:sz w:val="20"/>
                <w:szCs w:val="20"/>
                <w:color w:val="auto"/>
              </w:rPr>
            </w:pPr>
            <w:r>
              <w:rPr>
                <w:rFonts w:ascii="Calibri" w:cs="Calibri" w:eastAsia="Calibri" w:hAnsi="Calibri"/>
                <w:sz w:val="11"/>
                <w:szCs w:val="11"/>
                <w:color w:val="51555C"/>
              </w:rPr>
              <w:t>21.8</w:t>
            </w:r>
          </w:p>
        </w:tc>
        <w:tc>
          <w:tcPr>
            <w:tcW w:w="180" w:type="dxa"/>
            <w:vAlign w:val="bottom"/>
          </w:tcPr>
          <w:p>
            <w:pPr>
              <w:jc w:val="right"/>
              <w:ind w:right="63"/>
              <w:spacing w:after="0"/>
              <w:rPr>
                <w:sz w:val="20"/>
                <w:szCs w:val="20"/>
                <w:color w:val="auto"/>
              </w:rPr>
            </w:pPr>
            <w:r>
              <w:rPr>
                <w:rFonts w:ascii="Calibri" w:cs="Calibri" w:eastAsia="Calibri" w:hAnsi="Calibri"/>
                <w:sz w:val="11"/>
                <w:szCs w:val="11"/>
                <w:color w:val="51555C"/>
                <w:w w:val="70"/>
              </w:rPr>
              <w:t>$</w:t>
            </w:r>
          </w:p>
        </w:tc>
        <w:tc>
          <w:tcPr>
            <w:tcW w:w="1120" w:type="dxa"/>
            <w:vAlign w:val="bottom"/>
          </w:tcPr>
          <w:p>
            <w:pPr>
              <w:jc w:val="right"/>
              <w:ind w:right="63"/>
              <w:spacing w:after="0"/>
              <w:rPr>
                <w:sz w:val="20"/>
                <w:szCs w:val="20"/>
                <w:color w:val="auto"/>
              </w:rPr>
            </w:pPr>
            <w:r>
              <w:rPr>
                <w:rFonts w:ascii="Calibri" w:cs="Calibri" w:eastAsia="Calibri" w:hAnsi="Calibri"/>
                <w:sz w:val="11"/>
                <w:szCs w:val="11"/>
                <w:color w:val="51555C"/>
              </w:rPr>
              <w:t>2.1</w:t>
            </w:r>
          </w:p>
        </w:tc>
        <w:tc>
          <w:tcPr>
            <w:tcW w:w="460" w:type="dxa"/>
            <w:vAlign w:val="bottom"/>
            <w:gridSpan w:val="2"/>
          </w:tcPr>
          <w:p>
            <w:pPr>
              <w:jc w:val="right"/>
              <w:ind w:right="277"/>
              <w:spacing w:after="0"/>
              <w:rPr>
                <w:sz w:val="20"/>
                <w:szCs w:val="20"/>
                <w:color w:val="auto"/>
              </w:rPr>
            </w:pPr>
            <w:r>
              <w:rPr>
                <w:rFonts w:ascii="Calibri" w:cs="Calibri" w:eastAsia="Calibri" w:hAnsi="Calibri"/>
                <w:sz w:val="11"/>
                <w:szCs w:val="11"/>
                <w:color w:val="51555C"/>
              </w:rPr>
              <w:t>$</w:t>
            </w:r>
          </w:p>
        </w:tc>
        <w:tc>
          <w:tcPr>
            <w:tcW w:w="940" w:type="dxa"/>
            <w:vAlign w:val="bottom"/>
          </w:tcPr>
          <w:p>
            <w:pPr>
              <w:jc w:val="right"/>
              <w:ind w:right="63"/>
              <w:spacing w:after="0"/>
              <w:rPr>
                <w:sz w:val="20"/>
                <w:szCs w:val="20"/>
                <w:color w:val="auto"/>
              </w:rPr>
            </w:pPr>
            <w:r>
              <w:rPr>
                <w:rFonts w:ascii="Calibri" w:cs="Calibri" w:eastAsia="Calibri" w:hAnsi="Calibri"/>
                <w:sz w:val="11"/>
                <w:szCs w:val="11"/>
                <w:color w:val="51555C"/>
              </w:rPr>
              <w:t>27.1</w:t>
            </w:r>
          </w:p>
        </w:tc>
        <w:tc>
          <w:tcPr>
            <w:tcW w:w="260" w:type="dxa"/>
            <w:vAlign w:val="bottom"/>
          </w:tcPr>
          <w:p>
            <w:pPr>
              <w:jc w:val="right"/>
              <w:ind w:right="143"/>
              <w:spacing w:after="0"/>
              <w:rPr>
                <w:sz w:val="20"/>
                <w:szCs w:val="20"/>
                <w:color w:val="auto"/>
              </w:rPr>
            </w:pPr>
            <w:r>
              <w:rPr>
                <w:rFonts w:ascii="Calibri" w:cs="Calibri" w:eastAsia="Calibri" w:hAnsi="Calibri"/>
                <w:sz w:val="11"/>
                <w:szCs w:val="11"/>
                <w:color w:val="51555C"/>
                <w:w w:val="70"/>
              </w:rPr>
              <w:t>$</w:t>
            </w:r>
          </w:p>
        </w:tc>
        <w:tc>
          <w:tcPr>
            <w:tcW w:w="1040" w:type="dxa"/>
            <w:vAlign w:val="bottom"/>
          </w:tcPr>
          <w:p>
            <w:pPr>
              <w:jc w:val="right"/>
              <w:ind w:right="43"/>
              <w:spacing w:after="0"/>
              <w:rPr>
                <w:sz w:val="20"/>
                <w:szCs w:val="20"/>
                <w:color w:val="auto"/>
              </w:rPr>
            </w:pPr>
            <w:r>
              <w:rPr>
                <w:rFonts w:ascii="Calibri" w:cs="Calibri" w:eastAsia="Calibri" w:hAnsi="Calibri"/>
                <w:sz w:val="11"/>
                <w:szCs w:val="11"/>
                <w:color w:val="51555C"/>
              </w:rPr>
              <w:t>(12.6)</w:t>
            </w:r>
          </w:p>
        </w:tc>
      </w:tr>
      <w:tr>
        <w:trPr>
          <w:trHeight w:val="46"/>
        </w:trPr>
        <w:tc>
          <w:tcPr>
            <w:tcW w:w="20" w:type="dxa"/>
            <w:vAlign w:val="bottom"/>
          </w:tcPr>
          <w:p>
            <w:pPr>
              <w:spacing w:after="0"/>
              <w:rPr>
                <w:sz w:val="3"/>
                <w:szCs w:val="3"/>
                <w:color w:val="auto"/>
              </w:rPr>
            </w:pPr>
          </w:p>
        </w:tc>
        <w:tc>
          <w:tcPr>
            <w:tcW w:w="5940" w:type="dxa"/>
            <w:vAlign w:val="bottom"/>
          </w:tcPr>
          <w:p>
            <w:pPr>
              <w:spacing w:after="0"/>
              <w:rPr>
                <w:sz w:val="3"/>
                <w:szCs w:val="3"/>
                <w:color w:val="auto"/>
              </w:rPr>
            </w:pPr>
          </w:p>
        </w:tc>
        <w:tc>
          <w:tcPr>
            <w:tcW w:w="3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160"/>
        </w:trPr>
        <w:tc>
          <w:tcPr>
            <w:tcW w:w="20" w:type="dxa"/>
            <w:vAlign w:val="bottom"/>
            <w:tcBorders>
              <w:bottom w:val="single" w:sz="8" w:color="EBFBFF"/>
            </w:tcBorders>
            <w:shd w:val="clear" w:color="auto" w:fill="EBFBFF"/>
          </w:tcPr>
          <w:p>
            <w:pPr>
              <w:spacing w:after="0"/>
              <w:rPr>
                <w:sz w:val="13"/>
                <w:szCs w:val="13"/>
                <w:color w:val="auto"/>
              </w:rPr>
            </w:pPr>
          </w:p>
        </w:tc>
        <w:tc>
          <w:tcPr>
            <w:tcW w:w="5940" w:type="dxa"/>
            <w:vAlign w:val="bottom"/>
            <w:tcBorders>
              <w:bottom w:val="single" w:sz="8" w:color="EBFBFF"/>
            </w:tcBorders>
            <w:shd w:val="clear" w:color="auto" w:fill="EBFBFF"/>
          </w:tcPr>
          <w:p>
            <w:pPr>
              <w:spacing w:after="0"/>
              <w:rPr>
                <w:sz w:val="20"/>
                <w:szCs w:val="20"/>
                <w:color w:val="auto"/>
              </w:rPr>
            </w:pPr>
            <w:r>
              <w:rPr>
                <w:rFonts w:ascii="Calibri" w:cs="Calibri" w:eastAsia="Calibri" w:hAnsi="Calibri"/>
                <w:sz w:val="11"/>
                <w:szCs w:val="11"/>
                <w:color w:val="51555C"/>
              </w:rPr>
              <w:t>Shares used in computng GAAP diluted earnings (loss) per share</w:t>
            </w:r>
          </w:p>
        </w:tc>
        <w:tc>
          <w:tcPr>
            <w:tcW w:w="380" w:type="dxa"/>
            <w:vAlign w:val="bottom"/>
            <w:tcBorders>
              <w:bottom w:val="single" w:sz="8" w:color="EBFBFF"/>
            </w:tcBorders>
            <w:shd w:val="clear" w:color="auto" w:fill="EBFBFF"/>
          </w:tcPr>
          <w:p>
            <w:pPr>
              <w:spacing w:after="0"/>
              <w:rPr>
                <w:sz w:val="13"/>
                <w:szCs w:val="13"/>
                <w:color w:val="auto"/>
              </w:rPr>
            </w:pPr>
          </w:p>
        </w:tc>
        <w:tc>
          <w:tcPr>
            <w:tcW w:w="940" w:type="dxa"/>
            <w:vAlign w:val="bottom"/>
            <w:tcBorders>
              <w:bottom w:val="single" w:sz="8" w:color="EBFBFF"/>
            </w:tcBorders>
            <w:shd w:val="clear" w:color="auto" w:fill="EBFBFF"/>
          </w:tcPr>
          <w:p>
            <w:pPr>
              <w:jc w:val="right"/>
              <w:ind w:right="63"/>
              <w:spacing w:after="0"/>
              <w:rPr>
                <w:sz w:val="20"/>
                <w:szCs w:val="20"/>
                <w:color w:val="auto"/>
              </w:rPr>
            </w:pPr>
            <w:r>
              <w:rPr>
                <w:rFonts w:ascii="Calibri" w:cs="Calibri" w:eastAsia="Calibri" w:hAnsi="Calibri"/>
                <w:sz w:val="11"/>
                <w:szCs w:val="11"/>
                <w:color w:val="51555C"/>
              </w:rPr>
              <w:t>51,677,418</w:t>
            </w:r>
          </w:p>
        </w:tc>
        <w:tc>
          <w:tcPr>
            <w:tcW w:w="180" w:type="dxa"/>
            <w:vAlign w:val="bottom"/>
            <w:tcBorders>
              <w:bottom w:val="single" w:sz="8" w:color="EBFBFF"/>
            </w:tcBorders>
            <w:shd w:val="clear" w:color="auto" w:fill="EBFBFF"/>
          </w:tcPr>
          <w:p>
            <w:pPr>
              <w:spacing w:after="0"/>
              <w:rPr>
                <w:sz w:val="13"/>
                <w:szCs w:val="13"/>
                <w:color w:val="auto"/>
              </w:rPr>
            </w:pPr>
          </w:p>
        </w:tc>
        <w:tc>
          <w:tcPr>
            <w:tcW w:w="1120" w:type="dxa"/>
            <w:vAlign w:val="bottom"/>
            <w:tcBorders>
              <w:bottom w:val="single" w:sz="8" w:color="EBFBFF"/>
            </w:tcBorders>
            <w:shd w:val="clear" w:color="auto" w:fill="EBFBFF"/>
          </w:tcPr>
          <w:p>
            <w:pPr>
              <w:jc w:val="right"/>
              <w:ind w:right="63"/>
              <w:spacing w:after="0"/>
              <w:rPr>
                <w:sz w:val="20"/>
                <w:szCs w:val="20"/>
                <w:color w:val="auto"/>
              </w:rPr>
            </w:pPr>
            <w:r>
              <w:rPr>
                <w:rFonts w:ascii="Calibri" w:cs="Calibri" w:eastAsia="Calibri" w:hAnsi="Calibri"/>
                <w:sz w:val="11"/>
                <w:szCs w:val="11"/>
                <w:color w:val="51555C"/>
              </w:rPr>
              <w:t>53,643,124</w:t>
            </w:r>
          </w:p>
        </w:tc>
        <w:tc>
          <w:tcPr>
            <w:tcW w:w="120" w:type="dxa"/>
            <w:vAlign w:val="bottom"/>
            <w:tcBorders>
              <w:bottom w:val="single" w:sz="8" w:color="EBFBFF"/>
              <w:right w:val="single" w:sz="8" w:color="EBFBFF"/>
            </w:tcBorders>
            <w:shd w:val="clear" w:color="auto" w:fill="EBFBFF"/>
          </w:tcPr>
          <w:p>
            <w:pPr>
              <w:spacing w:after="0"/>
              <w:rPr>
                <w:sz w:val="13"/>
                <w:szCs w:val="13"/>
                <w:color w:val="auto"/>
              </w:rPr>
            </w:pPr>
          </w:p>
        </w:tc>
        <w:tc>
          <w:tcPr>
            <w:tcW w:w="340" w:type="dxa"/>
            <w:vAlign w:val="bottom"/>
            <w:tcBorders>
              <w:bottom w:val="single" w:sz="8" w:color="EBFBFF"/>
            </w:tcBorders>
            <w:shd w:val="clear" w:color="auto" w:fill="EBFBFF"/>
          </w:tcPr>
          <w:p>
            <w:pPr>
              <w:spacing w:after="0"/>
              <w:rPr>
                <w:sz w:val="13"/>
                <w:szCs w:val="13"/>
                <w:color w:val="auto"/>
              </w:rPr>
            </w:pPr>
          </w:p>
        </w:tc>
        <w:tc>
          <w:tcPr>
            <w:tcW w:w="940" w:type="dxa"/>
            <w:vAlign w:val="bottom"/>
            <w:tcBorders>
              <w:bottom w:val="single" w:sz="8" w:color="EBFBFF"/>
            </w:tcBorders>
            <w:shd w:val="clear" w:color="auto" w:fill="EBFBFF"/>
          </w:tcPr>
          <w:p>
            <w:pPr>
              <w:jc w:val="right"/>
              <w:ind w:right="63"/>
              <w:spacing w:after="0"/>
              <w:rPr>
                <w:sz w:val="20"/>
                <w:szCs w:val="20"/>
                <w:color w:val="auto"/>
              </w:rPr>
            </w:pPr>
            <w:r>
              <w:rPr>
                <w:rFonts w:ascii="Calibri" w:cs="Calibri" w:eastAsia="Calibri" w:hAnsi="Calibri"/>
                <w:sz w:val="11"/>
                <w:szCs w:val="11"/>
                <w:color w:val="51555C"/>
              </w:rPr>
              <w:t>52,371,927</w:t>
            </w:r>
          </w:p>
        </w:tc>
        <w:tc>
          <w:tcPr>
            <w:tcW w:w="260" w:type="dxa"/>
            <w:vAlign w:val="bottom"/>
            <w:tcBorders>
              <w:bottom w:val="single" w:sz="8" w:color="EBFBFF"/>
            </w:tcBorders>
            <w:shd w:val="clear" w:color="auto" w:fill="EBFBFF"/>
          </w:tcPr>
          <w:p>
            <w:pPr>
              <w:spacing w:after="0"/>
              <w:rPr>
                <w:sz w:val="13"/>
                <w:szCs w:val="13"/>
                <w:color w:val="auto"/>
              </w:rPr>
            </w:pPr>
          </w:p>
        </w:tc>
        <w:tc>
          <w:tcPr>
            <w:tcW w:w="1040" w:type="dxa"/>
            <w:vAlign w:val="bottom"/>
            <w:tcBorders>
              <w:bottom w:val="single" w:sz="8" w:color="EBFBFF"/>
            </w:tcBorders>
            <w:shd w:val="clear" w:color="auto" w:fill="EBFBFF"/>
          </w:tcPr>
          <w:p>
            <w:pPr>
              <w:jc w:val="right"/>
              <w:ind w:right="63"/>
              <w:spacing w:after="0"/>
              <w:rPr>
                <w:sz w:val="20"/>
                <w:szCs w:val="20"/>
                <w:color w:val="auto"/>
              </w:rPr>
            </w:pPr>
            <w:r>
              <w:rPr>
                <w:rFonts w:ascii="Calibri" w:cs="Calibri" w:eastAsia="Calibri" w:hAnsi="Calibri"/>
                <w:sz w:val="11"/>
                <w:szCs w:val="11"/>
                <w:color w:val="51555C"/>
              </w:rPr>
              <w:t>52,389,112</w:t>
            </w:r>
          </w:p>
        </w:tc>
      </w:tr>
      <w:tr>
        <w:trPr>
          <w:trHeight w:val="135"/>
        </w:trPr>
        <w:tc>
          <w:tcPr>
            <w:tcW w:w="20" w:type="dxa"/>
            <w:vAlign w:val="bottom"/>
          </w:tcPr>
          <w:p>
            <w:pPr>
              <w:spacing w:after="0"/>
              <w:rPr>
                <w:sz w:val="11"/>
                <w:szCs w:val="11"/>
                <w:color w:val="auto"/>
              </w:rPr>
            </w:pPr>
          </w:p>
        </w:tc>
        <w:tc>
          <w:tcPr>
            <w:tcW w:w="5940" w:type="dxa"/>
            <w:vAlign w:val="bottom"/>
          </w:tcPr>
          <w:p>
            <w:pPr>
              <w:ind w:left="80"/>
              <w:spacing w:after="0"/>
              <w:rPr>
                <w:sz w:val="20"/>
                <w:szCs w:val="20"/>
                <w:color w:val="auto"/>
              </w:rPr>
            </w:pPr>
            <w:r>
              <w:rPr>
                <w:rFonts w:ascii="Calibri" w:cs="Calibri" w:eastAsia="Calibri" w:hAnsi="Calibri"/>
                <w:sz w:val="11"/>
                <w:szCs w:val="11"/>
                <w:b w:val="1"/>
                <w:bCs w:val="1"/>
                <w:color w:val="51555C"/>
              </w:rPr>
              <w:t>GAAP diluted earnings (loss) per share</w:t>
            </w:r>
          </w:p>
        </w:tc>
        <w:tc>
          <w:tcPr>
            <w:tcW w:w="380" w:type="dxa"/>
            <w:vAlign w:val="bottom"/>
          </w:tcPr>
          <w:p>
            <w:pPr>
              <w:jc w:val="right"/>
              <w:ind w:right="243"/>
              <w:spacing w:after="0"/>
              <w:rPr>
                <w:sz w:val="20"/>
                <w:szCs w:val="20"/>
                <w:color w:val="auto"/>
              </w:rPr>
            </w:pPr>
            <w:r>
              <w:rPr>
                <w:rFonts w:ascii="Calibri" w:cs="Calibri" w:eastAsia="Calibri" w:hAnsi="Calibri"/>
                <w:sz w:val="11"/>
                <w:szCs w:val="11"/>
                <w:color w:val="51555C"/>
              </w:rPr>
              <w:t>$</w:t>
            </w:r>
          </w:p>
        </w:tc>
        <w:tc>
          <w:tcPr>
            <w:tcW w:w="940" w:type="dxa"/>
            <w:vAlign w:val="bottom"/>
          </w:tcPr>
          <w:p>
            <w:pPr>
              <w:jc w:val="right"/>
              <w:ind w:right="63"/>
              <w:spacing w:after="0"/>
              <w:rPr>
                <w:sz w:val="20"/>
                <w:szCs w:val="20"/>
                <w:color w:val="auto"/>
              </w:rPr>
            </w:pPr>
            <w:r>
              <w:rPr>
                <w:rFonts w:ascii="Calibri" w:cs="Calibri" w:eastAsia="Calibri" w:hAnsi="Calibri"/>
                <w:sz w:val="11"/>
                <w:szCs w:val="11"/>
                <w:color w:val="51555C"/>
              </w:rPr>
              <w:t>0.42</w:t>
            </w:r>
          </w:p>
        </w:tc>
        <w:tc>
          <w:tcPr>
            <w:tcW w:w="180" w:type="dxa"/>
            <w:vAlign w:val="bottom"/>
          </w:tcPr>
          <w:p>
            <w:pPr>
              <w:jc w:val="right"/>
              <w:ind w:right="63"/>
              <w:spacing w:after="0"/>
              <w:rPr>
                <w:sz w:val="20"/>
                <w:szCs w:val="20"/>
                <w:color w:val="auto"/>
              </w:rPr>
            </w:pPr>
            <w:r>
              <w:rPr>
                <w:rFonts w:ascii="Calibri" w:cs="Calibri" w:eastAsia="Calibri" w:hAnsi="Calibri"/>
                <w:sz w:val="11"/>
                <w:szCs w:val="11"/>
                <w:color w:val="51555C"/>
                <w:w w:val="70"/>
              </w:rPr>
              <w:t>$</w:t>
            </w:r>
          </w:p>
        </w:tc>
        <w:tc>
          <w:tcPr>
            <w:tcW w:w="1120" w:type="dxa"/>
            <w:vAlign w:val="bottom"/>
          </w:tcPr>
          <w:p>
            <w:pPr>
              <w:jc w:val="right"/>
              <w:ind w:right="63"/>
              <w:spacing w:after="0"/>
              <w:rPr>
                <w:sz w:val="20"/>
                <w:szCs w:val="20"/>
                <w:color w:val="auto"/>
              </w:rPr>
            </w:pPr>
            <w:r>
              <w:rPr>
                <w:rFonts w:ascii="Calibri" w:cs="Calibri" w:eastAsia="Calibri" w:hAnsi="Calibri"/>
                <w:sz w:val="11"/>
                <w:szCs w:val="11"/>
                <w:color w:val="51555C"/>
              </w:rPr>
              <w:t>0.04</w:t>
            </w:r>
          </w:p>
        </w:tc>
        <w:tc>
          <w:tcPr>
            <w:tcW w:w="460" w:type="dxa"/>
            <w:vAlign w:val="bottom"/>
            <w:gridSpan w:val="2"/>
          </w:tcPr>
          <w:p>
            <w:pPr>
              <w:jc w:val="right"/>
              <w:ind w:right="277"/>
              <w:spacing w:after="0"/>
              <w:rPr>
                <w:sz w:val="20"/>
                <w:szCs w:val="20"/>
                <w:color w:val="auto"/>
              </w:rPr>
            </w:pPr>
            <w:r>
              <w:rPr>
                <w:rFonts w:ascii="Calibri" w:cs="Calibri" w:eastAsia="Calibri" w:hAnsi="Calibri"/>
                <w:sz w:val="11"/>
                <w:szCs w:val="11"/>
                <w:color w:val="51555C"/>
              </w:rPr>
              <w:t>$</w:t>
            </w:r>
          </w:p>
        </w:tc>
        <w:tc>
          <w:tcPr>
            <w:tcW w:w="940" w:type="dxa"/>
            <w:vAlign w:val="bottom"/>
          </w:tcPr>
          <w:p>
            <w:pPr>
              <w:jc w:val="right"/>
              <w:ind w:right="63"/>
              <w:spacing w:after="0"/>
              <w:rPr>
                <w:sz w:val="20"/>
                <w:szCs w:val="20"/>
                <w:color w:val="auto"/>
              </w:rPr>
            </w:pPr>
            <w:r>
              <w:rPr>
                <w:rFonts w:ascii="Calibri" w:cs="Calibri" w:eastAsia="Calibri" w:hAnsi="Calibri"/>
                <w:sz w:val="11"/>
                <w:szCs w:val="11"/>
                <w:color w:val="51555C"/>
              </w:rPr>
              <w:t>0.52</w:t>
            </w:r>
          </w:p>
        </w:tc>
        <w:tc>
          <w:tcPr>
            <w:tcW w:w="260" w:type="dxa"/>
            <w:vAlign w:val="bottom"/>
          </w:tcPr>
          <w:p>
            <w:pPr>
              <w:jc w:val="right"/>
              <w:ind w:right="143"/>
              <w:spacing w:after="0"/>
              <w:rPr>
                <w:sz w:val="20"/>
                <w:szCs w:val="20"/>
                <w:color w:val="auto"/>
              </w:rPr>
            </w:pPr>
            <w:r>
              <w:rPr>
                <w:rFonts w:ascii="Calibri" w:cs="Calibri" w:eastAsia="Calibri" w:hAnsi="Calibri"/>
                <w:sz w:val="11"/>
                <w:szCs w:val="11"/>
                <w:color w:val="51555C"/>
                <w:w w:val="70"/>
              </w:rPr>
              <w:t>$</w:t>
            </w:r>
          </w:p>
        </w:tc>
        <w:tc>
          <w:tcPr>
            <w:tcW w:w="1040" w:type="dxa"/>
            <w:vAlign w:val="bottom"/>
          </w:tcPr>
          <w:p>
            <w:pPr>
              <w:jc w:val="right"/>
              <w:ind w:right="43"/>
              <w:spacing w:after="0"/>
              <w:rPr>
                <w:sz w:val="20"/>
                <w:szCs w:val="20"/>
                <w:color w:val="auto"/>
              </w:rPr>
            </w:pPr>
            <w:r>
              <w:rPr>
                <w:rFonts w:ascii="Calibri" w:cs="Calibri" w:eastAsia="Calibri" w:hAnsi="Calibri"/>
                <w:sz w:val="11"/>
                <w:szCs w:val="11"/>
                <w:color w:val="51555C"/>
              </w:rPr>
              <w:t>(0.24)</w:t>
            </w:r>
          </w:p>
        </w:tc>
      </w:tr>
      <w:tr>
        <w:trPr>
          <w:trHeight w:val="46"/>
        </w:trPr>
        <w:tc>
          <w:tcPr>
            <w:tcW w:w="20" w:type="dxa"/>
            <w:vAlign w:val="bottom"/>
          </w:tcPr>
          <w:p>
            <w:pPr>
              <w:spacing w:after="0"/>
              <w:rPr>
                <w:sz w:val="3"/>
                <w:szCs w:val="3"/>
                <w:color w:val="auto"/>
              </w:rPr>
            </w:pPr>
          </w:p>
        </w:tc>
        <w:tc>
          <w:tcPr>
            <w:tcW w:w="5940" w:type="dxa"/>
            <w:vAlign w:val="bottom"/>
          </w:tcPr>
          <w:p>
            <w:pPr>
              <w:spacing w:after="0"/>
              <w:rPr>
                <w:sz w:val="3"/>
                <w:szCs w:val="3"/>
                <w:color w:val="auto"/>
              </w:rPr>
            </w:pPr>
          </w:p>
        </w:tc>
        <w:tc>
          <w:tcPr>
            <w:tcW w:w="3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160"/>
        </w:trPr>
        <w:tc>
          <w:tcPr>
            <w:tcW w:w="20" w:type="dxa"/>
            <w:vAlign w:val="bottom"/>
            <w:tcBorders>
              <w:bottom w:val="single" w:sz="8" w:color="EBFBFF"/>
            </w:tcBorders>
            <w:shd w:val="clear" w:color="auto" w:fill="EBFBFF"/>
          </w:tcPr>
          <w:p>
            <w:pPr>
              <w:spacing w:after="0"/>
              <w:rPr>
                <w:sz w:val="13"/>
                <w:szCs w:val="13"/>
                <w:color w:val="auto"/>
              </w:rPr>
            </w:pPr>
          </w:p>
        </w:tc>
        <w:tc>
          <w:tcPr>
            <w:tcW w:w="5940" w:type="dxa"/>
            <w:vAlign w:val="bottom"/>
            <w:tcBorders>
              <w:bottom w:val="single" w:sz="8" w:color="EBFBFF"/>
            </w:tcBorders>
            <w:shd w:val="clear" w:color="auto" w:fill="EBFBFF"/>
          </w:tcPr>
          <w:p>
            <w:pPr>
              <w:spacing w:after="0"/>
              <w:rPr>
                <w:sz w:val="20"/>
                <w:szCs w:val="20"/>
                <w:color w:val="auto"/>
              </w:rPr>
            </w:pPr>
            <w:r>
              <w:rPr>
                <w:rFonts w:ascii="Calibri" w:cs="Calibri" w:eastAsia="Calibri" w:hAnsi="Calibri"/>
                <w:sz w:val="11"/>
                <w:szCs w:val="11"/>
                <w:b w:val="1"/>
                <w:bCs w:val="1"/>
                <w:color w:val="51555C"/>
              </w:rPr>
              <w:t>Non-GAAP adjustments:</w:t>
            </w:r>
          </w:p>
        </w:tc>
        <w:tc>
          <w:tcPr>
            <w:tcW w:w="380" w:type="dxa"/>
            <w:vAlign w:val="bottom"/>
            <w:tcBorders>
              <w:bottom w:val="single" w:sz="8" w:color="EBFBFF"/>
            </w:tcBorders>
            <w:shd w:val="clear" w:color="auto" w:fill="EBFBFF"/>
          </w:tcPr>
          <w:p>
            <w:pPr>
              <w:spacing w:after="0"/>
              <w:rPr>
                <w:sz w:val="13"/>
                <w:szCs w:val="13"/>
                <w:color w:val="auto"/>
              </w:rPr>
            </w:pPr>
          </w:p>
        </w:tc>
        <w:tc>
          <w:tcPr>
            <w:tcW w:w="940" w:type="dxa"/>
            <w:vAlign w:val="bottom"/>
            <w:tcBorders>
              <w:bottom w:val="single" w:sz="8" w:color="EBFBFF"/>
            </w:tcBorders>
            <w:shd w:val="clear" w:color="auto" w:fill="EBFBFF"/>
          </w:tcPr>
          <w:p>
            <w:pPr>
              <w:spacing w:after="0"/>
              <w:rPr>
                <w:sz w:val="13"/>
                <w:szCs w:val="13"/>
                <w:color w:val="auto"/>
              </w:rPr>
            </w:pPr>
          </w:p>
        </w:tc>
        <w:tc>
          <w:tcPr>
            <w:tcW w:w="180" w:type="dxa"/>
            <w:vAlign w:val="bottom"/>
            <w:tcBorders>
              <w:bottom w:val="single" w:sz="8" w:color="EBFBFF"/>
            </w:tcBorders>
            <w:shd w:val="clear" w:color="auto" w:fill="EBFBFF"/>
          </w:tcPr>
          <w:p>
            <w:pPr>
              <w:spacing w:after="0"/>
              <w:rPr>
                <w:sz w:val="13"/>
                <w:szCs w:val="13"/>
                <w:color w:val="auto"/>
              </w:rPr>
            </w:pPr>
          </w:p>
        </w:tc>
        <w:tc>
          <w:tcPr>
            <w:tcW w:w="1120" w:type="dxa"/>
            <w:vAlign w:val="bottom"/>
            <w:tcBorders>
              <w:bottom w:val="single" w:sz="8" w:color="EBFBFF"/>
            </w:tcBorders>
            <w:shd w:val="clear" w:color="auto" w:fill="EBFBFF"/>
          </w:tcPr>
          <w:p>
            <w:pPr>
              <w:spacing w:after="0"/>
              <w:rPr>
                <w:sz w:val="13"/>
                <w:szCs w:val="13"/>
                <w:color w:val="auto"/>
              </w:rPr>
            </w:pPr>
          </w:p>
        </w:tc>
        <w:tc>
          <w:tcPr>
            <w:tcW w:w="120" w:type="dxa"/>
            <w:vAlign w:val="bottom"/>
            <w:tcBorders>
              <w:bottom w:val="single" w:sz="8" w:color="EBFBFF"/>
              <w:right w:val="single" w:sz="8" w:color="EBFBFF"/>
            </w:tcBorders>
            <w:shd w:val="clear" w:color="auto" w:fill="EBFBFF"/>
          </w:tcPr>
          <w:p>
            <w:pPr>
              <w:spacing w:after="0"/>
              <w:rPr>
                <w:sz w:val="13"/>
                <w:szCs w:val="13"/>
                <w:color w:val="auto"/>
              </w:rPr>
            </w:pPr>
          </w:p>
        </w:tc>
        <w:tc>
          <w:tcPr>
            <w:tcW w:w="340" w:type="dxa"/>
            <w:vAlign w:val="bottom"/>
            <w:tcBorders>
              <w:bottom w:val="single" w:sz="8" w:color="EBFBFF"/>
            </w:tcBorders>
            <w:shd w:val="clear" w:color="auto" w:fill="EBFBFF"/>
          </w:tcPr>
          <w:p>
            <w:pPr>
              <w:spacing w:after="0"/>
              <w:rPr>
                <w:sz w:val="13"/>
                <w:szCs w:val="13"/>
                <w:color w:val="auto"/>
              </w:rPr>
            </w:pPr>
          </w:p>
        </w:tc>
        <w:tc>
          <w:tcPr>
            <w:tcW w:w="940" w:type="dxa"/>
            <w:vAlign w:val="bottom"/>
            <w:tcBorders>
              <w:bottom w:val="single" w:sz="8" w:color="EBFBFF"/>
            </w:tcBorders>
            <w:shd w:val="clear" w:color="auto" w:fill="EBFBFF"/>
          </w:tcPr>
          <w:p>
            <w:pPr>
              <w:spacing w:after="0"/>
              <w:rPr>
                <w:sz w:val="13"/>
                <w:szCs w:val="13"/>
                <w:color w:val="auto"/>
              </w:rPr>
            </w:pPr>
          </w:p>
        </w:tc>
        <w:tc>
          <w:tcPr>
            <w:tcW w:w="260" w:type="dxa"/>
            <w:vAlign w:val="bottom"/>
            <w:tcBorders>
              <w:bottom w:val="single" w:sz="8" w:color="EBFBFF"/>
            </w:tcBorders>
            <w:shd w:val="clear" w:color="auto" w:fill="EBFBFF"/>
          </w:tcPr>
          <w:p>
            <w:pPr>
              <w:spacing w:after="0"/>
              <w:rPr>
                <w:sz w:val="13"/>
                <w:szCs w:val="13"/>
                <w:color w:val="auto"/>
              </w:rPr>
            </w:pPr>
          </w:p>
        </w:tc>
        <w:tc>
          <w:tcPr>
            <w:tcW w:w="1040" w:type="dxa"/>
            <w:vAlign w:val="bottom"/>
            <w:tcBorders>
              <w:bottom w:val="single" w:sz="8" w:color="EBFBFF"/>
            </w:tcBorders>
            <w:shd w:val="clear" w:color="auto" w:fill="EBFBFF"/>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5940" w:type="dxa"/>
            <w:vAlign w:val="bottom"/>
          </w:tcPr>
          <w:p>
            <w:pPr>
              <w:ind w:left="80"/>
              <w:spacing w:after="0"/>
              <w:rPr>
                <w:sz w:val="20"/>
                <w:szCs w:val="20"/>
                <w:color w:val="auto"/>
              </w:rPr>
            </w:pPr>
            <w:r>
              <w:rPr>
                <w:rFonts w:ascii="Calibri" w:cs="Calibri" w:eastAsia="Calibri" w:hAnsi="Calibri"/>
                <w:sz w:val="11"/>
                <w:szCs w:val="11"/>
                <w:color w:val="51555C"/>
              </w:rPr>
              <w:t>Add: GAAP income tax provision (beneft)</w:t>
            </w:r>
          </w:p>
        </w:tc>
        <w:tc>
          <w:tcPr>
            <w:tcW w:w="380" w:type="dxa"/>
            <w:vAlign w:val="bottom"/>
          </w:tcPr>
          <w:p>
            <w:pPr>
              <w:spacing w:after="0"/>
              <w:rPr>
                <w:sz w:val="11"/>
                <w:szCs w:val="11"/>
                <w:color w:val="auto"/>
              </w:rPr>
            </w:pPr>
          </w:p>
        </w:tc>
        <w:tc>
          <w:tcPr>
            <w:tcW w:w="940" w:type="dxa"/>
            <w:vAlign w:val="bottom"/>
          </w:tcPr>
          <w:p>
            <w:pPr>
              <w:jc w:val="right"/>
              <w:ind w:right="63"/>
              <w:spacing w:after="0"/>
              <w:rPr>
                <w:sz w:val="20"/>
                <w:szCs w:val="20"/>
                <w:color w:val="auto"/>
              </w:rPr>
            </w:pPr>
            <w:r>
              <w:rPr>
                <w:rFonts w:ascii="Calibri" w:cs="Calibri" w:eastAsia="Calibri" w:hAnsi="Calibri"/>
                <w:sz w:val="11"/>
                <w:szCs w:val="11"/>
                <w:color w:val="51555C"/>
              </w:rPr>
              <w:t>7.9</w:t>
            </w:r>
          </w:p>
        </w:tc>
        <w:tc>
          <w:tcPr>
            <w:tcW w:w="180" w:type="dxa"/>
            <w:vAlign w:val="bottom"/>
          </w:tcPr>
          <w:p>
            <w:pPr>
              <w:spacing w:after="0"/>
              <w:rPr>
                <w:sz w:val="11"/>
                <w:szCs w:val="11"/>
                <w:color w:val="auto"/>
              </w:rPr>
            </w:pPr>
          </w:p>
        </w:tc>
        <w:tc>
          <w:tcPr>
            <w:tcW w:w="1120" w:type="dxa"/>
            <w:vAlign w:val="bottom"/>
          </w:tcPr>
          <w:p>
            <w:pPr>
              <w:jc w:val="right"/>
              <w:ind w:right="43"/>
              <w:spacing w:after="0"/>
              <w:rPr>
                <w:sz w:val="20"/>
                <w:szCs w:val="20"/>
                <w:color w:val="auto"/>
              </w:rPr>
            </w:pPr>
            <w:r>
              <w:rPr>
                <w:rFonts w:ascii="Calibri" w:cs="Calibri" w:eastAsia="Calibri" w:hAnsi="Calibri"/>
                <w:sz w:val="11"/>
                <w:szCs w:val="11"/>
                <w:color w:val="51555C"/>
              </w:rPr>
              <w:t>(10.2)</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jc w:val="right"/>
              <w:ind w:right="63"/>
              <w:spacing w:after="0"/>
              <w:rPr>
                <w:sz w:val="20"/>
                <w:szCs w:val="20"/>
                <w:color w:val="auto"/>
              </w:rPr>
            </w:pPr>
            <w:r>
              <w:rPr>
                <w:rFonts w:ascii="Calibri" w:cs="Calibri" w:eastAsia="Calibri" w:hAnsi="Calibri"/>
                <w:sz w:val="11"/>
                <w:szCs w:val="11"/>
                <w:color w:val="51555C"/>
              </w:rPr>
              <w:t>6.4</w:t>
            </w:r>
          </w:p>
        </w:tc>
        <w:tc>
          <w:tcPr>
            <w:tcW w:w="260" w:type="dxa"/>
            <w:vAlign w:val="bottom"/>
          </w:tcPr>
          <w:p>
            <w:pPr>
              <w:spacing w:after="0"/>
              <w:rPr>
                <w:sz w:val="11"/>
                <w:szCs w:val="11"/>
                <w:color w:val="auto"/>
              </w:rPr>
            </w:pPr>
          </w:p>
        </w:tc>
        <w:tc>
          <w:tcPr>
            <w:tcW w:w="1040" w:type="dxa"/>
            <w:vAlign w:val="bottom"/>
          </w:tcPr>
          <w:p>
            <w:pPr>
              <w:jc w:val="right"/>
              <w:ind w:right="43"/>
              <w:spacing w:after="0"/>
              <w:rPr>
                <w:sz w:val="20"/>
                <w:szCs w:val="20"/>
                <w:color w:val="auto"/>
              </w:rPr>
            </w:pPr>
            <w:r>
              <w:rPr>
                <w:rFonts w:ascii="Calibri" w:cs="Calibri" w:eastAsia="Calibri" w:hAnsi="Calibri"/>
                <w:sz w:val="11"/>
                <w:szCs w:val="11"/>
                <w:color w:val="51555C"/>
              </w:rPr>
              <w:t>(14.1)</w:t>
            </w:r>
          </w:p>
        </w:tc>
      </w:tr>
      <w:tr>
        <w:trPr>
          <w:trHeight w:val="46"/>
        </w:trPr>
        <w:tc>
          <w:tcPr>
            <w:tcW w:w="20" w:type="dxa"/>
            <w:vAlign w:val="bottom"/>
          </w:tcPr>
          <w:p>
            <w:pPr>
              <w:spacing w:after="0"/>
              <w:rPr>
                <w:sz w:val="3"/>
                <w:szCs w:val="3"/>
                <w:color w:val="auto"/>
              </w:rPr>
            </w:pPr>
          </w:p>
        </w:tc>
        <w:tc>
          <w:tcPr>
            <w:tcW w:w="5940" w:type="dxa"/>
            <w:vAlign w:val="bottom"/>
          </w:tcPr>
          <w:p>
            <w:pPr>
              <w:spacing w:after="0"/>
              <w:rPr>
                <w:sz w:val="3"/>
                <w:szCs w:val="3"/>
                <w:color w:val="auto"/>
              </w:rPr>
            </w:pPr>
          </w:p>
        </w:tc>
        <w:tc>
          <w:tcPr>
            <w:tcW w:w="3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180"/>
        </w:trPr>
        <w:tc>
          <w:tcPr>
            <w:tcW w:w="20" w:type="dxa"/>
            <w:vAlign w:val="bottom"/>
            <w:tcBorders>
              <w:bottom w:val="single" w:sz="8" w:color="EBFBFF"/>
            </w:tcBorders>
            <w:shd w:val="clear" w:color="auto" w:fill="EBFBFF"/>
          </w:tcPr>
          <w:p>
            <w:pPr>
              <w:spacing w:after="0"/>
              <w:rPr>
                <w:sz w:val="15"/>
                <w:szCs w:val="15"/>
                <w:color w:val="auto"/>
              </w:rPr>
            </w:pPr>
          </w:p>
        </w:tc>
        <w:tc>
          <w:tcPr>
            <w:tcW w:w="5940" w:type="dxa"/>
            <w:vAlign w:val="bottom"/>
            <w:tcBorders>
              <w:bottom w:val="single" w:sz="8" w:color="EBFBFF"/>
            </w:tcBorders>
            <w:shd w:val="clear" w:color="auto" w:fill="EBFBFF"/>
          </w:tcPr>
          <w:p>
            <w:pPr>
              <w:ind w:left="80"/>
              <w:spacing w:after="0"/>
              <w:rPr>
                <w:sz w:val="20"/>
                <w:szCs w:val="20"/>
                <w:color w:val="auto"/>
              </w:rPr>
            </w:pPr>
            <w:r>
              <w:rPr>
                <w:rFonts w:ascii="Calibri" w:cs="Calibri" w:eastAsia="Calibri" w:hAnsi="Calibri"/>
                <w:sz w:val="11"/>
                <w:szCs w:val="11"/>
                <w:color w:val="51555C"/>
              </w:rPr>
              <w:t>Add: Total non-GAAP adjustments afectng income from operatons</w:t>
            </w:r>
          </w:p>
        </w:tc>
        <w:tc>
          <w:tcPr>
            <w:tcW w:w="380" w:type="dxa"/>
            <w:vAlign w:val="bottom"/>
            <w:tcBorders>
              <w:bottom w:val="single" w:sz="8" w:color="EBFBFF"/>
            </w:tcBorders>
            <w:shd w:val="clear" w:color="auto" w:fill="EBFBFF"/>
          </w:tcPr>
          <w:p>
            <w:pPr>
              <w:spacing w:after="0"/>
              <w:rPr>
                <w:sz w:val="15"/>
                <w:szCs w:val="15"/>
                <w:color w:val="auto"/>
              </w:rPr>
            </w:pPr>
          </w:p>
        </w:tc>
        <w:tc>
          <w:tcPr>
            <w:tcW w:w="940" w:type="dxa"/>
            <w:vAlign w:val="bottom"/>
            <w:tcBorders>
              <w:bottom w:val="single" w:sz="8" w:color="EBFBFF"/>
            </w:tcBorders>
            <w:shd w:val="clear" w:color="auto" w:fill="EBFBFF"/>
          </w:tcPr>
          <w:p>
            <w:pPr>
              <w:jc w:val="right"/>
              <w:ind w:right="63"/>
              <w:spacing w:after="0"/>
              <w:rPr>
                <w:sz w:val="20"/>
                <w:szCs w:val="20"/>
                <w:color w:val="auto"/>
              </w:rPr>
            </w:pPr>
            <w:r>
              <w:rPr>
                <w:rFonts w:ascii="Calibri" w:cs="Calibri" w:eastAsia="Calibri" w:hAnsi="Calibri"/>
                <w:sz w:val="11"/>
                <w:szCs w:val="11"/>
                <w:color w:val="51555C"/>
              </w:rPr>
              <w:t>44.0</w:t>
            </w:r>
          </w:p>
        </w:tc>
        <w:tc>
          <w:tcPr>
            <w:tcW w:w="180" w:type="dxa"/>
            <w:vAlign w:val="bottom"/>
            <w:tcBorders>
              <w:bottom w:val="single" w:sz="8" w:color="EBFBFF"/>
            </w:tcBorders>
            <w:shd w:val="clear" w:color="auto" w:fill="EBFBFF"/>
          </w:tcPr>
          <w:p>
            <w:pPr>
              <w:spacing w:after="0"/>
              <w:rPr>
                <w:sz w:val="15"/>
                <w:szCs w:val="15"/>
                <w:color w:val="auto"/>
              </w:rPr>
            </w:pPr>
          </w:p>
        </w:tc>
        <w:tc>
          <w:tcPr>
            <w:tcW w:w="1120" w:type="dxa"/>
            <w:vAlign w:val="bottom"/>
            <w:tcBorders>
              <w:bottom w:val="single" w:sz="8" w:color="EBFBFF"/>
            </w:tcBorders>
            <w:shd w:val="clear" w:color="auto" w:fill="EBFBFF"/>
          </w:tcPr>
          <w:p>
            <w:pPr>
              <w:jc w:val="right"/>
              <w:ind w:right="63"/>
              <w:spacing w:after="0"/>
              <w:rPr>
                <w:sz w:val="20"/>
                <w:szCs w:val="20"/>
                <w:color w:val="auto"/>
              </w:rPr>
            </w:pPr>
            <w:r>
              <w:rPr>
                <w:rFonts w:ascii="Calibri" w:cs="Calibri" w:eastAsia="Calibri" w:hAnsi="Calibri"/>
                <w:sz w:val="11"/>
                <w:szCs w:val="11"/>
                <w:color w:val="51555C"/>
              </w:rPr>
              <w:t>73.8</w:t>
            </w:r>
          </w:p>
        </w:tc>
        <w:tc>
          <w:tcPr>
            <w:tcW w:w="120" w:type="dxa"/>
            <w:vAlign w:val="bottom"/>
            <w:tcBorders>
              <w:bottom w:val="single" w:sz="8" w:color="EBFBFF"/>
              <w:right w:val="single" w:sz="8" w:color="EBFBFF"/>
            </w:tcBorders>
            <w:shd w:val="clear" w:color="auto" w:fill="EBFBFF"/>
          </w:tcPr>
          <w:p>
            <w:pPr>
              <w:spacing w:after="0"/>
              <w:rPr>
                <w:sz w:val="15"/>
                <w:szCs w:val="15"/>
                <w:color w:val="auto"/>
              </w:rPr>
            </w:pPr>
          </w:p>
        </w:tc>
        <w:tc>
          <w:tcPr>
            <w:tcW w:w="340" w:type="dxa"/>
            <w:vAlign w:val="bottom"/>
            <w:tcBorders>
              <w:bottom w:val="single" w:sz="8" w:color="EBFBFF"/>
            </w:tcBorders>
            <w:shd w:val="clear" w:color="auto" w:fill="EBFBFF"/>
          </w:tcPr>
          <w:p>
            <w:pPr>
              <w:spacing w:after="0"/>
              <w:rPr>
                <w:sz w:val="15"/>
                <w:szCs w:val="15"/>
                <w:color w:val="auto"/>
              </w:rPr>
            </w:pPr>
          </w:p>
        </w:tc>
        <w:tc>
          <w:tcPr>
            <w:tcW w:w="940" w:type="dxa"/>
            <w:vAlign w:val="bottom"/>
            <w:tcBorders>
              <w:bottom w:val="single" w:sz="8" w:color="EBFBFF"/>
            </w:tcBorders>
            <w:shd w:val="clear" w:color="auto" w:fill="EBFBFF"/>
          </w:tcPr>
          <w:p>
            <w:pPr>
              <w:jc w:val="right"/>
              <w:ind w:right="63"/>
              <w:spacing w:after="0"/>
              <w:rPr>
                <w:sz w:val="20"/>
                <w:szCs w:val="20"/>
                <w:color w:val="auto"/>
              </w:rPr>
            </w:pPr>
            <w:r>
              <w:rPr>
                <w:rFonts w:ascii="Calibri" w:cs="Calibri" w:eastAsia="Calibri" w:hAnsi="Calibri"/>
                <w:sz w:val="11"/>
                <w:szCs w:val="11"/>
                <w:color w:val="51555C"/>
              </w:rPr>
              <w:t>105.8</w:t>
            </w:r>
          </w:p>
        </w:tc>
        <w:tc>
          <w:tcPr>
            <w:tcW w:w="260" w:type="dxa"/>
            <w:vAlign w:val="bottom"/>
            <w:tcBorders>
              <w:bottom w:val="single" w:sz="8" w:color="EBFBFF"/>
            </w:tcBorders>
            <w:shd w:val="clear" w:color="auto" w:fill="EBFBFF"/>
          </w:tcPr>
          <w:p>
            <w:pPr>
              <w:spacing w:after="0"/>
              <w:rPr>
                <w:sz w:val="15"/>
                <w:szCs w:val="15"/>
                <w:color w:val="auto"/>
              </w:rPr>
            </w:pPr>
          </w:p>
        </w:tc>
        <w:tc>
          <w:tcPr>
            <w:tcW w:w="1040" w:type="dxa"/>
            <w:vAlign w:val="bottom"/>
            <w:tcBorders>
              <w:bottom w:val="single" w:sz="8" w:color="EBFBFF"/>
            </w:tcBorders>
            <w:shd w:val="clear" w:color="auto" w:fill="EBFBFF"/>
          </w:tcPr>
          <w:p>
            <w:pPr>
              <w:jc w:val="right"/>
              <w:ind w:right="63"/>
              <w:spacing w:after="0"/>
              <w:rPr>
                <w:sz w:val="20"/>
                <w:szCs w:val="20"/>
                <w:color w:val="auto"/>
              </w:rPr>
            </w:pPr>
            <w:r>
              <w:rPr>
                <w:rFonts w:ascii="Calibri" w:cs="Calibri" w:eastAsia="Calibri" w:hAnsi="Calibri"/>
                <w:sz w:val="11"/>
                <w:szCs w:val="11"/>
                <w:color w:val="51555C"/>
              </w:rPr>
              <w:t>140.4</w:t>
            </w:r>
          </w:p>
        </w:tc>
      </w:tr>
      <w:tr>
        <w:trPr>
          <w:trHeight w:val="125"/>
        </w:trPr>
        <w:tc>
          <w:tcPr>
            <w:tcW w:w="20" w:type="dxa"/>
            <w:vAlign w:val="bottom"/>
          </w:tcPr>
          <w:p>
            <w:pPr>
              <w:spacing w:after="0"/>
              <w:rPr>
                <w:sz w:val="10"/>
                <w:szCs w:val="10"/>
                <w:color w:val="auto"/>
              </w:rPr>
            </w:pPr>
          </w:p>
        </w:tc>
        <w:tc>
          <w:tcPr>
            <w:tcW w:w="5940" w:type="dxa"/>
            <w:vAlign w:val="bottom"/>
          </w:tcPr>
          <w:p>
            <w:pPr>
              <w:spacing w:after="0" w:line="125" w:lineRule="exact"/>
              <w:rPr>
                <w:sz w:val="20"/>
                <w:szCs w:val="20"/>
                <w:color w:val="auto"/>
              </w:rPr>
            </w:pPr>
            <w:r>
              <w:rPr>
                <w:rFonts w:ascii="Calibri" w:cs="Calibri" w:eastAsia="Calibri" w:hAnsi="Calibri"/>
                <w:sz w:val="11"/>
                <w:szCs w:val="11"/>
                <w:b w:val="1"/>
                <w:bCs w:val="1"/>
                <w:color w:val="51555C"/>
              </w:rPr>
              <w:t>Non-GAAP income before provision for income taxes</w:t>
            </w:r>
          </w:p>
        </w:tc>
        <w:tc>
          <w:tcPr>
            <w:tcW w:w="380" w:type="dxa"/>
            <w:vAlign w:val="bottom"/>
            <w:tcBorders>
              <w:top w:val="single" w:sz="8" w:color="51555C"/>
            </w:tcBorders>
          </w:tcPr>
          <w:p>
            <w:pPr>
              <w:spacing w:after="0"/>
              <w:rPr>
                <w:sz w:val="10"/>
                <w:szCs w:val="10"/>
                <w:color w:val="auto"/>
              </w:rPr>
            </w:pPr>
          </w:p>
        </w:tc>
        <w:tc>
          <w:tcPr>
            <w:tcW w:w="940" w:type="dxa"/>
            <w:vAlign w:val="bottom"/>
            <w:tcBorders>
              <w:top w:val="single" w:sz="8" w:color="51555C"/>
            </w:tcBorders>
          </w:tcPr>
          <w:p>
            <w:pPr>
              <w:jc w:val="right"/>
              <w:ind w:right="63"/>
              <w:spacing w:after="0" w:line="126" w:lineRule="exact"/>
              <w:rPr>
                <w:sz w:val="20"/>
                <w:szCs w:val="20"/>
                <w:color w:val="auto"/>
              </w:rPr>
            </w:pPr>
            <w:r>
              <w:rPr>
                <w:rFonts w:ascii="Calibri" w:cs="Calibri" w:eastAsia="Calibri" w:hAnsi="Calibri"/>
                <w:sz w:val="11"/>
                <w:szCs w:val="11"/>
                <w:color w:val="51555C"/>
              </w:rPr>
              <w:t>73.7</w:t>
            </w:r>
          </w:p>
        </w:tc>
        <w:tc>
          <w:tcPr>
            <w:tcW w:w="180" w:type="dxa"/>
            <w:vAlign w:val="bottom"/>
            <w:tcBorders>
              <w:top w:val="single" w:sz="8" w:color="51555C"/>
            </w:tcBorders>
          </w:tcPr>
          <w:p>
            <w:pPr>
              <w:spacing w:after="0"/>
              <w:rPr>
                <w:sz w:val="10"/>
                <w:szCs w:val="10"/>
                <w:color w:val="auto"/>
              </w:rPr>
            </w:pPr>
          </w:p>
        </w:tc>
        <w:tc>
          <w:tcPr>
            <w:tcW w:w="1120" w:type="dxa"/>
            <w:vAlign w:val="bottom"/>
            <w:tcBorders>
              <w:top w:val="single" w:sz="8" w:color="51555C"/>
            </w:tcBorders>
          </w:tcPr>
          <w:p>
            <w:pPr>
              <w:jc w:val="right"/>
              <w:ind w:right="63"/>
              <w:spacing w:after="0" w:line="126" w:lineRule="exact"/>
              <w:rPr>
                <w:sz w:val="20"/>
                <w:szCs w:val="20"/>
                <w:color w:val="auto"/>
              </w:rPr>
            </w:pPr>
            <w:r>
              <w:rPr>
                <w:rFonts w:ascii="Calibri" w:cs="Calibri" w:eastAsia="Calibri" w:hAnsi="Calibri"/>
                <w:sz w:val="11"/>
                <w:szCs w:val="11"/>
                <w:color w:val="51555C"/>
              </w:rPr>
              <w:t>65.8</w:t>
            </w:r>
          </w:p>
        </w:tc>
        <w:tc>
          <w:tcPr>
            <w:tcW w:w="120" w:type="dxa"/>
            <w:vAlign w:val="bottom"/>
          </w:tcPr>
          <w:p>
            <w:pPr>
              <w:spacing w:after="0"/>
              <w:rPr>
                <w:sz w:val="10"/>
                <w:szCs w:val="10"/>
                <w:color w:val="auto"/>
              </w:rPr>
            </w:pPr>
          </w:p>
        </w:tc>
        <w:tc>
          <w:tcPr>
            <w:tcW w:w="340" w:type="dxa"/>
            <w:vAlign w:val="bottom"/>
            <w:tcBorders>
              <w:top w:val="single" w:sz="8" w:color="51555C"/>
            </w:tcBorders>
          </w:tcPr>
          <w:p>
            <w:pPr>
              <w:spacing w:after="0"/>
              <w:rPr>
                <w:sz w:val="10"/>
                <w:szCs w:val="10"/>
                <w:color w:val="auto"/>
              </w:rPr>
            </w:pPr>
          </w:p>
        </w:tc>
        <w:tc>
          <w:tcPr>
            <w:tcW w:w="940" w:type="dxa"/>
            <w:vAlign w:val="bottom"/>
            <w:tcBorders>
              <w:top w:val="single" w:sz="8" w:color="51555C"/>
            </w:tcBorders>
          </w:tcPr>
          <w:p>
            <w:pPr>
              <w:jc w:val="right"/>
              <w:ind w:right="63"/>
              <w:spacing w:after="0" w:line="126" w:lineRule="exact"/>
              <w:rPr>
                <w:sz w:val="20"/>
                <w:szCs w:val="20"/>
                <w:color w:val="auto"/>
              </w:rPr>
            </w:pPr>
            <w:r>
              <w:rPr>
                <w:rFonts w:ascii="Calibri" w:cs="Calibri" w:eastAsia="Calibri" w:hAnsi="Calibri"/>
                <w:sz w:val="11"/>
                <w:szCs w:val="11"/>
                <w:color w:val="51555C"/>
              </w:rPr>
              <w:t>139.2</w:t>
            </w:r>
          </w:p>
        </w:tc>
        <w:tc>
          <w:tcPr>
            <w:tcW w:w="260" w:type="dxa"/>
            <w:vAlign w:val="bottom"/>
            <w:tcBorders>
              <w:top w:val="single" w:sz="8" w:color="51555C"/>
            </w:tcBorders>
          </w:tcPr>
          <w:p>
            <w:pPr>
              <w:spacing w:after="0"/>
              <w:rPr>
                <w:sz w:val="10"/>
                <w:szCs w:val="10"/>
                <w:color w:val="auto"/>
              </w:rPr>
            </w:pPr>
          </w:p>
        </w:tc>
        <w:tc>
          <w:tcPr>
            <w:tcW w:w="1040" w:type="dxa"/>
            <w:vAlign w:val="bottom"/>
            <w:tcBorders>
              <w:top w:val="single" w:sz="8" w:color="51555C"/>
            </w:tcBorders>
          </w:tcPr>
          <w:p>
            <w:pPr>
              <w:jc w:val="right"/>
              <w:ind w:right="63"/>
              <w:spacing w:after="0" w:line="126" w:lineRule="exact"/>
              <w:rPr>
                <w:sz w:val="20"/>
                <w:szCs w:val="20"/>
                <w:color w:val="auto"/>
              </w:rPr>
            </w:pPr>
            <w:r>
              <w:rPr>
                <w:rFonts w:ascii="Calibri" w:cs="Calibri" w:eastAsia="Calibri" w:hAnsi="Calibri"/>
                <w:sz w:val="11"/>
                <w:szCs w:val="11"/>
                <w:color w:val="51555C"/>
              </w:rPr>
              <w:t>113.7</w:t>
            </w:r>
          </w:p>
        </w:tc>
      </w:tr>
      <w:tr>
        <w:trPr>
          <w:trHeight w:val="46"/>
        </w:trPr>
        <w:tc>
          <w:tcPr>
            <w:tcW w:w="20" w:type="dxa"/>
            <w:vAlign w:val="bottom"/>
          </w:tcPr>
          <w:p>
            <w:pPr>
              <w:spacing w:after="0"/>
              <w:rPr>
                <w:sz w:val="3"/>
                <w:szCs w:val="3"/>
                <w:color w:val="auto"/>
              </w:rPr>
            </w:pPr>
          </w:p>
        </w:tc>
        <w:tc>
          <w:tcPr>
            <w:tcW w:w="5940" w:type="dxa"/>
            <w:vAlign w:val="bottom"/>
          </w:tcPr>
          <w:p>
            <w:pPr>
              <w:spacing w:after="0"/>
              <w:rPr>
                <w:sz w:val="3"/>
                <w:szCs w:val="3"/>
                <w:color w:val="auto"/>
              </w:rPr>
            </w:pPr>
          </w:p>
        </w:tc>
        <w:tc>
          <w:tcPr>
            <w:tcW w:w="3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180"/>
        </w:trPr>
        <w:tc>
          <w:tcPr>
            <w:tcW w:w="20" w:type="dxa"/>
            <w:vAlign w:val="bottom"/>
            <w:shd w:val="clear" w:color="auto" w:fill="EBFBFF"/>
          </w:tcPr>
          <w:p>
            <w:pPr>
              <w:spacing w:after="0"/>
              <w:rPr>
                <w:sz w:val="15"/>
                <w:szCs w:val="15"/>
                <w:color w:val="auto"/>
              </w:rPr>
            </w:pPr>
          </w:p>
        </w:tc>
        <w:tc>
          <w:tcPr>
            <w:tcW w:w="5940" w:type="dxa"/>
            <w:vAlign w:val="bottom"/>
            <w:shd w:val="clear" w:color="auto" w:fill="EBFBFF"/>
          </w:tcPr>
          <w:p>
            <w:pPr>
              <w:spacing w:after="0" w:line="170" w:lineRule="exact"/>
              <w:rPr>
                <w:sz w:val="20"/>
                <w:szCs w:val="20"/>
                <w:color w:val="auto"/>
              </w:rPr>
            </w:pPr>
            <w:r>
              <w:rPr>
                <w:rFonts w:ascii="Calibri" w:cs="Calibri" w:eastAsia="Calibri" w:hAnsi="Calibri"/>
                <w:sz w:val="11"/>
                <w:szCs w:val="11"/>
                <w:color w:val="51555C"/>
              </w:rPr>
              <w:t>Assumed non-GAAP income tax provision</w:t>
            </w:r>
            <w:r>
              <w:rPr>
                <w:rFonts w:ascii="Calibri" w:cs="Calibri" w:eastAsia="Calibri" w:hAnsi="Calibri"/>
                <w:sz w:val="14"/>
                <w:szCs w:val="14"/>
                <w:color w:val="51555C"/>
                <w:vertAlign w:val="superscript"/>
              </w:rPr>
              <w:t>(3)</w:t>
            </w:r>
          </w:p>
        </w:tc>
        <w:tc>
          <w:tcPr>
            <w:tcW w:w="380" w:type="dxa"/>
            <w:vAlign w:val="bottom"/>
            <w:tcBorders>
              <w:bottom w:val="single" w:sz="8" w:color="51555C"/>
            </w:tcBorders>
            <w:shd w:val="clear" w:color="auto" w:fill="EBFBFF"/>
          </w:tcPr>
          <w:p>
            <w:pPr>
              <w:spacing w:after="0"/>
              <w:rPr>
                <w:sz w:val="15"/>
                <w:szCs w:val="15"/>
                <w:color w:val="auto"/>
              </w:rPr>
            </w:pPr>
          </w:p>
        </w:tc>
        <w:tc>
          <w:tcPr>
            <w:tcW w:w="940" w:type="dxa"/>
            <w:vAlign w:val="bottom"/>
            <w:tcBorders>
              <w:bottom w:val="single" w:sz="8" w:color="51555C"/>
            </w:tcBorders>
            <w:shd w:val="clear" w:color="auto" w:fill="EBFBFF"/>
          </w:tcPr>
          <w:p>
            <w:pPr>
              <w:jc w:val="right"/>
              <w:ind w:right="63"/>
              <w:spacing w:after="0"/>
              <w:rPr>
                <w:sz w:val="20"/>
                <w:szCs w:val="20"/>
                <w:color w:val="auto"/>
              </w:rPr>
            </w:pPr>
            <w:r>
              <w:rPr>
                <w:rFonts w:ascii="Calibri" w:cs="Calibri" w:eastAsia="Calibri" w:hAnsi="Calibri"/>
                <w:sz w:val="11"/>
                <w:szCs w:val="11"/>
                <w:color w:val="51555C"/>
              </w:rPr>
              <w:t>18.1</w:t>
            </w:r>
          </w:p>
        </w:tc>
        <w:tc>
          <w:tcPr>
            <w:tcW w:w="180" w:type="dxa"/>
            <w:vAlign w:val="bottom"/>
            <w:tcBorders>
              <w:bottom w:val="single" w:sz="8" w:color="51555C"/>
            </w:tcBorders>
            <w:shd w:val="clear" w:color="auto" w:fill="EBFBFF"/>
          </w:tcPr>
          <w:p>
            <w:pPr>
              <w:spacing w:after="0"/>
              <w:rPr>
                <w:sz w:val="15"/>
                <w:szCs w:val="15"/>
                <w:color w:val="auto"/>
              </w:rPr>
            </w:pPr>
          </w:p>
        </w:tc>
        <w:tc>
          <w:tcPr>
            <w:tcW w:w="1120" w:type="dxa"/>
            <w:vAlign w:val="bottom"/>
            <w:tcBorders>
              <w:bottom w:val="single" w:sz="8" w:color="51555C"/>
            </w:tcBorders>
            <w:shd w:val="clear" w:color="auto" w:fill="EBFBFF"/>
          </w:tcPr>
          <w:p>
            <w:pPr>
              <w:jc w:val="right"/>
              <w:ind w:right="63"/>
              <w:spacing w:after="0"/>
              <w:rPr>
                <w:sz w:val="20"/>
                <w:szCs w:val="20"/>
                <w:color w:val="auto"/>
              </w:rPr>
            </w:pPr>
            <w:r>
              <w:rPr>
                <w:rFonts w:ascii="Calibri" w:cs="Calibri" w:eastAsia="Calibri" w:hAnsi="Calibri"/>
                <w:sz w:val="11"/>
                <w:szCs w:val="11"/>
                <w:color w:val="51555C"/>
              </w:rPr>
              <w:t>13.2</w:t>
            </w:r>
          </w:p>
        </w:tc>
        <w:tc>
          <w:tcPr>
            <w:tcW w:w="120" w:type="dxa"/>
            <w:vAlign w:val="bottom"/>
            <w:tcBorders>
              <w:right w:val="single" w:sz="8" w:color="EBFBFF"/>
            </w:tcBorders>
            <w:shd w:val="clear" w:color="auto" w:fill="EBFBFF"/>
          </w:tcPr>
          <w:p>
            <w:pPr>
              <w:spacing w:after="0"/>
              <w:rPr>
                <w:sz w:val="15"/>
                <w:szCs w:val="15"/>
                <w:color w:val="auto"/>
              </w:rPr>
            </w:pPr>
          </w:p>
        </w:tc>
        <w:tc>
          <w:tcPr>
            <w:tcW w:w="340" w:type="dxa"/>
            <w:vAlign w:val="bottom"/>
            <w:tcBorders>
              <w:bottom w:val="single" w:sz="8" w:color="51555C"/>
            </w:tcBorders>
            <w:shd w:val="clear" w:color="auto" w:fill="EBFBFF"/>
          </w:tcPr>
          <w:p>
            <w:pPr>
              <w:spacing w:after="0"/>
              <w:rPr>
                <w:sz w:val="15"/>
                <w:szCs w:val="15"/>
                <w:color w:val="auto"/>
              </w:rPr>
            </w:pPr>
          </w:p>
        </w:tc>
        <w:tc>
          <w:tcPr>
            <w:tcW w:w="940" w:type="dxa"/>
            <w:vAlign w:val="bottom"/>
            <w:tcBorders>
              <w:bottom w:val="single" w:sz="8" w:color="51555C"/>
            </w:tcBorders>
            <w:shd w:val="clear" w:color="auto" w:fill="EBFBFF"/>
          </w:tcPr>
          <w:p>
            <w:pPr>
              <w:jc w:val="right"/>
              <w:ind w:right="63"/>
              <w:spacing w:after="0"/>
              <w:rPr>
                <w:sz w:val="20"/>
                <w:szCs w:val="20"/>
                <w:color w:val="auto"/>
              </w:rPr>
            </w:pPr>
            <w:r>
              <w:rPr>
                <w:rFonts w:ascii="Calibri" w:cs="Calibri" w:eastAsia="Calibri" w:hAnsi="Calibri"/>
                <w:sz w:val="11"/>
                <w:szCs w:val="11"/>
                <w:color w:val="51555C"/>
              </w:rPr>
              <w:t>34.1</w:t>
            </w:r>
          </w:p>
        </w:tc>
        <w:tc>
          <w:tcPr>
            <w:tcW w:w="260" w:type="dxa"/>
            <w:vAlign w:val="bottom"/>
            <w:tcBorders>
              <w:bottom w:val="single" w:sz="8" w:color="51555C"/>
            </w:tcBorders>
            <w:shd w:val="clear" w:color="auto" w:fill="EBFBFF"/>
          </w:tcPr>
          <w:p>
            <w:pPr>
              <w:spacing w:after="0"/>
              <w:rPr>
                <w:sz w:val="15"/>
                <w:szCs w:val="15"/>
                <w:color w:val="auto"/>
              </w:rPr>
            </w:pPr>
          </w:p>
        </w:tc>
        <w:tc>
          <w:tcPr>
            <w:tcW w:w="1040" w:type="dxa"/>
            <w:vAlign w:val="bottom"/>
            <w:tcBorders>
              <w:bottom w:val="single" w:sz="8" w:color="51555C"/>
            </w:tcBorders>
            <w:shd w:val="clear" w:color="auto" w:fill="EBFBFF"/>
          </w:tcPr>
          <w:p>
            <w:pPr>
              <w:jc w:val="right"/>
              <w:ind w:right="63"/>
              <w:spacing w:after="0"/>
              <w:rPr>
                <w:sz w:val="20"/>
                <w:szCs w:val="20"/>
                <w:color w:val="auto"/>
              </w:rPr>
            </w:pPr>
            <w:r>
              <w:rPr>
                <w:rFonts w:ascii="Calibri" w:cs="Calibri" w:eastAsia="Calibri" w:hAnsi="Calibri"/>
                <w:sz w:val="11"/>
                <w:szCs w:val="11"/>
                <w:color w:val="51555C"/>
              </w:rPr>
              <w:t>22.7</w:t>
            </w:r>
          </w:p>
        </w:tc>
      </w:tr>
      <w:tr>
        <w:trPr>
          <w:trHeight w:val="198"/>
        </w:trPr>
        <w:tc>
          <w:tcPr>
            <w:tcW w:w="20" w:type="dxa"/>
            <w:vAlign w:val="bottom"/>
            <w:tcBorders>
              <w:bottom w:val="single" w:sz="8" w:color="EBFBFF"/>
            </w:tcBorders>
          </w:tcPr>
          <w:p>
            <w:pPr>
              <w:spacing w:after="0"/>
              <w:rPr>
                <w:sz w:val="16"/>
                <w:szCs w:val="16"/>
                <w:color w:val="auto"/>
              </w:rPr>
            </w:pPr>
          </w:p>
        </w:tc>
        <w:tc>
          <w:tcPr>
            <w:tcW w:w="5940" w:type="dxa"/>
            <w:vAlign w:val="bottom"/>
            <w:tcBorders>
              <w:bottom w:val="single" w:sz="8" w:color="EBFBFF"/>
            </w:tcBorders>
          </w:tcPr>
          <w:p>
            <w:pPr>
              <w:spacing w:after="0" w:line="155" w:lineRule="exact"/>
              <w:rPr>
                <w:sz w:val="20"/>
                <w:szCs w:val="20"/>
                <w:color w:val="auto"/>
              </w:rPr>
            </w:pPr>
            <w:r>
              <w:rPr>
                <w:rFonts w:ascii="Calibri" w:cs="Calibri" w:eastAsia="Calibri" w:hAnsi="Calibri"/>
                <w:sz w:val="11"/>
                <w:szCs w:val="11"/>
                <w:b w:val="1"/>
                <w:bCs w:val="1"/>
                <w:color w:val="51555C"/>
              </w:rPr>
              <w:t>Non-GAAP net income</w:t>
            </w:r>
            <w:r>
              <w:rPr>
                <w:rFonts w:ascii="Calibri" w:cs="Calibri" w:eastAsia="Calibri" w:hAnsi="Calibri"/>
                <w:sz w:val="14"/>
                <w:szCs w:val="14"/>
                <w:b w:val="1"/>
                <w:bCs w:val="1"/>
                <w:color w:val="51555C"/>
                <w:vertAlign w:val="superscript"/>
              </w:rPr>
              <w:t>(1)</w:t>
            </w:r>
          </w:p>
        </w:tc>
        <w:tc>
          <w:tcPr>
            <w:tcW w:w="380" w:type="dxa"/>
            <w:vAlign w:val="bottom"/>
            <w:tcBorders>
              <w:bottom w:val="single" w:sz="8" w:color="51555C"/>
            </w:tcBorders>
          </w:tcPr>
          <w:p>
            <w:pPr>
              <w:jc w:val="right"/>
              <w:ind w:right="243"/>
              <w:spacing w:after="0"/>
              <w:rPr>
                <w:sz w:val="20"/>
                <w:szCs w:val="20"/>
                <w:color w:val="auto"/>
              </w:rPr>
            </w:pPr>
            <w:r>
              <w:rPr>
                <w:rFonts w:ascii="Calibri" w:cs="Calibri" w:eastAsia="Calibri" w:hAnsi="Calibri"/>
                <w:sz w:val="11"/>
                <w:szCs w:val="11"/>
                <w:color w:val="51555C"/>
              </w:rPr>
              <w:t>$</w:t>
            </w:r>
          </w:p>
        </w:tc>
        <w:tc>
          <w:tcPr>
            <w:tcW w:w="940" w:type="dxa"/>
            <w:vAlign w:val="bottom"/>
            <w:tcBorders>
              <w:bottom w:val="single" w:sz="8" w:color="51555C"/>
            </w:tcBorders>
          </w:tcPr>
          <w:p>
            <w:pPr>
              <w:jc w:val="right"/>
              <w:ind w:right="63"/>
              <w:spacing w:after="0"/>
              <w:rPr>
                <w:sz w:val="20"/>
                <w:szCs w:val="20"/>
                <w:color w:val="auto"/>
              </w:rPr>
            </w:pPr>
            <w:r>
              <w:rPr>
                <w:rFonts w:ascii="Calibri" w:cs="Calibri" w:eastAsia="Calibri" w:hAnsi="Calibri"/>
                <w:sz w:val="11"/>
                <w:szCs w:val="11"/>
                <w:color w:val="51555C"/>
              </w:rPr>
              <w:t>55.7</w:t>
            </w:r>
          </w:p>
        </w:tc>
        <w:tc>
          <w:tcPr>
            <w:tcW w:w="180" w:type="dxa"/>
            <w:vAlign w:val="bottom"/>
            <w:tcBorders>
              <w:bottom w:val="single" w:sz="8" w:color="51555C"/>
            </w:tcBorders>
          </w:tcPr>
          <w:p>
            <w:pPr>
              <w:jc w:val="right"/>
              <w:ind w:right="63"/>
              <w:spacing w:after="0"/>
              <w:rPr>
                <w:sz w:val="20"/>
                <w:szCs w:val="20"/>
                <w:color w:val="auto"/>
              </w:rPr>
            </w:pPr>
            <w:r>
              <w:rPr>
                <w:rFonts w:ascii="Calibri" w:cs="Calibri" w:eastAsia="Calibri" w:hAnsi="Calibri"/>
                <w:sz w:val="11"/>
                <w:szCs w:val="11"/>
                <w:color w:val="51555C"/>
                <w:w w:val="70"/>
              </w:rPr>
              <w:t>$</w:t>
            </w:r>
          </w:p>
        </w:tc>
        <w:tc>
          <w:tcPr>
            <w:tcW w:w="1120" w:type="dxa"/>
            <w:vAlign w:val="bottom"/>
            <w:tcBorders>
              <w:bottom w:val="single" w:sz="8" w:color="51555C"/>
            </w:tcBorders>
          </w:tcPr>
          <w:p>
            <w:pPr>
              <w:jc w:val="right"/>
              <w:ind w:right="63"/>
              <w:spacing w:after="0"/>
              <w:rPr>
                <w:sz w:val="20"/>
                <w:szCs w:val="20"/>
                <w:color w:val="auto"/>
              </w:rPr>
            </w:pPr>
            <w:r>
              <w:rPr>
                <w:rFonts w:ascii="Calibri" w:cs="Calibri" w:eastAsia="Calibri" w:hAnsi="Calibri"/>
                <w:sz w:val="11"/>
                <w:szCs w:val="11"/>
                <w:color w:val="51555C"/>
              </w:rPr>
              <w:t>52.6</w:t>
            </w:r>
          </w:p>
        </w:tc>
        <w:tc>
          <w:tcPr>
            <w:tcW w:w="120" w:type="dxa"/>
            <w:vAlign w:val="bottom"/>
            <w:tcBorders>
              <w:bottom w:val="single" w:sz="8" w:color="EBFBFF"/>
            </w:tcBorders>
          </w:tcPr>
          <w:p>
            <w:pPr>
              <w:spacing w:after="0"/>
              <w:rPr>
                <w:sz w:val="16"/>
                <w:szCs w:val="16"/>
                <w:color w:val="auto"/>
              </w:rPr>
            </w:pPr>
          </w:p>
        </w:tc>
        <w:tc>
          <w:tcPr>
            <w:tcW w:w="340" w:type="dxa"/>
            <w:vAlign w:val="bottom"/>
            <w:tcBorders>
              <w:bottom w:val="single" w:sz="8" w:color="51555C"/>
            </w:tcBorders>
          </w:tcPr>
          <w:p>
            <w:pPr>
              <w:jc w:val="right"/>
              <w:ind w:right="277"/>
              <w:spacing w:after="0"/>
              <w:rPr>
                <w:sz w:val="20"/>
                <w:szCs w:val="20"/>
                <w:color w:val="auto"/>
              </w:rPr>
            </w:pPr>
            <w:r>
              <w:rPr>
                <w:rFonts w:ascii="Calibri" w:cs="Calibri" w:eastAsia="Calibri" w:hAnsi="Calibri"/>
                <w:sz w:val="5"/>
                <w:szCs w:val="5"/>
                <w:color w:val="51555C"/>
                <w:w w:val="76"/>
              </w:rPr>
              <w:t>$</w:t>
            </w:r>
          </w:p>
        </w:tc>
        <w:tc>
          <w:tcPr>
            <w:tcW w:w="940" w:type="dxa"/>
            <w:vAlign w:val="bottom"/>
            <w:tcBorders>
              <w:bottom w:val="single" w:sz="8" w:color="51555C"/>
            </w:tcBorders>
          </w:tcPr>
          <w:p>
            <w:pPr>
              <w:jc w:val="right"/>
              <w:ind w:right="63"/>
              <w:spacing w:after="0"/>
              <w:rPr>
                <w:sz w:val="20"/>
                <w:szCs w:val="20"/>
                <w:color w:val="auto"/>
              </w:rPr>
            </w:pPr>
            <w:r>
              <w:rPr>
                <w:rFonts w:ascii="Calibri" w:cs="Calibri" w:eastAsia="Calibri" w:hAnsi="Calibri"/>
                <w:sz w:val="11"/>
                <w:szCs w:val="11"/>
                <w:color w:val="51555C"/>
              </w:rPr>
              <w:t>105.1</w:t>
            </w:r>
          </w:p>
        </w:tc>
        <w:tc>
          <w:tcPr>
            <w:tcW w:w="260" w:type="dxa"/>
            <w:vAlign w:val="bottom"/>
            <w:tcBorders>
              <w:bottom w:val="single" w:sz="8" w:color="51555C"/>
            </w:tcBorders>
          </w:tcPr>
          <w:p>
            <w:pPr>
              <w:jc w:val="right"/>
              <w:ind w:right="143"/>
              <w:spacing w:after="0"/>
              <w:rPr>
                <w:sz w:val="20"/>
                <w:szCs w:val="20"/>
                <w:color w:val="auto"/>
              </w:rPr>
            </w:pPr>
            <w:r>
              <w:rPr>
                <w:rFonts w:ascii="Calibri" w:cs="Calibri" w:eastAsia="Calibri" w:hAnsi="Calibri"/>
                <w:sz w:val="11"/>
                <w:szCs w:val="11"/>
                <w:color w:val="51555C"/>
                <w:w w:val="70"/>
              </w:rPr>
              <w:t>$</w:t>
            </w:r>
          </w:p>
        </w:tc>
        <w:tc>
          <w:tcPr>
            <w:tcW w:w="1040" w:type="dxa"/>
            <w:vAlign w:val="bottom"/>
            <w:tcBorders>
              <w:bottom w:val="single" w:sz="8" w:color="51555C"/>
            </w:tcBorders>
          </w:tcPr>
          <w:p>
            <w:pPr>
              <w:jc w:val="right"/>
              <w:ind w:right="63"/>
              <w:spacing w:after="0"/>
              <w:rPr>
                <w:sz w:val="20"/>
                <w:szCs w:val="20"/>
                <w:color w:val="auto"/>
              </w:rPr>
            </w:pPr>
            <w:r>
              <w:rPr>
                <w:rFonts w:ascii="Calibri" w:cs="Calibri" w:eastAsia="Calibri" w:hAnsi="Calibri"/>
                <w:sz w:val="11"/>
                <w:szCs w:val="11"/>
                <w:color w:val="51555C"/>
              </w:rPr>
              <w:t>90.9</w:t>
            </w:r>
          </w:p>
        </w:tc>
      </w:tr>
      <w:tr>
        <w:trPr>
          <w:trHeight w:val="135"/>
        </w:trPr>
        <w:tc>
          <w:tcPr>
            <w:tcW w:w="20" w:type="dxa"/>
            <w:vAlign w:val="bottom"/>
            <w:tcBorders>
              <w:top w:val="single" w:sz="8" w:color="EBFBFF"/>
            </w:tcBorders>
          </w:tcPr>
          <w:p>
            <w:pPr>
              <w:spacing w:after="0"/>
              <w:rPr>
                <w:sz w:val="11"/>
                <w:szCs w:val="11"/>
                <w:color w:val="auto"/>
              </w:rPr>
            </w:pPr>
          </w:p>
        </w:tc>
        <w:tc>
          <w:tcPr>
            <w:tcW w:w="5940" w:type="dxa"/>
            <w:vAlign w:val="bottom"/>
            <w:tcBorders>
              <w:top w:val="single" w:sz="8" w:color="EBFBFF"/>
            </w:tcBorders>
          </w:tcPr>
          <w:p>
            <w:pPr>
              <w:spacing w:after="0"/>
              <w:rPr>
                <w:sz w:val="20"/>
                <w:szCs w:val="20"/>
                <w:color w:val="auto"/>
              </w:rPr>
            </w:pPr>
            <w:r>
              <w:rPr>
                <w:rFonts w:ascii="Calibri" w:cs="Calibri" w:eastAsia="Calibri" w:hAnsi="Calibri"/>
                <w:sz w:val="11"/>
                <w:szCs w:val="11"/>
                <w:color w:val="51555C"/>
              </w:rPr>
              <w:t>Shares used in computng non-GAAP diluted earnings per share</w:t>
            </w:r>
          </w:p>
        </w:tc>
        <w:tc>
          <w:tcPr>
            <w:tcW w:w="380" w:type="dxa"/>
            <w:vAlign w:val="bottom"/>
            <w:tcBorders>
              <w:top w:val="single" w:sz="8" w:color="EBFBFF"/>
            </w:tcBorders>
          </w:tcPr>
          <w:p>
            <w:pPr>
              <w:spacing w:after="0"/>
              <w:rPr>
                <w:sz w:val="11"/>
                <w:szCs w:val="11"/>
                <w:color w:val="auto"/>
              </w:rPr>
            </w:pPr>
          </w:p>
        </w:tc>
        <w:tc>
          <w:tcPr>
            <w:tcW w:w="940" w:type="dxa"/>
            <w:vAlign w:val="bottom"/>
            <w:tcBorders>
              <w:top w:val="single" w:sz="8" w:color="EBFBFF"/>
            </w:tcBorders>
          </w:tcPr>
          <w:p>
            <w:pPr>
              <w:jc w:val="right"/>
              <w:ind w:right="63"/>
              <w:spacing w:after="0"/>
              <w:rPr>
                <w:sz w:val="20"/>
                <w:szCs w:val="20"/>
                <w:color w:val="auto"/>
              </w:rPr>
            </w:pPr>
            <w:r>
              <w:rPr>
                <w:rFonts w:ascii="Calibri" w:cs="Calibri" w:eastAsia="Calibri" w:hAnsi="Calibri"/>
                <w:sz w:val="11"/>
                <w:szCs w:val="11"/>
                <w:color w:val="51555C"/>
              </w:rPr>
              <w:t>51,677,418</w:t>
            </w:r>
          </w:p>
        </w:tc>
        <w:tc>
          <w:tcPr>
            <w:tcW w:w="180" w:type="dxa"/>
            <w:vAlign w:val="bottom"/>
            <w:tcBorders>
              <w:top w:val="single" w:sz="8" w:color="EBFBFF"/>
            </w:tcBorders>
          </w:tcPr>
          <w:p>
            <w:pPr>
              <w:spacing w:after="0"/>
              <w:rPr>
                <w:sz w:val="11"/>
                <w:szCs w:val="11"/>
                <w:color w:val="auto"/>
              </w:rPr>
            </w:pPr>
          </w:p>
        </w:tc>
        <w:tc>
          <w:tcPr>
            <w:tcW w:w="1120" w:type="dxa"/>
            <w:vAlign w:val="bottom"/>
            <w:tcBorders>
              <w:top w:val="single" w:sz="8" w:color="EBFBFF"/>
            </w:tcBorders>
          </w:tcPr>
          <w:p>
            <w:pPr>
              <w:jc w:val="right"/>
              <w:ind w:right="63"/>
              <w:spacing w:after="0"/>
              <w:rPr>
                <w:sz w:val="20"/>
                <w:szCs w:val="20"/>
                <w:color w:val="auto"/>
              </w:rPr>
            </w:pPr>
            <w:r>
              <w:rPr>
                <w:rFonts w:ascii="Calibri" w:cs="Calibri" w:eastAsia="Calibri" w:hAnsi="Calibri"/>
                <w:sz w:val="11"/>
                <w:szCs w:val="11"/>
                <w:color w:val="51555C"/>
              </w:rPr>
              <w:t>53,643,124</w:t>
            </w:r>
          </w:p>
        </w:tc>
        <w:tc>
          <w:tcPr>
            <w:tcW w:w="120" w:type="dxa"/>
            <w:vAlign w:val="bottom"/>
            <w:tcBorders>
              <w:top w:val="single" w:sz="8" w:color="EBFBFF"/>
            </w:tcBorders>
          </w:tcPr>
          <w:p>
            <w:pPr>
              <w:spacing w:after="0"/>
              <w:rPr>
                <w:sz w:val="11"/>
                <w:szCs w:val="11"/>
                <w:color w:val="auto"/>
              </w:rPr>
            </w:pPr>
          </w:p>
        </w:tc>
        <w:tc>
          <w:tcPr>
            <w:tcW w:w="340" w:type="dxa"/>
            <w:vAlign w:val="bottom"/>
            <w:tcBorders>
              <w:top w:val="single" w:sz="8" w:color="EBFBFF"/>
            </w:tcBorders>
          </w:tcPr>
          <w:p>
            <w:pPr>
              <w:spacing w:after="0"/>
              <w:rPr>
                <w:sz w:val="11"/>
                <w:szCs w:val="11"/>
                <w:color w:val="auto"/>
              </w:rPr>
            </w:pPr>
          </w:p>
        </w:tc>
        <w:tc>
          <w:tcPr>
            <w:tcW w:w="940" w:type="dxa"/>
            <w:vAlign w:val="bottom"/>
            <w:tcBorders>
              <w:top w:val="single" w:sz="8" w:color="EBFBFF"/>
            </w:tcBorders>
          </w:tcPr>
          <w:p>
            <w:pPr>
              <w:jc w:val="right"/>
              <w:ind w:right="63"/>
              <w:spacing w:after="0"/>
              <w:rPr>
                <w:sz w:val="20"/>
                <w:szCs w:val="20"/>
                <w:color w:val="auto"/>
              </w:rPr>
            </w:pPr>
            <w:r>
              <w:rPr>
                <w:rFonts w:ascii="Calibri" w:cs="Calibri" w:eastAsia="Calibri" w:hAnsi="Calibri"/>
                <w:sz w:val="11"/>
                <w:szCs w:val="11"/>
                <w:color w:val="51555C"/>
              </w:rPr>
              <w:t>52,371,927</w:t>
            </w:r>
          </w:p>
        </w:tc>
        <w:tc>
          <w:tcPr>
            <w:tcW w:w="260" w:type="dxa"/>
            <w:vAlign w:val="bottom"/>
            <w:tcBorders>
              <w:top w:val="single" w:sz="8" w:color="EBFBFF"/>
            </w:tcBorders>
          </w:tcPr>
          <w:p>
            <w:pPr>
              <w:spacing w:after="0"/>
              <w:rPr>
                <w:sz w:val="11"/>
                <w:szCs w:val="11"/>
                <w:color w:val="auto"/>
              </w:rPr>
            </w:pPr>
          </w:p>
        </w:tc>
        <w:tc>
          <w:tcPr>
            <w:tcW w:w="1040" w:type="dxa"/>
            <w:vAlign w:val="bottom"/>
            <w:tcBorders>
              <w:top w:val="single" w:sz="8" w:color="EBFBFF"/>
            </w:tcBorders>
          </w:tcPr>
          <w:p>
            <w:pPr>
              <w:jc w:val="right"/>
              <w:ind w:right="63"/>
              <w:spacing w:after="0"/>
              <w:rPr>
                <w:sz w:val="20"/>
                <w:szCs w:val="20"/>
                <w:color w:val="auto"/>
              </w:rPr>
            </w:pPr>
            <w:r>
              <w:rPr>
                <w:rFonts w:ascii="Calibri" w:cs="Calibri" w:eastAsia="Calibri" w:hAnsi="Calibri"/>
                <w:sz w:val="11"/>
                <w:szCs w:val="11"/>
                <w:color w:val="51555C"/>
              </w:rPr>
              <w:t>53,168,985</w:t>
            </w:r>
          </w:p>
        </w:tc>
      </w:tr>
      <w:tr>
        <w:trPr>
          <w:trHeight w:val="46"/>
        </w:trPr>
        <w:tc>
          <w:tcPr>
            <w:tcW w:w="20" w:type="dxa"/>
            <w:vAlign w:val="bottom"/>
          </w:tcPr>
          <w:p>
            <w:pPr>
              <w:spacing w:after="0"/>
              <w:rPr>
                <w:sz w:val="3"/>
                <w:szCs w:val="3"/>
                <w:color w:val="auto"/>
              </w:rPr>
            </w:pPr>
          </w:p>
        </w:tc>
        <w:tc>
          <w:tcPr>
            <w:tcW w:w="5940" w:type="dxa"/>
            <w:vAlign w:val="bottom"/>
          </w:tcPr>
          <w:p>
            <w:pPr>
              <w:spacing w:after="0"/>
              <w:rPr>
                <w:sz w:val="3"/>
                <w:szCs w:val="3"/>
                <w:color w:val="auto"/>
              </w:rPr>
            </w:pPr>
          </w:p>
        </w:tc>
        <w:tc>
          <w:tcPr>
            <w:tcW w:w="3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160"/>
        </w:trPr>
        <w:tc>
          <w:tcPr>
            <w:tcW w:w="20" w:type="dxa"/>
            <w:vAlign w:val="bottom"/>
            <w:tcBorders>
              <w:bottom w:val="single" w:sz="8" w:color="EBFBFF"/>
            </w:tcBorders>
            <w:shd w:val="clear" w:color="auto" w:fill="EBFBFF"/>
          </w:tcPr>
          <w:p>
            <w:pPr>
              <w:spacing w:after="0"/>
              <w:rPr>
                <w:sz w:val="13"/>
                <w:szCs w:val="13"/>
                <w:color w:val="auto"/>
              </w:rPr>
            </w:pPr>
          </w:p>
        </w:tc>
        <w:tc>
          <w:tcPr>
            <w:tcW w:w="5940" w:type="dxa"/>
            <w:vAlign w:val="bottom"/>
            <w:tcBorders>
              <w:bottom w:val="single" w:sz="8" w:color="EBFBFF"/>
            </w:tcBorders>
            <w:shd w:val="clear" w:color="auto" w:fill="EBFBFF"/>
          </w:tcPr>
          <w:p>
            <w:pPr>
              <w:ind w:left="80"/>
              <w:spacing w:after="0"/>
              <w:rPr>
                <w:sz w:val="20"/>
                <w:szCs w:val="20"/>
                <w:color w:val="auto"/>
              </w:rPr>
            </w:pPr>
            <w:r>
              <w:rPr>
                <w:rFonts w:ascii="Calibri" w:cs="Calibri" w:eastAsia="Calibri" w:hAnsi="Calibri"/>
                <w:sz w:val="11"/>
                <w:szCs w:val="11"/>
                <w:b w:val="1"/>
                <w:bCs w:val="1"/>
                <w:color w:val="51555C"/>
              </w:rPr>
              <w:t>Non-GAAP diluted earnings per share</w:t>
            </w:r>
          </w:p>
        </w:tc>
        <w:tc>
          <w:tcPr>
            <w:tcW w:w="380" w:type="dxa"/>
            <w:vAlign w:val="bottom"/>
            <w:tcBorders>
              <w:bottom w:val="single" w:sz="8" w:color="EBFBFF"/>
            </w:tcBorders>
            <w:shd w:val="clear" w:color="auto" w:fill="EBFBFF"/>
          </w:tcPr>
          <w:p>
            <w:pPr>
              <w:jc w:val="right"/>
              <w:ind w:right="243"/>
              <w:spacing w:after="0"/>
              <w:rPr>
                <w:sz w:val="20"/>
                <w:szCs w:val="20"/>
                <w:color w:val="auto"/>
              </w:rPr>
            </w:pPr>
            <w:r>
              <w:rPr>
                <w:rFonts w:ascii="Calibri" w:cs="Calibri" w:eastAsia="Calibri" w:hAnsi="Calibri"/>
                <w:sz w:val="11"/>
                <w:szCs w:val="11"/>
                <w:color w:val="51555C"/>
              </w:rPr>
              <w:t>$</w:t>
            </w:r>
          </w:p>
        </w:tc>
        <w:tc>
          <w:tcPr>
            <w:tcW w:w="940" w:type="dxa"/>
            <w:vAlign w:val="bottom"/>
            <w:tcBorders>
              <w:bottom w:val="single" w:sz="8" w:color="EBFBFF"/>
            </w:tcBorders>
            <w:shd w:val="clear" w:color="auto" w:fill="EBFBFF"/>
          </w:tcPr>
          <w:p>
            <w:pPr>
              <w:jc w:val="right"/>
              <w:ind w:right="63"/>
              <w:spacing w:after="0"/>
              <w:rPr>
                <w:sz w:val="20"/>
                <w:szCs w:val="20"/>
                <w:color w:val="auto"/>
              </w:rPr>
            </w:pPr>
            <w:r>
              <w:rPr>
                <w:rFonts w:ascii="Calibri" w:cs="Calibri" w:eastAsia="Calibri" w:hAnsi="Calibri"/>
                <w:sz w:val="11"/>
                <w:szCs w:val="11"/>
                <w:color w:val="51555C"/>
              </w:rPr>
              <w:t>1.08</w:t>
            </w:r>
          </w:p>
        </w:tc>
        <w:tc>
          <w:tcPr>
            <w:tcW w:w="180" w:type="dxa"/>
            <w:vAlign w:val="bottom"/>
            <w:tcBorders>
              <w:bottom w:val="single" w:sz="8" w:color="EBFBFF"/>
            </w:tcBorders>
            <w:shd w:val="clear" w:color="auto" w:fill="EBFBFF"/>
          </w:tcPr>
          <w:p>
            <w:pPr>
              <w:jc w:val="right"/>
              <w:ind w:right="63"/>
              <w:spacing w:after="0"/>
              <w:rPr>
                <w:sz w:val="20"/>
                <w:szCs w:val="20"/>
                <w:color w:val="auto"/>
              </w:rPr>
            </w:pPr>
            <w:r>
              <w:rPr>
                <w:rFonts w:ascii="Calibri" w:cs="Calibri" w:eastAsia="Calibri" w:hAnsi="Calibri"/>
                <w:sz w:val="11"/>
                <w:szCs w:val="11"/>
                <w:color w:val="51555C"/>
                <w:w w:val="70"/>
              </w:rPr>
              <w:t>$</w:t>
            </w:r>
          </w:p>
        </w:tc>
        <w:tc>
          <w:tcPr>
            <w:tcW w:w="1120" w:type="dxa"/>
            <w:vAlign w:val="bottom"/>
            <w:tcBorders>
              <w:bottom w:val="single" w:sz="8" w:color="EBFBFF"/>
            </w:tcBorders>
            <w:shd w:val="clear" w:color="auto" w:fill="EBFBFF"/>
          </w:tcPr>
          <w:p>
            <w:pPr>
              <w:jc w:val="right"/>
              <w:ind w:right="63"/>
              <w:spacing w:after="0"/>
              <w:rPr>
                <w:sz w:val="20"/>
                <w:szCs w:val="20"/>
                <w:color w:val="auto"/>
              </w:rPr>
            </w:pPr>
            <w:r>
              <w:rPr>
                <w:rFonts w:ascii="Calibri" w:cs="Calibri" w:eastAsia="Calibri" w:hAnsi="Calibri"/>
                <w:sz w:val="11"/>
                <w:szCs w:val="11"/>
                <w:color w:val="51555C"/>
              </w:rPr>
              <w:t>0.98</w:t>
            </w:r>
          </w:p>
        </w:tc>
        <w:tc>
          <w:tcPr>
            <w:tcW w:w="460" w:type="dxa"/>
            <w:vAlign w:val="bottom"/>
            <w:tcBorders>
              <w:bottom w:val="single" w:sz="8" w:color="EBFBFF"/>
            </w:tcBorders>
            <w:gridSpan w:val="2"/>
            <w:shd w:val="clear" w:color="auto" w:fill="EBFBFF"/>
          </w:tcPr>
          <w:p>
            <w:pPr>
              <w:jc w:val="right"/>
              <w:ind w:right="277"/>
              <w:spacing w:after="0"/>
              <w:rPr>
                <w:sz w:val="20"/>
                <w:szCs w:val="20"/>
                <w:color w:val="auto"/>
              </w:rPr>
            </w:pPr>
            <w:r>
              <w:rPr>
                <w:rFonts w:ascii="Calibri" w:cs="Calibri" w:eastAsia="Calibri" w:hAnsi="Calibri"/>
                <w:sz w:val="11"/>
                <w:szCs w:val="11"/>
                <w:color w:val="51555C"/>
              </w:rPr>
              <w:t>$</w:t>
            </w:r>
          </w:p>
        </w:tc>
        <w:tc>
          <w:tcPr>
            <w:tcW w:w="940" w:type="dxa"/>
            <w:vAlign w:val="bottom"/>
            <w:tcBorders>
              <w:bottom w:val="single" w:sz="8" w:color="EBFBFF"/>
            </w:tcBorders>
            <w:shd w:val="clear" w:color="auto" w:fill="EBFBFF"/>
          </w:tcPr>
          <w:p>
            <w:pPr>
              <w:jc w:val="right"/>
              <w:ind w:right="63"/>
              <w:spacing w:after="0"/>
              <w:rPr>
                <w:sz w:val="20"/>
                <w:szCs w:val="20"/>
                <w:color w:val="auto"/>
              </w:rPr>
            </w:pPr>
            <w:r>
              <w:rPr>
                <w:rFonts w:ascii="Calibri" w:cs="Calibri" w:eastAsia="Calibri" w:hAnsi="Calibri"/>
                <w:sz w:val="11"/>
                <w:szCs w:val="11"/>
                <w:color w:val="51555C"/>
              </w:rPr>
              <w:t>2.01</w:t>
            </w:r>
          </w:p>
        </w:tc>
        <w:tc>
          <w:tcPr>
            <w:tcW w:w="260" w:type="dxa"/>
            <w:vAlign w:val="bottom"/>
            <w:tcBorders>
              <w:bottom w:val="single" w:sz="8" w:color="EBFBFF"/>
            </w:tcBorders>
            <w:shd w:val="clear" w:color="auto" w:fill="EBFBFF"/>
          </w:tcPr>
          <w:p>
            <w:pPr>
              <w:jc w:val="right"/>
              <w:ind w:right="143"/>
              <w:spacing w:after="0"/>
              <w:rPr>
                <w:sz w:val="20"/>
                <w:szCs w:val="20"/>
                <w:color w:val="auto"/>
              </w:rPr>
            </w:pPr>
            <w:r>
              <w:rPr>
                <w:rFonts w:ascii="Calibri" w:cs="Calibri" w:eastAsia="Calibri" w:hAnsi="Calibri"/>
                <w:sz w:val="11"/>
                <w:szCs w:val="11"/>
                <w:color w:val="51555C"/>
                <w:w w:val="70"/>
              </w:rPr>
              <w:t>$</w:t>
            </w:r>
          </w:p>
        </w:tc>
        <w:tc>
          <w:tcPr>
            <w:tcW w:w="1040" w:type="dxa"/>
            <w:vAlign w:val="bottom"/>
            <w:tcBorders>
              <w:bottom w:val="single" w:sz="8" w:color="EBFBFF"/>
            </w:tcBorders>
            <w:shd w:val="clear" w:color="auto" w:fill="EBFBFF"/>
          </w:tcPr>
          <w:p>
            <w:pPr>
              <w:jc w:val="right"/>
              <w:ind w:right="63"/>
              <w:spacing w:after="0"/>
              <w:rPr>
                <w:sz w:val="20"/>
                <w:szCs w:val="20"/>
                <w:color w:val="auto"/>
              </w:rPr>
            </w:pPr>
            <w:r>
              <w:rPr>
                <w:rFonts w:ascii="Calibri" w:cs="Calibri" w:eastAsia="Calibri" w:hAnsi="Calibri"/>
                <w:sz w:val="11"/>
                <w:szCs w:val="11"/>
                <w:color w:val="51555C"/>
              </w:rPr>
              <w:t>1.71</w:t>
            </w:r>
          </w:p>
        </w:tc>
      </w:tr>
      <w:tr>
        <w:trPr>
          <w:trHeight w:val="20"/>
        </w:trPr>
        <w:tc>
          <w:tcPr>
            <w:tcW w:w="20" w:type="dxa"/>
            <w:vAlign w:val="bottom"/>
            <w:shd w:val="clear" w:color="auto" w:fill="0CD973"/>
          </w:tcPr>
          <w:p>
            <w:pPr>
              <w:spacing w:after="0" w:line="20" w:lineRule="exact"/>
              <w:rPr>
                <w:sz w:val="1"/>
                <w:szCs w:val="1"/>
                <w:color w:val="auto"/>
              </w:rPr>
            </w:pPr>
          </w:p>
        </w:tc>
        <w:tc>
          <w:tcPr>
            <w:tcW w:w="5940" w:type="dxa"/>
            <w:vAlign w:val="bottom"/>
            <w:shd w:val="clear" w:color="auto" w:fill="0CD973"/>
          </w:tcPr>
          <w:p>
            <w:pPr>
              <w:spacing w:after="0" w:line="20" w:lineRule="exact"/>
              <w:rPr>
                <w:sz w:val="1"/>
                <w:szCs w:val="1"/>
                <w:color w:val="auto"/>
              </w:rPr>
            </w:pPr>
          </w:p>
        </w:tc>
        <w:tc>
          <w:tcPr>
            <w:tcW w:w="380" w:type="dxa"/>
            <w:vAlign w:val="bottom"/>
            <w:shd w:val="clear" w:color="auto" w:fill="0CD973"/>
          </w:tcPr>
          <w:p>
            <w:pPr>
              <w:spacing w:after="0" w:line="20" w:lineRule="exact"/>
              <w:rPr>
                <w:sz w:val="1"/>
                <w:szCs w:val="1"/>
                <w:color w:val="auto"/>
              </w:rPr>
            </w:pPr>
          </w:p>
        </w:tc>
        <w:tc>
          <w:tcPr>
            <w:tcW w:w="940" w:type="dxa"/>
            <w:vAlign w:val="bottom"/>
            <w:shd w:val="clear" w:color="auto" w:fill="0CD973"/>
          </w:tcPr>
          <w:p>
            <w:pPr>
              <w:spacing w:after="0" w:line="20" w:lineRule="exact"/>
              <w:rPr>
                <w:sz w:val="1"/>
                <w:szCs w:val="1"/>
                <w:color w:val="auto"/>
              </w:rPr>
            </w:pPr>
          </w:p>
        </w:tc>
        <w:tc>
          <w:tcPr>
            <w:tcW w:w="180" w:type="dxa"/>
            <w:vAlign w:val="bottom"/>
            <w:shd w:val="clear" w:color="auto" w:fill="0CD973"/>
          </w:tcPr>
          <w:p>
            <w:pPr>
              <w:spacing w:after="0" w:line="20" w:lineRule="exact"/>
              <w:rPr>
                <w:sz w:val="1"/>
                <w:szCs w:val="1"/>
                <w:color w:val="auto"/>
              </w:rPr>
            </w:pPr>
          </w:p>
        </w:tc>
        <w:tc>
          <w:tcPr>
            <w:tcW w:w="1120" w:type="dxa"/>
            <w:vAlign w:val="bottom"/>
            <w:shd w:val="clear" w:color="auto" w:fill="0CD973"/>
          </w:tcPr>
          <w:p>
            <w:pPr>
              <w:spacing w:after="0" w:line="20" w:lineRule="exact"/>
              <w:rPr>
                <w:sz w:val="1"/>
                <w:szCs w:val="1"/>
                <w:color w:val="auto"/>
              </w:rPr>
            </w:pPr>
          </w:p>
        </w:tc>
        <w:tc>
          <w:tcPr>
            <w:tcW w:w="120" w:type="dxa"/>
            <w:vAlign w:val="bottom"/>
            <w:tcBorders>
              <w:right w:val="single" w:sz="8" w:color="0CD973"/>
            </w:tcBorders>
            <w:shd w:val="clear" w:color="auto" w:fill="0CD973"/>
          </w:tcPr>
          <w:p>
            <w:pPr>
              <w:spacing w:after="0" w:line="20" w:lineRule="exact"/>
              <w:rPr>
                <w:sz w:val="1"/>
                <w:szCs w:val="1"/>
                <w:color w:val="auto"/>
              </w:rPr>
            </w:pPr>
          </w:p>
        </w:tc>
        <w:tc>
          <w:tcPr>
            <w:tcW w:w="340" w:type="dxa"/>
            <w:vAlign w:val="bottom"/>
            <w:shd w:val="clear" w:color="auto" w:fill="0CD973"/>
          </w:tcPr>
          <w:p>
            <w:pPr>
              <w:spacing w:after="0" w:line="20" w:lineRule="exact"/>
              <w:rPr>
                <w:sz w:val="1"/>
                <w:szCs w:val="1"/>
                <w:color w:val="auto"/>
              </w:rPr>
            </w:pPr>
          </w:p>
        </w:tc>
        <w:tc>
          <w:tcPr>
            <w:tcW w:w="940" w:type="dxa"/>
            <w:vAlign w:val="bottom"/>
            <w:shd w:val="clear" w:color="auto" w:fill="0CD973"/>
          </w:tcPr>
          <w:p>
            <w:pPr>
              <w:spacing w:after="0" w:line="20" w:lineRule="exact"/>
              <w:rPr>
                <w:sz w:val="1"/>
                <w:szCs w:val="1"/>
                <w:color w:val="auto"/>
              </w:rPr>
            </w:pPr>
          </w:p>
        </w:tc>
        <w:tc>
          <w:tcPr>
            <w:tcW w:w="260" w:type="dxa"/>
            <w:vAlign w:val="bottom"/>
            <w:shd w:val="clear" w:color="auto" w:fill="0CD973"/>
          </w:tcPr>
          <w:p>
            <w:pPr>
              <w:spacing w:after="0" w:line="20" w:lineRule="exact"/>
              <w:rPr>
                <w:sz w:val="1"/>
                <w:szCs w:val="1"/>
                <w:color w:val="auto"/>
              </w:rPr>
            </w:pPr>
          </w:p>
        </w:tc>
        <w:tc>
          <w:tcPr>
            <w:tcW w:w="1040" w:type="dxa"/>
            <w:vAlign w:val="bottom"/>
            <w:shd w:val="clear" w:color="auto" w:fill="0CD973"/>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3789680</wp:posOffset>
            </wp:positionH>
            <wp:positionV relativeFrom="paragraph">
              <wp:posOffset>-4075430</wp:posOffset>
            </wp:positionV>
            <wp:extent cx="3375660" cy="69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375660" cy="6985"/>
                    </a:xfrm>
                    <a:prstGeom prst="rect">
                      <a:avLst/>
                    </a:prstGeom>
                    <a:noFill/>
                  </pic:spPr>
                </pic:pic>
              </a:graphicData>
            </a:graphic>
          </wp:anchor>
        </w:drawing>
      </w:r>
    </w:p>
    <w:p>
      <w:pPr>
        <w:spacing w:after="0" w:line="32" w:lineRule="exact"/>
        <w:rPr>
          <w:sz w:val="20"/>
          <w:szCs w:val="20"/>
          <w:color w:val="auto"/>
        </w:rPr>
      </w:pPr>
    </w:p>
    <w:p>
      <w:pPr>
        <w:ind w:left="260" w:hanging="255"/>
        <w:spacing w:after="0"/>
        <w:tabs>
          <w:tab w:leader="none" w:pos="260" w:val="left"/>
        </w:tabs>
        <w:numPr>
          <w:ilvl w:val="0"/>
          <w:numId w:val="27"/>
        </w:numPr>
        <w:rPr>
          <w:rFonts w:ascii="Calibri" w:cs="Calibri" w:eastAsia="Calibri" w:hAnsi="Calibri"/>
          <w:sz w:val="11"/>
          <w:szCs w:val="11"/>
          <w:color w:val="51555C"/>
        </w:rPr>
      </w:pPr>
      <w:r>
        <w:rPr>
          <w:rFonts w:ascii="Calibri" w:cs="Calibri" w:eastAsia="Calibri" w:hAnsi="Calibri"/>
          <w:sz w:val="11"/>
          <w:szCs w:val="11"/>
          <w:color w:val="51555C"/>
        </w:rPr>
        <w:t>The individual amounts for each year may not sum to subtotal, non-GAAP gross proft, non-GAAP income from operatons, non-GAAP income before provision for income taxes or non-GAAP net income due to rounding.</w:t>
      </w:r>
    </w:p>
    <w:p>
      <w:pPr>
        <w:jc w:val="both"/>
        <w:ind w:left="260" w:hanging="255"/>
        <w:spacing w:after="0" w:line="241" w:lineRule="auto"/>
        <w:tabs>
          <w:tab w:leader="none" w:pos="258" w:val="left"/>
        </w:tabs>
        <w:numPr>
          <w:ilvl w:val="0"/>
          <w:numId w:val="27"/>
        </w:numPr>
        <w:rPr>
          <w:rFonts w:ascii="Calibri" w:cs="Calibri" w:eastAsia="Calibri" w:hAnsi="Calibri"/>
          <w:sz w:val="11"/>
          <w:szCs w:val="11"/>
          <w:color w:val="51555C"/>
        </w:rPr>
      </w:pPr>
      <w:r>
        <w:rPr>
          <w:rFonts w:ascii="Calibri" w:cs="Calibri" w:eastAsia="Calibri" w:hAnsi="Calibri"/>
          <w:sz w:val="11"/>
          <w:szCs w:val="11"/>
          <w:color w:val="51555C"/>
        </w:rPr>
        <w:t>Includes Security Incident-related costs incurred during the three and six months ended June 30, 2024 of $1.8 million and $12.1 million, respectvely, which includes approximately $0.0 million and $7.0 million, respectvely, in recorded liabilites for loss contngencies and during the three and six months ended June 30, 2023 of $26.8 million and $44.6 million, respectvely, which included approximately $19.8 million and $30.0 million, respectvely, in recorded aggregate liabilites for loss contngencies. Recorded expenses consisted primarily of payments to third-party service providers and consultants, including legal fees, as well as setlements of customer claims, negotated setlements and accruals for certain loss contngencies. Not included in this adjustment were costs associated with enhancements to our cybersecurity program. For full year 2024, we currently expect pre-tax expenses of approximately $5 million to $10 million and cash outlays of approximately $8 million to $13 million for ongoing legal fees related to the Security Incident. Not included in these ranges are our previous setlements or current accruals for loss contngencies related to the maters discussed below. In line with our policy, legal fees are expensed as incurred. As of June 30, 2024, we have recorded approximately $8.5 million in aggregate liabilites for loss contngencies, which included $6.8 million for our setlement with the Atorney General of the State of California on June 13, 2024 that we paid in the third quarter of 2024, and other accruals based primarily on recent negotatons with certain customers related to the Security Incident that we believe we can reasonably estmate. It is reasonably possible that our estmated or actual losses may change in the near term for those maters and be materially in excess of the amounts accrued, but we are unable at this tme to reasonably estmate the possible additonal loss. There are other Security Incident-related maters, including customer claims, customer consttuent class actons and governmental investgatons, for which we have not recorded a liability for a loss contngency as of June 30, 2024 because we are unable at this tme to reasonably estmate the possible loss or range of loss. Each of these maters could, separately or in the aggregate, result in an adverse judgment, setlement, fne, penalty or other resoluton, the amount, scope and tming of which we are currently unable to predict, but could have a material adverse impact on our results of operatons, cash fows or fnancial conditon.</w:t>
      </w:r>
    </w:p>
    <w:p>
      <w:pPr>
        <w:spacing w:after="0" w:line="284" w:lineRule="exact"/>
        <w:rPr>
          <w:sz w:val="20"/>
          <w:szCs w:val="20"/>
          <w:color w:val="auto"/>
        </w:rPr>
      </w:pPr>
    </w:p>
    <w:p>
      <w:pPr>
        <w:ind w:left="20"/>
        <w:spacing w:after="0"/>
        <w:tabs>
          <w:tab w:leader="none" w:pos="589" w:val="left"/>
        </w:tabs>
        <w:rPr>
          <w:sz w:val="20"/>
          <w:szCs w:val="20"/>
          <w:color w:val="auto"/>
        </w:rPr>
      </w:pPr>
      <w:r>
        <w:rPr>
          <w:rFonts w:ascii="Calibri" w:cs="Calibri" w:eastAsia="Calibri" w:hAnsi="Calibri"/>
          <w:sz w:val="11"/>
          <w:szCs w:val="11"/>
          <w:color w:val="51555C"/>
        </w:rPr>
        <w:t>40</w:t>
      </w:r>
      <w:r>
        <w:rPr>
          <w:sz w:val="20"/>
          <w:szCs w:val="20"/>
          <w:color w:val="auto"/>
        </w:rPr>
        <w:tab/>
      </w:r>
      <w:r>
        <w:rPr>
          <w:sz w:val="1"/>
          <w:szCs w:val="1"/>
          <w:color w:val="auto"/>
        </w:rPr>
        <w:drawing>
          <wp:inline distT="0" distB="0" distL="0" distR="0">
            <wp:extent cx="511810" cy="134620"/>
            <wp:effectExtent l="0" t="0" r="0"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1810" cy="134620"/>
                    </a:xfrm>
                    <a:prstGeom prst="rect">
                      <a:avLst/>
                    </a:prstGeom>
                    <a:noFill/>
                    <a:ln>
                      <a:noFill/>
                    </a:ln>
                  </pic:spPr>
                </pic:pic>
              </a:graphicData>
            </a:graphic>
          </wp:inline>
        </w:drawing>
      </w:r>
      <w:r>
        <w:rPr>
          <w:rFonts w:ascii="Calibri" w:cs="Calibri" w:eastAsia="Calibri" w:hAnsi="Calibri"/>
          <w:sz w:val="11"/>
          <w:szCs w:val="11"/>
          <w:color w:val="51555C"/>
        </w:rPr>
        <w:t xml:space="preserve">    Second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128905</wp:posOffset>
            </wp:positionV>
            <wp:extent cx="7186930"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41" w:name="page42"/>
    <w:bookmarkEnd w:id="41"/>
    <w:p>
      <w:pPr>
        <w:spacing w:after="0"/>
        <w:rPr>
          <w:sz w:val="20"/>
          <w:szCs w:val="20"/>
          <w:color w:val="auto"/>
        </w:rPr>
      </w:pPr>
      <w:r>
        <w:rPr>
          <w:rFonts w:ascii="Calibri" w:cs="Calibri" w:eastAsia="Calibri" w:hAnsi="Calibri"/>
          <w:sz w:val="11"/>
          <w:szCs w:val="11"/>
          <w:u w:val="single" w:color="auto"/>
          <w:color w:val="7A04DD"/>
        </w:rPr>
        <w:t>Table of Contents</w:t>
      </w:r>
    </w:p>
    <w:p>
      <w:pPr>
        <w:spacing w:after="0" w:line="196" w:lineRule="exact"/>
        <w:rPr>
          <w:sz w:val="20"/>
          <w:szCs w:val="20"/>
          <w:color w:val="auto"/>
        </w:rPr>
      </w:pPr>
    </w:p>
    <w:p>
      <w:pPr>
        <w:jc w:val="center"/>
        <w:ind w:right="20"/>
        <w:spacing w:after="0"/>
        <w:rPr>
          <w:sz w:val="20"/>
          <w:szCs w:val="20"/>
          <w:color w:val="auto"/>
        </w:rPr>
      </w:pPr>
      <w:r>
        <w:rPr>
          <w:rFonts w:ascii="Calibri" w:cs="Calibri" w:eastAsia="Calibri" w:hAnsi="Calibri"/>
          <w:sz w:val="14"/>
          <w:szCs w:val="14"/>
          <w:b w:val="1"/>
          <w:bCs w:val="1"/>
          <w:color w:val="51555C"/>
        </w:rPr>
        <w:t>Blackbaud, Inc.</w:t>
      </w:r>
    </w:p>
    <w:p>
      <w:pPr>
        <w:jc w:val="center"/>
        <w:ind w:right="20"/>
        <w:spacing w:after="0" w:line="238" w:lineRule="auto"/>
        <w:rPr>
          <w:sz w:val="20"/>
          <w:szCs w:val="20"/>
          <w:color w:val="auto"/>
        </w:rPr>
      </w:pPr>
      <w:r>
        <w:rPr>
          <w:rFonts w:ascii="Calibri" w:cs="Calibri" w:eastAsia="Calibri" w:hAnsi="Calibri"/>
          <w:sz w:val="14"/>
          <w:szCs w:val="14"/>
          <w:b w:val="1"/>
          <w:bCs w:val="1"/>
          <w:color w:val="51555C"/>
        </w:rPr>
        <w:t>(Unaudited)</w:t>
      </w:r>
    </w:p>
    <w:p>
      <w:pPr>
        <w:spacing w:after="0" w:line="348" w:lineRule="exact"/>
        <w:rPr>
          <w:sz w:val="20"/>
          <w:szCs w:val="20"/>
          <w:color w:val="auto"/>
        </w:rPr>
      </w:pPr>
    </w:p>
    <w:p>
      <w:pPr>
        <w:ind w:left="260" w:right="20" w:hanging="255"/>
        <w:spacing w:after="0" w:line="247" w:lineRule="auto"/>
        <w:tabs>
          <w:tab w:leader="none" w:pos="258" w:val="left"/>
        </w:tabs>
        <w:numPr>
          <w:ilvl w:val="0"/>
          <w:numId w:val="28"/>
        </w:numPr>
        <w:rPr>
          <w:rFonts w:ascii="Calibri" w:cs="Calibri" w:eastAsia="Calibri" w:hAnsi="Calibri"/>
          <w:sz w:val="11"/>
          <w:szCs w:val="11"/>
          <w:color w:val="51555C"/>
        </w:rPr>
      </w:pPr>
      <w:r>
        <w:rPr>
          <w:rFonts w:ascii="Calibri" w:cs="Calibri" w:eastAsia="Calibri" w:hAnsi="Calibri"/>
          <w:sz w:val="11"/>
          <w:szCs w:val="11"/>
          <w:color w:val="51555C"/>
        </w:rPr>
        <w:t>Beginning in 2024, we now apply a non-GAAP efectve tax rate of 24.5% when calculatng non-GAAP net income and non-GAAP diluted earnings per share. For the three and six months ended June 30, 2023, the tax impact related to non-GAAP adjustments is calculated under our historical non-GAAP efectve tax rate of 20.0%.</w:t>
      </w:r>
    </w:p>
    <w:p>
      <w:pPr>
        <w:spacing w:after="0" w:line="129" w:lineRule="exact"/>
        <w:rPr>
          <w:sz w:val="20"/>
          <w:szCs w:val="20"/>
          <w:color w:val="auto"/>
        </w:rPr>
      </w:pPr>
    </w:p>
    <w:p>
      <w:pPr>
        <w:spacing w:after="0"/>
        <w:rPr>
          <w:sz w:val="20"/>
          <w:szCs w:val="20"/>
          <w:color w:val="auto"/>
        </w:rPr>
      </w:pPr>
      <w:r>
        <w:rPr>
          <w:rFonts w:ascii="Calibri" w:cs="Calibri" w:eastAsia="Calibri" w:hAnsi="Calibri"/>
          <w:sz w:val="14"/>
          <w:szCs w:val="14"/>
          <w:i w:val="1"/>
          <w:iCs w:val="1"/>
          <w:color w:val="51555C"/>
        </w:rPr>
        <w:t>Non-GAAP organic revenue growth</w:t>
      </w:r>
    </w:p>
    <w:p>
      <w:pPr>
        <w:spacing w:after="0" w:line="129" w:lineRule="exact"/>
        <w:rPr>
          <w:sz w:val="20"/>
          <w:szCs w:val="20"/>
          <w:color w:val="auto"/>
        </w:rPr>
      </w:pPr>
    </w:p>
    <w:p>
      <w:pPr>
        <w:jc w:val="both"/>
        <w:ind w:right="20"/>
        <w:spacing w:after="0" w:line="238" w:lineRule="auto"/>
        <w:rPr>
          <w:sz w:val="20"/>
          <w:szCs w:val="20"/>
          <w:color w:val="auto"/>
        </w:rPr>
      </w:pPr>
      <w:r>
        <w:rPr>
          <w:rFonts w:ascii="Calibri" w:cs="Calibri" w:eastAsia="Calibri" w:hAnsi="Calibri"/>
          <w:sz w:val="14"/>
          <w:szCs w:val="14"/>
          <w:color w:val="51555C"/>
        </w:rPr>
        <w:t>In additon, we use non-GAAP organic revenue growth, non-GAAP organic revenue growth on a constant currency basis, non-GAAP organic recurring revenue growth and non-GAAP organic recurring revenue growth on a constant currency basis in analyzing our operatng performance. We believe that these non-GAAP measures are useful to investors, as a supplement to GAAP measures, for evaluatng the periodic growth of our business on a consistent basis. Each of these measures of non-GAAP organic revenue growth excludes incremental acquisiton-related revenue atributable to companies acquired in the current fscal year. For companies, if any, acquired in the immediately preceding fscal year, each of these non-GAAP organic revenue growth measures refects presentaton of full year incremental non-GAAP revenue derived from such companies as if they were combined throughout the prior period. In additon, each of these non-GAAP organic revenue growth measures excludes prior period revenue associated with divested businesses. The exclusion of the prior period revenue is to present the results of the divested businesses within the results of the combined company for the same period of tme in both the prior and current periods. We believe this presentaton provides a more comparable representaton of our current business’ organic revenue growth and revenue run-rate.</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6060" w:type="dxa"/>
            <w:vAlign w:val="bottom"/>
            <w:shd w:val="clear" w:color="auto" w:fill="004054"/>
          </w:tcPr>
          <w:p>
            <w:pPr>
              <w:spacing w:after="0"/>
              <w:rPr>
                <w:sz w:val="11"/>
                <w:szCs w:val="11"/>
                <w:color w:val="auto"/>
              </w:rPr>
            </w:pPr>
          </w:p>
        </w:tc>
        <w:tc>
          <w:tcPr>
            <w:tcW w:w="500" w:type="dxa"/>
            <w:vAlign w:val="bottom"/>
            <w:shd w:val="clear" w:color="auto" w:fill="004054"/>
          </w:tcPr>
          <w:p>
            <w:pPr>
              <w:spacing w:after="0"/>
              <w:rPr>
                <w:sz w:val="11"/>
                <w:szCs w:val="11"/>
                <w:color w:val="auto"/>
              </w:rPr>
            </w:pPr>
          </w:p>
        </w:tc>
        <w:tc>
          <w:tcPr>
            <w:tcW w:w="820" w:type="dxa"/>
            <w:vAlign w:val="bottom"/>
            <w:shd w:val="clear" w:color="auto" w:fill="004054"/>
          </w:tcPr>
          <w:p>
            <w:pPr>
              <w:spacing w:after="0"/>
              <w:rPr>
                <w:sz w:val="11"/>
                <w:szCs w:val="11"/>
                <w:color w:val="auto"/>
              </w:rPr>
            </w:pPr>
          </w:p>
        </w:tc>
        <w:tc>
          <w:tcPr>
            <w:tcW w:w="160" w:type="dxa"/>
            <w:vAlign w:val="bottom"/>
            <w:shd w:val="clear" w:color="auto" w:fill="004054"/>
          </w:tcPr>
          <w:p>
            <w:pPr>
              <w:spacing w:after="0"/>
              <w:rPr>
                <w:sz w:val="11"/>
                <w:szCs w:val="11"/>
                <w:color w:val="auto"/>
              </w:rPr>
            </w:pPr>
          </w:p>
        </w:tc>
        <w:tc>
          <w:tcPr>
            <w:tcW w:w="1100" w:type="dxa"/>
            <w:vAlign w:val="bottom"/>
            <w:tcBorders>
              <w:right w:val="single" w:sz="8" w:color="004054"/>
            </w:tcBorders>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Three months ended</w:t>
            </w:r>
          </w:p>
        </w:tc>
        <w:tc>
          <w:tcPr>
            <w:tcW w:w="80" w:type="dxa"/>
            <w:vAlign w:val="bottom"/>
          </w:tcPr>
          <w:p>
            <w:pPr>
              <w:spacing w:after="0"/>
              <w:rPr>
                <w:sz w:val="11"/>
                <w:szCs w:val="11"/>
                <w:color w:val="auto"/>
              </w:rPr>
            </w:pPr>
          </w:p>
        </w:tc>
        <w:tc>
          <w:tcPr>
            <w:tcW w:w="500" w:type="dxa"/>
            <w:vAlign w:val="bottom"/>
            <w:shd w:val="clear" w:color="auto" w:fill="004054"/>
          </w:tcPr>
          <w:p>
            <w:pPr>
              <w:spacing w:after="0"/>
              <w:rPr>
                <w:sz w:val="11"/>
                <w:szCs w:val="11"/>
                <w:color w:val="auto"/>
              </w:rPr>
            </w:pPr>
          </w:p>
        </w:tc>
        <w:tc>
          <w:tcPr>
            <w:tcW w:w="820" w:type="dxa"/>
            <w:vAlign w:val="bottom"/>
            <w:shd w:val="clear" w:color="auto" w:fill="004054"/>
          </w:tcPr>
          <w:p>
            <w:pPr>
              <w:spacing w:after="0"/>
              <w:rPr>
                <w:sz w:val="11"/>
                <w:szCs w:val="11"/>
                <w:color w:val="auto"/>
              </w:rPr>
            </w:pPr>
          </w:p>
        </w:tc>
        <w:tc>
          <w:tcPr>
            <w:tcW w:w="240" w:type="dxa"/>
            <w:vAlign w:val="bottom"/>
            <w:shd w:val="clear" w:color="auto" w:fill="004054"/>
          </w:tcPr>
          <w:p>
            <w:pPr>
              <w:spacing w:after="0"/>
              <w:rPr>
                <w:sz w:val="11"/>
                <w:szCs w:val="11"/>
                <w:color w:val="auto"/>
              </w:rPr>
            </w:pPr>
          </w:p>
        </w:tc>
        <w:tc>
          <w:tcPr>
            <w:tcW w:w="100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Six months ended</w:t>
            </w:r>
          </w:p>
        </w:tc>
        <w:tc>
          <w:tcPr>
            <w:tcW w:w="20" w:type="dxa"/>
            <w:vAlign w:val="bottom"/>
            <w:shd w:val="clear" w:color="auto" w:fill="004054"/>
          </w:tcPr>
          <w:p>
            <w:pPr>
              <w:spacing w:after="0"/>
              <w:rPr>
                <w:sz w:val="11"/>
                <w:szCs w:val="11"/>
                <w:color w:val="auto"/>
              </w:rPr>
            </w:pPr>
          </w:p>
        </w:tc>
      </w:tr>
      <w:tr>
        <w:trPr>
          <w:trHeight w:val="135"/>
        </w:trPr>
        <w:tc>
          <w:tcPr>
            <w:tcW w:w="6060" w:type="dxa"/>
            <w:vAlign w:val="bottom"/>
            <w:shd w:val="clear" w:color="auto" w:fill="004054"/>
          </w:tcPr>
          <w:p>
            <w:pPr>
              <w:spacing w:after="0"/>
              <w:rPr>
                <w:sz w:val="11"/>
                <w:szCs w:val="11"/>
                <w:color w:val="auto"/>
              </w:rPr>
            </w:pPr>
          </w:p>
        </w:tc>
        <w:tc>
          <w:tcPr>
            <w:tcW w:w="500" w:type="dxa"/>
            <w:vAlign w:val="bottom"/>
            <w:shd w:val="clear" w:color="auto" w:fill="004054"/>
          </w:tcPr>
          <w:p>
            <w:pPr>
              <w:spacing w:after="0"/>
              <w:rPr>
                <w:sz w:val="11"/>
                <w:szCs w:val="11"/>
                <w:color w:val="auto"/>
              </w:rPr>
            </w:pPr>
          </w:p>
        </w:tc>
        <w:tc>
          <w:tcPr>
            <w:tcW w:w="820" w:type="dxa"/>
            <w:vAlign w:val="bottom"/>
            <w:shd w:val="clear" w:color="auto" w:fill="004054"/>
          </w:tcPr>
          <w:p>
            <w:pPr>
              <w:spacing w:after="0"/>
              <w:rPr>
                <w:sz w:val="11"/>
                <w:szCs w:val="11"/>
                <w:color w:val="auto"/>
              </w:rPr>
            </w:pPr>
          </w:p>
        </w:tc>
        <w:tc>
          <w:tcPr>
            <w:tcW w:w="160" w:type="dxa"/>
            <w:vAlign w:val="bottom"/>
            <w:shd w:val="clear" w:color="auto" w:fill="004054"/>
          </w:tcPr>
          <w:p>
            <w:pPr>
              <w:spacing w:after="0"/>
              <w:rPr>
                <w:sz w:val="11"/>
                <w:szCs w:val="11"/>
                <w:color w:val="auto"/>
              </w:rPr>
            </w:pPr>
          </w:p>
        </w:tc>
        <w:tc>
          <w:tcPr>
            <w:tcW w:w="1100" w:type="dxa"/>
            <w:vAlign w:val="bottom"/>
            <w:tcBorders>
              <w:right w:val="single" w:sz="8" w:color="004054"/>
            </w:tcBorders>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June 30,</w:t>
            </w:r>
          </w:p>
        </w:tc>
        <w:tc>
          <w:tcPr>
            <w:tcW w:w="80" w:type="dxa"/>
            <w:vAlign w:val="bottom"/>
          </w:tcPr>
          <w:p>
            <w:pPr>
              <w:spacing w:after="0"/>
              <w:rPr>
                <w:sz w:val="11"/>
                <w:szCs w:val="11"/>
                <w:color w:val="auto"/>
              </w:rPr>
            </w:pPr>
          </w:p>
        </w:tc>
        <w:tc>
          <w:tcPr>
            <w:tcW w:w="500" w:type="dxa"/>
            <w:vAlign w:val="bottom"/>
            <w:shd w:val="clear" w:color="auto" w:fill="004054"/>
          </w:tcPr>
          <w:p>
            <w:pPr>
              <w:spacing w:after="0"/>
              <w:rPr>
                <w:sz w:val="11"/>
                <w:szCs w:val="11"/>
                <w:color w:val="auto"/>
              </w:rPr>
            </w:pPr>
          </w:p>
        </w:tc>
        <w:tc>
          <w:tcPr>
            <w:tcW w:w="820" w:type="dxa"/>
            <w:vAlign w:val="bottom"/>
            <w:shd w:val="clear" w:color="auto" w:fill="004054"/>
          </w:tcPr>
          <w:p>
            <w:pPr>
              <w:spacing w:after="0"/>
              <w:rPr>
                <w:sz w:val="11"/>
                <w:szCs w:val="11"/>
                <w:color w:val="auto"/>
              </w:rPr>
            </w:pPr>
          </w:p>
        </w:tc>
        <w:tc>
          <w:tcPr>
            <w:tcW w:w="240" w:type="dxa"/>
            <w:vAlign w:val="bottom"/>
            <w:shd w:val="clear" w:color="auto" w:fill="004054"/>
          </w:tcPr>
          <w:p>
            <w:pPr>
              <w:spacing w:after="0"/>
              <w:rPr>
                <w:sz w:val="11"/>
                <w:szCs w:val="11"/>
                <w:color w:val="auto"/>
              </w:rPr>
            </w:pPr>
          </w:p>
        </w:tc>
        <w:tc>
          <w:tcPr>
            <w:tcW w:w="100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June 30,</w:t>
            </w:r>
          </w:p>
        </w:tc>
        <w:tc>
          <w:tcPr>
            <w:tcW w:w="20" w:type="dxa"/>
            <w:vAlign w:val="bottom"/>
            <w:shd w:val="clear" w:color="auto" w:fill="004054"/>
          </w:tcPr>
          <w:p>
            <w:pPr>
              <w:spacing w:after="0"/>
              <w:rPr>
                <w:sz w:val="11"/>
                <w:szCs w:val="11"/>
                <w:color w:val="auto"/>
              </w:rPr>
            </w:pPr>
          </w:p>
        </w:tc>
      </w:tr>
      <w:tr>
        <w:trPr>
          <w:trHeight w:val="297"/>
        </w:trPr>
        <w:tc>
          <w:tcPr>
            <w:tcW w:w="6060" w:type="dxa"/>
            <w:vAlign w:val="bottom"/>
            <w:shd w:val="clear" w:color="auto" w:fill="004054"/>
          </w:tcPr>
          <w:p>
            <w:pPr>
              <w:ind w:left="20"/>
              <w:spacing w:after="0"/>
              <w:rPr>
                <w:sz w:val="20"/>
                <w:szCs w:val="20"/>
                <w:color w:val="auto"/>
              </w:rPr>
            </w:pPr>
            <w:r>
              <w:rPr>
                <w:rFonts w:ascii="Calibri" w:cs="Calibri" w:eastAsia="Calibri" w:hAnsi="Calibri"/>
                <w:sz w:val="11"/>
                <w:szCs w:val="11"/>
                <w:b w:val="1"/>
                <w:bCs w:val="1"/>
                <w:color w:val="FFFFFF"/>
              </w:rPr>
              <w:t>(dollars in millions)</w:t>
            </w:r>
          </w:p>
        </w:tc>
        <w:tc>
          <w:tcPr>
            <w:tcW w:w="500" w:type="dxa"/>
            <w:vAlign w:val="bottom"/>
            <w:shd w:val="clear" w:color="auto" w:fill="004054"/>
          </w:tcPr>
          <w:p>
            <w:pPr>
              <w:spacing w:after="0"/>
              <w:rPr>
                <w:sz w:val="24"/>
                <w:szCs w:val="24"/>
                <w:color w:val="auto"/>
              </w:rPr>
            </w:pPr>
          </w:p>
        </w:tc>
        <w:tc>
          <w:tcPr>
            <w:tcW w:w="82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2024</w:t>
            </w:r>
          </w:p>
        </w:tc>
        <w:tc>
          <w:tcPr>
            <w:tcW w:w="160" w:type="dxa"/>
            <w:vAlign w:val="bottom"/>
            <w:shd w:val="clear" w:color="auto" w:fill="004054"/>
          </w:tcPr>
          <w:p>
            <w:pPr>
              <w:spacing w:after="0"/>
              <w:rPr>
                <w:sz w:val="24"/>
                <w:szCs w:val="24"/>
                <w:color w:val="auto"/>
              </w:rPr>
            </w:pPr>
          </w:p>
        </w:tc>
        <w:tc>
          <w:tcPr>
            <w:tcW w:w="1100" w:type="dxa"/>
            <w:vAlign w:val="bottom"/>
            <w:tcBorders>
              <w:right w:val="single" w:sz="8" w:color="004054"/>
            </w:tcBorders>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2023</w:t>
            </w:r>
          </w:p>
        </w:tc>
        <w:tc>
          <w:tcPr>
            <w:tcW w:w="80" w:type="dxa"/>
            <w:vAlign w:val="bottom"/>
          </w:tcPr>
          <w:p>
            <w:pPr>
              <w:spacing w:after="0"/>
              <w:rPr>
                <w:sz w:val="24"/>
                <w:szCs w:val="24"/>
                <w:color w:val="auto"/>
              </w:rPr>
            </w:pPr>
          </w:p>
        </w:tc>
        <w:tc>
          <w:tcPr>
            <w:tcW w:w="500" w:type="dxa"/>
            <w:vAlign w:val="bottom"/>
            <w:shd w:val="clear" w:color="auto" w:fill="004054"/>
          </w:tcPr>
          <w:p>
            <w:pPr>
              <w:spacing w:after="0"/>
              <w:rPr>
                <w:sz w:val="24"/>
                <w:szCs w:val="24"/>
                <w:color w:val="auto"/>
              </w:rPr>
            </w:pPr>
          </w:p>
        </w:tc>
        <w:tc>
          <w:tcPr>
            <w:tcW w:w="82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2024</w:t>
            </w:r>
          </w:p>
        </w:tc>
        <w:tc>
          <w:tcPr>
            <w:tcW w:w="240" w:type="dxa"/>
            <w:vAlign w:val="bottom"/>
            <w:shd w:val="clear" w:color="auto" w:fill="004054"/>
          </w:tcPr>
          <w:p>
            <w:pPr>
              <w:spacing w:after="0"/>
              <w:rPr>
                <w:sz w:val="24"/>
                <w:szCs w:val="24"/>
                <w:color w:val="auto"/>
              </w:rPr>
            </w:pPr>
          </w:p>
        </w:tc>
        <w:tc>
          <w:tcPr>
            <w:tcW w:w="100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2023</w:t>
            </w:r>
          </w:p>
        </w:tc>
        <w:tc>
          <w:tcPr>
            <w:tcW w:w="20" w:type="dxa"/>
            <w:vAlign w:val="bottom"/>
            <w:shd w:val="clear" w:color="auto" w:fill="004054"/>
          </w:tcPr>
          <w:p>
            <w:pPr>
              <w:spacing w:after="0"/>
              <w:rPr>
                <w:sz w:val="24"/>
                <w:szCs w:val="24"/>
                <w:color w:val="auto"/>
              </w:rPr>
            </w:pPr>
          </w:p>
        </w:tc>
      </w:tr>
      <w:tr>
        <w:trPr>
          <w:trHeight w:val="46"/>
        </w:trPr>
        <w:tc>
          <w:tcPr>
            <w:tcW w:w="6060" w:type="dxa"/>
            <w:vAlign w:val="bottom"/>
            <w:tcBorders>
              <w:bottom w:val="single" w:sz="8" w:color="004054"/>
            </w:tcBorders>
            <w:shd w:val="clear" w:color="auto" w:fill="004054"/>
          </w:tcPr>
          <w:p>
            <w:pPr>
              <w:spacing w:after="0"/>
              <w:rPr>
                <w:sz w:val="4"/>
                <w:szCs w:val="4"/>
                <w:color w:val="auto"/>
              </w:rPr>
            </w:pPr>
          </w:p>
        </w:tc>
        <w:tc>
          <w:tcPr>
            <w:tcW w:w="500" w:type="dxa"/>
            <w:vAlign w:val="bottom"/>
            <w:tcBorders>
              <w:bottom w:val="single" w:sz="8" w:color="004054"/>
            </w:tcBorders>
            <w:shd w:val="clear" w:color="auto" w:fill="004054"/>
          </w:tcPr>
          <w:p>
            <w:pPr>
              <w:spacing w:after="0"/>
              <w:rPr>
                <w:sz w:val="4"/>
                <w:szCs w:val="4"/>
                <w:color w:val="auto"/>
              </w:rPr>
            </w:pPr>
          </w:p>
        </w:tc>
        <w:tc>
          <w:tcPr>
            <w:tcW w:w="820" w:type="dxa"/>
            <w:vAlign w:val="bottom"/>
            <w:tcBorders>
              <w:bottom w:val="single" w:sz="8" w:color="004054"/>
            </w:tcBorders>
            <w:shd w:val="clear" w:color="auto" w:fill="004054"/>
          </w:tcPr>
          <w:p>
            <w:pPr>
              <w:spacing w:after="0"/>
              <w:rPr>
                <w:sz w:val="4"/>
                <w:szCs w:val="4"/>
                <w:color w:val="auto"/>
              </w:rPr>
            </w:pPr>
          </w:p>
        </w:tc>
        <w:tc>
          <w:tcPr>
            <w:tcW w:w="160" w:type="dxa"/>
            <w:vAlign w:val="bottom"/>
            <w:tcBorders>
              <w:bottom w:val="single" w:sz="8" w:color="004054"/>
            </w:tcBorders>
            <w:shd w:val="clear" w:color="auto" w:fill="004054"/>
          </w:tcPr>
          <w:p>
            <w:pPr>
              <w:spacing w:after="0"/>
              <w:rPr>
                <w:sz w:val="4"/>
                <w:szCs w:val="4"/>
                <w:color w:val="auto"/>
              </w:rPr>
            </w:pPr>
          </w:p>
        </w:tc>
        <w:tc>
          <w:tcPr>
            <w:tcW w:w="1100" w:type="dxa"/>
            <w:vAlign w:val="bottom"/>
            <w:tcBorders>
              <w:bottom w:val="single" w:sz="8" w:color="004054"/>
              <w:right w:val="single" w:sz="8" w:color="004054"/>
            </w:tcBorders>
            <w:shd w:val="clear" w:color="auto" w:fill="004054"/>
          </w:tcPr>
          <w:p>
            <w:pPr>
              <w:spacing w:after="0"/>
              <w:rPr>
                <w:sz w:val="4"/>
                <w:szCs w:val="4"/>
                <w:color w:val="auto"/>
              </w:rPr>
            </w:pPr>
          </w:p>
        </w:tc>
        <w:tc>
          <w:tcPr>
            <w:tcW w:w="80" w:type="dxa"/>
            <w:vAlign w:val="bottom"/>
            <w:tcBorders>
              <w:bottom w:val="single" w:sz="8" w:color="EBFBFF"/>
            </w:tcBorders>
          </w:tcPr>
          <w:p>
            <w:pPr>
              <w:spacing w:after="0"/>
              <w:rPr>
                <w:sz w:val="4"/>
                <w:szCs w:val="4"/>
                <w:color w:val="auto"/>
              </w:rPr>
            </w:pPr>
          </w:p>
        </w:tc>
        <w:tc>
          <w:tcPr>
            <w:tcW w:w="500" w:type="dxa"/>
            <w:vAlign w:val="bottom"/>
            <w:tcBorders>
              <w:bottom w:val="single" w:sz="8" w:color="004054"/>
            </w:tcBorders>
            <w:shd w:val="clear" w:color="auto" w:fill="004054"/>
          </w:tcPr>
          <w:p>
            <w:pPr>
              <w:spacing w:after="0"/>
              <w:rPr>
                <w:sz w:val="4"/>
                <w:szCs w:val="4"/>
                <w:color w:val="auto"/>
              </w:rPr>
            </w:pPr>
          </w:p>
        </w:tc>
        <w:tc>
          <w:tcPr>
            <w:tcW w:w="820" w:type="dxa"/>
            <w:vAlign w:val="bottom"/>
            <w:tcBorders>
              <w:bottom w:val="single" w:sz="8" w:color="004054"/>
            </w:tcBorders>
            <w:shd w:val="clear" w:color="auto" w:fill="004054"/>
          </w:tcPr>
          <w:p>
            <w:pPr>
              <w:spacing w:after="0"/>
              <w:rPr>
                <w:sz w:val="4"/>
                <w:szCs w:val="4"/>
                <w:color w:val="auto"/>
              </w:rPr>
            </w:pPr>
          </w:p>
        </w:tc>
        <w:tc>
          <w:tcPr>
            <w:tcW w:w="240" w:type="dxa"/>
            <w:vAlign w:val="bottom"/>
            <w:tcBorders>
              <w:bottom w:val="single" w:sz="8" w:color="004054"/>
            </w:tcBorders>
            <w:shd w:val="clear" w:color="auto" w:fill="004054"/>
          </w:tcPr>
          <w:p>
            <w:pPr>
              <w:spacing w:after="0"/>
              <w:rPr>
                <w:sz w:val="4"/>
                <w:szCs w:val="4"/>
                <w:color w:val="auto"/>
              </w:rPr>
            </w:pPr>
          </w:p>
        </w:tc>
        <w:tc>
          <w:tcPr>
            <w:tcW w:w="1000" w:type="dxa"/>
            <w:vAlign w:val="bottom"/>
            <w:tcBorders>
              <w:bottom w:val="single" w:sz="8" w:color="004054"/>
            </w:tcBorders>
            <w:shd w:val="clear" w:color="auto" w:fill="004054"/>
          </w:tcPr>
          <w:p>
            <w:pPr>
              <w:spacing w:after="0"/>
              <w:rPr>
                <w:sz w:val="4"/>
                <w:szCs w:val="4"/>
                <w:color w:val="auto"/>
              </w:rPr>
            </w:pPr>
          </w:p>
        </w:tc>
        <w:tc>
          <w:tcPr>
            <w:tcW w:w="20" w:type="dxa"/>
            <w:vAlign w:val="bottom"/>
            <w:tcBorders>
              <w:bottom w:val="single" w:sz="8" w:color="004054"/>
            </w:tcBorders>
            <w:shd w:val="clear" w:color="auto" w:fill="004054"/>
          </w:tcPr>
          <w:p>
            <w:pPr>
              <w:spacing w:after="0"/>
              <w:rPr>
                <w:sz w:val="4"/>
                <w:szCs w:val="4"/>
                <w:color w:val="auto"/>
              </w:rPr>
            </w:pPr>
          </w:p>
        </w:tc>
      </w:tr>
      <w:tr>
        <w:trPr>
          <w:trHeight w:val="171"/>
        </w:trPr>
        <w:tc>
          <w:tcPr>
            <w:tcW w:w="6060" w:type="dxa"/>
            <w:vAlign w:val="bottom"/>
            <w:shd w:val="clear" w:color="auto" w:fill="EBFBFF"/>
          </w:tcPr>
          <w:p>
            <w:pPr>
              <w:ind w:left="20"/>
              <w:spacing w:after="0" w:line="170" w:lineRule="exact"/>
              <w:rPr>
                <w:sz w:val="20"/>
                <w:szCs w:val="20"/>
                <w:color w:val="auto"/>
              </w:rPr>
            </w:pPr>
            <w:r>
              <w:rPr>
                <w:rFonts w:ascii="Calibri" w:cs="Calibri" w:eastAsia="Calibri" w:hAnsi="Calibri"/>
                <w:sz w:val="11"/>
                <w:szCs w:val="11"/>
                <w:color w:val="51555C"/>
              </w:rPr>
              <w:t>GAAP revenue</w:t>
            </w:r>
            <w:r>
              <w:rPr>
                <w:rFonts w:ascii="Calibri" w:cs="Calibri" w:eastAsia="Calibri" w:hAnsi="Calibri"/>
                <w:sz w:val="14"/>
                <w:szCs w:val="14"/>
                <w:color w:val="51555C"/>
                <w:vertAlign w:val="superscript"/>
              </w:rPr>
              <w:t>(1)</w:t>
            </w:r>
          </w:p>
        </w:tc>
        <w:tc>
          <w:tcPr>
            <w:tcW w:w="500" w:type="dxa"/>
            <w:vAlign w:val="bottom"/>
            <w:shd w:val="clear" w:color="auto" w:fill="EBFBFF"/>
          </w:tcPr>
          <w:p>
            <w:pPr>
              <w:jc w:val="right"/>
              <w:ind w:right="383"/>
              <w:spacing w:after="0"/>
              <w:rPr>
                <w:sz w:val="20"/>
                <w:szCs w:val="20"/>
                <w:color w:val="auto"/>
              </w:rPr>
            </w:pPr>
            <w:r>
              <w:rPr>
                <w:rFonts w:ascii="Calibri" w:cs="Calibri" w:eastAsia="Calibri" w:hAnsi="Calibri"/>
                <w:sz w:val="11"/>
                <w:szCs w:val="11"/>
                <w:color w:val="51555C"/>
                <w:w w:val="70"/>
              </w:rPr>
              <w:t>$</w:t>
            </w:r>
          </w:p>
        </w:tc>
        <w:tc>
          <w:tcPr>
            <w:tcW w:w="820" w:type="dxa"/>
            <w:vAlign w:val="bottom"/>
            <w:shd w:val="clear" w:color="auto" w:fill="EBFBFF"/>
          </w:tcPr>
          <w:p>
            <w:pPr>
              <w:jc w:val="right"/>
              <w:ind w:right="83"/>
              <w:spacing w:after="0"/>
              <w:rPr>
                <w:sz w:val="20"/>
                <w:szCs w:val="20"/>
                <w:color w:val="auto"/>
              </w:rPr>
            </w:pPr>
            <w:r>
              <w:rPr>
                <w:rFonts w:ascii="Calibri" w:cs="Calibri" w:eastAsia="Calibri" w:hAnsi="Calibri"/>
                <w:sz w:val="11"/>
                <w:szCs w:val="11"/>
                <w:color w:val="51555C"/>
              </w:rPr>
              <w:t>287.3</w:t>
            </w:r>
          </w:p>
        </w:tc>
        <w:tc>
          <w:tcPr>
            <w:tcW w:w="160" w:type="dxa"/>
            <w:vAlign w:val="bottom"/>
            <w:shd w:val="clear" w:color="auto" w:fill="EBFBFF"/>
          </w:tcPr>
          <w:p>
            <w:pPr>
              <w:jc w:val="right"/>
              <w:ind w:right="23"/>
              <w:spacing w:after="0"/>
              <w:rPr>
                <w:sz w:val="20"/>
                <w:szCs w:val="20"/>
                <w:color w:val="auto"/>
              </w:rPr>
            </w:pPr>
            <w:r>
              <w:rPr>
                <w:rFonts w:ascii="Calibri" w:cs="Calibri" w:eastAsia="Calibri" w:hAnsi="Calibri"/>
                <w:sz w:val="11"/>
                <w:szCs w:val="11"/>
                <w:color w:val="51555C"/>
              </w:rPr>
              <w:t>$</w:t>
            </w:r>
          </w:p>
        </w:tc>
        <w:tc>
          <w:tcPr>
            <w:tcW w:w="1100" w:type="dxa"/>
            <w:vAlign w:val="bottom"/>
            <w:tcBorders>
              <w:right w:val="single" w:sz="8" w:color="EBFBFF"/>
            </w:tcBorders>
            <w:shd w:val="clear" w:color="auto" w:fill="EBFBFF"/>
          </w:tcPr>
          <w:p>
            <w:pPr>
              <w:jc w:val="right"/>
              <w:ind w:right="3"/>
              <w:spacing w:after="0"/>
              <w:rPr>
                <w:sz w:val="20"/>
                <w:szCs w:val="20"/>
                <w:color w:val="auto"/>
              </w:rPr>
            </w:pPr>
            <w:r>
              <w:rPr>
                <w:rFonts w:ascii="Calibri" w:cs="Calibri" w:eastAsia="Calibri" w:hAnsi="Calibri"/>
                <w:sz w:val="11"/>
                <w:szCs w:val="11"/>
                <w:color w:val="51555C"/>
              </w:rPr>
              <w:t>271.0</w:t>
            </w:r>
          </w:p>
        </w:tc>
        <w:tc>
          <w:tcPr>
            <w:tcW w:w="80" w:type="dxa"/>
            <w:vAlign w:val="bottom"/>
            <w:shd w:val="clear" w:color="auto" w:fill="EBFBFF"/>
          </w:tcPr>
          <w:p>
            <w:pPr>
              <w:spacing w:after="0"/>
              <w:rPr>
                <w:sz w:val="14"/>
                <w:szCs w:val="14"/>
                <w:color w:val="auto"/>
              </w:rPr>
            </w:pPr>
          </w:p>
        </w:tc>
        <w:tc>
          <w:tcPr>
            <w:tcW w:w="500" w:type="dxa"/>
            <w:vAlign w:val="bottom"/>
            <w:shd w:val="clear" w:color="auto" w:fill="EBFBFF"/>
          </w:tcPr>
          <w:p>
            <w:pPr>
              <w:jc w:val="right"/>
              <w:ind w:right="383"/>
              <w:spacing w:after="0"/>
              <w:rPr>
                <w:sz w:val="20"/>
                <w:szCs w:val="20"/>
                <w:color w:val="auto"/>
              </w:rPr>
            </w:pPr>
            <w:r>
              <w:rPr>
                <w:rFonts w:ascii="Calibri" w:cs="Calibri" w:eastAsia="Calibri" w:hAnsi="Calibri"/>
                <w:sz w:val="11"/>
                <w:szCs w:val="11"/>
                <w:color w:val="51555C"/>
                <w:w w:val="70"/>
              </w:rPr>
              <w:t>$</w:t>
            </w:r>
          </w:p>
        </w:tc>
        <w:tc>
          <w:tcPr>
            <w:tcW w:w="820" w:type="dxa"/>
            <w:vAlign w:val="bottom"/>
            <w:shd w:val="clear" w:color="auto" w:fill="EBFBFF"/>
          </w:tcPr>
          <w:p>
            <w:pPr>
              <w:jc w:val="right"/>
              <w:ind w:right="63"/>
              <w:spacing w:after="0"/>
              <w:rPr>
                <w:sz w:val="20"/>
                <w:szCs w:val="20"/>
                <w:color w:val="auto"/>
              </w:rPr>
            </w:pPr>
            <w:r>
              <w:rPr>
                <w:rFonts w:ascii="Calibri" w:cs="Calibri" w:eastAsia="Calibri" w:hAnsi="Calibri"/>
                <w:sz w:val="11"/>
                <w:szCs w:val="11"/>
                <w:color w:val="51555C"/>
              </w:rPr>
              <w:t>566.5</w:t>
            </w:r>
          </w:p>
        </w:tc>
        <w:tc>
          <w:tcPr>
            <w:tcW w:w="240" w:type="dxa"/>
            <w:vAlign w:val="bottom"/>
            <w:shd w:val="clear" w:color="auto" w:fill="EBFBFF"/>
          </w:tcPr>
          <w:p>
            <w:pPr>
              <w:jc w:val="right"/>
              <w:ind w:right="103"/>
              <w:spacing w:after="0"/>
              <w:rPr>
                <w:sz w:val="20"/>
                <w:szCs w:val="20"/>
                <w:color w:val="auto"/>
              </w:rPr>
            </w:pPr>
            <w:r>
              <w:rPr>
                <w:rFonts w:ascii="Calibri" w:cs="Calibri" w:eastAsia="Calibri" w:hAnsi="Calibri"/>
                <w:sz w:val="11"/>
                <w:szCs w:val="11"/>
                <w:color w:val="51555C"/>
              </w:rPr>
              <w:t>$</w:t>
            </w:r>
          </w:p>
        </w:tc>
        <w:tc>
          <w:tcPr>
            <w:tcW w:w="1000" w:type="dxa"/>
            <w:vAlign w:val="bottom"/>
            <w:shd w:val="clear" w:color="auto" w:fill="EBFBFF"/>
          </w:tcPr>
          <w:p>
            <w:pPr>
              <w:jc w:val="right"/>
              <w:spacing w:after="0"/>
              <w:rPr>
                <w:sz w:val="20"/>
                <w:szCs w:val="20"/>
                <w:color w:val="auto"/>
              </w:rPr>
            </w:pPr>
            <w:r>
              <w:rPr>
                <w:rFonts w:ascii="Calibri" w:cs="Calibri" w:eastAsia="Calibri" w:hAnsi="Calibri"/>
                <w:sz w:val="11"/>
                <w:szCs w:val="11"/>
                <w:color w:val="51555C"/>
              </w:rPr>
              <w:t>532.8</w:t>
            </w:r>
          </w:p>
        </w:tc>
        <w:tc>
          <w:tcPr>
            <w:tcW w:w="20" w:type="dxa"/>
            <w:vAlign w:val="bottom"/>
          </w:tcPr>
          <w:p>
            <w:pPr>
              <w:spacing w:after="0"/>
              <w:rPr>
                <w:sz w:val="14"/>
                <w:szCs w:val="14"/>
                <w:color w:val="auto"/>
              </w:rPr>
            </w:pPr>
          </w:p>
        </w:tc>
      </w:tr>
      <w:tr>
        <w:trPr>
          <w:trHeight w:val="135"/>
        </w:trPr>
        <w:tc>
          <w:tcPr>
            <w:tcW w:w="6060" w:type="dxa"/>
            <w:vAlign w:val="bottom"/>
          </w:tcPr>
          <w:p>
            <w:pPr>
              <w:ind w:left="20"/>
              <w:spacing w:after="0"/>
              <w:rPr>
                <w:sz w:val="20"/>
                <w:szCs w:val="20"/>
                <w:color w:val="auto"/>
              </w:rPr>
            </w:pPr>
            <w:r>
              <w:rPr>
                <w:rFonts w:ascii="Calibri" w:cs="Calibri" w:eastAsia="Calibri" w:hAnsi="Calibri"/>
                <w:sz w:val="11"/>
                <w:szCs w:val="11"/>
                <w:b w:val="1"/>
                <w:bCs w:val="1"/>
                <w:color w:val="51555C"/>
              </w:rPr>
              <w:t>GAAP revenue growth</w:t>
            </w:r>
          </w:p>
        </w:tc>
        <w:tc>
          <w:tcPr>
            <w:tcW w:w="5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Calibri" w:cs="Calibri" w:eastAsia="Calibri" w:hAnsi="Calibri"/>
                <w:sz w:val="11"/>
                <w:szCs w:val="11"/>
                <w:b w:val="1"/>
                <w:bCs w:val="1"/>
                <w:color w:val="51555C"/>
              </w:rPr>
              <w:t>6.0 %</w:t>
            </w: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Calibri" w:cs="Calibri" w:eastAsia="Calibri" w:hAnsi="Calibri"/>
                <w:sz w:val="11"/>
                <w:szCs w:val="11"/>
                <w:b w:val="1"/>
                <w:bCs w:val="1"/>
                <w:color w:val="51555C"/>
              </w:rPr>
              <w:t>6.3 %</w:t>
            </w: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46"/>
        </w:trPr>
        <w:tc>
          <w:tcPr>
            <w:tcW w:w="6060" w:type="dxa"/>
            <w:vAlign w:val="bottom"/>
          </w:tcPr>
          <w:p>
            <w:pPr>
              <w:spacing w:after="0"/>
              <w:rPr>
                <w:sz w:val="3"/>
                <w:szCs w:val="3"/>
                <w:color w:val="auto"/>
              </w:rPr>
            </w:pPr>
          </w:p>
        </w:tc>
        <w:tc>
          <w:tcPr>
            <w:tcW w:w="5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80"/>
        </w:trPr>
        <w:tc>
          <w:tcPr>
            <w:tcW w:w="6060" w:type="dxa"/>
            <w:vAlign w:val="bottom"/>
            <w:shd w:val="clear" w:color="auto" w:fill="EBFBFF"/>
          </w:tcPr>
          <w:p>
            <w:pPr>
              <w:ind w:left="100"/>
              <w:spacing w:after="0" w:line="170" w:lineRule="exact"/>
              <w:rPr>
                <w:sz w:val="20"/>
                <w:szCs w:val="20"/>
                <w:color w:val="auto"/>
              </w:rPr>
            </w:pPr>
            <w:r>
              <w:rPr>
                <w:rFonts w:ascii="Calibri" w:cs="Calibri" w:eastAsia="Calibri" w:hAnsi="Calibri"/>
                <w:sz w:val="11"/>
                <w:szCs w:val="11"/>
                <w:color w:val="51555C"/>
              </w:rPr>
              <w:t>Less: Non-GAAP revenue from divested businesses</w:t>
            </w:r>
            <w:r>
              <w:rPr>
                <w:rFonts w:ascii="Calibri" w:cs="Calibri" w:eastAsia="Calibri" w:hAnsi="Calibri"/>
                <w:sz w:val="14"/>
                <w:szCs w:val="14"/>
                <w:color w:val="51555C"/>
                <w:vertAlign w:val="superscript"/>
              </w:rPr>
              <w:t>(2)</w:t>
            </w:r>
          </w:p>
        </w:tc>
        <w:tc>
          <w:tcPr>
            <w:tcW w:w="500" w:type="dxa"/>
            <w:vAlign w:val="bottom"/>
            <w:tcBorders>
              <w:bottom w:val="single" w:sz="8" w:color="51555C"/>
            </w:tcBorders>
            <w:shd w:val="clear" w:color="auto" w:fill="EBFBFF"/>
          </w:tcPr>
          <w:p>
            <w:pPr>
              <w:spacing w:after="0"/>
              <w:rPr>
                <w:sz w:val="15"/>
                <w:szCs w:val="15"/>
                <w:color w:val="auto"/>
              </w:rPr>
            </w:pPr>
          </w:p>
        </w:tc>
        <w:tc>
          <w:tcPr>
            <w:tcW w:w="820" w:type="dxa"/>
            <w:vAlign w:val="bottom"/>
            <w:tcBorders>
              <w:bottom w:val="single" w:sz="8" w:color="51555C"/>
            </w:tcBorders>
            <w:shd w:val="clear" w:color="auto" w:fill="EBFBFF"/>
          </w:tcPr>
          <w:p>
            <w:pPr>
              <w:jc w:val="right"/>
              <w:ind w:right="83"/>
              <w:spacing w:after="0"/>
              <w:rPr>
                <w:sz w:val="20"/>
                <w:szCs w:val="20"/>
                <w:color w:val="auto"/>
              </w:rPr>
            </w:pPr>
            <w:r>
              <w:rPr>
                <w:rFonts w:ascii="Calibri" w:cs="Calibri" w:eastAsia="Calibri" w:hAnsi="Calibri"/>
                <w:sz w:val="11"/>
                <w:szCs w:val="11"/>
                <w:color w:val="51555C"/>
              </w:rPr>
              <w:t>—</w:t>
            </w:r>
          </w:p>
        </w:tc>
        <w:tc>
          <w:tcPr>
            <w:tcW w:w="160" w:type="dxa"/>
            <w:vAlign w:val="bottom"/>
            <w:tcBorders>
              <w:bottom w:val="single" w:sz="8" w:color="51555C"/>
            </w:tcBorders>
            <w:shd w:val="clear" w:color="auto" w:fill="EBFBFF"/>
          </w:tcPr>
          <w:p>
            <w:pPr>
              <w:spacing w:after="0"/>
              <w:rPr>
                <w:sz w:val="15"/>
                <w:szCs w:val="15"/>
                <w:color w:val="auto"/>
              </w:rPr>
            </w:pPr>
          </w:p>
        </w:tc>
        <w:tc>
          <w:tcPr>
            <w:tcW w:w="1100" w:type="dxa"/>
            <w:vAlign w:val="bottom"/>
            <w:tcBorders>
              <w:bottom w:val="single" w:sz="8" w:color="51555C"/>
              <w:right w:val="single" w:sz="8" w:color="EBFBFF"/>
            </w:tcBorders>
            <w:shd w:val="clear" w:color="auto" w:fill="EBFBFF"/>
          </w:tcPr>
          <w:p>
            <w:pPr>
              <w:jc w:val="right"/>
              <w:spacing w:after="0"/>
              <w:rPr>
                <w:sz w:val="20"/>
                <w:szCs w:val="20"/>
                <w:color w:val="auto"/>
              </w:rPr>
            </w:pPr>
            <w:r>
              <w:rPr>
                <w:rFonts w:ascii="Calibri" w:cs="Calibri" w:eastAsia="Calibri" w:hAnsi="Calibri"/>
                <w:sz w:val="11"/>
                <w:szCs w:val="11"/>
                <w:color w:val="51555C"/>
              </w:rPr>
              <w:t>(1.9)</w:t>
            </w:r>
          </w:p>
        </w:tc>
        <w:tc>
          <w:tcPr>
            <w:tcW w:w="80" w:type="dxa"/>
            <w:vAlign w:val="bottom"/>
            <w:shd w:val="clear" w:color="auto" w:fill="EBFBFF"/>
          </w:tcPr>
          <w:p>
            <w:pPr>
              <w:spacing w:after="0"/>
              <w:rPr>
                <w:sz w:val="15"/>
                <w:szCs w:val="15"/>
                <w:color w:val="auto"/>
              </w:rPr>
            </w:pPr>
          </w:p>
        </w:tc>
        <w:tc>
          <w:tcPr>
            <w:tcW w:w="500" w:type="dxa"/>
            <w:vAlign w:val="bottom"/>
            <w:tcBorders>
              <w:bottom w:val="single" w:sz="8" w:color="51555C"/>
            </w:tcBorders>
            <w:shd w:val="clear" w:color="auto" w:fill="EBFBFF"/>
          </w:tcPr>
          <w:p>
            <w:pPr>
              <w:spacing w:after="0"/>
              <w:rPr>
                <w:sz w:val="15"/>
                <w:szCs w:val="15"/>
                <w:color w:val="auto"/>
              </w:rPr>
            </w:pPr>
          </w:p>
        </w:tc>
        <w:tc>
          <w:tcPr>
            <w:tcW w:w="820" w:type="dxa"/>
            <w:vAlign w:val="bottom"/>
            <w:tcBorders>
              <w:bottom w:val="single" w:sz="8" w:color="51555C"/>
            </w:tcBorders>
            <w:shd w:val="clear" w:color="auto" w:fill="EBFBFF"/>
          </w:tcPr>
          <w:p>
            <w:pPr>
              <w:jc w:val="right"/>
              <w:ind w:right="63"/>
              <w:spacing w:after="0"/>
              <w:rPr>
                <w:sz w:val="20"/>
                <w:szCs w:val="20"/>
                <w:color w:val="auto"/>
              </w:rPr>
            </w:pPr>
            <w:r>
              <w:rPr>
                <w:rFonts w:ascii="Calibri" w:cs="Calibri" w:eastAsia="Calibri" w:hAnsi="Calibri"/>
                <w:sz w:val="11"/>
                <w:szCs w:val="11"/>
                <w:color w:val="51555C"/>
              </w:rPr>
              <w:t>—</w:t>
            </w:r>
          </w:p>
        </w:tc>
        <w:tc>
          <w:tcPr>
            <w:tcW w:w="240" w:type="dxa"/>
            <w:vAlign w:val="bottom"/>
            <w:tcBorders>
              <w:bottom w:val="single" w:sz="8" w:color="51555C"/>
            </w:tcBorders>
            <w:shd w:val="clear" w:color="auto" w:fill="EBFBFF"/>
          </w:tcPr>
          <w:p>
            <w:pPr>
              <w:spacing w:after="0"/>
              <w:rPr>
                <w:sz w:val="15"/>
                <w:szCs w:val="15"/>
                <w:color w:val="auto"/>
              </w:rPr>
            </w:pPr>
          </w:p>
        </w:tc>
        <w:tc>
          <w:tcPr>
            <w:tcW w:w="1000" w:type="dxa"/>
            <w:vAlign w:val="bottom"/>
            <w:tcBorders>
              <w:bottom w:val="single" w:sz="8" w:color="51555C"/>
            </w:tcBorders>
            <w:shd w:val="clear" w:color="auto" w:fill="EBFBFF"/>
          </w:tcPr>
          <w:p>
            <w:pPr>
              <w:jc w:val="right"/>
              <w:spacing w:after="0"/>
              <w:rPr>
                <w:sz w:val="20"/>
                <w:szCs w:val="20"/>
                <w:color w:val="auto"/>
              </w:rPr>
            </w:pPr>
            <w:r>
              <w:rPr>
                <w:rFonts w:ascii="Calibri" w:cs="Calibri" w:eastAsia="Calibri" w:hAnsi="Calibri"/>
                <w:sz w:val="11"/>
                <w:szCs w:val="11"/>
                <w:color w:val="51555C"/>
              </w:rPr>
              <w:t>(2.5)</w:t>
            </w:r>
          </w:p>
        </w:tc>
        <w:tc>
          <w:tcPr>
            <w:tcW w:w="20" w:type="dxa"/>
            <w:vAlign w:val="bottom"/>
          </w:tcPr>
          <w:p>
            <w:pPr>
              <w:spacing w:after="0"/>
              <w:rPr>
                <w:sz w:val="15"/>
                <w:szCs w:val="15"/>
                <w:color w:val="auto"/>
              </w:rPr>
            </w:pPr>
          </w:p>
        </w:tc>
      </w:tr>
      <w:tr>
        <w:trPr>
          <w:trHeight w:val="163"/>
        </w:trPr>
        <w:tc>
          <w:tcPr>
            <w:tcW w:w="6060" w:type="dxa"/>
            <w:vAlign w:val="bottom"/>
            <w:tcBorders>
              <w:bottom w:val="single" w:sz="8" w:color="EBFBFF"/>
            </w:tcBorders>
          </w:tcPr>
          <w:p>
            <w:pPr>
              <w:ind w:left="20"/>
              <w:spacing w:after="0" w:line="155" w:lineRule="exact"/>
              <w:rPr>
                <w:sz w:val="20"/>
                <w:szCs w:val="20"/>
                <w:color w:val="auto"/>
              </w:rPr>
            </w:pPr>
            <w:r>
              <w:rPr>
                <w:rFonts w:ascii="Calibri" w:cs="Calibri" w:eastAsia="Calibri" w:hAnsi="Calibri"/>
                <w:sz w:val="11"/>
                <w:szCs w:val="11"/>
                <w:color w:val="51555C"/>
              </w:rPr>
              <w:t>Non-GAAP organic revenue</w:t>
            </w:r>
            <w:r>
              <w:rPr>
                <w:rFonts w:ascii="Calibri" w:cs="Calibri" w:eastAsia="Calibri" w:hAnsi="Calibri"/>
                <w:sz w:val="14"/>
                <w:szCs w:val="14"/>
                <w:color w:val="51555C"/>
                <w:vertAlign w:val="superscript"/>
              </w:rPr>
              <w:t>(3)</w:t>
            </w:r>
          </w:p>
        </w:tc>
        <w:tc>
          <w:tcPr>
            <w:tcW w:w="500" w:type="dxa"/>
            <w:vAlign w:val="bottom"/>
            <w:tcBorders>
              <w:bottom w:val="single" w:sz="8" w:color="51555C"/>
            </w:tcBorders>
          </w:tcPr>
          <w:p>
            <w:pPr>
              <w:jc w:val="right"/>
              <w:ind w:right="383"/>
              <w:spacing w:after="0"/>
              <w:rPr>
                <w:sz w:val="20"/>
                <w:szCs w:val="20"/>
                <w:color w:val="auto"/>
              </w:rPr>
            </w:pPr>
            <w:r>
              <w:rPr>
                <w:rFonts w:ascii="Calibri" w:cs="Calibri" w:eastAsia="Calibri" w:hAnsi="Calibri"/>
                <w:sz w:val="11"/>
                <w:szCs w:val="11"/>
                <w:color w:val="51555C"/>
                <w:w w:val="70"/>
              </w:rPr>
              <w:t>$</w:t>
            </w:r>
          </w:p>
        </w:tc>
        <w:tc>
          <w:tcPr>
            <w:tcW w:w="820" w:type="dxa"/>
            <w:vAlign w:val="bottom"/>
            <w:tcBorders>
              <w:bottom w:val="single" w:sz="8" w:color="51555C"/>
            </w:tcBorders>
          </w:tcPr>
          <w:p>
            <w:pPr>
              <w:jc w:val="right"/>
              <w:ind w:right="83"/>
              <w:spacing w:after="0"/>
              <w:rPr>
                <w:sz w:val="20"/>
                <w:szCs w:val="20"/>
                <w:color w:val="auto"/>
              </w:rPr>
            </w:pPr>
            <w:r>
              <w:rPr>
                <w:rFonts w:ascii="Calibri" w:cs="Calibri" w:eastAsia="Calibri" w:hAnsi="Calibri"/>
                <w:sz w:val="11"/>
                <w:szCs w:val="11"/>
                <w:color w:val="51555C"/>
              </w:rPr>
              <w:t>287.3</w:t>
            </w:r>
          </w:p>
        </w:tc>
        <w:tc>
          <w:tcPr>
            <w:tcW w:w="160" w:type="dxa"/>
            <w:vAlign w:val="bottom"/>
            <w:tcBorders>
              <w:bottom w:val="single" w:sz="8" w:color="51555C"/>
            </w:tcBorders>
          </w:tcPr>
          <w:p>
            <w:pPr>
              <w:jc w:val="right"/>
              <w:ind w:right="23"/>
              <w:spacing w:after="0"/>
              <w:rPr>
                <w:sz w:val="20"/>
                <w:szCs w:val="20"/>
                <w:color w:val="auto"/>
              </w:rPr>
            </w:pPr>
            <w:r>
              <w:rPr>
                <w:rFonts w:ascii="Calibri" w:cs="Calibri" w:eastAsia="Calibri" w:hAnsi="Calibri"/>
                <w:sz w:val="11"/>
                <w:szCs w:val="11"/>
                <w:color w:val="51555C"/>
              </w:rPr>
              <w:t>$</w:t>
            </w:r>
          </w:p>
        </w:tc>
        <w:tc>
          <w:tcPr>
            <w:tcW w:w="1100" w:type="dxa"/>
            <w:vAlign w:val="bottom"/>
            <w:tcBorders>
              <w:bottom w:val="single" w:sz="8" w:color="51555C"/>
            </w:tcBorders>
          </w:tcPr>
          <w:p>
            <w:pPr>
              <w:jc w:val="right"/>
              <w:ind w:right="3"/>
              <w:spacing w:after="0"/>
              <w:rPr>
                <w:sz w:val="20"/>
                <w:szCs w:val="20"/>
                <w:color w:val="auto"/>
              </w:rPr>
            </w:pPr>
            <w:r>
              <w:rPr>
                <w:rFonts w:ascii="Calibri" w:cs="Calibri" w:eastAsia="Calibri" w:hAnsi="Calibri"/>
                <w:sz w:val="11"/>
                <w:szCs w:val="11"/>
                <w:color w:val="51555C"/>
              </w:rPr>
              <w:t>269.2</w:t>
            </w:r>
          </w:p>
        </w:tc>
        <w:tc>
          <w:tcPr>
            <w:tcW w:w="80" w:type="dxa"/>
            <w:vAlign w:val="bottom"/>
            <w:tcBorders>
              <w:bottom w:val="single" w:sz="8" w:color="EBFBFF"/>
            </w:tcBorders>
          </w:tcPr>
          <w:p>
            <w:pPr>
              <w:spacing w:after="0"/>
              <w:rPr>
                <w:sz w:val="14"/>
                <w:szCs w:val="14"/>
                <w:color w:val="auto"/>
              </w:rPr>
            </w:pPr>
          </w:p>
        </w:tc>
        <w:tc>
          <w:tcPr>
            <w:tcW w:w="500" w:type="dxa"/>
            <w:vAlign w:val="bottom"/>
            <w:tcBorders>
              <w:bottom w:val="single" w:sz="8" w:color="51555C"/>
            </w:tcBorders>
          </w:tcPr>
          <w:p>
            <w:pPr>
              <w:jc w:val="right"/>
              <w:ind w:right="383"/>
              <w:spacing w:after="0"/>
              <w:rPr>
                <w:sz w:val="20"/>
                <w:szCs w:val="20"/>
                <w:color w:val="auto"/>
              </w:rPr>
            </w:pPr>
            <w:r>
              <w:rPr>
                <w:rFonts w:ascii="Calibri" w:cs="Calibri" w:eastAsia="Calibri" w:hAnsi="Calibri"/>
                <w:sz w:val="11"/>
                <w:szCs w:val="11"/>
                <w:color w:val="51555C"/>
                <w:w w:val="70"/>
              </w:rPr>
              <w:t>$</w:t>
            </w:r>
          </w:p>
        </w:tc>
        <w:tc>
          <w:tcPr>
            <w:tcW w:w="820" w:type="dxa"/>
            <w:vAlign w:val="bottom"/>
            <w:tcBorders>
              <w:bottom w:val="single" w:sz="8" w:color="51555C"/>
            </w:tcBorders>
          </w:tcPr>
          <w:p>
            <w:pPr>
              <w:jc w:val="right"/>
              <w:ind w:right="63"/>
              <w:spacing w:after="0"/>
              <w:rPr>
                <w:sz w:val="20"/>
                <w:szCs w:val="20"/>
                <w:color w:val="auto"/>
              </w:rPr>
            </w:pPr>
            <w:r>
              <w:rPr>
                <w:rFonts w:ascii="Calibri" w:cs="Calibri" w:eastAsia="Calibri" w:hAnsi="Calibri"/>
                <w:sz w:val="11"/>
                <w:szCs w:val="11"/>
                <w:color w:val="51555C"/>
              </w:rPr>
              <w:t>566.5</w:t>
            </w:r>
          </w:p>
        </w:tc>
        <w:tc>
          <w:tcPr>
            <w:tcW w:w="240" w:type="dxa"/>
            <w:vAlign w:val="bottom"/>
            <w:tcBorders>
              <w:bottom w:val="single" w:sz="8" w:color="51555C"/>
            </w:tcBorders>
          </w:tcPr>
          <w:p>
            <w:pPr>
              <w:jc w:val="right"/>
              <w:ind w:right="103"/>
              <w:spacing w:after="0"/>
              <w:rPr>
                <w:sz w:val="20"/>
                <w:szCs w:val="20"/>
                <w:color w:val="auto"/>
              </w:rPr>
            </w:pPr>
            <w:r>
              <w:rPr>
                <w:rFonts w:ascii="Calibri" w:cs="Calibri" w:eastAsia="Calibri" w:hAnsi="Calibri"/>
                <w:sz w:val="11"/>
                <w:szCs w:val="11"/>
                <w:color w:val="51555C"/>
              </w:rPr>
              <w:t>$</w:t>
            </w:r>
          </w:p>
        </w:tc>
        <w:tc>
          <w:tcPr>
            <w:tcW w:w="1000" w:type="dxa"/>
            <w:vAlign w:val="bottom"/>
            <w:tcBorders>
              <w:bottom w:val="single" w:sz="8" w:color="51555C"/>
            </w:tcBorders>
          </w:tcPr>
          <w:p>
            <w:pPr>
              <w:jc w:val="right"/>
              <w:spacing w:after="0"/>
              <w:rPr>
                <w:sz w:val="20"/>
                <w:szCs w:val="20"/>
                <w:color w:val="auto"/>
              </w:rPr>
            </w:pPr>
            <w:r>
              <w:rPr>
                <w:rFonts w:ascii="Calibri" w:cs="Calibri" w:eastAsia="Calibri" w:hAnsi="Calibri"/>
                <w:sz w:val="11"/>
                <w:szCs w:val="11"/>
                <w:color w:val="51555C"/>
              </w:rPr>
              <w:t>530.3</w:t>
            </w:r>
          </w:p>
        </w:tc>
        <w:tc>
          <w:tcPr>
            <w:tcW w:w="20" w:type="dxa"/>
            <w:vAlign w:val="bottom"/>
          </w:tcPr>
          <w:p>
            <w:pPr>
              <w:spacing w:after="0"/>
              <w:rPr>
                <w:sz w:val="14"/>
                <w:szCs w:val="14"/>
                <w:color w:val="auto"/>
              </w:rPr>
            </w:pPr>
          </w:p>
        </w:tc>
      </w:tr>
      <w:tr>
        <w:trPr>
          <w:trHeight w:val="159"/>
        </w:trPr>
        <w:tc>
          <w:tcPr>
            <w:tcW w:w="6060" w:type="dxa"/>
            <w:vAlign w:val="bottom"/>
            <w:tcBorders>
              <w:bottom w:val="single" w:sz="8" w:color="EBFBFF"/>
            </w:tcBorders>
            <w:shd w:val="clear" w:color="auto" w:fill="EBFBFF"/>
          </w:tcPr>
          <w:p>
            <w:pPr>
              <w:ind w:left="20"/>
              <w:spacing w:after="0" w:line="133" w:lineRule="exact"/>
              <w:rPr>
                <w:sz w:val="20"/>
                <w:szCs w:val="20"/>
                <w:color w:val="auto"/>
              </w:rPr>
            </w:pPr>
            <w:r>
              <w:rPr>
                <w:rFonts w:ascii="Calibri" w:cs="Calibri" w:eastAsia="Calibri" w:hAnsi="Calibri"/>
                <w:sz w:val="11"/>
                <w:szCs w:val="11"/>
                <w:b w:val="1"/>
                <w:bCs w:val="1"/>
                <w:color w:val="51555C"/>
              </w:rPr>
              <w:t>Non-GAAP organic revenue growth</w:t>
            </w:r>
          </w:p>
        </w:tc>
        <w:tc>
          <w:tcPr>
            <w:tcW w:w="500" w:type="dxa"/>
            <w:vAlign w:val="bottom"/>
            <w:tcBorders>
              <w:bottom w:val="single" w:sz="8" w:color="EBFBFF"/>
            </w:tcBorders>
            <w:shd w:val="clear" w:color="auto" w:fill="EBFBFF"/>
          </w:tcPr>
          <w:p>
            <w:pPr>
              <w:spacing w:after="0"/>
              <w:rPr>
                <w:sz w:val="13"/>
                <w:szCs w:val="13"/>
                <w:color w:val="auto"/>
              </w:rPr>
            </w:pPr>
          </w:p>
        </w:tc>
        <w:tc>
          <w:tcPr>
            <w:tcW w:w="8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1"/>
                <w:szCs w:val="11"/>
                <w:b w:val="1"/>
                <w:bCs w:val="1"/>
                <w:color w:val="51555C"/>
              </w:rPr>
              <w:t>6.7 %</w:t>
            </w:r>
          </w:p>
        </w:tc>
        <w:tc>
          <w:tcPr>
            <w:tcW w:w="160" w:type="dxa"/>
            <w:vAlign w:val="bottom"/>
            <w:tcBorders>
              <w:bottom w:val="single" w:sz="8" w:color="EBFBFF"/>
            </w:tcBorders>
            <w:shd w:val="clear" w:color="auto" w:fill="EBFBFF"/>
          </w:tcPr>
          <w:p>
            <w:pPr>
              <w:spacing w:after="0"/>
              <w:rPr>
                <w:sz w:val="13"/>
                <w:szCs w:val="13"/>
                <w:color w:val="auto"/>
              </w:rPr>
            </w:pPr>
          </w:p>
        </w:tc>
        <w:tc>
          <w:tcPr>
            <w:tcW w:w="1100" w:type="dxa"/>
            <w:vAlign w:val="bottom"/>
            <w:tcBorders>
              <w:bottom w:val="single" w:sz="8" w:color="EBFBFF"/>
              <w:right w:val="single" w:sz="8" w:color="EBFBFF"/>
            </w:tcBorders>
            <w:shd w:val="clear" w:color="auto" w:fill="EBFBFF"/>
          </w:tcPr>
          <w:p>
            <w:pPr>
              <w:spacing w:after="0"/>
              <w:rPr>
                <w:sz w:val="13"/>
                <w:szCs w:val="13"/>
                <w:color w:val="auto"/>
              </w:rPr>
            </w:pPr>
          </w:p>
        </w:tc>
        <w:tc>
          <w:tcPr>
            <w:tcW w:w="80" w:type="dxa"/>
            <w:vAlign w:val="bottom"/>
            <w:tcBorders>
              <w:bottom w:val="single" w:sz="8" w:color="EBFBFF"/>
            </w:tcBorders>
            <w:shd w:val="clear" w:color="auto" w:fill="EBFBFF"/>
          </w:tcPr>
          <w:p>
            <w:pPr>
              <w:spacing w:after="0"/>
              <w:rPr>
                <w:sz w:val="13"/>
                <w:szCs w:val="13"/>
                <w:color w:val="auto"/>
              </w:rPr>
            </w:pPr>
          </w:p>
        </w:tc>
        <w:tc>
          <w:tcPr>
            <w:tcW w:w="500" w:type="dxa"/>
            <w:vAlign w:val="bottom"/>
            <w:tcBorders>
              <w:bottom w:val="single" w:sz="8" w:color="EBFBFF"/>
            </w:tcBorders>
            <w:shd w:val="clear" w:color="auto" w:fill="EBFBFF"/>
          </w:tcPr>
          <w:p>
            <w:pPr>
              <w:spacing w:after="0"/>
              <w:rPr>
                <w:sz w:val="13"/>
                <w:szCs w:val="13"/>
                <w:color w:val="auto"/>
              </w:rPr>
            </w:pPr>
          </w:p>
        </w:tc>
        <w:tc>
          <w:tcPr>
            <w:tcW w:w="8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1"/>
                <w:szCs w:val="11"/>
                <w:b w:val="1"/>
                <w:bCs w:val="1"/>
                <w:color w:val="51555C"/>
              </w:rPr>
              <w:t>6.8 %</w:t>
            </w:r>
          </w:p>
        </w:tc>
        <w:tc>
          <w:tcPr>
            <w:tcW w:w="240" w:type="dxa"/>
            <w:vAlign w:val="bottom"/>
            <w:tcBorders>
              <w:bottom w:val="single" w:sz="8" w:color="EBFBFF"/>
            </w:tcBorders>
            <w:shd w:val="clear" w:color="auto" w:fill="EBFBFF"/>
          </w:tcPr>
          <w:p>
            <w:pPr>
              <w:spacing w:after="0"/>
              <w:rPr>
                <w:sz w:val="13"/>
                <w:szCs w:val="13"/>
                <w:color w:val="auto"/>
              </w:rPr>
            </w:pPr>
          </w:p>
        </w:tc>
        <w:tc>
          <w:tcPr>
            <w:tcW w:w="1000" w:type="dxa"/>
            <w:vAlign w:val="bottom"/>
            <w:tcBorders>
              <w:bottom w:val="single" w:sz="8" w:color="EBFBFF"/>
            </w:tcBorders>
            <w:shd w:val="clear" w:color="auto" w:fill="EBFBFF"/>
          </w:tcPr>
          <w:p>
            <w:pPr>
              <w:spacing w:after="0"/>
              <w:rPr>
                <w:sz w:val="13"/>
                <w:szCs w:val="13"/>
                <w:color w:val="auto"/>
              </w:rPr>
            </w:pPr>
          </w:p>
        </w:tc>
        <w:tc>
          <w:tcPr>
            <w:tcW w:w="20" w:type="dxa"/>
            <w:vAlign w:val="bottom"/>
          </w:tcPr>
          <w:p>
            <w:pPr>
              <w:spacing w:after="0"/>
              <w:rPr>
                <w:sz w:val="13"/>
                <w:szCs w:val="13"/>
                <w:color w:val="auto"/>
              </w:rPr>
            </w:pPr>
          </w:p>
        </w:tc>
      </w:tr>
      <w:tr>
        <w:trPr>
          <w:trHeight w:val="117"/>
        </w:trPr>
        <w:tc>
          <w:tcPr>
            <w:tcW w:w="60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80"/>
        </w:trPr>
        <w:tc>
          <w:tcPr>
            <w:tcW w:w="6060" w:type="dxa"/>
            <w:vAlign w:val="bottom"/>
            <w:shd w:val="clear" w:color="auto" w:fill="EBFBFF"/>
          </w:tcPr>
          <w:p>
            <w:pPr>
              <w:ind w:left="20"/>
              <w:spacing w:after="0" w:line="170" w:lineRule="exact"/>
              <w:rPr>
                <w:sz w:val="20"/>
                <w:szCs w:val="20"/>
                <w:color w:val="auto"/>
              </w:rPr>
            </w:pPr>
            <w:r>
              <w:rPr>
                <w:rFonts w:ascii="Calibri" w:cs="Calibri" w:eastAsia="Calibri" w:hAnsi="Calibri"/>
                <w:sz w:val="11"/>
                <w:szCs w:val="11"/>
                <w:color w:val="51555C"/>
              </w:rPr>
              <w:t>Non-GAAP organic revenue</w:t>
            </w:r>
            <w:r>
              <w:rPr>
                <w:rFonts w:ascii="Calibri" w:cs="Calibri" w:eastAsia="Calibri" w:hAnsi="Calibri"/>
                <w:sz w:val="14"/>
                <w:szCs w:val="14"/>
                <w:color w:val="51555C"/>
                <w:vertAlign w:val="superscript"/>
              </w:rPr>
              <w:t>(3)</w:t>
            </w:r>
          </w:p>
        </w:tc>
        <w:tc>
          <w:tcPr>
            <w:tcW w:w="500" w:type="dxa"/>
            <w:vAlign w:val="bottom"/>
            <w:shd w:val="clear" w:color="auto" w:fill="EBFBFF"/>
          </w:tcPr>
          <w:p>
            <w:pPr>
              <w:jc w:val="right"/>
              <w:ind w:right="383"/>
              <w:spacing w:after="0"/>
              <w:rPr>
                <w:sz w:val="20"/>
                <w:szCs w:val="20"/>
                <w:color w:val="auto"/>
              </w:rPr>
            </w:pPr>
            <w:r>
              <w:rPr>
                <w:rFonts w:ascii="Calibri" w:cs="Calibri" w:eastAsia="Calibri" w:hAnsi="Calibri"/>
                <w:sz w:val="11"/>
                <w:szCs w:val="11"/>
                <w:color w:val="51555C"/>
                <w:w w:val="70"/>
              </w:rPr>
              <w:t>$</w:t>
            </w:r>
          </w:p>
        </w:tc>
        <w:tc>
          <w:tcPr>
            <w:tcW w:w="820" w:type="dxa"/>
            <w:vAlign w:val="bottom"/>
            <w:shd w:val="clear" w:color="auto" w:fill="EBFBFF"/>
          </w:tcPr>
          <w:p>
            <w:pPr>
              <w:jc w:val="right"/>
              <w:ind w:right="83"/>
              <w:spacing w:after="0"/>
              <w:rPr>
                <w:sz w:val="20"/>
                <w:szCs w:val="20"/>
                <w:color w:val="auto"/>
              </w:rPr>
            </w:pPr>
            <w:r>
              <w:rPr>
                <w:rFonts w:ascii="Calibri" w:cs="Calibri" w:eastAsia="Calibri" w:hAnsi="Calibri"/>
                <w:sz w:val="11"/>
                <w:szCs w:val="11"/>
                <w:color w:val="51555C"/>
              </w:rPr>
              <w:t>287.3</w:t>
            </w:r>
          </w:p>
        </w:tc>
        <w:tc>
          <w:tcPr>
            <w:tcW w:w="160" w:type="dxa"/>
            <w:vAlign w:val="bottom"/>
            <w:shd w:val="clear" w:color="auto" w:fill="EBFBFF"/>
          </w:tcPr>
          <w:p>
            <w:pPr>
              <w:jc w:val="right"/>
              <w:ind w:right="23"/>
              <w:spacing w:after="0"/>
              <w:rPr>
                <w:sz w:val="20"/>
                <w:szCs w:val="20"/>
                <w:color w:val="auto"/>
              </w:rPr>
            </w:pPr>
            <w:r>
              <w:rPr>
                <w:rFonts w:ascii="Calibri" w:cs="Calibri" w:eastAsia="Calibri" w:hAnsi="Calibri"/>
                <w:sz w:val="11"/>
                <w:szCs w:val="11"/>
                <w:color w:val="51555C"/>
              </w:rPr>
              <w:t>$</w:t>
            </w:r>
          </w:p>
        </w:tc>
        <w:tc>
          <w:tcPr>
            <w:tcW w:w="1100" w:type="dxa"/>
            <w:vAlign w:val="bottom"/>
            <w:tcBorders>
              <w:right w:val="single" w:sz="8" w:color="EBFBFF"/>
            </w:tcBorders>
            <w:shd w:val="clear" w:color="auto" w:fill="EBFBFF"/>
          </w:tcPr>
          <w:p>
            <w:pPr>
              <w:jc w:val="right"/>
              <w:ind w:right="3"/>
              <w:spacing w:after="0"/>
              <w:rPr>
                <w:sz w:val="20"/>
                <w:szCs w:val="20"/>
                <w:color w:val="auto"/>
              </w:rPr>
            </w:pPr>
            <w:r>
              <w:rPr>
                <w:rFonts w:ascii="Calibri" w:cs="Calibri" w:eastAsia="Calibri" w:hAnsi="Calibri"/>
                <w:sz w:val="11"/>
                <w:szCs w:val="11"/>
                <w:color w:val="51555C"/>
              </w:rPr>
              <w:t>269.2</w:t>
            </w:r>
          </w:p>
        </w:tc>
        <w:tc>
          <w:tcPr>
            <w:tcW w:w="580" w:type="dxa"/>
            <w:vAlign w:val="bottom"/>
            <w:gridSpan w:val="2"/>
            <w:shd w:val="clear" w:color="auto" w:fill="EBFBFF"/>
          </w:tcPr>
          <w:p>
            <w:pPr>
              <w:jc w:val="right"/>
              <w:ind w:right="383"/>
              <w:spacing w:after="0"/>
              <w:rPr>
                <w:sz w:val="20"/>
                <w:szCs w:val="20"/>
                <w:color w:val="auto"/>
              </w:rPr>
            </w:pPr>
            <w:r>
              <w:rPr>
                <w:rFonts w:ascii="Calibri" w:cs="Calibri" w:eastAsia="Calibri" w:hAnsi="Calibri"/>
                <w:sz w:val="11"/>
                <w:szCs w:val="11"/>
                <w:color w:val="51555C"/>
              </w:rPr>
              <w:t>$</w:t>
            </w:r>
          </w:p>
        </w:tc>
        <w:tc>
          <w:tcPr>
            <w:tcW w:w="820" w:type="dxa"/>
            <w:vAlign w:val="bottom"/>
            <w:shd w:val="clear" w:color="auto" w:fill="EBFBFF"/>
          </w:tcPr>
          <w:p>
            <w:pPr>
              <w:jc w:val="right"/>
              <w:ind w:right="63"/>
              <w:spacing w:after="0"/>
              <w:rPr>
                <w:sz w:val="20"/>
                <w:szCs w:val="20"/>
                <w:color w:val="auto"/>
              </w:rPr>
            </w:pPr>
            <w:r>
              <w:rPr>
                <w:rFonts w:ascii="Calibri" w:cs="Calibri" w:eastAsia="Calibri" w:hAnsi="Calibri"/>
                <w:sz w:val="11"/>
                <w:szCs w:val="11"/>
                <w:color w:val="51555C"/>
              </w:rPr>
              <w:t>566.5</w:t>
            </w:r>
          </w:p>
        </w:tc>
        <w:tc>
          <w:tcPr>
            <w:tcW w:w="240" w:type="dxa"/>
            <w:vAlign w:val="bottom"/>
            <w:shd w:val="clear" w:color="auto" w:fill="EBFBFF"/>
          </w:tcPr>
          <w:p>
            <w:pPr>
              <w:jc w:val="right"/>
              <w:ind w:right="103"/>
              <w:spacing w:after="0"/>
              <w:rPr>
                <w:sz w:val="20"/>
                <w:szCs w:val="20"/>
                <w:color w:val="auto"/>
              </w:rPr>
            </w:pPr>
            <w:r>
              <w:rPr>
                <w:rFonts w:ascii="Calibri" w:cs="Calibri" w:eastAsia="Calibri" w:hAnsi="Calibri"/>
                <w:sz w:val="11"/>
                <w:szCs w:val="11"/>
                <w:color w:val="51555C"/>
              </w:rPr>
              <w:t>$</w:t>
            </w:r>
          </w:p>
        </w:tc>
        <w:tc>
          <w:tcPr>
            <w:tcW w:w="1000" w:type="dxa"/>
            <w:vAlign w:val="bottom"/>
            <w:shd w:val="clear" w:color="auto" w:fill="EBFBFF"/>
          </w:tcPr>
          <w:p>
            <w:pPr>
              <w:jc w:val="right"/>
              <w:spacing w:after="0"/>
              <w:rPr>
                <w:sz w:val="20"/>
                <w:szCs w:val="20"/>
                <w:color w:val="auto"/>
              </w:rPr>
            </w:pPr>
            <w:r>
              <w:rPr>
                <w:rFonts w:ascii="Calibri" w:cs="Calibri" w:eastAsia="Calibri" w:hAnsi="Calibri"/>
                <w:sz w:val="11"/>
                <w:szCs w:val="11"/>
                <w:color w:val="51555C"/>
              </w:rPr>
              <w:t>530.3</w:t>
            </w:r>
          </w:p>
        </w:tc>
        <w:tc>
          <w:tcPr>
            <w:tcW w:w="20" w:type="dxa"/>
            <w:vAlign w:val="bottom"/>
          </w:tcPr>
          <w:p>
            <w:pPr>
              <w:spacing w:after="0"/>
              <w:rPr>
                <w:sz w:val="15"/>
                <w:szCs w:val="15"/>
                <w:color w:val="auto"/>
              </w:rPr>
            </w:pPr>
          </w:p>
        </w:tc>
      </w:tr>
      <w:tr>
        <w:trPr>
          <w:trHeight w:val="175"/>
        </w:trPr>
        <w:tc>
          <w:tcPr>
            <w:tcW w:w="6060" w:type="dxa"/>
            <w:vAlign w:val="bottom"/>
            <w:tcBorders>
              <w:bottom w:val="single" w:sz="8" w:color="EBFBFF"/>
            </w:tcBorders>
          </w:tcPr>
          <w:p>
            <w:pPr>
              <w:ind w:left="20"/>
              <w:spacing w:after="0" w:line="170" w:lineRule="exact"/>
              <w:rPr>
                <w:sz w:val="20"/>
                <w:szCs w:val="20"/>
                <w:color w:val="auto"/>
              </w:rPr>
            </w:pPr>
            <w:r>
              <w:rPr>
                <w:rFonts w:ascii="Calibri" w:cs="Calibri" w:eastAsia="Calibri" w:hAnsi="Calibri"/>
                <w:sz w:val="11"/>
                <w:szCs w:val="11"/>
                <w:color w:val="51555C"/>
              </w:rPr>
              <w:t>Foreign currency impact on Non-GAAP organic revenue</w:t>
            </w:r>
            <w:r>
              <w:rPr>
                <w:rFonts w:ascii="Calibri" w:cs="Calibri" w:eastAsia="Calibri" w:hAnsi="Calibri"/>
                <w:sz w:val="14"/>
                <w:szCs w:val="14"/>
                <w:color w:val="51555C"/>
                <w:vertAlign w:val="superscript"/>
              </w:rPr>
              <w:t>(4)</w:t>
            </w:r>
          </w:p>
        </w:tc>
        <w:tc>
          <w:tcPr>
            <w:tcW w:w="500" w:type="dxa"/>
            <w:vAlign w:val="bottom"/>
            <w:tcBorders>
              <w:bottom w:val="single" w:sz="8" w:color="51555C"/>
            </w:tcBorders>
          </w:tcPr>
          <w:p>
            <w:pPr>
              <w:spacing w:after="0"/>
              <w:rPr>
                <w:sz w:val="15"/>
                <w:szCs w:val="15"/>
                <w:color w:val="auto"/>
              </w:rPr>
            </w:pPr>
          </w:p>
        </w:tc>
        <w:tc>
          <w:tcPr>
            <w:tcW w:w="820" w:type="dxa"/>
            <w:vAlign w:val="bottom"/>
            <w:tcBorders>
              <w:bottom w:val="single" w:sz="8" w:color="51555C"/>
            </w:tcBorders>
          </w:tcPr>
          <w:p>
            <w:pPr>
              <w:jc w:val="right"/>
              <w:ind w:right="43"/>
              <w:spacing w:after="0"/>
              <w:rPr>
                <w:sz w:val="20"/>
                <w:szCs w:val="20"/>
                <w:color w:val="auto"/>
              </w:rPr>
            </w:pPr>
            <w:r>
              <w:rPr>
                <w:rFonts w:ascii="Calibri" w:cs="Calibri" w:eastAsia="Calibri" w:hAnsi="Calibri"/>
                <w:sz w:val="11"/>
                <w:szCs w:val="11"/>
                <w:color w:val="51555C"/>
              </w:rPr>
              <w:t>(0.2)</w:t>
            </w:r>
          </w:p>
        </w:tc>
        <w:tc>
          <w:tcPr>
            <w:tcW w:w="160" w:type="dxa"/>
            <w:vAlign w:val="bottom"/>
            <w:tcBorders>
              <w:bottom w:val="single" w:sz="8" w:color="51555C"/>
            </w:tcBorders>
          </w:tcPr>
          <w:p>
            <w:pPr>
              <w:spacing w:after="0"/>
              <w:rPr>
                <w:sz w:val="15"/>
                <w:szCs w:val="15"/>
                <w:color w:val="auto"/>
              </w:rPr>
            </w:pPr>
          </w:p>
        </w:tc>
        <w:tc>
          <w:tcPr>
            <w:tcW w:w="1100" w:type="dxa"/>
            <w:vAlign w:val="bottom"/>
            <w:tcBorders>
              <w:bottom w:val="single" w:sz="8" w:color="51555C"/>
            </w:tcBorders>
          </w:tcPr>
          <w:p>
            <w:pPr>
              <w:jc w:val="right"/>
              <w:ind w:right="3"/>
              <w:spacing w:after="0"/>
              <w:rPr>
                <w:sz w:val="20"/>
                <w:szCs w:val="20"/>
                <w:color w:val="auto"/>
              </w:rPr>
            </w:pPr>
            <w:r>
              <w:rPr>
                <w:rFonts w:ascii="Calibri" w:cs="Calibri" w:eastAsia="Calibri" w:hAnsi="Calibri"/>
                <w:sz w:val="11"/>
                <w:szCs w:val="11"/>
                <w:color w:val="51555C"/>
              </w:rPr>
              <w:t>—</w:t>
            </w:r>
          </w:p>
        </w:tc>
        <w:tc>
          <w:tcPr>
            <w:tcW w:w="80" w:type="dxa"/>
            <w:vAlign w:val="bottom"/>
            <w:tcBorders>
              <w:bottom w:val="single" w:sz="8" w:color="EBFBFF"/>
            </w:tcBorders>
          </w:tcPr>
          <w:p>
            <w:pPr>
              <w:spacing w:after="0"/>
              <w:rPr>
                <w:sz w:val="15"/>
                <w:szCs w:val="15"/>
                <w:color w:val="auto"/>
              </w:rPr>
            </w:pPr>
          </w:p>
        </w:tc>
        <w:tc>
          <w:tcPr>
            <w:tcW w:w="500" w:type="dxa"/>
            <w:vAlign w:val="bottom"/>
            <w:tcBorders>
              <w:bottom w:val="single" w:sz="8" w:color="51555C"/>
            </w:tcBorders>
          </w:tcPr>
          <w:p>
            <w:pPr>
              <w:spacing w:after="0"/>
              <w:rPr>
                <w:sz w:val="15"/>
                <w:szCs w:val="15"/>
                <w:color w:val="auto"/>
              </w:rPr>
            </w:pPr>
          </w:p>
        </w:tc>
        <w:tc>
          <w:tcPr>
            <w:tcW w:w="820" w:type="dxa"/>
            <w:vAlign w:val="bottom"/>
            <w:tcBorders>
              <w:bottom w:val="single" w:sz="8" w:color="51555C"/>
            </w:tcBorders>
          </w:tcPr>
          <w:p>
            <w:pPr>
              <w:jc w:val="right"/>
              <w:ind w:right="43"/>
              <w:spacing w:after="0"/>
              <w:rPr>
                <w:sz w:val="20"/>
                <w:szCs w:val="20"/>
                <w:color w:val="auto"/>
              </w:rPr>
            </w:pPr>
            <w:r>
              <w:rPr>
                <w:rFonts w:ascii="Calibri" w:cs="Calibri" w:eastAsia="Calibri" w:hAnsi="Calibri"/>
                <w:sz w:val="11"/>
                <w:szCs w:val="11"/>
                <w:color w:val="51555C"/>
              </w:rPr>
              <w:t>(1.1)</w:t>
            </w:r>
          </w:p>
        </w:tc>
        <w:tc>
          <w:tcPr>
            <w:tcW w:w="240" w:type="dxa"/>
            <w:vAlign w:val="bottom"/>
            <w:tcBorders>
              <w:bottom w:val="single" w:sz="8" w:color="51555C"/>
            </w:tcBorders>
          </w:tcPr>
          <w:p>
            <w:pPr>
              <w:spacing w:after="0"/>
              <w:rPr>
                <w:sz w:val="15"/>
                <w:szCs w:val="15"/>
                <w:color w:val="auto"/>
              </w:rPr>
            </w:pPr>
          </w:p>
        </w:tc>
        <w:tc>
          <w:tcPr>
            <w:tcW w:w="1000" w:type="dxa"/>
            <w:vAlign w:val="bottom"/>
            <w:tcBorders>
              <w:bottom w:val="single" w:sz="8" w:color="51555C"/>
            </w:tcBorders>
          </w:tcPr>
          <w:p>
            <w:pPr>
              <w:jc w:val="right"/>
              <w:spacing w:after="0"/>
              <w:rPr>
                <w:sz w:val="20"/>
                <w:szCs w:val="20"/>
                <w:color w:val="auto"/>
              </w:rPr>
            </w:pPr>
            <w:r>
              <w:rPr>
                <w:rFonts w:ascii="Calibri" w:cs="Calibri" w:eastAsia="Calibri" w:hAnsi="Calibri"/>
                <w:sz w:val="11"/>
                <w:szCs w:val="11"/>
                <w:color w:val="51555C"/>
              </w:rPr>
              <w:t>—</w:t>
            </w:r>
          </w:p>
        </w:tc>
        <w:tc>
          <w:tcPr>
            <w:tcW w:w="20" w:type="dxa"/>
            <w:vAlign w:val="bottom"/>
          </w:tcPr>
          <w:p>
            <w:pPr>
              <w:spacing w:after="0"/>
              <w:rPr>
                <w:sz w:val="15"/>
                <w:szCs w:val="15"/>
                <w:color w:val="auto"/>
              </w:rPr>
            </w:pPr>
          </w:p>
        </w:tc>
      </w:tr>
      <w:tr>
        <w:trPr>
          <w:trHeight w:val="176"/>
        </w:trPr>
        <w:tc>
          <w:tcPr>
            <w:tcW w:w="6060" w:type="dxa"/>
            <w:vAlign w:val="bottom"/>
            <w:shd w:val="clear" w:color="auto" w:fill="EBFBFF"/>
          </w:tcPr>
          <w:p>
            <w:pPr>
              <w:ind w:left="20"/>
              <w:spacing w:after="0" w:line="161" w:lineRule="exact"/>
              <w:rPr>
                <w:sz w:val="20"/>
                <w:szCs w:val="20"/>
                <w:color w:val="auto"/>
              </w:rPr>
            </w:pPr>
            <w:r>
              <w:rPr>
                <w:rFonts w:ascii="Calibri" w:cs="Calibri" w:eastAsia="Calibri" w:hAnsi="Calibri"/>
                <w:sz w:val="11"/>
                <w:szCs w:val="11"/>
                <w:color w:val="51555C"/>
              </w:rPr>
              <w:t>Non-GAAP organic revenue on constant currency basis</w:t>
            </w:r>
            <w:r>
              <w:rPr>
                <w:rFonts w:ascii="Calibri" w:cs="Calibri" w:eastAsia="Calibri" w:hAnsi="Calibri"/>
                <w:sz w:val="14"/>
                <w:szCs w:val="14"/>
                <w:color w:val="51555C"/>
                <w:vertAlign w:val="superscript"/>
              </w:rPr>
              <w:t>(4)</w:t>
            </w:r>
          </w:p>
        </w:tc>
        <w:tc>
          <w:tcPr>
            <w:tcW w:w="500" w:type="dxa"/>
            <w:vAlign w:val="bottom"/>
            <w:tcBorders>
              <w:bottom w:val="single" w:sz="8" w:color="51555C"/>
            </w:tcBorders>
            <w:shd w:val="clear" w:color="auto" w:fill="EBFBFF"/>
          </w:tcPr>
          <w:p>
            <w:pPr>
              <w:jc w:val="right"/>
              <w:ind w:right="383"/>
              <w:spacing w:after="0"/>
              <w:rPr>
                <w:sz w:val="20"/>
                <w:szCs w:val="20"/>
                <w:color w:val="auto"/>
              </w:rPr>
            </w:pPr>
            <w:r>
              <w:rPr>
                <w:rFonts w:ascii="Calibri" w:cs="Calibri" w:eastAsia="Calibri" w:hAnsi="Calibri"/>
                <w:sz w:val="11"/>
                <w:szCs w:val="11"/>
                <w:color w:val="51555C"/>
                <w:w w:val="70"/>
              </w:rPr>
              <w:t>$</w:t>
            </w:r>
          </w:p>
        </w:tc>
        <w:tc>
          <w:tcPr>
            <w:tcW w:w="820" w:type="dxa"/>
            <w:vAlign w:val="bottom"/>
            <w:tcBorders>
              <w:bottom w:val="single" w:sz="8" w:color="51555C"/>
            </w:tcBorders>
            <w:shd w:val="clear" w:color="auto" w:fill="EBFBFF"/>
          </w:tcPr>
          <w:p>
            <w:pPr>
              <w:jc w:val="right"/>
              <w:ind w:right="83"/>
              <w:spacing w:after="0"/>
              <w:rPr>
                <w:sz w:val="20"/>
                <w:szCs w:val="20"/>
                <w:color w:val="auto"/>
              </w:rPr>
            </w:pPr>
            <w:r>
              <w:rPr>
                <w:rFonts w:ascii="Calibri" w:cs="Calibri" w:eastAsia="Calibri" w:hAnsi="Calibri"/>
                <w:sz w:val="11"/>
                <w:szCs w:val="11"/>
                <w:color w:val="51555C"/>
              </w:rPr>
              <w:t>287.1</w:t>
            </w:r>
          </w:p>
        </w:tc>
        <w:tc>
          <w:tcPr>
            <w:tcW w:w="160" w:type="dxa"/>
            <w:vAlign w:val="bottom"/>
            <w:tcBorders>
              <w:bottom w:val="single" w:sz="8" w:color="51555C"/>
            </w:tcBorders>
            <w:shd w:val="clear" w:color="auto" w:fill="EBFBFF"/>
          </w:tcPr>
          <w:p>
            <w:pPr>
              <w:jc w:val="right"/>
              <w:ind w:right="23"/>
              <w:spacing w:after="0"/>
              <w:rPr>
                <w:sz w:val="20"/>
                <w:szCs w:val="20"/>
                <w:color w:val="auto"/>
              </w:rPr>
            </w:pPr>
            <w:r>
              <w:rPr>
                <w:rFonts w:ascii="Calibri" w:cs="Calibri" w:eastAsia="Calibri" w:hAnsi="Calibri"/>
                <w:sz w:val="11"/>
                <w:szCs w:val="11"/>
                <w:color w:val="51555C"/>
              </w:rPr>
              <w:t>$</w:t>
            </w:r>
          </w:p>
        </w:tc>
        <w:tc>
          <w:tcPr>
            <w:tcW w:w="1100" w:type="dxa"/>
            <w:vAlign w:val="bottom"/>
            <w:tcBorders>
              <w:bottom w:val="single" w:sz="8" w:color="51555C"/>
              <w:right w:val="single" w:sz="8" w:color="EBFBFF"/>
            </w:tcBorders>
            <w:shd w:val="clear" w:color="auto" w:fill="EBFBFF"/>
          </w:tcPr>
          <w:p>
            <w:pPr>
              <w:jc w:val="right"/>
              <w:ind w:right="3"/>
              <w:spacing w:after="0"/>
              <w:rPr>
                <w:sz w:val="20"/>
                <w:szCs w:val="20"/>
                <w:color w:val="auto"/>
              </w:rPr>
            </w:pPr>
            <w:r>
              <w:rPr>
                <w:rFonts w:ascii="Calibri" w:cs="Calibri" w:eastAsia="Calibri" w:hAnsi="Calibri"/>
                <w:sz w:val="11"/>
                <w:szCs w:val="11"/>
                <w:color w:val="51555C"/>
              </w:rPr>
              <w:t>269.2</w:t>
            </w:r>
          </w:p>
        </w:tc>
        <w:tc>
          <w:tcPr>
            <w:tcW w:w="80" w:type="dxa"/>
            <w:vAlign w:val="bottom"/>
            <w:shd w:val="clear" w:color="auto" w:fill="EBFBFF"/>
          </w:tcPr>
          <w:p>
            <w:pPr>
              <w:spacing w:after="0"/>
              <w:rPr>
                <w:sz w:val="15"/>
                <w:szCs w:val="15"/>
                <w:color w:val="auto"/>
              </w:rPr>
            </w:pPr>
          </w:p>
        </w:tc>
        <w:tc>
          <w:tcPr>
            <w:tcW w:w="500" w:type="dxa"/>
            <w:vAlign w:val="bottom"/>
            <w:tcBorders>
              <w:bottom w:val="single" w:sz="8" w:color="51555C"/>
            </w:tcBorders>
            <w:shd w:val="clear" w:color="auto" w:fill="EBFBFF"/>
          </w:tcPr>
          <w:p>
            <w:pPr>
              <w:jc w:val="right"/>
              <w:ind w:right="383"/>
              <w:spacing w:after="0"/>
              <w:rPr>
                <w:sz w:val="20"/>
                <w:szCs w:val="20"/>
                <w:color w:val="auto"/>
              </w:rPr>
            </w:pPr>
            <w:r>
              <w:rPr>
                <w:rFonts w:ascii="Calibri" w:cs="Calibri" w:eastAsia="Calibri" w:hAnsi="Calibri"/>
                <w:sz w:val="11"/>
                <w:szCs w:val="11"/>
                <w:color w:val="51555C"/>
                <w:w w:val="70"/>
              </w:rPr>
              <w:t>$</w:t>
            </w:r>
          </w:p>
        </w:tc>
        <w:tc>
          <w:tcPr>
            <w:tcW w:w="820" w:type="dxa"/>
            <w:vAlign w:val="bottom"/>
            <w:tcBorders>
              <w:bottom w:val="single" w:sz="8" w:color="51555C"/>
            </w:tcBorders>
            <w:shd w:val="clear" w:color="auto" w:fill="EBFBFF"/>
          </w:tcPr>
          <w:p>
            <w:pPr>
              <w:jc w:val="right"/>
              <w:ind w:right="63"/>
              <w:spacing w:after="0"/>
              <w:rPr>
                <w:sz w:val="20"/>
                <w:szCs w:val="20"/>
                <w:color w:val="auto"/>
              </w:rPr>
            </w:pPr>
            <w:r>
              <w:rPr>
                <w:rFonts w:ascii="Calibri" w:cs="Calibri" w:eastAsia="Calibri" w:hAnsi="Calibri"/>
                <w:sz w:val="11"/>
                <w:szCs w:val="11"/>
                <w:color w:val="51555C"/>
              </w:rPr>
              <w:t>565.4</w:t>
            </w:r>
          </w:p>
        </w:tc>
        <w:tc>
          <w:tcPr>
            <w:tcW w:w="240" w:type="dxa"/>
            <w:vAlign w:val="bottom"/>
            <w:tcBorders>
              <w:bottom w:val="single" w:sz="8" w:color="51555C"/>
            </w:tcBorders>
            <w:shd w:val="clear" w:color="auto" w:fill="EBFBFF"/>
          </w:tcPr>
          <w:p>
            <w:pPr>
              <w:jc w:val="right"/>
              <w:ind w:right="103"/>
              <w:spacing w:after="0"/>
              <w:rPr>
                <w:sz w:val="20"/>
                <w:szCs w:val="20"/>
                <w:color w:val="auto"/>
              </w:rPr>
            </w:pPr>
            <w:r>
              <w:rPr>
                <w:rFonts w:ascii="Calibri" w:cs="Calibri" w:eastAsia="Calibri" w:hAnsi="Calibri"/>
                <w:sz w:val="11"/>
                <w:szCs w:val="11"/>
                <w:color w:val="51555C"/>
              </w:rPr>
              <w:t>$</w:t>
            </w:r>
          </w:p>
        </w:tc>
        <w:tc>
          <w:tcPr>
            <w:tcW w:w="1000" w:type="dxa"/>
            <w:vAlign w:val="bottom"/>
            <w:tcBorders>
              <w:bottom w:val="single" w:sz="8" w:color="51555C"/>
            </w:tcBorders>
            <w:shd w:val="clear" w:color="auto" w:fill="EBFBFF"/>
          </w:tcPr>
          <w:p>
            <w:pPr>
              <w:jc w:val="right"/>
              <w:spacing w:after="0"/>
              <w:rPr>
                <w:sz w:val="20"/>
                <w:szCs w:val="20"/>
                <w:color w:val="auto"/>
              </w:rPr>
            </w:pPr>
            <w:r>
              <w:rPr>
                <w:rFonts w:ascii="Calibri" w:cs="Calibri" w:eastAsia="Calibri" w:hAnsi="Calibri"/>
                <w:sz w:val="11"/>
                <w:szCs w:val="11"/>
                <w:color w:val="51555C"/>
              </w:rPr>
              <w:t>530.3</w:t>
            </w:r>
          </w:p>
        </w:tc>
        <w:tc>
          <w:tcPr>
            <w:tcW w:w="20" w:type="dxa"/>
            <w:vAlign w:val="bottom"/>
          </w:tcPr>
          <w:p>
            <w:pPr>
              <w:spacing w:after="0"/>
              <w:rPr>
                <w:sz w:val="15"/>
                <w:szCs w:val="15"/>
                <w:color w:val="auto"/>
              </w:rPr>
            </w:pPr>
          </w:p>
        </w:tc>
      </w:tr>
      <w:tr>
        <w:trPr>
          <w:trHeight w:val="125"/>
        </w:trPr>
        <w:tc>
          <w:tcPr>
            <w:tcW w:w="6060" w:type="dxa"/>
            <w:vAlign w:val="bottom"/>
          </w:tcPr>
          <w:p>
            <w:pPr>
              <w:ind w:left="20"/>
              <w:spacing w:after="0" w:line="125" w:lineRule="exact"/>
              <w:rPr>
                <w:sz w:val="20"/>
                <w:szCs w:val="20"/>
                <w:color w:val="auto"/>
              </w:rPr>
            </w:pPr>
            <w:r>
              <w:rPr>
                <w:rFonts w:ascii="Calibri" w:cs="Calibri" w:eastAsia="Calibri" w:hAnsi="Calibri"/>
                <w:sz w:val="11"/>
                <w:szCs w:val="11"/>
                <w:b w:val="1"/>
                <w:bCs w:val="1"/>
                <w:color w:val="51555C"/>
              </w:rPr>
              <w:t>Non-GAAP organic revenue growth on constant currency basis</w:t>
            </w:r>
          </w:p>
        </w:tc>
        <w:tc>
          <w:tcPr>
            <w:tcW w:w="500" w:type="dxa"/>
            <w:vAlign w:val="bottom"/>
          </w:tcPr>
          <w:p>
            <w:pPr>
              <w:spacing w:after="0"/>
              <w:rPr>
                <w:sz w:val="10"/>
                <w:szCs w:val="10"/>
                <w:color w:val="auto"/>
              </w:rPr>
            </w:pPr>
          </w:p>
        </w:tc>
        <w:tc>
          <w:tcPr>
            <w:tcW w:w="820" w:type="dxa"/>
            <w:vAlign w:val="bottom"/>
          </w:tcPr>
          <w:p>
            <w:pPr>
              <w:jc w:val="right"/>
              <w:spacing w:after="0" w:line="126" w:lineRule="exact"/>
              <w:rPr>
                <w:sz w:val="20"/>
                <w:szCs w:val="20"/>
                <w:color w:val="auto"/>
              </w:rPr>
            </w:pPr>
            <w:r>
              <w:rPr>
                <w:rFonts w:ascii="Calibri" w:cs="Calibri" w:eastAsia="Calibri" w:hAnsi="Calibri"/>
                <w:sz w:val="11"/>
                <w:szCs w:val="11"/>
                <w:b w:val="1"/>
                <w:bCs w:val="1"/>
                <w:color w:val="51555C"/>
              </w:rPr>
              <w:t>6.6 %</w:t>
            </w:r>
          </w:p>
        </w:tc>
        <w:tc>
          <w:tcPr>
            <w:tcW w:w="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20" w:type="dxa"/>
            <w:vAlign w:val="bottom"/>
          </w:tcPr>
          <w:p>
            <w:pPr>
              <w:jc w:val="right"/>
              <w:spacing w:after="0" w:line="126" w:lineRule="exact"/>
              <w:rPr>
                <w:sz w:val="20"/>
                <w:szCs w:val="20"/>
                <w:color w:val="auto"/>
              </w:rPr>
            </w:pPr>
            <w:r>
              <w:rPr>
                <w:rFonts w:ascii="Calibri" w:cs="Calibri" w:eastAsia="Calibri" w:hAnsi="Calibri"/>
                <w:sz w:val="11"/>
                <w:szCs w:val="11"/>
                <w:b w:val="1"/>
                <w:bCs w:val="1"/>
                <w:color w:val="51555C"/>
              </w:rPr>
              <w:t>6.6 %</w:t>
            </w: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46"/>
        </w:trPr>
        <w:tc>
          <w:tcPr>
            <w:tcW w:w="6060" w:type="dxa"/>
            <w:vAlign w:val="bottom"/>
          </w:tcPr>
          <w:p>
            <w:pPr>
              <w:spacing w:after="0"/>
              <w:rPr>
                <w:sz w:val="3"/>
                <w:szCs w:val="3"/>
                <w:color w:val="auto"/>
              </w:rPr>
            </w:pPr>
          </w:p>
        </w:tc>
        <w:tc>
          <w:tcPr>
            <w:tcW w:w="5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17"/>
        </w:trPr>
        <w:tc>
          <w:tcPr>
            <w:tcW w:w="6060" w:type="dxa"/>
            <w:vAlign w:val="bottom"/>
            <w:shd w:val="clear" w:color="auto" w:fill="EBFBFF"/>
          </w:tcPr>
          <w:p>
            <w:pPr>
              <w:spacing w:after="0"/>
              <w:rPr>
                <w:sz w:val="10"/>
                <w:szCs w:val="10"/>
                <w:color w:val="auto"/>
              </w:rPr>
            </w:pPr>
          </w:p>
        </w:tc>
        <w:tc>
          <w:tcPr>
            <w:tcW w:w="500" w:type="dxa"/>
            <w:vAlign w:val="bottom"/>
            <w:shd w:val="clear" w:color="auto" w:fill="EBFBFF"/>
          </w:tcPr>
          <w:p>
            <w:pPr>
              <w:spacing w:after="0"/>
              <w:rPr>
                <w:sz w:val="10"/>
                <w:szCs w:val="10"/>
                <w:color w:val="auto"/>
              </w:rPr>
            </w:pPr>
          </w:p>
        </w:tc>
        <w:tc>
          <w:tcPr>
            <w:tcW w:w="820" w:type="dxa"/>
            <w:vAlign w:val="bottom"/>
            <w:shd w:val="clear" w:color="auto" w:fill="EBFBFF"/>
          </w:tcPr>
          <w:p>
            <w:pPr>
              <w:spacing w:after="0"/>
              <w:rPr>
                <w:sz w:val="10"/>
                <w:szCs w:val="10"/>
                <w:color w:val="auto"/>
              </w:rPr>
            </w:pPr>
          </w:p>
        </w:tc>
        <w:tc>
          <w:tcPr>
            <w:tcW w:w="160" w:type="dxa"/>
            <w:vAlign w:val="bottom"/>
            <w:shd w:val="clear" w:color="auto" w:fill="EBFBFF"/>
          </w:tcPr>
          <w:p>
            <w:pPr>
              <w:spacing w:after="0"/>
              <w:rPr>
                <w:sz w:val="10"/>
                <w:szCs w:val="10"/>
                <w:color w:val="auto"/>
              </w:rPr>
            </w:pPr>
          </w:p>
        </w:tc>
        <w:tc>
          <w:tcPr>
            <w:tcW w:w="1100" w:type="dxa"/>
            <w:vAlign w:val="bottom"/>
            <w:tcBorders>
              <w:right w:val="single" w:sz="8" w:color="EBFBFF"/>
            </w:tcBorders>
            <w:shd w:val="clear" w:color="auto" w:fill="EBFBFF"/>
          </w:tcPr>
          <w:p>
            <w:pPr>
              <w:spacing w:after="0"/>
              <w:rPr>
                <w:sz w:val="10"/>
                <w:szCs w:val="10"/>
                <w:color w:val="auto"/>
              </w:rPr>
            </w:pPr>
          </w:p>
        </w:tc>
        <w:tc>
          <w:tcPr>
            <w:tcW w:w="80" w:type="dxa"/>
            <w:vAlign w:val="bottom"/>
            <w:shd w:val="clear" w:color="auto" w:fill="EBFBFF"/>
          </w:tcPr>
          <w:p>
            <w:pPr>
              <w:spacing w:after="0"/>
              <w:rPr>
                <w:sz w:val="10"/>
                <w:szCs w:val="10"/>
                <w:color w:val="auto"/>
              </w:rPr>
            </w:pPr>
          </w:p>
        </w:tc>
        <w:tc>
          <w:tcPr>
            <w:tcW w:w="500" w:type="dxa"/>
            <w:vAlign w:val="bottom"/>
            <w:shd w:val="clear" w:color="auto" w:fill="EBFBFF"/>
          </w:tcPr>
          <w:p>
            <w:pPr>
              <w:spacing w:after="0"/>
              <w:rPr>
                <w:sz w:val="10"/>
                <w:szCs w:val="10"/>
                <w:color w:val="auto"/>
              </w:rPr>
            </w:pPr>
          </w:p>
        </w:tc>
        <w:tc>
          <w:tcPr>
            <w:tcW w:w="820" w:type="dxa"/>
            <w:vAlign w:val="bottom"/>
            <w:shd w:val="clear" w:color="auto" w:fill="EBFBFF"/>
          </w:tcPr>
          <w:p>
            <w:pPr>
              <w:spacing w:after="0"/>
              <w:rPr>
                <w:sz w:val="10"/>
                <w:szCs w:val="10"/>
                <w:color w:val="auto"/>
              </w:rPr>
            </w:pPr>
          </w:p>
        </w:tc>
        <w:tc>
          <w:tcPr>
            <w:tcW w:w="240" w:type="dxa"/>
            <w:vAlign w:val="bottom"/>
            <w:shd w:val="clear" w:color="auto" w:fill="EBFBFF"/>
          </w:tcPr>
          <w:p>
            <w:pPr>
              <w:spacing w:after="0"/>
              <w:rPr>
                <w:sz w:val="10"/>
                <w:szCs w:val="10"/>
                <w:color w:val="auto"/>
              </w:rPr>
            </w:pPr>
          </w:p>
        </w:tc>
        <w:tc>
          <w:tcPr>
            <w:tcW w:w="1000" w:type="dxa"/>
            <w:vAlign w:val="bottom"/>
            <w:shd w:val="clear" w:color="auto" w:fill="EBFBFF"/>
          </w:tcPr>
          <w:p>
            <w:pPr>
              <w:spacing w:after="0"/>
              <w:rPr>
                <w:sz w:val="10"/>
                <w:szCs w:val="10"/>
                <w:color w:val="auto"/>
              </w:rPr>
            </w:pPr>
          </w:p>
        </w:tc>
        <w:tc>
          <w:tcPr>
            <w:tcW w:w="20" w:type="dxa"/>
            <w:vAlign w:val="bottom"/>
          </w:tcPr>
          <w:p>
            <w:pPr>
              <w:spacing w:after="0"/>
              <w:rPr>
                <w:sz w:val="10"/>
                <w:szCs w:val="10"/>
                <w:color w:val="auto"/>
              </w:rPr>
            </w:pPr>
          </w:p>
        </w:tc>
      </w:tr>
      <w:tr>
        <w:trPr>
          <w:trHeight w:val="135"/>
        </w:trPr>
        <w:tc>
          <w:tcPr>
            <w:tcW w:w="6060" w:type="dxa"/>
            <w:vAlign w:val="bottom"/>
          </w:tcPr>
          <w:p>
            <w:pPr>
              <w:ind w:left="20"/>
              <w:spacing w:after="0"/>
              <w:rPr>
                <w:sz w:val="20"/>
                <w:szCs w:val="20"/>
                <w:color w:val="auto"/>
              </w:rPr>
            </w:pPr>
            <w:r>
              <w:rPr>
                <w:rFonts w:ascii="Calibri" w:cs="Calibri" w:eastAsia="Calibri" w:hAnsi="Calibri"/>
                <w:sz w:val="11"/>
                <w:szCs w:val="11"/>
                <w:color w:val="51555C"/>
              </w:rPr>
              <w:t>GAAP recurring revenue</w:t>
            </w:r>
          </w:p>
        </w:tc>
        <w:tc>
          <w:tcPr>
            <w:tcW w:w="500" w:type="dxa"/>
            <w:vAlign w:val="bottom"/>
          </w:tcPr>
          <w:p>
            <w:pPr>
              <w:jc w:val="right"/>
              <w:ind w:right="383"/>
              <w:spacing w:after="0"/>
              <w:rPr>
                <w:sz w:val="20"/>
                <w:szCs w:val="20"/>
                <w:color w:val="auto"/>
              </w:rPr>
            </w:pPr>
            <w:r>
              <w:rPr>
                <w:rFonts w:ascii="Calibri" w:cs="Calibri" w:eastAsia="Calibri" w:hAnsi="Calibri"/>
                <w:sz w:val="11"/>
                <w:szCs w:val="11"/>
                <w:color w:val="51555C"/>
                <w:w w:val="70"/>
              </w:rPr>
              <w:t>$</w:t>
            </w:r>
          </w:p>
        </w:tc>
        <w:tc>
          <w:tcPr>
            <w:tcW w:w="820" w:type="dxa"/>
            <w:vAlign w:val="bottom"/>
          </w:tcPr>
          <w:p>
            <w:pPr>
              <w:jc w:val="right"/>
              <w:ind w:right="83"/>
              <w:spacing w:after="0"/>
              <w:rPr>
                <w:sz w:val="20"/>
                <w:szCs w:val="20"/>
                <w:color w:val="auto"/>
              </w:rPr>
            </w:pPr>
            <w:r>
              <w:rPr>
                <w:rFonts w:ascii="Calibri" w:cs="Calibri" w:eastAsia="Calibri" w:hAnsi="Calibri"/>
                <w:sz w:val="11"/>
                <w:szCs w:val="11"/>
                <w:color w:val="51555C"/>
              </w:rPr>
              <w:t>281.4</w:t>
            </w:r>
          </w:p>
        </w:tc>
        <w:tc>
          <w:tcPr>
            <w:tcW w:w="160" w:type="dxa"/>
            <w:vAlign w:val="bottom"/>
          </w:tcPr>
          <w:p>
            <w:pPr>
              <w:jc w:val="right"/>
              <w:ind w:right="23"/>
              <w:spacing w:after="0"/>
              <w:rPr>
                <w:sz w:val="20"/>
                <w:szCs w:val="20"/>
                <w:color w:val="auto"/>
              </w:rPr>
            </w:pPr>
            <w:r>
              <w:rPr>
                <w:rFonts w:ascii="Calibri" w:cs="Calibri" w:eastAsia="Calibri" w:hAnsi="Calibri"/>
                <w:sz w:val="11"/>
                <w:szCs w:val="11"/>
                <w:color w:val="51555C"/>
              </w:rPr>
              <w:t>$</w:t>
            </w:r>
          </w:p>
        </w:tc>
        <w:tc>
          <w:tcPr>
            <w:tcW w:w="1100" w:type="dxa"/>
            <w:vAlign w:val="bottom"/>
          </w:tcPr>
          <w:p>
            <w:pPr>
              <w:jc w:val="right"/>
              <w:ind w:right="3"/>
              <w:spacing w:after="0"/>
              <w:rPr>
                <w:sz w:val="20"/>
                <w:szCs w:val="20"/>
                <w:color w:val="auto"/>
              </w:rPr>
            </w:pPr>
            <w:r>
              <w:rPr>
                <w:rFonts w:ascii="Calibri" w:cs="Calibri" w:eastAsia="Calibri" w:hAnsi="Calibri"/>
                <w:sz w:val="11"/>
                <w:szCs w:val="11"/>
                <w:color w:val="51555C"/>
              </w:rPr>
              <w:t>262.4</w:t>
            </w:r>
          </w:p>
        </w:tc>
        <w:tc>
          <w:tcPr>
            <w:tcW w:w="580" w:type="dxa"/>
            <w:vAlign w:val="bottom"/>
            <w:gridSpan w:val="2"/>
          </w:tcPr>
          <w:p>
            <w:pPr>
              <w:jc w:val="right"/>
              <w:ind w:right="383"/>
              <w:spacing w:after="0"/>
              <w:rPr>
                <w:sz w:val="20"/>
                <w:szCs w:val="20"/>
                <w:color w:val="auto"/>
              </w:rPr>
            </w:pPr>
            <w:r>
              <w:rPr>
                <w:rFonts w:ascii="Calibri" w:cs="Calibri" w:eastAsia="Calibri" w:hAnsi="Calibri"/>
                <w:sz w:val="11"/>
                <w:szCs w:val="11"/>
                <w:color w:val="51555C"/>
              </w:rPr>
              <w:t>$</w:t>
            </w:r>
          </w:p>
        </w:tc>
        <w:tc>
          <w:tcPr>
            <w:tcW w:w="820" w:type="dxa"/>
            <w:vAlign w:val="bottom"/>
          </w:tcPr>
          <w:p>
            <w:pPr>
              <w:jc w:val="right"/>
              <w:ind w:right="63"/>
              <w:spacing w:after="0"/>
              <w:rPr>
                <w:sz w:val="20"/>
                <w:szCs w:val="20"/>
                <w:color w:val="auto"/>
              </w:rPr>
            </w:pPr>
            <w:r>
              <w:rPr>
                <w:rFonts w:ascii="Calibri" w:cs="Calibri" w:eastAsia="Calibri" w:hAnsi="Calibri"/>
                <w:sz w:val="11"/>
                <w:szCs w:val="11"/>
                <w:color w:val="51555C"/>
              </w:rPr>
              <w:t>552.9</w:t>
            </w:r>
          </w:p>
        </w:tc>
        <w:tc>
          <w:tcPr>
            <w:tcW w:w="240" w:type="dxa"/>
            <w:vAlign w:val="bottom"/>
          </w:tcPr>
          <w:p>
            <w:pPr>
              <w:jc w:val="right"/>
              <w:ind w:right="103"/>
              <w:spacing w:after="0"/>
              <w:rPr>
                <w:sz w:val="20"/>
                <w:szCs w:val="20"/>
                <w:color w:val="auto"/>
              </w:rPr>
            </w:pPr>
            <w:r>
              <w:rPr>
                <w:rFonts w:ascii="Calibri" w:cs="Calibri" w:eastAsia="Calibri" w:hAnsi="Calibri"/>
                <w:sz w:val="11"/>
                <w:szCs w:val="11"/>
                <w:color w:val="51555C"/>
              </w:rPr>
              <w:t>$</w:t>
            </w:r>
          </w:p>
        </w:tc>
        <w:tc>
          <w:tcPr>
            <w:tcW w:w="1000" w:type="dxa"/>
            <w:vAlign w:val="bottom"/>
          </w:tcPr>
          <w:p>
            <w:pPr>
              <w:jc w:val="right"/>
              <w:spacing w:after="0"/>
              <w:rPr>
                <w:sz w:val="20"/>
                <w:szCs w:val="20"/>
                <w:color w:val="auto"/>
              </w:rPr>
            </w:pPr>
            <w:r>
              <w:rPr>
                <w:rFonts w:ascii="Calibri" w:cs="Calibri" w:eastAsia="Calibri" w:hAnsi="Calibri"/>
                <w:sz w:val="11"/>
                <w:szCs w:val="11"/>
                <w:color w:val="51555C"/>
              </w:rPr>
              <w:t>515.1</w:t>
            </w:r>
          </w:p>
        </w:tc>
        <w:tc>
          <w:tcPr>
            <w:tcW w:w="20" w:type="dxa"/>
            <w:vAlign w:val="bottom"/>
          </w:tcPr>
          <w:p>
            <w:pPr>
              <w:spacing w:after="0"/>
              <w:rPr>
                <w:sz w:val="11"/>
                <w:szCs w:val="11"/>
                <w:color w:val="auto"/>
              </w:rPr>
            </w:pPr>
          </w:p>
        </w:tc>
      </w:tr>
      <w:tr>
        <w:trPr>
          <w:trHeight w:val="46"/>
        </w:trPr>
        <w:tc>
          <w:tcPr>
            <w:tcW w:w="6060" w:type="dxa"/>
            <w:vAlign w:val="bottom"/>
          </w:tcPr>
          <w:p>
            <w:pPr>
              <w:spacing w:after="0"/>
              <w:rPr>
                <w:sz w:val="3"/>
                <w:szCs w:val="3"/>
                <w:color w:val="auto"/>
              </w:rPr>
            </w:pPr>
          </w:p>
        </w:tc>
        <w:tc>
          <w:tcPr>
            <w:tcW w:w="5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60"/>
        </w:trPr>
        <w:tc>
          <w:tcPr>
            <w:tcW w:w="606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1"/>
                <w:szCs w:val="11"/>
                <w:b w:val="1"/>
                <w:bCs w:val="1"/>
                <w:color w:val="51555C"/>
              </w:rPr>
              <w:t>GAAP recurring revenue growth</w:t>
            </w:r>
          </w:p>
        </w:tc>
        <w:tc>
          <w:tcPr>
            <w:tcW w:w="500" w:type="dxa"/>
            <w:vAlign w:val="bottom"/>
            <w:tcBorders>
              <w:bottom w:val="single" w:sz="8" w:color="EBFBFF"/>
            </w:tcBorders>
            <w:shd w:val="clear" w:color="auto" w:fill="EBFBFF"/>
          </w:tcPr>
          <w:p>
            <w:pPr>
              <w:spacing w:after="0"/>
              <w:rPr>
                <w:sz w:val="13"/>
                <w:szCs w:val="13"/>
                <w:color w:val="auto"/>
              </w:rPr>
            </w:pPr>
          </w:p>
        </w:tc>
        <w:tc>
          <w:tcPr>
            <w:tcW w:w="8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1"/>
                <w:szCs w:val="11"/>
                <w:b w:val="1"/>
                <w:bCs w:val="1"/>
                <w:color w:val="51555C"/>
              </w:rPr>
              <w:t>7.2 %</w:t>
            </w:r>
          </w:p>
        </w:tc>
        <w:tc>
          <w:tcPr>
            <w:tcW w:w="160" w:type="dxa"/>
            <w:vAlign w:val="bottom"/>
            <w:tcBorders>
              <w:bottom w:val="single" w:sz="8" w:color="EBFBFF"/>
            </w:tcBorders>
            <w:shd w:val="clear" w:color="auto" w:fill="EBFBFF"/>
          </w:tcPr>
          <w:p>
            <w:pPr>
              <w:spacing w:after="0"/>
              <w:rPr>
                <w:sz w:val="13"/>
                <w:szCs w:val="13"/>
                <w:color w:val="auto"/>
              </w:rPr>
            </w:pPr>
          </w:p>
        </w:tc>
        <w:tc>
          <w:tcPr>
            <w:tcW w:w="1100" w:type="dxa"/>
            <w:vAlign w:val="bottom"/>
            <w:tcBorders>
              <w:bottom w:val="single" w:sz="8" w:color="EBFBFF"/>
              <w:right w:val="single" w:sz="8" w:color="EBFBFF"/>
            </w:tcBorders>
            <w:shd w:val="clear" w:color="auto" w:fill="EBFBFF"/>
          </w:tcPr>
          <w:p>
            <w:pPr>
              <w:spacing w:after="0"/>
              <w:rPr>
                <w:sz w:val="13"/>
                <w:szCs w:val="13"/>
                <w:color w:val="auto"/>
              </w:rPr>
            </w:pPr>
          </w:p>
        </w:tc>
        <w:tc>
          <w:tcPr>
            <w:tcW w:w="80" w:type="dxa"/>
            <w:vAlign w:val="bottom"/>
            <w:tcBorders>
              <w:bottom w:val="single" w:sz="8" w:color="EBFBFF"/>
            </w:tcBorders>
            <w:shd w:val="clear" w:color="auto" w:fill="EBFBFF"/>
          </w:tcPr>
          <w:p>
            <w:pPr>
              <w:spacing w:after="0"/>
              <w:rPr>
                <w:sz w:val="13"/>
                <w:szCs w:val="13"/>
                <w:color w:val="auto"/>
              </w:rPr>
            </w:pPr>
          </w:p>
        </w:tc>
        <w:tc>
          <w:tcPr>
            <w:tcW w:w="500" w:type="dxa"/>
            <w:vAlign w:val="bottom"/>
            <w:tcBorders>
              <w:bottom w:val="single" w:sz="8" w:color="EBFBFF"/>
            </w:tcBorders>
            <w:shd w:val="clear" w:color="auto" w:fill="EBFBFF"/>
          </w:tcPr>
          <w:p>
            <w:pPr>
              <w:spacing w:after="0"/>
              <w:rPr>
                <w:sz w:val="13"/>
                <w:szCs w:val="13"/>
                <w:color w:val="auto"/>
              </w:rPr>
            </w:pPr>
          </w:p>
        </w:tc>
        <w:tc>
          <w:tcPr>
            <w:tcW w:w="8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1"/>
                <w:szCs w:val="11"/>
                <w:b w:val="1"/>
                <w:bCs w:val="1"/>
                <w:color w:val="51555C"/>
              </w:rPr>
              <w:t>7.3 %</w:t>
            </w:r>
          </w:p>
        </w:tc>
        <w:tc>
          <w:tcPr>
            <w:tcW w:w="240" w:type="dxa"/>
            <w:vAlign w:val="bottom"/>
            <w:tcBorders>
              <w:bottom w:val="single" w:sz="8" w:color="EBFBFF"/>
            </w:tcBorders>
            <w:shd w:val="clear" w:color="auto" w:fill="EBFBFF"/>
          </w:tcPr>
          <w:p>
            <w:pPr>
              <w:spacing w:after="0"/>
              <w:rPr>
                <w:sz w:val="13"/>
                <w:szCs w:val="13"/>
                <w:color w:val="auto"/>
              </w:rPr>
            </w:pPr>
          </w:p>
        </w:tc>
        <w:tc>
          <w:tcPr>
            <w:tcW w:w="1000" w:type="dxa"/>
            <w:vAlign w:val="bottom"/>
            <w:tcBorders>
              <w:bottom w:val="single" w:sz="8" w:color="EBFBFF"/>
            </w:tcBorders>
            <w:shd w:val="clear" w:color="auto" w:fill="EBFBFF"/>
          </w:tcPr>
          <w:p>
            <w:pPr>
              <w:spacing w:after="0"/>
              <w:rPr>
                <w:sz w:val="13"/>
                <w:szCs w:val="13"/>
                <w:color w:val="auto"/>
              </w:rPr>
            </w:pPr>
          </w:p>
        </w:tc>
        <w:tc>
          <w:tcPr>
            <w:tcW w:w="20" w:type="dxa"/>
            <w:vAlign w:val="bottom"/>
          </w:tcPr>
          <w:p>
            <w:pPr>
              <w:spacing w:after="0"/>
              <w:rPr>
                <w:sz w:val="13"/>
                <w:szCs w:val="13"/>
                <w:color w:val="auto"/>
              </w:rPr>
            </w:pPr>
          </w:p>
        </w:tc>
      </w:tr>
      <w:tr>
        <w:trPr>
          <w:trHeight w:val="175"/>
        </w:trPr>
        <w:tc>
          <w:tcPr>
            <w:tcW w:w="6060" w:type="dxa"/>
            <w:vAlign w:val="bottom"/>
            <w:tcBorders>
              <w:bottom w:val="single" w:sz="8" w:color="EBFBFF"/>
            </w:tcBorders>
          </w:tcPr>
          <w:p>
            <w:pPr>
              <w:ind w:left="100"/>
              <w:spacing w:after="0" w:line="170" w:lineRule="exact"/>
              <w:rPr>
                <w:sz w:val="20"/>
                <w:szCs w:val="20"/>
                <w:color w:val="auto"/>
              </w:rPr>
            </w:pPr>
            <w:r>
              <w:rPr>
                <w:rFonts w:ascii="Calibri" w:cs="Calibri" w:eastAsia="Calibri" w:hAnsi="Calibri"/>
                <w:sz w:val="11"/>
                <w:szCs w:val="11"/>
                <w:color w:val="51555C"/>
              </w:rPr>
              <w:t>Less: Non-GAAP recurring revenue from divested businesses</w:t>
            </w:r>
            <w:r>
              <w:rPr>
                <w:rFonts w:ascii="Calibri" w:cs="Calibri" w:eastAsia="Calibri" w:hAnsi="Calibri"/>
                <w:sz w:val="14"/>
                <w:szCs w:val="14"/>
                <w:color w:val="51555C"/>
                <w:vertAlign w:val="superscript"/>
              </w:rPr>
              <w:t>(2)</w:t>
            </w:r>
          </w:p>
        </w:tc>
        <w:tc>
          <w:tcPr>
            <w:tcW w:w="500" w:type="dxa"/>
            <w:vAlign w:val="bottom"/>
            <w:tcBorders>
              <w:bottom w:val="single" w:sz="8" w:color="51555C"/>
            </w:tcBorders>
          </w:tcPr>
          <w:p>
            <w:pPr>
              <w:spacing w:after="0"/>
              <w:rPr>
                <w:sz w:val="15"/>
                <w:szCs w:val="15"/>
                <w:color w:val="auto"/>
              </w:rPr>
            </w:pPr>
          </w:p>
        </w:tc>
        <w:tc>
          <w:tcPr>
            <w:tcW w:w="820" w:type="dxa"/>
            <w:vAlign w:val="bottom"/>
            <w:tcBorders>
              <w:bottom w:val="single" w:sz="8" w:color="51555C"/>
            </w:tcBorders>
          </w:tcPr>
          <w:p>
            <w:pPr>
              <w:jc w:val="right"/>
              <w:ind w:right="83"/>
              <w:spacing w:after="0"/>
              <w:rPr>
                <w:sz w:val="20"/>
                <w:szCs w:val="20"/>
                <w:color w:val="auto"/>
              </w:rPr>
            </w:pPr>
            <w:r>
              <w:rPr>
                <w:rFonts w:ascii="Calibri" w:cs="Calibri" w:eastAsia="Calibri" w:hAnsi="Calibri"/>
                <w:sz w:val="11"/>
                <w:szCs w:val="11"/>
                <w:color w:val="51555C"/>
              </w:rPr>
              <w:t>—</w:t>
            </w:r>
          </w:p>
        </w:tc>
        <w:tc>
          <w:tcPr>
            <w:tcW w:w="160" w:type="dxa"/>
            <w:vAlign w:val="bottom"/>
            <w:tcBorders>
              <w:bottom w:val="single" w:sz="8" w:color="51555C"/>
            </w:tcBorders>
          </w:tcPr>
          <w:p>
            <w:pPr>
              <w:spacing w:after="0"/>
              <w:rPr>
                <w:sz w:val="15"/>
                <w:szCs w:val="15"/>
                <w:color w:val="auto"/>
              </w:rPr>
            </w:pPr>
          </w:p>
        </w:tc>
        <w:tc>
          <w:tcPr>
            <w:tcW w:w="1100" w:type="dxa"/>
            <w:vAlign w:val="bottom"/>
            <w:tcBorders>
              <w:bottom w:val="single" w:sz="8" w:color="51555C"/>
            </w:tcBorders>
          </w:tcPr>
          <w:p>
            <w:pPr>
              <w:jc w:val="right"/>
              <w:ind w:right="3"/>
              <w:spacing w:after="0"/>
              <w:rPr>
                <w:sz w:val="20"/>
                <w:szCs w:val="20"/>
                <w:color w:val="auto"/>
              </w:rPr>
            </w:pPr>
            <w:r>
              <w:rPr>
                <w:rFonts w:ascii="Calibri" w:cs="Calibri" w:eastAsia="Calibri" w:hAnsi="Calibri"/>
                <w:sz w:val="11"/>
                <w:szCs w:val="11"/>
                <w:color w:val="51555C"/>
              </w:rPr>
              <w:t>—</w:t>
            </w:r>
          </w:p>
        </w:tc>
        <w:tc>
          <w:tcPr>
            <w:tcW w:w="80" w:type="dxa"/>
            <w:vAlign w:val="bottom"/>
            <w:tcBorders>
              <w:bottom w:val="single" w:sz="8" w:color="EBFBFF"/>
            </w:tcBorders>
          </w:tcPr>
          <w:p>
            <w:pPr>
              <w:spacing w:after="0"/>
              <w:rPr>
                <w:sz w:val="15"/>
                <w:szCs w:val="15"/>
                <w:color w:val="auto"/>
              </w:rPr>
            </w:pPr>
          </w:p>
        </w:tc>
        <w:tc>
          <w:tcPr>
            <w:tcW w:w="500" w:type="dxa"/>
            <w:vAlign w:val="bottom"/>
            <w:tcBorders>
              <w:bottom w:val="single" w:sz="8" w:color="51555C"/>
            </w:tcBorders>
          </w:tcPr>
          <w:p>
            <w:pPr>
              <w:spacing w:after="0"/>
              <w:rPr>
                <w:sz w:val="15"/>
                <w:szCs w:val="15"/>
                <w:color w:val="auto"/>
              </w:rPr>
            </w:pPr>
          </w:p>
        </w:tc>
        <w:tc>
          <w:tcPr>
            <w:tcW w:w="820" w:type="dxa"/>
            <w:vAlign w:val="bottom"/>
            <w:tcBorders>
              <w:bottom w:val="single" w:sz="8" w:color="51555C"/>
            </w:tcBorders>
          </w:tcPr>
          <w:p>
            <w:pPr>
              <w:jc w:val="right"/>
              <w:ind w:right="63"/>
              <w:spacing w:after="0"/>
              <w:rPr>
                <w:sz w:val="20"/>
                <w:szCs w:val="20"/>
                <w:color w:val="auto"/>
              </w:rPr>
            </w:pPr>
            <w:r>
              <w:rPr>
                <w:rFonts w:ascii="Calibri" w:cs="Calibri" w:eastAsia="Calibri" w:hAnsi="Calibri"/>
                <w:sz w:val="11"/>
                <w:szCs w:val="11"/>
                <w:color w:val="51555C"/>
              </w:rPr>
              <w:t>—</w:t>
            </w:r>
          </w:p>
        </w:tc>
        <w:tc>
          <w:tcPr>
            <w:tcW w:w="240" w:type="dxa"/>
            <w:vAlign w:val="bottom"/>
            <w:tcBorders>
              <w:bottom w:val="single" w:sz="8" w:color="51555C"/>
            </w:tcBorders>
          </w:tcPr>
          <w:p>
            <w:pPr>
              <w:spacing w:after="0"/>
              <w:rPr>
                <w:sz w:val="15"/>
                <w:szCs w:val="15"/>
                <w:color w:val="auto"/>
              </w:rPr>
            </w:pPr>
          </w:p>
        </w:tc>
        <w:tc>
          <w:tcPr>
            <w:tcW w:w="1000" w:type="dxa"/>
            <w:vAlign w:val="bottom"/>
            <w:tcBorders>
              <w:bottom w:val="single" w:sz="8" w:color="51555C"/>
            </w:tcBorders>
          </w:tcPr>
          <w:p>
            <w:pPr>
              <w:jc w:val="right"/>
              <w:spacing w:after="0"/>
              <w:rPr>
                <w:sz w:val="20"/>
                <w:szCs w:val="20"/>
                <w:color w:val="auto"/>
              </w:rPr>
            </w:pPr>
            <w:r>
              <w:rPr>
                <w:rFonts w:ascii="Calibri" w:cs="Calibri" w:eastAsia="Calibri" w:hAnsi="Calibri"/>
                <w:sz w:val="11"/>
                <w:szCs w:val="11"/>
                <w:color w:val="51555C"/>
              </w:rPr>
              <w:t>—</w:t>
            </w:r>
          </w:p>
        </w:tc>
        <w:tc>
          <w:tcPr>
            <w:tcW w:w="20" w:type="dxa"/>
            <w:vAlign w:val="bottom"/>
          </w:tcPr>
          <w:p>
            <w:pPr>
              <w:spacing w:after="0"/>
              <w:rPr>
                <w:sz w:val="15"/>
                <w:szCs w:val="15"/>
                <w:color w:val="auto"/>
              </w:rPr>
            </w:pPr>
          </w:p>
        </w:tc>
      </w:tr>
      <w:tr>
        <w:trPr>
          <w:trHeight w:val="176"/>
        </w:trPr>
        <w:tc>
          <w:tcPr>
            <w:tcW w:w="6060" w:type="dxa"/>
            <w:vAlign w:val="bottom"/>
            <w:shd w:val="clear" w:color="auto" w:fill="EBFBFF"/>
          </w:tcPr>
          <w:p>
            <w:pPr>
              <w:ind w:left="20"/>
              <w:spacing w:after="0" w:line="161" w:lineRule="exact"/>
              <w:rPr>
                <w:sz w:val="20"/>
                <w:szCs w:val="20"/>
                <w:color w:val="auto"/>
              </w:rPr>
            </w:pPr>
            <w:r>
              <w:rPr>
                <w:rFonts w:ascii="Calibri" w:cs="Calibri" w:eastAsia="Calibri" w:hAnsi="Calibri"/>
                <w:sz w:val="11"/>
                <w:szCs w:val="11"/>
                <w:color w:val="51555C"/>
              </w:rPr>
              <w:t>Non-GAAP organic recurring revenue</w:t>
            </w:r>
            <w:r>
              <w:rPr>
                <w:rFonts w:ascii="Calibri" w:cs="Calibri" w:eastAsia="Calibri" w:hAnsi="Calibri"/>
                <w:sz w:val="14"/>
                <w:szCs w:val="14"/>
                <w:color w:val="51555C"/>
                <w:vertAlign w:val="superscript"/>
              </w:rPr>
              <w:t>(3)</w:t>
            </w:r>
          </w:p>
        </w:tc>
        <w:tc>
          <w:tcPr>
            <w:tcW w:w="500" w:type="dxa"/>
            <w:vAlign w:val="bottom"/>
            <w:tcBorders>
              <w:bottom w:val="single" w:sz="8" w:color="51555C"/>
            </w:tcBorders>
            <w:shd w:val="clear" w:color="auto" w:fill="EBFBFF"/>
          </w:tcPr>
          <w:p>
            <w:pPr>
              <w:jc w:val="right"/>
              <w:ind w:right="383"/>
              <w:spacing w:after="0"/>
              <w:rPr>
                <w:sz w:val="20"/>
                <w:szCs w:val="20"/>
                <w:color w:val="auto"/>
              </w:rPr>
            </w:pPr>
            <w:r>
              <w:rPr>
                <w:rFonts w:ascii="Calibri" w:cs="Calibri" w:eastAsia="Calibri" w:hAnsi="Calibri"/>
                <w:sz w:val="11"/>
                <w:szCs w:val="11"/>
                <w:color w:val="51555C"/>
                <w:w w:val="70"/>
              </w:rPr>
              <w:t>$</w:t>
            </w:r>
          </w:p>
        </w:tc>
        <w:tc>
          <w:tcPr>
            <w:tcW w:w="820" w:type="dxa"/>
            <w:vAlign w:val="bottom"/>
            <w:tcBorders>
              <w:bottom w:val="single" w:sz="8" w:color="51555C"/>
            </w:tcBorders>
            <w:shd w:val="clear" w:color="auto" w:fill="EBFBFF"/>
          </w:tcPr>
          <w:p>
            <w:pPr>
              <w:jc w:val="right"/>
              <w:ind w:right="83"/>
              <w:spacing w:after="0"/>
              <w:rPr>
                <w:sz w:val="20"/>
                <w:szCs w:val="20"/>
                <w:color w:val="auto"/>
              </w:rPr>
            </w:pPr>
            <w:r>
              <w:rPr>
                <w:rFonts w:ascii="Calibri" w:cs="Calibri" w:eastAsia="Calibri" w:hAnsi="Calibri"/>
                <w:sz w:val="11"/>
                <w:szCs w:val="11"/>
                <w:color w:val="51555C"/>
              </w:rPr>
              <w:t>281.4</w:t>
            </w:r>
          </w:p>
        </w:tc>
        <w:tc>
          <w:tcPr>
            <w:tcW w:w="160" w:type="dxa"/>
            <w:vAlign w:val="bottom"/>
            <w:tcBorders>
              <w:bottom w:val="single" w:sz="8" w:color="51555C"/>
            </w:tcBorders>
            <w:shd w:val="clear" w:color="auto" w:fill="EBFBFF"/>
          </w:tcPr>
          <w:p>
            <w:pPr>
              <w:jc w:val="right"/>
              <w:ind w:right="23"/>
              <w:spacing w:after="0"/>
              <w:rPr>
                <w:sz w:val="20"/>
                <w:szCs w:val="20"/>
                <w:color w:val="auto"/>
              </w:rPr>
            </w:pPr>
            <w:r>
              <w:rPr>
                <w:rFonts w:ascii="Calibri" w:cs="Calibri" w:eastAsia="Calibri" w:hAnsi="Calibri"/>
                <w:sz w:val="11"/>
                <w:szCs w:val="11"/>
                <w:color w:val="51555C"/>
              </w:rPr>
              <w:t>$</w:t>
            </w:r>
          </w:p>
        </w:tc>
        <w:tc>
          <w:tcPr>
            <w:tcW w:w="1100" w:type="dxa"/>
            <w:vAlign w:val="bottom"/>
            <w:tcBorders>
              <w:bottom w:val="single" w:sz="8" w:color="51555C"/>
              <w:right w:val="single" w:sz="8" w:color="EBFBFF"/>
            </w:tcBorders>
            <w:shd w:val="clear" w:color="auto" w:fill="EBFBFF"/>
          </w:tcPr>
          <w:p>
            <w:pPr>
              <w:jc w:val="right"/>
              <w:ind w:right="3"/>
              <w:spacing w:after="0"/>
              <w:rPr>
                <w:sz w:val="20"/>
                <w:szCs w:val="20"/>
                <w:color w:val="auto"/>
              </w:rPr>
            </w:pPr>
            <w:r>
              <w:rPr>
                <w:rFonts w:ascii="Calibri" w:cs="Calibri" w:eastAsia="Calibri" w:hAnsi="Calibri"/>
                <w:sz w:val="11"/>
                <w:szCs w:val="11"/>
                <w:color w:val="51555C"/>
              </w:rPr>
              <w:t>262.4</w:t>
            </w:r>
          </w:p>
        </w:tc>
        <w:tc>
          <w:tcPr>
            <w:tcW w:w="80" w:type="dxa"/>
            <w:vAlign w:val="bottom"/>
            <w:shd w:val="clear" w:color="auto" w:fill="EBFBFF"/>
          </w:tcPr>
          <w:p>
            <w:pPr>
              <w:spacing w:after="0"/>
              <w:rPr>
                <w:sz w:val="15"/>
                <w:szCs w:val="15"/>
                <w:color w:val="auto"/>
              </w:rPr>
            </w:pPr>
          </w:p>
        </w:tc>
        <w:tc>
          <w:tcPr>
            <w:tcW w:w="500" w:type="dxa"/>
            <w:vAlign w:val="bottom"/>
            <w:tcBorders>
              <w:bottom w:val="single" w:sz="8" w:color="51555C"/>
            </w:tcBorders>
            <w:shd w:val="clear" w:color="auto" w:fill="EBFBFF"/>
          </w:tcPr>
          <w:p>
            <w:pPr>
              <w:jc w:val="right"/>
              <w:ind w:right="383"/>
              <w:spacing w:after="0"/>
              <w:rPr>
                <w:sz w:val="20"/>
                <w:szCs w:val="20"/>
                <w:color w:val="auto"/>
              </w:rPr>
            </w:pPr>
            <w:r>
              <w:rPr>
                <w:rFonts w:ascii="Calibri" w:cs="Calibri" w:eastAsia="Calibri" w:hAnsi="Calibri"/>
                <w:sz w:val="11"/>
                <w:szCs w:val="11"/>
                <w:color w:val="51555C"/>
                <w:w w:val="70"/>
              </w:rPr>
              <w:t>$</w:t>
            </w:r>
          </w:p>
        </w:tc>
        <w:tc>
          <w:tcPr>
            <w:tcW w:w="820" w:type="dxa"/>
            <w:vAlign w:val="bottom"/>
            <w:tcBorders>
              <w:bottom w:val="single" w:sz="8" w:color="51555C"/>
            </w:tcBorders>
            <w:shd w:val="clear" w:color="auto" w:fill="EBFBFF"/>
          </w:tcPr>
          <w:p>
            <w:pPr>
              <w:jc w:val="right"/>
              <w:ind w:right="63"/>
              <w:spacing w:after="0"/>
              <w:rPr>
                <w:sz w:val="20"/>
                <w:szCs w:val="20"/>
                <w:color w:val="auto"/>
              </w:rPr>
            </w:pPr>
            <w:r>
              <w:rPr>
                <w:rFonts w:ascii="Calibri" w:cs="Calibri" w:eastAsia="Calibri" w:hAnsi="Calibri"/>
                <w:sz w:val="11"/>
                <w:szCs w:val="11"/>
                <w:color w:val="51555C"/>
              </w:rPr>
              <w:t>552.9</w:t>
            </w:r>
          </w:p>
        </w:tc>
        <w:tc>
          <w:tcPr>
            <w:tcW w:w="240" w:type="dxa"/>
            <w:vAlign w:val="bottom"/>
            <w:tcBorders>
              <w:bottom w:val="single" w:sz="8" w:color="51555C"/>
            </w:tcBorders>
            <w:shd w:val="clear" w:color="auto" w:fill="EBFBFF"/>
          </w:tcPr>
          <w:p>
            <w:pPr>
              <w:jc w:val="right"/>
              <w:ind w:right="103"/>
              <w:spacing w:after="0"/>
              <w:rPr>
                <w:sz w:val="20"/>
                <w:szCs w:val="20"/>
                <w:color w:val="auto"/>
              </w:rPr>
            </w:pPr>
            <w:r>
              <w:rPr>
                <w:rFonts w:ascii="Calibri" w:cs="Calibri" w:eastAsia="Calibri" w:hAnsi="Calibri"/>
                <w:sz w:val="11"/>
                <w:szCs w:val="11"/>
                <w:color w:val="51555C"/>
              </w:rPr>
              <w:t>$</w:t>
            </w:r>
          </w:p>
        </w:tc>
        <w:tc>
          <w:tcPr>
            <w:tcW w:w="1000" w:type="dxa"/>
            <w:vAlign w:val="bottom"/>
            <w:tcBorders>
              <w:bottom w:val="single" w:sz="8" w:color="51555C"/>
            </w:tcBorders>
            <w:shd w:val="clear" w:color="auto" w:fill="EBFBFF"/>
          </w:tcPr>
          <w:p>
            <w:pPr>
              <w:jc w:val="right"/>
              <w:spacing w:after="0"/>
              <w:rPr>
                <w:sz w:val="20"/>
                <w:szCs w:val="20"/>
                <w:color w:val="auto"/>
              </w:rPr>
            </w:pPr>
            <w:r>
              <w:rPr>
                <w:rFonts w:ascii="Calibri" w:cs="Calibri" w:eastAsia="Calibri" w:hAnsi="Calibri"/>
                <w:sz w:val="11"/>
                <w:szCs w:val="11"/>
                <w:color w:val="51555C"/>
              </w:rPr>
              <w:t>515.1</w:t>
            </w:r>
          </w:p>
        </w:tc>
        <w:tc>
          <w:tcPr>
            <w:tcW w:w="20" w:type="dxa"/>
            <w:vAlign w:val="bottom"/>
          </w:tcPr>
          <w:p>
            <w:pPr>
              <w:spacing w:after="0"/>
              <w:rPr>
                <w:sz w:val="15"/>
                <w:szCs w:val="15"/>
                <w:color w:val="auto"/>
              </w:rPr>
            </w:pPr>
          </w:p>
        </w:tc>
      </w:tr>
      <w:tr>
        <w:trPr>
          <w:trHeight w:val="125"/>
        </w:trPr>
        <w:tc>
          <w:tcPr>
            <w:tcW w:w="6060" w:type="dxa"/>
            <w:vAlign w:val="bottom"/>
          </w:tcPr>
          <w:p>
            <w:pPr>
              <w:ind w:left="20"/>
              <w:spacing w:after="0" w:line="125" w:lineRule="exact"/>
              <w:rPr>
                <w:sz w:val="20"/>
                <w:szCs w:val="20"/>
                <w:color w:val="auto"/>
              </w:rPr>
            </w:pPr>
            <w:r>
              <w:rPr>
                <w:rFonts w:ascii="Calibri" w:cs="Calibri" w:eastAsia="Calibri" w:hAnsi="Calibri"/>
                <w:sz w:val="11"/>
                <w:szCs w:val="11"/>
                <w:b w:val="1"/>
                <w:bCs w:val="1"/>
                <w:color w:val="51555C"/>
              </w:rPr>
              <w:t>Non-GAAP organic recurring revenue growth</w:t>
            </w:r>
          </w:p>
        </w:tc>
        <w:tc>
          <w:tcPr>
            <w:tcW w:w="500" w:type="dxa"/>
            <w:vAlign w:val="bottom"/>
          </w:tcPr>
          <w:p>
            <w:pPr>
              <w:spacing w:after="0"/>
              <w:rPr>
                <w:sz w:val="10"/>
                <w:szCs w:val="10"/>
                <w:color w:val="auto"/>
              </w:rPr>
            </w:pPr>
          </w:p>
        </w:tc>
        <w:tc>
          <w:tcPr>
            <w:tcW w:w="820" w:type="dxa"/>
            <w:vAlign w:val="bottom"/>
          </w:tcPr>
          <w:p>
            <w:pPr>
              <w:jc w:val="right"/>
              <w:spacing w:after="0" w:line="126" w:lineRule="exact"/>
              <w:rPr>
                <w:sz w:val="20"/>
                <w:szCs w:val="20"/>
                <w:color w:val="auto"/>
              </w:rPr>
            </w:pPr>
            <w:r>
              <w:rPr>
                <w:rFonts w:ascii="Calibri" w:cs="Calibri" w:eastAsia="Calibri" w:hAnsi="Calibri"/>
                <w:sz w:val="11"/>
                <w:szCs w:val="11"/>
                <w:b w:val="1"/>
                <w:bCs w:val="1"/>
                <w:color w:val="51555C"/>
              </w:rPr>
              <w:t>7.2 %</w:t>
            </w:r>
          </w:p>
        </w:tc>
        <w:tc>
          <w:tcPr>
            <w:tcW w:w="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20" w:type="dxa"/>
            <w:vAlign w:val="bottom"/>
          </w:tcPr>
          <w:p>
            <w:pPr>
              <w:jc w:val="right"/>
              <w:spacing w:after="0" w:line="126" w:lineRule="exact"/>
              <w:rPr>
                <w:sz w:val="20"/>
                <w:szCs w:val="20"/>
                <w:color w:val="auto"/>
              </w:rPr>
            </w:pPr>
            <w:r>
              <w:rPr>
                <w:rFonts w:ascii="Calibri" w:cs="Calibri" w:eastAsia="Calibri" w:hAnsi="Calibri"/>
                <w:sz w:val="11"/>
                <w:szCs w:val="11"/>
                <w:b w:val="1"/>
                <w:bCs w:val="1"/>
                <w:color w:val="51555C"/>
              </w:rPr>
              <w:t>7.3 %</w:t>
            </w: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46"/>
        </w:trPr>
        <w:tc>
          <w:tcPr>
            <w:tcW w:w="6060" w:type="dxa"/>
            <w:vAlign w:val="bottom"/>
          </w:tcPr>
          <w:p>
            <w:pPr>
              <w:spacing w:after="0"/>
              <w:rPr>
                <w:sz w:val="3"/>
                <w:szCs w:val="3"/>
                <w:color w:val="auto"/>
              </w:rPr>
            </w:pPr>
          </w:p>
        </w:tc>
        <w:tc>
          <w:tcPr>
            <w:tcW w:w="5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17"/>
        </w:trPr>
        <w:tc>
          <w:tcPr>
            <w:tcW w:w="6060" w:type="dxa"/>
            <w:vAlign w:val="bottom"/>
            <w:shd w:val="clear" w:color="auto" w:fill="EBFBFF"/>
          </w:tcPr>
          <w:p>
            <w:pPr>
              <w:spacing w:after="0"/>
              <w:rPr>
                <w:sz w:val="10"/>
                <w:szCs w:val="10"/>
                <w:color w:val="auto"/>
              </w:rPr>
            </w:pPr>
          </w:p>
        </w:tc>
        <w:tc>
          <w:tcPr>
            <w:tcW w:w="500" w:type="dxa"/>
            <w:vAlign w:val="bottom"/>
            <w:shd w:val="clear" w:color="auto" w:fill="EBFBFF"/>
          </w:tcPr>
          <w:p>
            <w:pPr>
              <w:spacing w:after="0"/>
              <w:rPr>
                <w:sz w:val="10"/>
                <w:szCs w:val="10"/>
                <w:color w:val="auto"/>
              </w:rPr>
            </w:pPr>
          </w:p>
        </w:tc>
        <w:tc>
          <w:tcPr>
            <w:tcW w:w="820" w:type="dxa"/>
            <w:vAlign w:val="bottom"/>
            <w:shd w:val="clear" w:color="auto" w:fill="EBFBFF"/>
          </w:tcPr>
          <w:p>
            <w:pPr>
              <w:spacing w:after="0"/>
              <w:rPr>
                <w:sz w:val="10"/>
                <w:szCs w:val="10"/>
                <w:color w:val="auto"/>
              </w:rPr>
            </w:pPr>
          </w:p>
        </w:tc>
        <w:tc>
          <w:tcPr>
            <w:tcW w:w="160" w:type="dxa"/>
            <w:vAlign w:val="bottom"/>
            <w:shd w:val="clear" w:color="auto" w:fill="EBFBFF"/>
          </w:tcPr>
          <w:p>
            <w:pPr>
              <w:spacing w:after="0"/>
              <w:rPr>
                <w:sz w:val="10"/>
                <w:szCs w:val="10"/>
                <w:color w:val="auto"/>
              </w:rPr>
            </w:pPr>
          </w:p>
        </w:tc>
        <w:tc>
          <w:tcPr>
            <w:tcW w:w="1100" w:type="dxa"/>
            <w:vAlign w:val="bottom"/>
            <w:tcBorders>
              <w:right w:val="single" w:sz="8" w:color="EBFBFF"/>
            </w:tcBorders>
            <w:shd w:val="clear" w:color="auto" w:fill="EBFBFF"/>
          </w:tcPr>
          <w:p>
            <w:pPr>
              <w:spacing w:after="0"/>
              <w:rPr>
                <w:sz w:val="10"/>
                <w:szCs w:val="10"/>
                <w:color w:val="auto"/>
              </w:rPr>
            </w:pPr>
          </w:p>
        </w:tc>
        <w:tc>
          <w:tcPr>
            <w:tcW w:w="80" w:type="dxa"/>
            <w:vAlign w:val="bottom"/>
            <w:shd w:val="clear" w:color="auto" w:fill="EBFBFF"/>
          </w:tcPr>
          <w:p>
            <w:pPr>
              <w:spacing w:after="0"/>
              <w:rPr>
                <w:sz w:val="10"/>
                <w:szCs w:val="10"/>
                <w:color w:val="auto"/>
              </w:rPr>
            </w:pPr>
          </w:p>
        </w:tc>
        <w:tc>
          <w:tcPr>
            <w:tcW w:w="500" w:type="dxa"/>
            <w:vAlign w:val="bottom"/>
            <w:shd w:val="clear" w:color="auto" w:fill="EBFBFF"/>
          </w:tcPr>
          <w:p>
            <w:pPr>
              <w:spacing w:after="0"/>
              <w:rPr>
                <w:sz w:val="10"/>
                <w:szCs w:val="10"/>
                <w:color w:val="auto"/>
              </w:rPr>
            </w:pPr>
          </w:p>
        </w:tc>
        <w:tc>
          <w:tcPr>
            <w:tcW w:w="820" w:type="dxa"/>
            <w:vAlign w:val="bottom"/>
            <w:shd w:val="clear" w:color="auto" w:fill="EBFBFF"/>
          </w:tcPr>
          <w:p>
            <w:pPr>
              <w:spacing w:after="0"/>
              <w:rPr>
                <w:sz w:val="10"/>
                <w:szCs w:val="10"/>
                <w:color w:val="auto"/>
              </w:rPr>
            </w:pPr>
          </w:p>
        </w:tc>
        <w:tc>
          <w:tcPr>
            <w:tcW w:w="240" w:type="dxa"/>
            <w:vAlign w:val="bottom"/>
            <w:shd w:val="clear" w:color="auto" w:fill="EBFBFF"/>
          </w:tcPr>
          <w:p>
            <w:pPr>
              <w:spacing w:after="0"/>
              <w:rPr>
                <w:sz w:val="10"/>
                <w:szCs w:val="10"/>
                <w:color w:val="auto"/>
              </w:rPr>
            </w:pPr>
          </w:p>
        </w:tc>
        <w:tc>
          <w:tcPr>
            <w:tcW w:w="1000" w:type="dxa"/>
            <w:vAlign w:val="bottom"/>
            <w:shd w:val="clear" w:color="auto" w:fill="EBFBFF"/>
          </w:tcPr>
          <w:p>
            <w:pPr>
              <w:spacing w:after="0"/>
              <w:rPr>
                <w:sz w:val="10"/>
                <w:szCs w:val="10"/>
                <w:color w:val="auto"/>
              </w:rPr>
            </w:pPr>
          </w:p>
        </w:tc>
        <w:tc>
          <w:tcPr>
            <w:tcW w:w="20" w:type="dxa"/>
            <w:vAlign w:val="bottom"/>
          </w:tcPr>
          <w:p>
            <w:pPr>
              <w:spacing w:after="0"/>
              <w:rPr>
                <w:sz w:val="10"/>
                <w:szCs w:val="10"/>
                <w:color w:val="auto"/>
              </w:rPr>
            </w:pPr>
          </w:p>
        </w:tc>
      </w:tr>
      <w:tr>
        <w:trPr>
          <w:trHeight w:val="175"/>
        </w:trPr>
        <w:tc>
          <w:tcPr>
            <w:tcW w:w="6060" w:type="dxa"/>
            <w:vAlign w:val="bottom"/>
          </w:tcPr>
          <w:p>
            <w:pPr>
              <w:ind w:left="20"/>
              <w:spacing w:after="0" w:line="170" w:lineRule="exact"/>
              <w:rPr>
                <w:sz w:val="20"/>
                <w:szCs w:val="20"/>
                <w:color w:val="auto"/>
              </w:rPr>
            </w:pPr>
            <w:r>
              <w:rPr>
                <w:rFonts w:ascii="Calibri" w:cs="Calibri" w:eastAsia="Calibri" w:hAnsi="Calibri"/>
                <w:sz w:val="11"/>
                <w:szCs w:val="11"/>
                <w:color w:val="51555C"/>
              </w:rPr>
              <w:t>Non-GAAP organic recurring revenue</w:t>
            </w:r>
            <w:r>
              <w:rPr>
                <w:rFonts w:ascii="Calibri" w:cs="Calibri" w:eastAsia="Calibri" w:hAnsi="Calibri"/>
                <w:sz w:val="14"/>
                <w:szCs w:val="14"/>
                <w:color w:val="51555C"/>
                <w:vertAlign w:val="superscript"/>
              </w:rPr>
              <w:t>(3)</w:t>
            </w:r>
          </w:p>
        </w:tc>
        <w:tc>
          <w:tcPr>
            <w:tcW w:w="500" w:type="dxa"/>
            <w:vAlign w:val="bottom"/>
          </w:tcPr>
          <w:p>
            <w:pPr>
              <w:jc w:val="right"/>
              <w:ind w:right="383"/>
              <w:spacing w:after="0"/>
              <w:rPr>
                <w:sz w:val="20"/>
                <w:szCs w:val="20"/>
                <w:color w:val="auto"/>
              </w:rPr>
            </w:pPr>
            <w:r>
              <w:rPr>
                <w:rFonts w:ascii="Calibri" w:cs="Calibri" w:eastAsia="Calibri" w:hAnsi="Calibri"/>
                <w:sz w:val="11"/>
                <w:szCs w:val="11"/>
                <w:color w:val="51555C"/>
                <w:w w:val="70"/>
              </w:rPr>
              <w:t>$</w:t>
            </w:r>
          </w:p>
        </w:tc>
        <w:tc>
          <w:tcPr>
            <w:tcW w:w="820" w:type="dxa"/>
            <w:vAlign w:val="bottom"/>
          </w:tcPr>
          <w:p>
            <w:pPr>
              <w:jc w:val="right"/>
              <w:ind w:right="83"/>
              <w:spacing w:after="0"/>
              <w:rPr>
                <w:sz w:val="20"/>
                <w:szCs w:val="20"/>
                <w:color w:val="auto"/>
              </w:rPr>
            </w:pPr>
            <w:r>
              <w:rPr>
                <w:rFonts w:ascii="Calibri" w:cs="Calibri" w:eastAsia="Calibri" w:hAnsi="Calibri"/>
                <w:sz w:val="11"/>
                <w:szCs w:val="11"/>
                <w:color w:val="51555C"/>
              </w:rPr>
              <w:t>281.4</w:t>
            </w:r>
          </w:p>
        </w:tc>
        <w:tc>
          <w:tcPr>
            <w:tcW w:w="160" w:type="dxa"/>
            <w:vAlign w:val="bottom"/>
          </w:tcPr>
          <w:p>
            <w:pPr>
              <w:jc w:val="right"/>
              <w:ind w:right="23"/>
              <w:spacing w:after="0"/>
              <w:rPr>
                <w:sz w:val="20"/>
                <w:szCs w:val="20"/>
                <w:color w:val="auto"/>
              </w:rPr>
            </w:pPr>
            <w:r>
              <w:rPr>
                <w:rFonts w:ascii="Calibri" w:cs="Calibri" w:eastAsia="Calibri" w:hAnsi="Calibri"/>
                <w:sz w:val="11"/>
                <w:szCs w:val="11"/>
                <w:color w:val="51555C"/>
              </w:rPr>
              <w:t>$</w:t>
            </w:r>
          </w:p>
        </w:tc>
        <w:tc>
          <w:tcPr>
            <w:tcW w:w="1100" w:type="dxa"/>
            <w:vAlign w:val="bottom"/>
          </w:tcPr>
          <w:p>
            <w:pPr>
              <w:jc w:val="right"/>
              <w:ind w:right="3"/>
              <w:spacing w:after="0"/>
              <w:rPr>
                <w:sz w:val="20"/>
                <w:szCs w:val="20"/>
                <w:color w:val="auto"/>
              </w:rPr>
            </w:pPr>
            <w:r>
              <w:rPr>
                <w:rFonts w:ascii="Calibri" w:cs="Calibri" w:eastAsia="Calibri" w:hAnsi="Calibri"/>
                <w:sz w:val="11"/>
                <w:szCs w:val="11"/>
                <w:color w:val="51555C"/>
              </w:rPr>
              <w:t>262.4</w:t>
            </w:r>
          </w:p>
        </w:tc>
        <w:tc>
          <w:tcPr>
            <w:tcW w:w="580" w:type="dxa"/>
            <w:vAlign w:val="bottom"/>
            <w:gridSpan w:val="2"/>
          </w:tcPr>
          <w:p>
            <w:pPr>
              <w:jc w:val="right"/>
              <w:ind w:right="383"/>
              <w:spacing w:after="0"/>
              <w:rPr>
                <w:sz w:val="20"/>
                <w:szCs w:val="20"/>
                <w:color w:val="auto"/>
              </w:rPr>
            </w:pPr>
            <w:r>
              <w:rPr>
                <w:rFonts w:ascii="Calibri" w:cs="Calibri" w:eastAsia="Calibri" w:hAnsi="Calibri"/>
                <w:sz w:val="11"/>
                <w:szCs w:val="11"/>
                <w:color w:val="51555C"/>
              </w:rPr>
              <w:t>$</w:t>
            </w:r>
          </w:p>
        </w:tc>
        <w:tc>
          <w:tcPr>
            <w:tcW w:w="820" w:type="dxa"/>
            <w:vAlign w:val="bottom"/>
          </w:tcPr>
          <w:p>
            <w:pPr>
              <w:jc w:val="right"/>
              <w:ind w:right="63"/>
              <w:spacing w:after="0"/>
              <w:rPr>
                <w:sz w:val="20"/>
                <w:szCs w:val="20"/>
                <w:color w:val="auto"/>
              </w:rPr>
            </w:pPr>
            <w:r>
              <w:rPr>
                <w:rFonts w:ascii="Calibri" w:cs="Calibri" w:eastAsia="Calibri" w:hAnsi="Calibri"/>
                <w:sz w:val="11"/>
                <w:szCs w:val="11"/>
                <w:color w:val="51555C"/>
              </w:rPr>
              <w:t>552.9</w:t>
            </w:r>
          </w:p>
        </w:tc>
        <w:tc>
          <w:tcPr>
            <w:tcW w:w="240" w:type="dxa"/>
            <w:vAlign w:val="bottom"/>
          </w:tcPr>
          <w:p>
            <w:pPr>
              <w:jc w:val="right"/>
              <w:ind w:right="103"/>
              <w:spacing w:after="0"/>
              <w:rPr>
                <w:sz w:val="20"/>
                <w:szCs w:val="20"/>
                <w:color w:val="auto"/>
              </w:rPr>
            </w:pPr>
            <w:r>
              <w:rPr>
                <w:rFonts w:ascii="Calibri" w:cs="Calibri" w:eastAsia="Calibri" w:hAnsi="Calibri"/>
                <w:sz w:val="11"/>
                <w:szCs w:val="11"/>
                <w:color w:val="51555C"/>
              </w:rPr>
              <w:t>$</w:t>
            </w:r>
          </w:p>
        </w:tc>
        <w:tc>
          <w:tcPr>
            <w:tcW w:w="1000" w:type="dxa"/>
            <w:vAlign w:val="bottom"/>
          </w:tcPr>
          <w:p>
            <w:pPr>
              <w:jc w:val="right"/>
              <w:spacing w:after="0"/>
              <w:rPr>
                <w:sz w:val="20"/>
                <w:szCs w:val="20"/>
                <w:color w:val="auto"/>
              </w:rPr>
            </w:pPr>
            <w:r>
              <w:rPr>
                <w:rFonts w:ascii="Calibri" w:cs="Calibri" w:eastAsia="Calibri" w:hAnsi="Calibri"/>
                <w:sz w:val="11"/>
                <w:szCs w:val="11"/>
                <w:color w:val="51555C"/>
              </w:rPr>
              <w:t>515.1</w:t>
            </w:r>
          </w:p>
        </w:tc>
        <w:tc>
          <w:tcPr>
            <w:tcW w:w="20" w:type="dxa"/>
            <w:vAlign w:val="bottom"/>
          </w:tcPr>
          <w:p>
            <w:pPr>
              <w:spacing w:after="0"/>
              <w:rPr>
                <w:sz w:val="15"/>
                <w:szCs w:val="15"/>
                <w:color w:val="auto"/>
              </w:rPr>
            </w:pPr>
          </w:p>
        </w:tc>
      </w:tr>
      <w:tr>
        <w:trPr>
          <w:trHeight w:val="186"/>
        </w:trPr>
        <w:tc>
          <w:tcPr>
            <w:tcW w:w="6060" w:type="dxa"/>
            <w:vAlign w:val="bottom"/>
            <w:shd w:val="clear" w:color="auto" w:fill="EBFBFF"/>
          </w:tcPr>
          <w:p>
            <w:pPr>
              <w:ind w:left="20"/>
              <w:spacing w:after="0"/>
              <w:rPr>
                <w:sz w:val="20"/>
                <w:szCs w:val="20"/>
                <w:color w:val="auto"/>
              </w:rPr>
            </w:pPr>
            <w:r>
              <w:rPr>
                <w:rFonts w:ascii="Calibri" w:cs="Calibri" w:eastAsia="Calibri" w:hAnsi="Calibri"/>
                <w:sz w:val="11"/>
                <w:szCs w:val="11"/>
                <w:color w:val="51555C"/>
              </w:rPr>
              <w:t>Foreign currency impact on non-GAAP organic recurring revenue</w:t>
            </w:r>
            <w:r>
              <w:rPr>
                <w:rFonts w:ascii="Calibri" w:cs="Calibri" w:eastAsia="Calibri" w:hAnsi="Calibri"/>
                <w:sz w:val="14"/>
                <w:szCs w:val="14"/>
                <w:color w:val="51555C"/>
                <w:vertAlign w:val="superscript"/>
              </w:rPr>
              <w:t>(4)</w:t>
            </w:r>
          </w:p>
        </w:tc>
        <w:tc>
          <w:tcPr>
            <w:tcW w:w="500" w:type="dxa"/>
            <w:vAlign w:val="bottom"/>
            <w:tcBorders>
              <w:bottom w:val="single" w:sz="8" w:color="51555C"/>
            </w:tcBorders>
            <w:shd w:val="clear" w:color="auto" w:fill="EBFBFF"/>
          </w:tcPr>
          <w:p>
            <w:pPr>
              <w:spacing w:after="0"/>
              <w:rPr>
                <w:sz w:val="16"/>
                <w:szCs w:val="16"/>
                <w:color w:val="auto"/>
              </w:rPr>
            </w:pPr>
          </w:p>
        </w:tc>
        <w:tc>
          <w:tcPr>
            <w:tcW w:w="820" w:type="dxa"/>
            <w:vAlign w:val="bottom"/>
            <w:tcBorders>
              <w:bottom w:val="single" w:sz="8" w:color="51555C"/>
            </w:tcBorders>
            <w:shd w:val="clear" w:color="auto" w:fill="EBFBFF"/>
          </w:tcPr>
          <w:p>
            <w:pPr>
              <w:jc w:val="right"/>
              <w:ind w:right="43"/>
              <w:spacing w:after="0"/>
              <w:rPr>
                <w:sz w:val="20"/>
                <w:szCs w:val="20"/>
                <w:color w:val="auto"/>
              </w:rPr>
            </w:pPr>
            <w:r>
              <w:rPr>
                <w:rFonts w:ascii="Calibri" w:cs="Calibri" w:eastAsia="Calibri" w:hAnsi="Calibri"/>
                <w:sz w:val="11"/>
                <w:szCs w:val="11"/>
                <w:color w:val="51555C"/>
              </w:rPr>
              <w:t>(0.2)</w:t>
            </w:r>
          </w:p>
        </w:tc>
        <w:tc>
          <w:tcPr>
            <w:tcW w:w="160" w:type="dxa"/>
            <w:vAlign w:val="bottom"/>
            <w:tcBorders>
              <w:bottom w:val="single" w:sz="8" w:color="51555C"/>
            </w:tcBorders>
            <w:shd w:val="clear" w:color="auto" w:fill="EBFBFF"/>
          </w:tcPr>
          <w:p>
            <w:pPr>
              <w:spacing w:after="0"/>
              <w:rPr>
                <w:sz w:val="16"/>
                <w:szCs w:val="16"/>
                <w:color w:val="auto"/>
              </w:rPr>
            </w:pPr>
          </w:p>
        </w:tc>
        <w:tc>
          <w:tcPr>
            <w:tcW w:w="1100" w:type="dxa"/>
            <w:vAlign w:val="bottom"/>
            <w:tcBorders>
              <w:bottom w:val="single" w:sz="8" w:color="51555C"/>
              <w:right w:val="single" w:sz="8" w:color="EBFBFF"/>
            </w:tcBorders>
            <w:shd w:val="clear" w:color="auto" w:fill="EBFBFF"/>
          </w:tcPr>
          <w:p>
            <w:pPr>
              <w:jc w:val="right"/>
              <w:ind w:right="3"/>
              <w:spacing w:after="0"/>
              <w:rPr>
                <w:sz w:val="20"/>
                <w:szCs w:val="20"/>
                <w:color w:val="auto"/>
              </w:rPr>
            </w:pPr>
            <w:r>
              <w:rPr>
                <w:rFonts w:ascii="Calibri" w:cs="Calibri" w:eastAsia="Calibri" w:hAnsi="Calibri"/>
                <w:sz w:val="11"/>
                <w:szCs w:val="11"/>
                <w:color w:val="51555C"/>
              </w:rPr>
              <w:t>—</w:t>
            </w:r>
          </w:p>
        </w:tc>
        <w:tc>
          <w:tcPr>
            <w:tcW w:w="80" w:type="dxa"/>
            <w:vAlign w:val="bottom"/>
            <w:shd w:val="clear" w:color="auto" w:fill="EBFBFF"/>
          </w:tcPr>
          <w:p>
            <w:pPr>
              <w:spacing w:after="0"/>
              <w:rPr>
                <w:sz w:val="16"/>
                <w:szCs w:val="16"/>
                <w:color w:val="auto"/>
              </w:rPr>
            </w:pPr>
          </w:p>
        </w:tc>
        <w:tc>
          <w:tcPr>
            <w:tcW w:w="500" w:type="dxa"/>
            <w:vAlign w:val="bottom"/>
            <w:tcBorders>
              <w:bottom w:val="single" w:sz="8" w:color="51555C"/>
            </w:tcBorders>
            <w:shd w:val="clear" w:color="auto" w:fill="EBFBFF"/>
          </w:tcPr>
          <w:p>
            <w:pPr>
              <w:spacing w:after="0"/>
              <w:rPr>
                <w:sz w:val="16"/>
                <w:szCs w:val="16"/>
                <w:color w:val="auto"/>
              </w:rPr>
            </w:pPr>
          </w:p>
        </w:tc>
        <w:tc>
          <w:tcPr>
            <w:tcW w:w="820" w:type="dxa"/>
            <w:vAlign w:val="bottom"/>
            <w:tcBorders>
              <w:bottom w:val="single" w:sz="8" w:color="51555C"/>
            </w:tcBorders>
            <w:shd w:val="clear" w:color="auto" w:fill="EBFBFF"/>
          </w:tcPr>
          <w:p>
            <w:pPr>
              <w:jc w:val="right"/>
              <w:ind w:right="43"/>
              <w:spacing w:after="0"/>
              <w:rPr>
                <w:sz w:val="20"/>
                <w:szCs w:val="20"/>
                <w:color w:val="auto"/>
              </w:rPr>
            </w:pPr>
            <w:r>
              <w:rPr>
                <w:rFonts w:ascii="Calibri" w:cs="Calibri" w:eastAsia="Calibri" w:hAnsi="Calibri"/>
                <w:sz w:val="11"/>
                <w:szCs w:val="11"/>
                <w:color w:val="51555C"/>
              </w:rPr>
              <w:t>(1.1)</w:t>
            </w:r>
          </w:p>
        </w:tc>
        <w:tc>
          <w:tcPr>
            <w:tcW w:w="240" w:type="dxa"/>
            <w:vAlign w:val="bottom"/>
            <w:tcBorders>
              <w:bottom w:val="single" w:sz="8" w:color="51555C"/>
            </w:tcBorders>
            <w:shd w:val="clear" w:color="auto" w:fill="EBFBFF"/>
          </w:tcPr>
          <w:p>
            <w:pPr>
              <w:spacing w:after="0"/>
              <w:rPr>
                <w:sz w:val="16"/>
                <w:szCs w:val="16"/>
                <w:color w:val="auto"/>
              </w:rPr>
            </w:pPr>
          </w:p>
        </w:tc>
        <w:tc>
          <w:tcPr>
            <w:tcW w:w="1000" w:type="dxa"/>
            <w:vAlign w:val="bottom"/>
            <w:tcBorders>
              <w:bottom w:val="single" w:sz="8" w:color="51555C"/>
            </w:tcBorders>
            <w:shd w:val="clear" w:color="auto" w:fill="EBFBFF"/>
          </w:tcPr>
          <w:p>
            <w:pPr>
              <w:jc w:val="right"/>
              <w:spacing w:after="0"/>
              <w:rPr>
                <w:sz w:val="20"/>
                <w:szCs w:val="20"/>
                <w:color w:val="auto"/>
              </w:rPr>
            </w:pPr>
            <w:r>
              <w:rPr>
                <w:rFonts w:ascii="Calibri" w:cs="Calibri" w:eastAsia="Calibri" w:hAnsi="Calibri"/>
                <w:sz w:val="11"/>
                <w:szCs w:val="11"/>
                <w:color w:val="51555C"/>
              </w:rPr>
              <w:t>—</w:t>
            </w:r>
          </w:p>
        </w:tc>
        <w:tc>
          <w:tcPr>
            <w:tcW w:w="20" w:type="dxa"/>
            <w:vAlign w:val="bottom"/>
          </w:tcPr>
          <w:p>
            <w:pPr>
              <w:spacing w:after="0"/>
              <w:rPr>
                <w:sz w:val="16"/>
                <w:szCs w:val="16"/>
                <w:color w:val="auto"/>
              </w:rPr>
            </w:pPr>
          </w:p>
        </w:tc>
      </w:tr>
      <w:tr>
        <w:trPr>
          <w:trHeight w:val="163"/>
        </w:trPr>
        <w:tc>
          <w:tcPr>
            <w:tcW w:w="6060" w:type="dxa"/>
            <w:vAlign w:val="bottom"/>
            <w:tcBorders>
              <w:bottom w:val="single" w:sz="8" w:color="EBFBFF"/>
            </w:tcBorders>
          </w:tcPr>
          <w:p>
            <w:pPr>
              <w:ind w:left="20"/>
              <w:spacing w:after="0" w:line="155" w:lineRule="exact"/>
              <w:rPr>
                <w:sz w:val="20"/>
                <w:szCs w:val="20"/>
                <w:color w:val="auto"/>
              </w:rPr>
            </w:pPr>
            <w:r>
              <w:rPr>
                <w:rFonts w:ascii="Calibri" w:cs="Calibri" w:eastAsia="Calibri" w:hAnsi="Calibri"/>
                <w:sz w:val="11"/>
                <w:szCs w:val="11"/>
                <w:color w:val="51555C"/>
              </w:rPr>
              <w:t>Non-GAAP organic recurring revenue on constant currency basis</w:t>
            </w:r>
            <w:r>
              <w:rPr>
                <w:rFonts w:ascii="Calibri" w:cs="Calibri" w:eastAsia="Calibri" w:hAnsi="Calibri"/>
                <w:sz w:val="14"/>
                <w:szCs w:val="14"/>
                <w:color w:val="51555C"/>
                <w:vertAlign w:val="superscript"/>
              </w:rPr>
              <w:t>(4)</w:t>
            </w:r>
          </w:p>
        </w:tc>
        <w:tc>
          <w:tcPr>
            <w:tcW w:w="500" w:type="dxa"/>
            <w:vAlign w:val="bottom"/>
            <w:tcBorders>
              <w:bottom w:val="single" w:sz="8" w:color="51555C"/>
            </w:tcBorders>
          </w:tcPr>
          <w:p>
            <w:pPr>
              <w:jc w:val="right"/>
              <w:ind w:right="383"/>
              <w:spacing w:after="0"/>
              <w:rPr>
                <w:sz w:val="20"/>
                <w:szCs w:val="20"/>
                <w:color w:val="auto"/>
              </w:rPr>
            </w:pPr>
            <w:r>
              <w:rPr>
                <w:rFonts w:ascii="Calibri" w:cs="Calibri" w:eastAsia="Calibri" w:hAnsi="Calibri"/>
                <w:sz w:val="11"/>
                <w:szCs w:val="11"/>
                <w:color w:val="51555C"/>
                <w:w w:val="70"/>
              </w:rPr>
              <w:t>$</w:t>
            </w:r>
          </w:p>
        </w:tc>
        <w:tc>
          <w:tcPr>
            <w:tcW w:w="820" w:type="dxa"/>
            <w:vAlign w:val="bottom"/>
            <w:tcBorders>
              <w:bottom w:val="single" w:sz="8" w:color="51555C"/>
            </w:tcBorders>
          </w:tcPr>
          <w:p>
            <w:pPr>
              <w:jc w:val="right"/>
              <w:ind w:right="83"/>
              <w:spacing w:after="0"/>
              <w:rPr>
                <w:sz w:val="20"/>
                <w:szCs w:val="20"/>
                <w:color w:val="auto"/>
              </w:rPr>
            </w:pPr>
            <w:r>
              <w:rPr>
                <w:rFonts w:ascii="Calibri" w:cs="Calibri" w:eastAsia="Calibri" w:hAnsi="Calibri"/>
                <w:sz w:val="11"/>
                <w:szCs w:val="11"/>
                <w:color w:val="51555C"/>
              </w:rPr>
              <w:t>281.2</w:t>
            </w:r>
          </w:p>
        </w:tc>
        <w:tc>
          <w:tcPr>
            <w:tcW w:w="160" w:type="dxa"/>
            <w:vAlign w:val="bottom"/>
            <w:tcBorders>
              <w:bottom w:val="single" w:sz="8" w:color="51555C"/>
            </w:tcBorders>
          </w:tcPr>
          <w:p>
            <w:pPr>
              <w:jc w:val="right"/>
              <w:ind w:right="23"/>
              <w:spacing w:after="0"/>
              <w:rPr>
                <w:sz w:val="20"/>
                <w:szCs w:val="20"/>
                <w:color w:val="auto"/>
              </w:rPr>
            </w:pPr>
            <w:r>
              <w:rPr>
                <w:rFonts w:ascii="Calibri" w:cs="Calibri" w:eastAsia="Calibri" w:hAnsi="Calibri"/>
                <w:sz w:val="11"/>
                <w:szCs w:val="11"/>
                <w:color w:val="51555C"/>
              </w:rPr>
              <w:t>$</w:t>
            </w:r>
          </w:p>
        </w:tc>
        <w:tc>
          <w:tcPr>
            <w:tcW w:w="1100" w:type="dxa"/>
            <w:vAlign w:val="bottom"/>
            <w:tcBorders>
              <w:bottom w:val="single" w:sz="8" w:color="51555C"/>
            </w:tcBorders>
          </w:tcPr>
          <w:p>
            <w:pPr>
              <w:jc w:val="right"/>
              <w:ind w:right="3"/>
              <w:spacing w:after="0"/>
              <w:rPr>
                <w:sz w:val="20"/>
                <w:szCs w:val="20"/>
                <w:color w:val="auto"/>
              </w:rPr>
            </w:pPr>
            <w:r>
              <w:rPr>
                <w:rFonts w:ascii="Calibri" w:cs="Calibri" w:eastAsia="Calibri" w:hAnsi="Calibri"/>
                <w:sz w:val="11"/>
                <w:szCs w:val="11"/>
                <w:color w:val="51555C"/>
              </w:rPr>
              <w:t>262.4</w:t>
            </w:r>
          </w:p>
        </w:tc>
        <w:tc>
          <w:tcPr>
            <w:tcW w:w="80" w:type="dxa"/>
            <w:vAlign w:val="bottom"/>
            <w:tcBorders>
              <w:bottom w:val="single" w:sz="8" w:color="EBFBFF"/>
            </w:tcBorders>
          </w:tcPr>
          <w:p>
            <w:pPr>
              <w:spacing w:after="0"/>
              <w:rPr>
                <w:sz w:val="14"/>
                <w:szCs w:val="14"/>
                <w:color w:val="auto"/>
              </w:rPr>
            </w:pPr>
          </w:p>
        </w:tc>
        <w:tc>
          <w:tcPr>
            <w:tcW w:w="500" w:type="dxa"/>
            <w:vAlign w:val="bottom"/>
            <w:tcBorders>
              <w:bottom w:val="single" w:sz="8" w:color="51555C"/>
            </w:tcBorders>
          </w:tcPr>
          <w:p>
            <w:pPr>
              <w:jc w:val="right"/>
              <w:ind w:right="383"/>
              <w:spacing w:after="0"/>
              <w:rPr>
                <w:sz w:val="20"/>
                <w:szCs w:val="20"/>
                <w:color w:val="auto"/>
              </w:rPr>
            </w:pPr>
            <w:r>
              <w:rPr>
                <w:rFonts w:ascii="Calibri" w:cs="Calibri" w:eastAsia="Calibri" w:hAnsi="Calibri"/>
                <w:sz w:val="11"/>
                <w:szCs w:val="11"/>
                <w:color w:val="51555C"/>
                <w:w w:val="70"/>
              </w:rPr>
              <w:t>$</w:t>
            </w:r>
          </w:p>
        </w:tc>
        <w:tc>
          <w:tcPr>
            <w:tcW w:w="820" w:type="dxa"/>
            <w:vAlign w:val="bottom"/>
            <w:tcBorders>
              <w:bottom w:val="single" w:sz="8" w:color="51555C"/>
            </w:tcBorders>
          </w:tcPr>
          <w:p>
            <w:pPr>
              <w:jc w:val="right"/>
              <w:ind w:right="63"/>
              <w:spacing w:after="0"/>
              <w:rPr>
                <w:sz w:val="20"/>
                <w:szCs w:val="20"/>
                <w:color w:val="auto"/>
              </w:rPr>
            </w:pPr>
            <w:r>
              <w:rPr>
                <w:rFonts w:ascii="Calibri" w:cs="Calibri" w:eastAsia="Calibri" w:hAnsi="Calibri"/>
                <w:sz w:val="11"/>
                <w:szCs w:val="11"/>
                <w:color w:val="51555C"/>
              </w:rPr>
              <w:t>551.8</w:t>
            </w:r>
          </w:p>
        </w:tc>
        <w:tc>
          <w:tcPr>
            <w:tcW w:w="240" w:type="dxa"/>
            <w:vAlign w:val="bottom"/>
            <w:tcBorders>
              <w:bottom w:val="single" w:sz="8" w:color="51555C"/>
            </w:tcBorders>
          </w:tcPr>
          <w:p>
            <w:pPr>
              <w:jc w:val="right"/>
              <w:ind w:right="103"/>
              <w:spacing w:after="0"/>
              <w:rPr>
                <w:sz w:val="20"/>
                <w:szCs w:val="20"/>
                <w:color w:val="auto"/>
              </w:rPr>
            </w:pPr>
            <w:r>
              <w:rPr>
                <w:rFonts w:ascii="Calibri" w:cs="Calibri" w:eastAsia="Calibri" w:hAnsi="Calibri"/>
                <w:sz w:val="11"/>
                <w:szCs w:val="11"/>
                <w:color w:val="51555C"/>
              </w:rPr>
              <w:t>$</w:t>
            </w:r>
          </w:p>
        </w:tc>
        <w:tc>
          <w:tcPr>
            <w:tcW w:w="1000" w:type="dxa"/>
            <w:vAlign w:val="bottom"/>
            <w:tcBorders>
              <w:bottom w:val="single" w:sz="8" w:color="51555C"/>
            </w:tcBorders>
          </w:tcPr>
          <w:p>
            <w:pPr>
              <w:jc w:val="right"/>
              <w:spacing w:after="0"/>
              <w:rPr>
                <w:sz w:val="20"/>
                <w:szCs w:val="20"/>
                <w:color w:val="auto"/>
              </w:rPr>
            </w:pPr>
            <w:r>
              <w:rPr>
                <w:rFonts w:ascii="Calibri" w:cs="Calibri" w:eastAsia="Calibri" w:hAnsi="Calibri"/>
                <w:sz w:val="11"/>
                <w:szCs w:val="11"/>
                <w:color w:val="51555C"/>
              </w:rPr>
              <w:t>515.1</w:t>
            </w:r>
          </w:p>
        </w:tc>
        <w:tc>
          <w:tcPr>
            <w:tcW w:w="20" w:type="dxa"/>
            <w:vAlign w:val="bottom"/>
          </w:tcPr>
          <w:p>
            <w:pPr>
              <w:spacing w:after="0"/>
              <w:rPr>
                <w:sz w:val="14"/>
                <w:szCs w:val="14"/>
                <w:color w:val="auto"/>
              </w:rPr>
            </w:pPr>
          </w:p>
        </w:tc>
      </w:tr>
      <w:tr>
        <w:trPr>
          <w:trHeight w:val="159"/>
        </w:trPr>
        <w:tc>
          <w:tcPr>
            <w:tcW w:w="6060" w:type="dxa"/>
            <w:vAlign w:val="bottom"/>
            <w:tcBorders>
              <w:bottom w:val="single" w:sz="8" w:color="EBFBFF"/>
            </w:tcBorders>
            <w:shd w:val="clear" w:color="auto" w:fill="EBFBFF"/>
          </w:tcPr>
          <w:p>
            <w:pPr>
              <w:ind w:left="20"/>
              <w:spacing w:after="0" w:line="133" w:lineRule="exact"/>
              <w:rPr>
                <w:sz w:val="20"/>
                <w:szCs w:val="20"/>
                <w:color w:val="auto"/>
              </w:rPr>
            </w:pPr>
            <w:r>
              <w:rPr>
                <w:rFonts w:ascii="Calibri" w:cs="Calibri" w:eastAsia="Calibri" w:hAnsi="Calibri"/>
                <w:sz w:val="11"/>
                <w:szCs w:val="11"/>
                <w:b w:val="1"/>
                <w:bCs w:val="1"/>
                <w:color w:val="51555C"/>
              </w:rPr>
              <w:t>Non-GAAP organic recurring revenue growth on constant currency basis</w:t>
            </w:r>
          </w:p>
        </w:tc>
        <w:tc>
          <w:tcPr>
            <w:tcW w:w="500" w:type="dxa"/>
            <w:vAlign w:val="bottom"/>
            <w:tcBorders>
              <w:bottom w:val="single" w:sz="8" w:color="EBFBFF"/>
            </w:tcBorders>
            <w:shd w:val="clear" w:color="auto" w:fill="EBFBFF"/>
          </w:tcPr>
          <w:p>
            <w:pPr>
              <w:spacing w:after="0"/>
              <w:rPr>
                <w:sz w:val="13"/>
                <w:szCs w:val="13"/>
                <w:color w:val="auto"/>
              </w:rPr>
            </w:pPr>
          </w:p>
        </w:tc>
        <w:tc>
          <w:tcPr>
            <w:tcW w:w="8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1"/>
                <w:szCs w:val="11"/>
                <w:b w:val="1"/>
                <w:bCs w:val="1"/>
                <w:color w:val="51555C"/>
              </w:rPr>
              <w:t>7.2 %</w:t>
            </w:r>
          </w:p>
        </w:tc>
        <w:tc>
          <w:tcPr>
            <w:tcW w:w="160" w:type="dxa"/>
            <w:vAlign w:val="bottom"/>
            <w:tcBorders>
              <w:bottom w:val="single" w:sz="8" w:color="EBFBFF"/>
            </w:tcBorders>
            <w:shd w:val="clear" w:color="auto" w:fill="EBFBFF"/>
          </w:tcPr>
          <w:p>
            <w:pPr>
              <w:spacing w:after="0"/>
              <w:rPr>
                <w:sz w:val="13"/>
                <w:szCs w:val="13"/>
                <w:color w:val="auto"/>
              </w:rPr>
            </w:pPr>
          </w:p>
        </w:tc>
        <w:tc>
          <w:tcPr>
            <w:tcW w:w="1100" w:type="dxa"/>
            <w:vAlign w:val="bottom"/>
            <w:tcBorders>
              <w:bottom w:val="single" w:sz="8" w:color="EBFBFF"/>
              <w:right w:val="single" w:sz="8" w:color="EBFBFF"/>
            </w:tcBorders>
            <w:shd w:val="clear" w:color="auto" w:fill="EBFBFF"/>
          </w:tcPr>
          <w:p>
            <w:pPr>
              <w:spacing w:after="0"/>
              <w:rPr>
                <w:sz w:val="13"/>
                <w:szCs w:val="13"/>
                <w:color w:val="auto"/>
              </w:rPr>
            </w:pPr>
          </w:p>
        </w:tc>
        <w:tc>
          <w:tcPr>
            <w:tcW w:w="80" w:type="dxa"/>
            <w:vAlign w:val="bottom"/>
            <w:tcBorders>
              <w:bottom w:val="single" w:sz="8" w:color="EBFBFF"/>
            </w:tcBorders>
            <w:shd w:val="clear" w:color="auto" w:fill="EBFBFF"/>
          </w:tcPr>
          <w:p>
            <w:pPr>
              <w:spacing w:after="0"/>
              <w:rPr>
                <w:sz w:val="13"/>
                <w:szCs w:val="13"/>
                <w:color w:val="auto"/>
              </w:rPr>
            </w:pPr>
          </w:p>
        </w:tc>
        <w:tc>
          <w:tcPr>
            <w:tcW w:w="500" w:type="dxa"/>
            <w:vAlign w:val="bottom"/>
            <w:tcBorders>
              <w:bottom w:val="single" w:sz="8" w:color="EBFBFF"/>
            </w:tcBorders>
            <w:shd w:val="clear" w:color="auto" w:fill="EBFBFF"/>
          </w:tcPr>
          <w:p>
            <w:pPr>
              <w:spacing w:after="0"/>
              <w:rPr>
                <w:sz w:val="13"/>
                <w:szCs w:val="13"/>
                <w:color w:val="auto"/>
              </w:rPr>
            </w:pPr>
          </w:p>
        </w:tc>
        <w:tc>
          <w:tcPr>
            <w:tcW w:w="8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1"/>
                <w:szCs w:val="11"/>
                <w:b w:val="1"/>
                <w:bCs w:val="1"/>
                <w:color w:val="51555C"/>
              </w:rPr>
              <w:t>7.1 %</w:t>
            </w:r>
          </w:p>
        </w:tc>
        <w:tc>
          <w:tcPr>
            <w:tcW w:w="240" w:type="dxa"/>
            <w:vAlign w:val="bottom"/>
            <w:tcBorders>
              <w:bottom w:val="single" w:sz="8" w:color="EBFBFF"/>
            </w:tcBorders>
            <w:shd w:val="clear" w:color="auto" w:fill="EBFBFF"/>
          </w:tcPr>
          <w:p>
            <w:pPr>
              <w:spacing w:after="0"/>
              <w:rPr>
                <w:sz w:val="13"/>
                <w:szCs w:val="13"/>
                <w:color w:val="auto"/>
              </w:rPr>
            </w:pPr>
          </w:p>
        </w:tc>
        <w:tc>
          <w:tcPr>
            <w:tcW w:w="1000" w:type="dxa"/>
            <w:vAlign w:val="bottom"/>
            <w:tcBorders>
              <w:bottom w:val="single" w:sz="8" w:color="EBFBFF"/>
            </w:tcBorders>
            <w:shd w:val="clear" w:color="auto" w:fill="EBFBFF"/>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6060" w:type="dxa"/>
            <w:vAlign w:val="bottom"/>
            <w:shd w:val="clear" w:color="auto" w:fill="0CD973"/>
          </w:tcPr>
          <w:p>
            <w:pPr>
              <w:spacing w:after="0" w:line="20" w:lineRule="exact"/>
              <w:rPr>
                <w:sz w:val="1"/>
                <w:szCs w:val="1"/>
                <w:color w:val="auto"/>
              </w:rPr>
            </w:pPr>
          </w:p>
        </w:tc>
        <w:tc>
          <w:tcPr>
            <w:tcW w:w="500" w:type="dxa"/>
            <w:vAlign w:val="bottom"/>
            <w:shd w:val="clear" w:color="auto" w:fill="0CD973"/>
          </w:tcPr>
          <w:p>
            <w:pPr>
              <w:spacing w:after="0" w:line="20" w:lineRule="exact"/>
              <w:rPr>
                <w:sz w:val="1"/>
                <w:szCs w:val="1"/>
                <w:color w:val="auto"/>
              </w:rPr>
            </w:pPr>
          </w:p>
        </w:tc>
        <w:tc>
          <w:tcPr>
            <w:tcW w:w="820" w:type="dxa"/>
            <w:vAlign w:val="bottom"/>
            <w:shd w:val="clear" w:color="auto" w:fill="0CD973"/>
          </w:tcPr>
          <w:p>
            <w:pPr>
              <w:spacing w:after="0" w:line="20" w:lineRule="exact"/>
              <w:rPr>
                <w:sz w:val="1"/>
                <w:szCs w:val="1"/>
                <w:color w:val="auto"/>
              </w:rPr>
            </w:pPr>
          </w:p>
        </w:tc>
        <w:tc>
          <w:tcPr>
            <w:tcW w:w="160" w:type="dxa"/>
            <w:vAlign w:val="bottom"/>
            <w:shd w:val="clear" w:color="auto" w:fill="0CD973"/>
          </w:tcPr>
          <w:p>
            <w:pPr>
              <w:spacing w:after="0" w:line="20" w:lineRule="exact"/>
              <w:rPr>
                <w:sz w:val="1"/>
                <w:szCs w:val="1"/>
                <w:color w:val="auto"/>
              </w:rPr>
            </w:pPr>
          </w:p>
        </w:tc>
        <w:tc>
          <w:tcPr>
            <w:tcW w:w="1100" w:type="dxa"/>
            <w:vAlign w:val="bottom"/>
            <w:tcBorders>
              <w:right w:val="single" w:sz="8" w:color="0CD973"/>
            </w:tcBorders>
            <w:shd w:val="clear" w:color="auto" w:fill="0CD973"/>
          </w:tcPr>
          <w:p>
            <w:pPr>
              <w:spacing w:after="0" w:line="20" w:lineRule="exact"/>
              <w:rPr>
                <w:sz w:val="1"/>
                <w:szCs w:val="1"/>
                <w:color w:val="auto"/>
              </w:rPr>
            </w:pPr>
          </w:p>
        </w:tc>
        <w:tc>
          <w:tcPr>
            <w:tcW w:w="80" w:type="dxa"/>
            <w:vAlign w:val="bottom"/>
            <w:shd w:val="clear" w:color="auto" w:fill="0CD973"/>
          </w:tcPr>
          <w:p>
            <w:pPr>
              <w:spacing w:after="0" w:line="20" w:lineRule="exact"/>
              <w:rPr>
                <w:sz w:val="1"/>
                <w:szCs w:val="1"/>
                <w:color w:val="auto"/>
              </w:rPr>
            </w:pPr>
          </w:p>
        </w:tc>
        <w:tc>
          <w:tcPr>
            <w:tcW w:w="500" w:type="dxa"/>
            <w:vAlign w:val="bottom"/>
            <w:shd w:val="clear" w:color="auto" w:fill="0CD973"/>
          </w:tcPr>
          <w:p>
            <w:pPr>
              <w:spacing w:after="0" w:line="20" w:lineRule="exact"/>
              <w:rPr>
                <w:sz w:val="1"/>
                <w:szCs w:val="1"/>
                <w:color w:val="auto"/>
              </w:rPr>
            </w:pPr>
          </w:p>
        </w:tc>
        <w:tc>
          <w:tcPr>
            <w:tcW w:w="820" w:type="dxa"/>
            <w:vAlign w:val="bottom"/>
            <w:shd w:val="clear" w:color="auto" w:fill="0CD973"/>
          </w:tcPr>
          <w:p>
            <w:pPr>
              <w:spacing w:after="0" w:line="20" w:lineRule="exact"/>
              <w:rPr>
                <w:sz w:val="1"/>
                <w:szCs w:val="1"/>
                <w:color w:val="auto"/>
              </w:rPr>
            </w:pPr>
          </w:p>
        </w:tc>
        <w:tc>
          <w:tcPr>
            <w:tcW w:w="240" w:type="dxa"/>
            <w:vAlign w:val="bottom"/>
            <w:shd w:val="clear" w:color="auto" w:fill="0CD973"/>
          </w:tcPr>
          <w:p>
            <w:pPr>
              <w:spacing w:after="0" w:line="20" w:lineRule="exact"/>
              <w:rPr>
                <w:sz w:val="1"/>
                <w:szCs w:val="1"/>
                <w:color w:val="auto"/>
              </w:rPr>
            </w:pPr>
          </w:p>
        </w:tc>
        <w:tc>
          <w:tcPr>
            <w:tcW w:w="100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3843020</wp:posOffset>
            </wp:positionH>
            <wp:positionV relativeFrom="paragraph">
              <wp:posOffset>-2532380</wp:posOffset>
            </wp:positionV>
            <wp:extent cx="3328035" cy="69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328035" cy="6985"/>
                    </a:xfrm>
                    <a:prstGeom prst="rect">
                      <a:avLst/>
                    </a:prstGeom>
                    <a:noFill/>
                  </pic:spPr>
                </pic:pic>
              </a:graphicData>
            </a:graphic>
          </wp:anchor>
        </w:drawing>
      </w:r>
    </w:p>
    <w:p>
      <w:pPr>
        <w:spacing w:after="0" w:line="11" w:lineRule="exact"/>
        <w:rPr>
          <w:sz w:val="20"/>
          <w:szCs w:val="20"/>
          <w:color w:val="auto"/>
        </w:rPr>
      </w:pPr>
    </w:p>
    <w:p>
      <w:pPr>
        <w:ind w:left="260" w:hanging="255"/>
        <w:spacing w:after="0"/>
        <w:tabs>
          <w:tab w:leader="none" w:pos="260" w:val="left"/>
        </w:tabs>
        <w:numPr>
          <w:ilvl w:val="0"/>
          <w:numId w:val="29"/>
        </w:numPr>
        <w:rPr>
          <w:rFonts w:ascii="Calibri" w:cs="Calibri" w:eastAsia="Calibri" w:hAnsi="Calibri"/>
          <w:sz w:val="11"/>
          <w:szCs w:val="11"/>
          <w:color w:val="51555C"/>
        </w:rPr>
      </w:pPr>
      <w:r>
        <w:rPr>
          <w:rFonts w:ascii="Calibri" w:cs="Calibri" w:eastAsia="Calibri" w:hAnsi="Calibri"/>
          <w:sz w:val="11"/>
          <w:szCs w:val="11"/>
          <w:color w:val="51555C"/>
        </w:rPr>
        <w:t>Includes EVERFI revenue of $23.8 million and $27.3 million for the three months ended June 30, 2024 and 2023, respectvely, and $47.3 million and $54.2 million for the six months ended June 30, 2024 and 2023, respectvely.</w:t>
      </w:r>
    </w:p>
    <w:p>
      <w:pPr>
        <w:spacing w:after="0" w:line="3" w:lineRule="exact"/>
        <w:rPr>
          <w:rFonts w:ascii="Calibri" w:cs="Calibri" w:eastAsia="Calibri" w:hAnsi="Calibri"/>
          <w:sz w:val="11"/>
          <w:szCs w:val="11"/>
          <w:color w:val="51555C"/>
        </w:rPr>
      </w:pPr>
    </w:p>
    <w:p>
      <w:pPr>
        <w:ind w:left="260" w:right="20" w:hanging="255"/>
        <w:spacing w:after="0" w:line="246" w:lineRule="auto"/>
        <w:tabs>
          <w:tab w:leader="none" w:pos="258" w:val="left"/>
        </w:tabs>
        <w:numPr>
          <w:ilvl w:val="0"/>
          <w:numId w:val="29"/>
        </w:numPr>
        <w:rPr>
          <w:rFonts w:ascii="Calibri" w:cs="Calibri" w:eastAsia="Calibri" w:hAnsi="Calibri"/>
          <w:sz w:val="11"/>
          <w:szCs w:val="11"/>
          <w:color w:val="51555C"/>
        </w:rPr>
      </w:pPr>
      <w:r>
        <w:rPr>
          <w:rFonts w:ascii="Calibri" w:cs="Calibri" w:eastAsia="Calibri" w:hAnsi="Calibri"/>
          <w:sz w:val="11"/>
          <w:szCs w:val="11"/>
          <w:color w:val="51555C"/>
        </w:rPr>
        <w:t>Non-GAAP revenue from divested businesses excludes revenue associated with divested businesses. The exclusion of the prior period revenue is to present the results of the divested business with the results of the combined company for the same period of tme in both the prior and current periods.</w:t>
      </w:r>
    </w:p>
    <w:p>
      <w:pPr>
        <w:ind w:left="260" w:right="20" w:hanging="255"/>
        <w:spacing w:after="0" w:line="234" w:lineRule="auto"/>
        <w:tabs>
          <w:tab w:leader="none" w:pos="258" w:val="left"/>
        </w:tabs>
        <w:numPr>
          <w:ilvl w:val="0"/>
          <w:numId w:val="29"/>
        </w:numPr>
        <w:rPr>
          <w:rFonts w:ascii="Calibri" w:cs="Calibri" w:eastAsia="Calibri" w:hAnsi="Calibri"/>
          <w:sz w:val="11"/>
          <w:szCs w:val="11"/>
          <w:color w:val="51555C"/>
        </w:rPr>
      </w:pPr>
      <w:r>
        <w:rPr>
          <w:rFonts w:ascii="Calibri" w:cs="Calibri" w:eastAsia="Calibri" w:hAnsi="Calibri"/>
          <w:sz w:val="11"/>
          <w:szCs w:val="11"/>
          <w:color w:val="51555C"/>
        </w:rPr>
        <w:t>Non-GAAP organic revenue and non-GAAP organic recurring revenue for the prior year periods presented herein may not agree to non-GAAP organic revenue and non-GAAP organic recurring revenue presented in the respectve prior period quarterly fnancial informaton solely due to the manner in which non-GAAP organic revenue growth and non-GAAP organic recurring revenue growth are calculated.</w:t>
      </w:r>
    </w:p>
    <w:p>
      <w:pPr>
        <w:spacing w:after="0" w:line="3" w:lineRule="exact"/>
        <w:rPr>
          <w:rFonts w:ascii="Calibri" w:cs="Calibri" w:eastAsia="Calibri" w:hAnsi="Calibri"/>
          <w:sz w:val="11"/>
          <w:szCs w:val="11"/>
          <w:color w:val="51555C"/>
        </w:rPr>
      </w:pPr>
    </w:p>
    <w:p>
      <w:pPr>
        <w:ind w:left="260" w:right="20" w:hanging="255"/>
        <w:spacing w:after="0" w:line="247" w:lineRule="auto"/>
        <w:tabs>
          <w:tab w:leader="none" w:pos="258" w:val="left"/>
        </w:tabs>
        <w:numPr>
          <w:ilvl w:val="0"/>
          <w:numId w:val="29"/>
        </w:numPr>
        <w:rPr>
          <w:rFonts w:ascii="Calibri" w:cs="Calibri" w:eastAsia="Calibri" w:hAnsi="Calibri"/>
          <w:sz w:val="11"/>
          <w:szCs w:val="11"/>
          <w:color w:val="51555C"/>
        </w:rPr>
      </w:pPr>
      <w:r>
        <w:rPr>
          <w:rFonts w:ascii="Calibri" w:cs="Calibri" w:eastAsia="Calibri" w:hAnsi="Calibri"/>
          <w:sz w:val="11"/>
          <w:szCs w:val="11"/>
          <w:color w:val="51555C"/>
        </w:rPr>
        <w:t>To determine non-GAAP organic revenue growth and non-GAAP organic recurring revenue growth on a constant currency basis, revenues from enttes reportng in foreign currencies were translated to U.S. Dollars using the comparable prior period's quarterly weighted average foreign currency exchange rates. The primary foreign currencies creatng the impact are the Australian Dollar, Britsh Pound, Canadian Dollar and Euro.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6268720</wp:posOffset>
            </wp:positionH>
            <wp:positionV relativeFrom="paragraph">
              <wp:posOffset>188595</wp:posOffset>
            </wp:positionV>
            <wp:extent cx="518795" cy="1346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8795" cy="134620"/>
                    </a:xfrm>
                    <a:prstGeom prst="rect">
                      <a:avLst/>
                    </a:prstGeom>
                    <a:noFill/>
                  </pic:spPr>
                </pic:pic>
              </a:graphicData>
            </a:graphic>
          </wp:anchor>
        </w:drawing>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0400" w:type="dxa"/>
            <w:vAlign w:val="bottom"/>
          </w:tcPr>
          <w:p>
            <w:pPr>
              <w:ind w:left="8160"/>
              <w:spacing w:after="0"/>
              <w:rPr>
                <w:sz w:val="20"/>
                <w:szCs w:val="20"/>
                <w:color w:val="auto"/>
              </w:rPr>
            </w:pPr>
            <w:r>
              <w:rPr>
                <w:rFonts w:ascii="Calibri" w:cs="Calibri" w:eastAsia="Calibri" w:hAnsi="Calibri"/>
                <w:sz w:val="11"/>
                <w:szCs w:val="11"/>
                <w:color w:val="51555C"/>
              </w:rPr>
              <w:t>Second Quarter 2024 Form 10-Q</w:t>
            </w:r>
          </w:p>
        </w:tc>
        <w:tc>
          <w:tcPr>
            <w:tcW w:w="880" w:type="dxa"/>
            <w:vAlign w:val="bottom"/>
          </w:tcPr>
          <w:p>
            <w:pPr>
              <w:jc w:val="right"/>
              <w:spacing w:after="0"/>
              <w:rPr>
                <w:sz w:val="20"/>
                <w:szCs w:val="20"/>
                <w:color w:val="auto"/>
              </w:rPr>
            </w:pPr>
            <w:r>
              <w:rPr>
                <w:rFonts w:ascii="Calibri" w:cs="Calibri" w:eastAsia="Calibri" w:hAnsi="Calibri"/>
                <w:sz w:val="11"/>
                <w:szCs w:val="11"/>
                <w:color w:val="51555C"/>
              </w:rPr>
              <w:t>41</w:t>
            </w:r>
          </w:p>
        </w:tc>
      </w:tr>
      <w:tr>
        <w:trPr>
          <w:trHeight w:val="281"/>
        </w:trPr>
        <w:tc>
          <w:tcPr>
            <w:tcW w:w="104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42" w:name="page43"/>
    <w:bookmarkEnd w:id="42"/>
    <w:p>
      <w:pPr>
        <w:spacing w:after="0"/>
        <w:rPr>
          <w:sz w:val="20"/>
          <w:szCs w:val="20"/>
          <w:color w:val="auto"/>
        </w:rPr>
      </w:pPr>
      <w:r>
        <w:rPr>
          <w:rFonts w:ascii="Calibri" w:cs="Calibri" w:eastAsia="Calibri" w:hAnsi="Calibri"/>
          <w:sz w:val="11"/>
          <w:szCs w:val="11"/>
          <w:u w:val="single" w:color="auto"/>
          <w:color w:val="7A04DD"/>
        </w:rPr>
        <w:t>Table of Contents</w:t>
      </w:r>
    </w:p>
    <w:p>
      <w:pPr>
        <w:spacing w:after="0" w:line="196" w:lineRule="exact"/>
        <w:rPr>
          <w:sz w:val="20"/>
          <w:szCs w:val="20"/>
          <w:color w:val="auto"/>
        </w:rPr>
      </w:pPr>
    </w:p>
    <w:p>
      <w:pPr>
        <w:jc w:val="center"/>
        <w:spacing w:after="0"/>
        <w:rPr>
          <w:sz w:val="20"/>
          <w:szCs w:val="20"/>
          <w:color w:val="auto"/>
        </w:rPr>
      </w:pPr>
      <w:r>
        <w:rPr>
          <w:rFonts w:ascii="Calibri" w:cs="Calibri" w:eastAsia="Calibri" w:hAnsi="Calibri"/>
          <w:sz w:val="14"/>
          <w:szCs w:val="14"/>
          <w:b w:val="1"/>
          <w:bCs w:val="1"/>
          <w:color w:val="51555C"/>
        </w:rPr>
        <w:t>Blackbaud, Inc.</w:t>
      </w:r>
    </w:p>
    <w:p>
      <w:pPr>
        <w:jc w:val="center"/>
        <w:spacing w:after="0" w:line="238" w:lineRule="auto"/>
        <w:rPr>
          <w:sz w:val="20"/>
          <w:szCs w:val="20"/>
          <w:color w:val="auto"/>
        </w:rPr>
      </w:pPr>
      <w:r>
        <w:rPr>
          <w:rFonts w:ascii="Calibri" w:cs="Calibri" w:eastAsia="Calibri" w:hAnsi="Calibri"/>
          <w:sz w:val="14"/>
          <w:szCs w:val="14"/>
          <w:b w:val="1"/>
          <w:bCs w:val="1"/>
          <w:color w:val="51555C"/>
        </w:rPr>
        <w:t>(Unaudited)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Calibri" w:cs="Calibri" w:eastAsia="Calibri" w:hAnsi="Calibri"/>
          <w:sz w:val="14"/>
          <w:szCs w:val="14"/>
          <w:i w:val="1"/>
          <w:iCs w:val="1"/>
          <w:color w:val="51555C"/>
        </w:rPr>
        <w:t>Rule of 40</w:t>
      </w:r>
    </w:p>
    <w:p>
      <w:pPr>
        <w:spacing w:after="0" w:line="129" w:lineRule="exact"/>
        <w:rPr>
          <w:sz w:val="20"/>
          <w:szCs w:val="20"/>
          <w:color w:val="auto"/>
        </w:rPr>
      </w:pPr>
    </w:p>
    <w:p>
      <w:pPr>
        <w:jc w:val="both"/>
        <w:spacing w:after="0" w:line="237" w:lineRule="auto"/>
        <w:rPr>
          <w:sz w:val="20"/>
          <w:szCs w:val="20"/>
          <w:color w:val="auto"/>
        </w:rPr>
      </w:pPr>
      <w:r>
        <w:rPr>
          <w:rFonts w:ascii="Calibri" w:cs="Calibri" w:eastAsia="Calibri" w:hAnsi="Calibri"/>
          <w:sz w:val="14"/>
          <w:szCs w:val="14"/>
          <w:color w:val="51555C"/>
        </w:rPr>
        <w:t>We defne Rule of 40 as non-GAAP organic revenue growth plus non-GAAP adjusted EBITDA margin. Non-GAAP adjusted EBITDA is defned as GAAP net income plus interest, net; income tax provision (beneft); depreciaton; amortzaton of intangible assets from business combinatons; amortzaton of sofware and content development costs; stock-based compensaton; employee severance; acquisiton and dispositon-related costs; restructuring and other real estate actvites; Security Incident-related costs; and impairment of capitalized sofware development costs.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0" w:type="dxa"/>
            <w:vAlign w:val="bottom"/>
            <w:shd w:val="clear" w:color="auto" w:fill="004054"/>
          </w:tcPr>
          <w:p>
            <w:pPr>
              <w:spacing w:after="0"/>
              <w:rPr>
                <w:sz w:val="12"/>
                <w:szCs w:val="12"/>
                <w:color w:val="auto"/>
              </w:rPr>
            </w:pPr>
          </w:p>
        </w:tc>
        <w:tc>
          <w:tcPr>
            <w:tcW w:w="6040" w:type="dxa"/>
            <w:vAlign w:val="bottom"/>
            <w:shd w:val="clear" w:color="auto" w:fill="004054"/>
          </w:tcPr>
          <w:p>
            <w:pPr>
              <w:spacing w:after="0"/>
              <w:rPr>
                <w:sz w:val="12"/>
                <w:szCs w:val="12"/>
                <w:color w:val="auto"/>
              </w:rPr>
            </w:pPr>
          </w:p>
        </w:tc>
        <w:tc>
          <w:tcPr>
            <w:tcW w:w="500" w:type="dxa"/>
            <w:vAlign w:val="bottom"/>
            <w:shd w:val="clear" w:color="auto" w:fill="004054"/>
          </w:tcPr>
          <w:p>
            <w:pPr>
              <w:spacing w:after="0"/>
              <w:rPr>
                <w:sz w:val="12"/>
                <w:szCs w:val="12"/>
                <w:color w:val="auto"/>
              </w:rPr>
            </w:pPr>
          </w:p>
        </w:tc>
        <w:tc>
          <w:tcPr>
            <w:tcW w:w="820" w:type="dxa"/>
            <w:vAlign w:val="bottom"/>
            <w:shd w:val="clear" w:color="auto" w:fill="004054"/>
          </w:tcPr>
          <w:p>
            <w:pPr>
              <w:spacing w:after="0"/>
              <w:rPr>
                <w:sz w:val="12"/>
                <w:szCs w:val="12"/>
                <w:color w:val="auto"/>
              </w:rPr>
            </w:pPr>
          </w:p>
        </w:tc>
        <w:tc>
          <w:tcPr>
            <w:tcW w:w="180" w:type="dxa"/>
            <w:vAlign w:val="bottom"/>
            <w:shd w:val="clear" w:color="auto" w:fill="004054"/>
          </w:tcPr>
          <w:p>
            <w:pPr>
              <w:spacing w:after="0"/>
              <w:rPr>
                <w:sz w:val="12"/>
                <w:szCs w:val="12"/>
                <w:color w:val="auto"/>
              </w:rPr>
            </w:pPr>
          </w:p>
        </w:tc>
        <w:tc>
          <w:tcPr>
            <w:tcW w:w="108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Three months ended</w:t>
            </w:r>
          </w:p>
        </w:tc>
        <w:tc>
          <w:tcPr>
            <w:tcW w:w="80" w:type="dxa"/>
            <w:vAlign w:val="bottom"/>
          </w:tcPr>
          <w:p>
            <w:pPr>
              <w:spacing w:after="0"/>
              <w:rPr>
                <w:sz w:val="12"/>
                <w:szCs w:val="12"/>
                <w:color w:val="auto"/>
              </w:rPr>
            </w:pPr>
          </w:p>
        </w:tc>
        <w:tc>
          <w:tcPr>
            <w:tcW w:w="500" w:type="dxa"/>
            <w:vAlign w:val="bottom"/>
            <w:shd w:val="clear" w:color="auto" w:fill="004054"/>
          </w:tcPr>
          <w:p>
            <w:pPr>
              <w:spacing w:after="0"/>
              <w:rPr>
                <w:sz w:val="12"/>
                <w:szCs w:val="12"/>
                <w:color w:val="auto"/>
              </w:rPr>
            </w:pPr>
          </w:p>
        </w:tc>
        <w:tc>
          <w:tcPr>
            <w:tcW w:w="820" w:type="dxa"/>
            <w:vAlign w:val="bottom"/>
            <w:shd w:val="clear" w:color="auto" w:fill="004054"/>
          </w:tcPr>
          <w:p>
            <w:pPr>
              <w:spacing w:after="0"/>
              <w:rPr>
                <w:sz w:val="12"/>
                <w:szCs w:val="12"/>
                <w:color w:val="auto"/>
              </w:rPr>
            </w:pPr>
          </w:p>
        </w:tc>
        <w:tc>
          <w:tcPr>
            <w:tcW w:w="240" w:type="dxa"/>
            <w:vAlign w:val="bottom"/>
            <w:shd w:val="clear" w:color="auto" w:fill="004054"/>
          </w:tcPr>
          <w:p>
            <w:pPr>
              <w:spacing w:after="0"/>
              <w:rPr>
                <w:sz w:val="12"/>
                <w:szCs w:val="12"/>
                <w:color w:val="auto"/>
              </w:rPr>
            </w:pPr>
          </w:p>
        </w:tc>
        <w:tc>
          <w:tcPr>
            <w:tcW w:w="100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Six months ended</w:t>
            </w:r>
          </w:p>
        </w:tc>
      </w:tr>
      <w:tr>
        <w:trPr>
          <w:trHeight w:val="135"/>
        </w:trPr>
        <w:tc>
          <w:tcPr>
            <w:tcW w:w="20" w:type="dxa"/>
            <w:vAlign w:val="bottom"/>
            <w:shd w:val="clear" w:color="auto" w:fill="004054"/>
          </w:tcPr>
          <w:p>
            <w:pPr>
              <w:spacing w:after="0"/>
              <w:rPr>
                <w:sz w:val="11"/>
                <w:szCs w:val="11"/>
                <w:color w:val="auto"/>
              </w:rPr>
            </w:pPr>
          </w:p>
        </w:tc>
        <w:tc>
          <w:tcPr>
            <w:tcW w:w="6040" w:type="dxa"/>
            <w:vAlign w:val="bottom"/>
            <w:shd w:val="clear" w:color="auto" w:fill="004054"/>
          </w:tcPr>
          <w:p>
            <w:pPr>
              <w:spacing w:after="0"/>
              <w:rPr>
                <w:sz w:val="11"/>
                <w:szCs w:val="11"/>
                <w:color w:val="auto"/>
              </w:rPr>
            </w:pPr>
          </w:p>
        </w:tc>
        <w:tc>
          <w:tcPr>
            <w:tcW w:w="500" w:type="dxa"/>
            <w:vAlign w:val="bottom"/>
            <w:shd w:val="clear" w:color="auto" w:fill="004054"/>
          </w:tcPr>
          <w:p>
            <w:pPr>
              <w:spacing w:after="0"/>
              <w:rPr>
                <w:sz w:val="11"/>
                <w:szCs w:val="11"/>
                <w:color w:val="auto"/>
              </w:rPr>
            </w:pPr>
          </w:p>
        </w:tc>
        <w:tc>
          <w:tcPr>
            <w:tcW w:w="820" w:type="dxa"/>
            <w:vAlign w:val="bottom"/>
            <w:shd w:val="clear" w:color="auto" w:fill="004054"/>
          </w:tcPr>
          <w:p>
            <w:pPr>
              <w:spacing w:after="0"/>
              <w:rPr>
                <w:sz w:val="11"/>
                <w:szCs w:val="11"/>
                <w:color w:val="auto"/>
              </w:rPr>
            </w:pPr>
          </w:p>
        </w:tc>
        <w:tc>
          <w:tcPr>
            <w:tcW w:w="180" w:type="dxa"/>
            <w:vAlign w:val="bottom"/>
            <w:shd w:val="clear" w:color="auto" w:fill="004054"/>
          </w:tcPr>
          <w:p>
            <w:pPr>
              <w:spacing w:after="0"/>
              <w:rPr>
                <w:sz w:val="11"/>
                <w:szCs w:val="11"/>
                <w:color w:val="auto"/>
              </w:rPr>
            </w:pPr>
          </w:p>
        </w:tc>
        <w:tc>
          <w:tcPr>
            <w:tcW w:w="108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June 30,</w:t>
            </w:r>
          </w:p>
        </w:tc>
        <w:tc>
          <w:tcPr>
            <w:tcW w:w="80" w:type="dxa"/>
            <w:vAlign w:val="bottom"/>
          </w:tcPr>
          <w:p>
            <w:pPr>
              <w:spacing w:after="0"/>
              <w:rPr>
                <w:sz w:val="11"/>
                <w:szCs w:val="11"/>
                <w:color w:val="auto"/>
              </w:rPr>
            </w:pPr>
          </w:p>
        </w:tc>
        <w:tc>
          <w:tcPr>
            <w:tcW w:w="500" w:type="dxa"/>
            <w:vAlign w:val="bottom"/>
            <w:shd w:val="clear" w:color="auto" w:fill="004054"/>
          </w:tcPr>
          <w:p>
            <w:pPr>
              <w:spacing w:after="0"/>
              <w:rPr>
                <w:sz w:val="11"/>
                <w:szCs w:val="11"/>
                <w:color w:val="auto"/>
              </w:rPr>
            </w:pPr>
          </w:p>
        </w:tc>
        <w:tc>
          <w:tcPr>
            <w:tcW w:w="820" w:type="dxa"/>
            <w:vAlign w:val="bottom"/>
            <w:shd w:val="clear" w:color="auto" w:fill="004054"/>
          </w:tcPr>
          <w:p>
            <w:pPr>
              <w:spacing w:after="0"/>
              <w:rPr>
                <w:sz w:val="11"/>
                <w:szCs w:val="11"/>
                <w:color w:val="auto"/>
              </w:rPr>
            </w:pPr>
          </w:p>
        </w:tc>
        <w:tc>
          <w:tcPr>
            <w:tcW w:w="240" w:type="dxa"/>
            <w:vAlign w:val="bottom"/>
            <w:shd w:val="clear" w:color="auto" w:fill="004054"/>
          </w:tcPr>
          <w:p>
            <w:pPr>
              <w:spacing w:after="0"/>
              <w:rPr>
                <w:sz w:val="11"/>
                <w:szCs w:val="11"/>
                <w:color w:val="auto"/>
              </w:rPr>
            </w:pPr>
          </w:p>
        </w:tc>
        <w:tc>
          <w:tcPr>
            <w:tcW w:w="100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June 30,</w:t>
            </w:r>
          </w:p>
        </w:tc>
      </w:tr>
      <w:tr>
        <w:trPr>
          <w:trHeight w:val="237"/>
        </w:trPr>
        <w:tc>
          <w:tcPr>
            <w:tcW w:w="20" w:type="dxa"/>
            <w:vAlign w:val="bottom"/>
            <w:tcBorders>
              <w:bottom w:val="single" w:sz="8" w:color="004054"/>
            </w:tcBorders>
            <w:shd w:val="clear" w:color="auto" w:fill="004054"/>
          </w:tcPr>
          <w:p>
            <w:pPr>
              <w:spacing w:after="0"/>
              <w:rPr>
                <w:sz w:val="20"/>
                <w:szCs w:val="20"/>
                <w:color w:val="auto"/>
              </w:rPr>
            </w:pPr>
          </w:p>
        </w:tc>
        <w:tc>
          <w:tcPr>
            <w:tcW w:w="6040" w:type="dxa"/>
            <w:vAlign w:val="bottom"/>
            <w:tcBorders>
              <w:bottom w:val="single" w:sz="8" w:color="004054"/>
            </w:tcBorders>
            <w:shd w:val="clear" w:color="auto" w:fill="004054"/>
          </w:tcPr>
          <w:p>
            <w:pPr>
              <w:spacing w:after="0"/>
              <w:rPr>
                <w:sz w:val="20"/>
                <w:szCs w:val="20"/>
                <w:color w:val="auto"/>
              </w:rPr>
            </w:pPr>
            <w:r>
              <w:rPr>
                <w:rFonts w:ascii="Calibri" w:cs="Calibri" w:eastAsia="Calibri" w:hAnsi="Calibri"/>
                <w:sz w:val="11"/>
                <w:szCs w:val="11"/>
                <w:b w:val="1"/>
                <w:bCs w:val="1"/>
                <w:color w:val="FFFFFF"/>
              </w:rPr>
              <w:t>(dollars in millions)</w:t>
            </w:r>
          </w:p>
        </w:tc>
        <w:tc>
          <w:tcPr>
            <w:tcW w:w="500" w:type="dxa"/>
            <w:vAlign w:val="bottom"/>
            <w:tcBorders>
              <w:bottom w:val="single" w:sz="8" w:color="004054"/>
            </w:tcBorders>
            <w:shd w:val="clear" w:color="auto" w:fill="004054"/>
          </w:tcPr>
          <w:p>
            <w:pPr>
              <w:spacing w:after="0"/>
              <w:rPr>
                <w:sz w:val="20"/>
                <w:szCs w:val="20"/>
                <w:color w:val="auto"/>
              </w:rPr>
            </w:pPr>
          </w:p>
        </w:tc>
        <w:tc>
          <w:tcPr>
            <w:tcW w:w="820" w:type="dxa"/>
            <w:vAlign w:val="bottom"/>
            <w:tcBorders>
              <w:bottom w:val="single" w:sz="8" w:color="004054"/>
            </w:tcBorders>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2024</w:t>
            </w:r>
          </w:p>
        </w:tc>
        <w:tc>
          <w:tcPr>
            <w:tcW w:w="180" w:type="dxa"/>
            <w:vAlign w:val="bottom"/>
            <w:tcBorders>
              <w:bottom w:val="single" w:sz="8" w:color="004054"/>
            </w:tcBorders>
            <w:shd w:val="clear" w:color="auto" w:fill="004054"/>
          </w:tcPr>
          <w:p>
            <w:pPr>
              <w:spacing w:after="0"/>
              <w:rPr>
                <w:sz w:val="20"/>
                <w:szCs w:val="20"/>
                <w:color w:val="auto"/>
              </w:rPr>
            </w:pPr>
          </w:p>
        </w:tc>
        <w:tc>
          <w:tcPr>
            <w:tcW w:w="1080" w:type="dxa"/>
            <w:vAlign w:val="bottom"/>
            <w:tcBorders>
              <w:bottom w:val="single" w:sz="8" w:color="004054"/>
            </w:tcBorders>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2023</w:t>
            </w:r>
          </w:p>
        </w:tc>
        <w:tc>
          <w:tcPr>
            <w:tcW w:w="80" w:type="dxa"/>
            <w:vAlign w:val="bottom"/>
          </w:tcPr>
          <w:p>
            <w:pPr>
              <w:spacing w:after="0"/>
              <w:rPr>
                <w:sz w:val="20"/>
                <w:szCs w:val="20"/>
                <w:color w:val="auto"/>
              </w:rPr>
            </w:pPr>
          </w:p>
        </w:tc>
        <w:tc>
          <w:tcPr>
            <w:tcW w:w="500" w:type="dxa"/>
            <w:vAlign w:val="bottom"/>
            <w:tcBorders>
              <w:bottom w:val="single" w:sz="8" w:color="004054"/>
            </w:tcBorders>
            <w:shd w:val="clear" w:color="auto" w:fill="004054"/>
          </w:tcPr>
          <w:p>
            <w:pPr>
              <w:spacing w:after="0"/>
              <w:rPr>
                <w:sz w:val="20"/>
                <w:szCs w:val="20"/>
                <w:color w:val="auto"/>
              </w:rPr>
            </w:pPr>
          </w:p>
        </w:tc>
        <w:tc>
          <w:tcPr>
            <w:tcW w:w="820" w:type="dxa"/>
            <w:vAlign w:val="bottom"/>
            <w:tcBorders>
              <w:bottom w:val="single" w:sz="8" w:color="004054"/>
            </w:tcBorders>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2024</w:t>
            </w:r>
          </w:p>
        </w:tc>
        <w:tc>
          <w:tcPr>
            <w:tcW w:w="240" w:type="dxa"/>
            <w:vAlign w:val="bottom"/>
            <w:tcBorders>
              <w:bottom w:val="single" w:sz="8" w:color="004054"/>
            </w:tcBorders>
            <w:shd w:val="clear" w:color="auto" w:fill="004054"/>
          </w:tcPr>
          <w:p>
            <w:pPr>
              <w:spacing w:after="0"/>
              <w:rPr>
                <w:sz w:val="20"/>
                <w:szCs w:val="20"/>
                <w:color w:val="auto"/>
              </w:rPr>
            </w:pPr>
          </w:p>
        </w:tc>
        <w:tc>
          <w:tcPr>
            <w:tcW w:w="1000" w:type="dxa"/>
            <w:vAlign w:val="bottom"/>
            <w:tcBorders>
              <w:bottom w:val="single" w:sz="8" w:color="004054"/>
            </w:tcBorders>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2023</w:t>
            </w:r>
          </w:p>
        </w:tc>
      </w:tr>
      <w:tr>
        <w:trPr>
          <w:trHeight w:val="151"/>
        </w:trPr>
        <w:tc>
          <w:tcPr>
            <w:tcW w:w="20" w:type="dxa"/>
            <w:vAlign w:val="bottom"/>
            <w:tcBorders>
              <w:top w:val="single" w:sz="8" w:color="EBFBFF"/>
              <w:bottom w:val="single" w:sz="8" w:color="EBFBFF"/>
            </w:tcBorders>
            <w:shd w:val="clear" w:color="auto" w:fill="EBFBFF"/>
          </w:tcPr>
          <w:p>
            <w:pPr>
              <w:spacing w:after="0"/>
              <w:rPr>
                <w:sz w:val="13"/>
                <w:szCs w:val="13"/>
                <w:color w:val="auto"/>
              </w:rPr>
            </w:pPr>
          </w:p>
        </w:tc>
        <w:tc>
          <w:tcPr>
            <w:tcW w:w="6040" w:type="dxa"/>
            <w:vAlign w:val="bottom"/>
            <w:tcBorders>
              <w:top w:val="single" w:sz="8" w:color="004054"/>
              <w:bottom w:val="single" w:sz="8" w:color="EBFBFF"/>
            </w:tcBorders>
            <w:shd w:val="clear" w:color="auto" w:fill="EBFBFF"/>
          </w:tcPr>
          <w:p>
            <w:pPr>
              <w:spacing w:after="0" w:line="126" w:lineRule="exact"/>
              <w:rPr>
                <w:sz w:val="20"/>
                <w:szCs w:val="20"/>
                <w:color w:val="auto"/>
              </w:rPr>
            </w:pPr>
            <w:r>
              <w:rPr>
                <w:rFonts w:ascii="Calibri" w:cs="Calibri" w:eastAsia="Calibri" w:hAnsi="Calibri"/>
                <w:sz w:val="11"/>
                <w:szCs w:val="11"/>
                <w:color w:val="51555C"/>
              </w:rPr>
              <w:t>GAAP net income (loss)</w:t>
            </w:r>
          </w:p>
        </w:tc>
        <w:tc>
          <w:tcPr>
            <w:tcW w:w="500" w:type="dxa"/>
            <w:vAlign w:val="bottom"/>
            <w:tcBorders>
              <w:top w:val="single" w:sz="8" w:color="004054"/>
              <w:bottom w:val="single" w:sz="8" w:color="EBFBFF"/>
            </w:tcBorders>
            <w:shd w:val="clear" w:color="auto" w:fill="EBFBFF"/>
          </w:tcPr>
          <w:p>
            <w:pPr>
              <w:jc w:val="right"/>
              <w:ind w:right="363"/>
              <w:spacing w:after="0" w:line="126" w:lineRule="exact"/>
              <w:rPr>
                <w:sz w:val="20"/>
                <w:szCs w:val="20"/>
                <w:color w:val="auto"/>
              </w:rPr>
            </w:pPr>
            <w:r>
              <w:rPr>
                <w:rFonts w:ascii="Calibri" w:cs="Calibri" w:eastAsia="Calibri" w:hAnsi="Calibri"/>
                <w:sz w:val="11"/>
                <w:szCs w:val="11"/>
                <w:color w:val="51555C"/>
              </w:rPr>
              <w:t>$</w:t>
            </w:r>
          </w:p>
        </w:tc>
        <w:tc>
          <w:tcPr>
            <w:tcW w:w="820" w:type="dxa"/>
            <w:vAlign w:val="bottom"/>
            <w:tcBorders>
              <w:top w:val="single" w:sz="8" w:color="004054"/>
              <w:bottom w:val="single" w:sz="8" w:color="EBFBFF"/>
            </w:tcBorders>
            <w:shd w:val="clear" w:color="auto" w:fill="EBFBFF"/>
          </w:tcPr>
          <w:p>
            <w:pPr>
              <w:jc w:val="right"/>
              <w:ind w:right="63"/>
              <w:spacing w:after="0" w:line="126" w:lineRule="exact"/>
              <w:rPr>
                <w:sz w:val="20"/>
                <w:szCs w:val="20"/>
                <w:color w:val="auto"/>
              </w:rPr>
            </w:pPr>
            <w:r>
              <w:rPr>
                <w:rFonts w:ascii="Calibri" w:cs="Calibri" w:eastAsia="Calibri" w:hAnsi="Calibri"/>
                <w:sz w:val="11"/>
                <w:szCs w:val="11"/>
                <w:color w:val="51555C"/>
              </w:rPr>
              <w:t>21.8</w:t>
            </w:r>
          </w:p>
        </w:tc>
        <w:tc>
          <w:tcPr>
            <w:tcW w:w="180" w:type="dxa"/>
            <w:vAlign w:val="bottom"/>
            <w:tcBorders>
              <w:top w:val="single" w:sz="8" w:color="004054"/>
              <w:bottom w:val="single" w:sz="8" w:color="EBFBFF"/>
            </w:tcBorders>
            <w:shd w:val="clear" w:color="auto" w:fill="EBFBFF"/>
          </w:tcPr>
          <w:p>
            <w:pPr>
              <w:jc w:val="right"/>
              <w:ind w:right="43"/>
              <w:spacing w:after="0" w:line="126" w:lineRule="exact"/>
              <w:rPr>
                <w:sz w:val="20"/>
                <w:szCs w:val="20"/>
                <w:color w:val="auto"/>
              </w:rPr>
            </w:pPr>
            <w:r>
              <w:rPr>
                <w:rFonts w:ascii="Calibri" w:cs="Calibri" w:eastAsia="Calibri" w:hAnsi="Calibri"/>
                <w:sz w:val="11"/>
                <w:szCs w:val="11"/>
                <w:color w:val="51555C"/>
              </w:rPr>
              <w:t>$</w:t>
            </w:r>
          </w:p>
        </w:tc>
        <w:tc>
          <w:tcPr>
            <w:tcW w:w="1080" w:type="dxa"/>
            <w:vAlign w:val="bottom"/>
            <w:tcBorders>
              <w:top w:val="single" w:sz="8" w:color="004054"/>
              <w:bottom w:val="single" w:sz="8" w:color="EBFBFF"/>
            </w:tcBorders>
            <w:shd w:val="clear" w:color="auto" w:fill="EBFBFF"/>
          </w:tcPr>
          <w:p>
            <w:pPr>
              <w:jc w:val="right"/>
              <w:ind w:right="3"/>
              <w:spacing w:after="0" w:line="126" w:lineRule="exact"/>
              <w:rPr>
                <w:sz w:val="20"/>
                <w:szCs w:val="20"/>
                <w:color w:val="auto"/>
              </w:rPr>
            </w:pPr>
            <w:r>
              <w:rPr>
                <w:rFonts w:ascii="Calibri" w:cs="Calibri" w:eastAsia="Calibri" w:hAnsi="Calibri"/>
                <w:sz w:val="11"/>
                <w:szCs w:val="11"/>
                <w:color w:val="51555C"/>
              </w:rPr>
              <w:t>2.1</w:t>
            </w:r>
          </w:p>
        </w:tc>
        <w:tc>
          <w:tcPr>
            <w:tcW w:w="80" w:type="dxa"/>
            <w:vAlign w:val="bottom"/>
            <w:tcBorders>
              <w:top w:val="single" w:sz="8" w:color="EBFBFF"/>
              <w:bottom w:val="single" w:sz="8" w:color="EBFBFF"/>
            </w:tcBorders>
            <w:shd w:val="clear" w:color="auto" w:fill="EBFBFF"/>
          </w:tcPr>
          <w:p>
            <w:pPr>
              <w:spacing w:after="0"/>
              <w:rPr>
                <w:sz w:val="13"/>
                <w:szCs w:val="13"/>
                <w:color w:val="auto"/>
              </w:rPr>
            </w:pPr>
          </w:p>
        </w:tc>
        <w:tc>
          <w:tcPr>
            <w:tcW w:w="500" w:type="dxa"/>
            <w:vAlign w:val="bottom"/>
            <w:tcBorders>
              <w:top w:val="single" w:sz="8" w:color="004054"/>
              <w:bottom w:val="single" w:sz="8" w:color="EBFBFF"/>
            </w:tcBorders>
            <w:shd w:val="clear" w:color="auto" w:fill="EBFBFF"/>
          </w:tcPr>
          <w:p>
            <w:pPr>
              <w:jc w:val="right"/>
              <w:ind w:right="383"/>
              <w:spacing w:after="0" w:line="126" w:lineRule="exact"/>
              <w:rPr>
                <w:sz w:val="20"/>
                <w:szCs w:val="20"/>
                <w:color w:val="auto"/>
              </w:rPr>
            </w:pPr>
            <w:r>
              <w:rPr>
                <w:rFonts w:ascii="Calibri" w:cs="Calibri" w:eastAsia="Calibri" w:hAnsi="Calibri"/>
                <w:sz w:val="11"/>
                <w:szCs w:val="11"/>
                <w:color w:val="51555C"/>
                <w:w w:val="70"/>
              </w:rPr>
              <w:t>$</w:t>
            </w:r>
          </w:p>
        </w:tc>
        <w:tc>
          <w:tcPr>
            <w:tcW w:w="820" w:type="dxa"/>
            <w:vAlign w:val="bottom"/>
            <w:tcBorders>
              <w:top w:val="single" w:sz="8" w:color="004054"/>
              <w:bottom w:val="single" w:sz="8" w:color="EBFBFF"/>
            </w:tcBorders>
            <w:shd w:val="clear" w:color="auto" w:fill="EBFBFF"/>
          </w:tcPr>
          <w:p>
            <w:pPr>
              <w:jc w:val="right"/>
              <w:ind w:right="63"/>
              <w:spacing w:after="0" w:line="126" w:lineRule="exact"/>
              <w:rPr>
                <w:sz w:val="20"/>
                <w:szCs w:val="20"/>
                <w:color w:val="auto"/>
              </w:rPr>
            </w:pPr>
            <w:r>
              <w:rPr>
                <w:rFonts w:ascii="Calibri" w:cs="Calibri" w:eastAsia="Calibri" w:hAnsi="Calibri"/>
                <w:sz w:val="11"/>
                <w:szCs w:val="11"/>
                <w:color w:val="51555C"/>
              </w:rPr>
              <w:t>27.1</w:t>
            </w:r>
          </w:p>
        </w:tc>
        <w:tc>
          <w:tcPr>
            <w:tcW w:w="240" w:type="dxa"/>
            <w:vAlign w:val="bottom"/>
            <w:tcBorders>
              <w:top w:val="single" w:sz="8" w:color="004054"/>
              <w:bottom w:val="single" w:sz="8" w:color="EBFBFF"/>
            </w:tcBorders>
            <w:shd w:val="clear" w:color="auto" w:fill="EBFBFF"/>
          </w:tcPr>
          <w:p>
            <w:pPr>
              <w:jc w:val="right"/>
              <w:ind w:right="103"/>
              <w:spacing w:after="0" w:line="126" w:lineRule="exact"/>
              <w:rPr>
                <w:sz w:val="20"/>
                <w:szCs w:val="20"/>
                <w:color w:val="auto"/>
              </w:rPr>
            </w:pPr>
            <w:r>
              <w:rPr>
                <w:rFonts w:ascii="Calibri" w:cs="Calibri" w:eastAsia="Calibri" w:hAnsi="Calibri"/>
                <w:sz w:val="11"/>
                <w:szCs w:val="11"/>
                <w:color w:val="51555C"/>
              </w:rPr>
              <w:t>$</w:t>
            </w:r>
          </w:p>
        </w:tc>
        <w:tc>
          <w:tcPr>
            <w:tcW w:w="1000" w:type="dxa"/>
            <w:vAlign w:val="bottom"/>
            <w:tcBorders>
              <w:top w:val="single" w:sz="8" w:color="004054"/>
              <w:bottom w:val="single" w:sz="8" w:color="EBFBFF"/>
            </w:tcBorders>
            <w:shd w:val="clear" w:color="auto" w:fill="EBFBFF"/>
          </w:tcPr>
          <w:p>
            <w:pPr>
              <w:jc w:val="right"/>
              <w:spacing w:after="0" w:line="126" w:lineRule="exact"/>
              <w:rPr>
                <w:sz w:val="20"/>
                <w:szCs w:val="20"/>
                <w:color w:val="auto"/>
              </w:rPr>
            </w:pPr>
            <w:r>
              <w:rPr>
                <w:rFonts w:ascii="Calibri" w:cs="Calibri" w:eastAsia="Calibri" w:hAnsi="Calibri"/>
                <w:sz w:val="11"/>
                <w:szCs w:val="11"/>
                <w:color w:val="51555C"/>
              </w:rPr>
              <w:t>(12.6)</w:t>
            </w:r>
          </w:p>
        </w:tc>
      </w:tr>
      <w:tr>
        <w:trPr>
          <w:trHeight w:val="135"/>
        </w:trPr>
        <w:tc>
          <w:tcPr>
            <w:tcW w:w="20" w:type="dxa"/>
            <w:vAlign w:val="bottom"/>
          </w:tcPr>
          <w:p>
            <w:pPr>
              <w:spacing w:after="0"/>
              <w:rPr>
                <w:sz w:val="11"/>
                <w:szCs w:val="11"/>
                <w:color w:val="auto"/>
              </w:rPr>
            </w:pPr>
          </w:p>
        </w:tc>
        <w:tc>
          <w:tcPr>
            <w:tcW w:w="6040" w:type="dxa"/>
            <w:vAlign w:val="bottom"/>
          </w:tcPr>
          <w:p>
            <w:pPr>
              <w:spacing w:after="0"/>
              <w:rPr>
                <w:sz w:val="20"/>
                <w:szCs w:val="20"/>
                <w:color w:val="auto"/>
              </w:rPr>
            </w:pPr>
            <w:r>
              <w:rPr>
                <w:rFonts w:ascii="Calibri" w:cs="Calibri" w:eastAsia="Calibri" w:hAnsi="Calibri"/>
                <w:sz w:val="11"/>
                <w:szCs w:val="11"/>
                <w:color w:val="51555C"/>
              </w:rPr>
              <w:t>Non-GAAP adjustments:</w:t>
            </w:r>
          </w:p>
        </w:tc>
        <w:tc>
          <w:tcPr>
            <w:tcW w:w="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46"/>
        </w:trPr>
        <w:tc>
          <w:tcPr>
            <w:tcW w:w="20" w:type="dxa"/>
            <w:vAlign w:val="bottom"/>
          </w:tcPr>
          <w:p>
            <w:pPr>
              <w:spacing w:after="0"/>
              <w:rPr>
                <w:sz w:val="3"/>
                <w:szCs w:val="3"/>
                <w:color w:val="auto"/>
              </w:rPr>
            </w:pPr>
          </w:p>
        </w:tc>
        <w:tc>
          <w:tcPr>
            <w:tcW w:w="60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160"/>
        </w:trPr>
        <w:tc>
          <w:tcPr>
            <w:tcW w:w="20" w:type="dxa"/>
            <w:vAlign w:val="bottom"/>
            <w:tcBorders>
              <w:bottom w:val="single" w:sz="8" w:color="EBFBFF"/>
            </w:tcBorders>
            <w:shd w:val="clear" w:color="auto" w:fill="EBFBFF"/>
          </w:tcPr>
          <w:p>
            <w:pPr>
              <w:spacing w:after="0"/>
              <w:rPr>
                <w:sz w:val="13"/>
                <w:szCs w:val="13"/>
                <w:color w:val="auto"/>
              </w:rPr>
            </w:pPr>
          </w:p>
        </w:tc>
        <w:tc>
          <w:tcPr>
            <w:tcW w:w="6040" w:type="dxa"/>
            <w:vAlign w:val="bottom"/>
            <w:tcBorders>
              <w:bottom w:val="single" w:sz="8" w:color="EBFBFF"/>
            </w:tcBorders>
            <w:shd w:val="clear" w:color="auto" w:fill="EBFBFF"/>
          </w:tcPr>
          <w:p>
            <w:pPr>
              <w:ind w:left="80"/>
              <w:spacing w:after="0"/>
              <w:rPr>
                <w:sz w:val="20"/>
                <w:szCs w:val="20"/>
                <w:color w:val="auto"/>
              </w:rPr>
            </w:pPr>
            <w:r>
              <w:rPr>
                <w:rFonts w:ascii="Calibri" w:cs="Calibri" w:eastAsia="Calibri" w:hAnsi="Calibri"/>
                <w:sz w:val="11"/>
                <w:szCs w:val="11"/>
                <w:color w:val="51555C"/>
              </w:rPr>
              <w:t>Add: Interest, net</w:t>
            </w:r>
          </w:p>
        </w:tc>
        <w:tc>
          <w:tcPr>
            <w:tcW w:w="500" w:type="dxa"/>
            <w:vAlign w:val="bottom"/>
            <w:tcBorders>
              <w:bottom w:val="single" w:sz="8" w:color="EBFBFF"/>
            </w:tcBorders>
            <w:shd w:val="clear" w:color="auto" w:fill="EBFBFF"/>
          </w:tcPr>
          <w:p>
            <w:pPr>
              <w:spacing w:after="0"/>
              <w:rPr>
                <w:sz w:val="13"/>
                <w:szCs w:val="13"/>
                <w:color w:val="auto"/>
              </w:rPr>
            </w:pPr>
          </w:p>
        </w:tc>
        <w:tc>
          <w:tcPr>
            <w:tcW w:w="820" w:type="dxa"/>
            <w:vAlign w:val="bottom"/>
            <w:tcBorders>
              <w:bottom w:val="single" w:sz="8" w:color="EBFBFF"/>
            </w:tcBorders>
            <w:shd w:val="clear" w:color="auto" w:fill="EBFBFF"/>
          </w:tcPr>
          <w:p>
            <w:pPr>
              <w:jc w:val="right"/>
              <w:ind w:right="63"/>
              <w:spacing w:after="0"/>
              <w:rPr>
                <w:sz w:val="20"/>
                <w:szCs w:val="20"/>
                <w:color w:val="auto"/>
              </w:rPr>
            </w:pPr>
            <w:r>
              <w:rPr>
                <w:rFonts w:ascii="Calibri" w:cs="Calibri" w:eastAsia="Calibri" w:hAnsi="Calibri"/>
                <w:sz w:val="11"/>
                <w:szCs w:val="11"/>
                <w:color w:val="51555C"/>
              </w:rPr>
              <w:t>12.9</w:t>
            </w:r>
          </w:p>
        </w:tc>
        <w:tc>
          <w:tcPr>
            <w:tcW w:w="180" w:type="dxa"/>
            <w:vAlign w:val="bottom"/>
            <w:tcBorders>
              <w:bottom w:val="single" w:sz="8" w:color="EBFBFF"/>
            </w:tcBorders>
            <w:shd w:val="clear" w:color="auto" w:fill="EBFBFF"/>
          </w:tcPr>
          <w:p>
            <w:pPr>
              <w:spacing w:after="0"/>
              <w:rPr>
                <w:sz w:val="13"/>
                <w:szCs w:val="13"/>
                <w:color w:val="auto"/>
              </w:rPr>
            </w:pPr>
          </w:p>
        </w:tc>
        <w:tc>
          <w:tcPr>
            <w:tcW w:w="1080" w:type="dxa"/>
            <w:vAlign w:val="bottom"/>
            <w:tcBorders>
              <w:bottom w:val="single" w:sz="8" w:color="EBFBFF"/>
            </w:tcBorders>
            <w:shd w:val="clear" w:color="auto" w:fill="EBFBFF"/>
          </w:tcPr>
          <w:p>
            <w:pPr>
              <w:jc w:val="right"/>
              <w:ind w:right="3"/>
              <w:spacing w:after="0"/>
              <w:rPr>
                <w:sz w:val="20"/>
                <w:szCs w:val="20"/>
                <w:color w:val="auto"/>
              </w:rPr>
            </w:pPr>
            <w:r>
              <w:rPr>
                <w:rFonts w:ascii="Calibri" w:cs="Calibri" w:eastAsia="Calibri" w:hAnsi="Calibri"/>
                <w:sz w:val="11"/>
                <w:szCs w:val="11"/>
                <w:color w:val="51555C"/>
              </w:rPr>
              <w:t>8.9</w:t>
            </w:r>
          </w:p>
        </w:tc>
        <w:tc>
          <w:tcPr>
            <w:tcW w:w="80" w:type="dxa"/>
            <w:vAlign w:val="bottom"/>
            <w:tcBorders>
              <w:bottom w:val="single" w:sz="8" w:color="EBFBFF"/>
            </w:tcBorders>
            <w:shd w:val="clear" w:color="auto" w:fill="EBFBFF"/>
          </w:tcPr>
          <w:p>
            <w:pPr>
              <w:spacing w:after="0"/>
              <w:rPr>
                <w:sz w:val="13"/>
                <w:szCs w:val="13"/>
                <w:color w:val="auto"/>
              </w:rPr>
            </w:pPr>
          </w:p>
        </w:tc>
        <w:tc>
          <w:tcPr>
            <w:tcW w:w="500" w:type="dxa"/>
            <w:vAlign w:val="bottom"/>
            <w:tcBorders>
              <w:bottom w:val="single" w:sz="8" w:color="EBFBFF"/>
            </w:tcBorders>
            <w:shd w:val="clear" w:color="auto" w:fill="EBFBFF"/>
          </w:tcPr>
          <w:p>
            <w:pPr>
              <w:spacing w:after="0"/>
              <w:rPr>
                <w:sz w:val="13"/>
                <w:szCs w:val="13"/>
                <w:color w:val="auto"/>
              </w:rPr>
            </w:pPr>
          </w:p>
        </w:tc>
        <w:tc>
          <w:tcPr>
            <w:tcW w:w="820" w:type="dxa"/>
            <w:vAlign w:val="bottom"/>
            <w:tcBorders>
              <w:bottom w:val="single" w:sz="8" w:color="EBFBFF"/>
            </w:tcBorders>
            <w:shd w:val="clear" w:color="auto" w:fill="EBFBFF"/>
          </w:tcPr>
          <w:p>
            <w:pPr>
              <w:jc w:val="right"/>
              <w:ind w:right="63"/>
              <w:spacing w:after="0"/>
              <w:rPr>
                <w:sz w:val="20"/>
                <w:szCs w:val="20"/>
                <w:color w:val="auto"/>
              </w:rPr>
            </w:pPr>
            <w:r>
              <w:rPr>
                <w:rFonts w:ascii="Calibri" w:cs="Calibri" w:eastAsia="Calibri" w:hAnsi="Calibri"/>
                <w:sz w:val="11"/>
                <w:szCs w:val="11"/>
                <w:color w:val="51555C"/>
              </w:rPr>
              <w:t>21.1</w:t>
            </w:r>
          </w:p>
        </w:tc>
        <w:tc>
          <w:tcPr>
            <w:tcW w:w="240" w:type="dxa"/>
            <w:vAlign w:val="bottom"/>
            <w:tcBorders>
              <w:bottom w:val="single" w:sz="8" w:color="EBFBFF"/>
            </w:tcBorders>
            <w:shd w:val="clear" w:color="auto" w:fill="EBFBFF"/>
          </w:tcPr>
          <w:p>
            <w:pPr>
              <w:spacing w:after="0"/>
              <w:rPr>
                <w:sz w:val="13"/>
                <w:szCs w:val="13"/>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1"/>
                <w:szCs w:val="11"/>
                <w:color w:val="51555C"/>
              </w:rPr>
              <w:t>18.3</w:t>
            </w:r>
          </w:p>
        </w:tc>
      </w:tr>
      <w:tr>
        <w:trPr>
          <w:trHeight w:val="135"/>
        </w:trPr>
        <w:tc>
          <w:tcPr>
            <w:tcW w:w="20" w:type="dxa"/>
            <w:vAlign w:val="bottom"/>
          </w:tcPr>
          <w:p>
            <w:pPr>
              <w:spacing w:after="0"/>
              <w:rPr>
                <w:sz w:val="11"/>
                <w:szCs w:val="11"/>
                <w:color w:val="auto"/>
              </w:rPr>
            </w:pPr>
          </w:p>
        </w:tc>
        <w:tc>
          <w:tcPr>
            <w:tcW w:w="6040" w:type="dxa"/>
            <w:vAlign w:val="bottom"/>
          </w:tcPr>
          <w:p>
            <w:pPr>
              <w:ind w:left="80"/>
              <w:spacing w:after="0"/>
              <w:rPr>
                <w:sz w:val="20"/>
                <w:szCs w:val="20"/>
                <w:color w:val="auto"/>
              </w:rPr>
            </w:pPr>
            <w:r>
              <w:rPr>
                <w:rFonts w:ascii="Calibri" w:cs="Calibri" w:eastAsia="Calibri" w:hAnsi="Calibri"/>
                <w:sz w:val="11"/>
                <w:szCs w:val="11"/>
                <w:color w:val="51555C"/>
              </w:rPr>
              <w:t>Add: GAAP income tax provision (beneft)</w:t>
            </w:r>
          </w:p>
        </w:tc>
        <w:tc>
          <w:tcPr>
            <w:tcW w:w="500" w:type="dxa"/>
            <w:vAlign w:val="bottom"/>
          </w:tcPr>
          <w:p>
            <w:pPr>
              <w:spacing w:after="0"/>
              <w:rPr>
                <w:sz w:val="11"/>
                <w:szCs w:val="11"/>
                <w:color w:val="auto"/>
              </w:rPr>
            </w:pPr>
          </w:p>
        </w:tc>
        <w:tc>
          <w:tcPr>
            <w:tcW w:w="820" w:type="dxa"/>
            <w:vAlign w:val="bottom"/>
          </w:tcPr>
          <w:p>
            <w:pPr>
              <w:jc w:val="right"/>
              <w:ind w:right="63"/>
              <w:spacing w:after="0"/>
              <w:rPr>
                <w:sz w:val="20"/>
                <w:szCs w:val="20"/>
                <w:color w:val="auto"/>
              </w:rPr>
            </w:pPr>
            <w:r>
              <w:rPr>
                <w:rFonts w:ascii="Calibri" w:cs="Calibri" w:eastAsia="Calibri" w:hAnsi="Calibri"/>
                <w:sz w:val="11"/>
                <w:szCs w:val="11"/>
                <w:color w:val="51555C"/>
              </w:rPr>
              <w:t>7.9</w:t>
            </w:r>
          </w:p>
        </w:tc>
        <w:tc>
          <w:tcPr>
            <w:tcW w:w="18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Calibri" w:cs="Calibri" w:eastAsia="Calibri" w:hAnsi="Calibri"/>
                <w:sz w:val="11"/>
                <w:szCs w:val="11"/>
                <w:color w:val="51555C"/>
              </w:rPr>
              <w:t>(10.2)</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tcPr>
          <w:p>
            <w:pPr>
              <w:jc w:val="right"/>
              <w:ind w:right="63"/>
              <w:spacing w:after="0"/>
              <w:rPr>
                <w:sz w:val="20"/>
                <w:szCs w:val="20"/>
                <w:color w:val="auto"/>
              </w:rPr>
            </w:pPr>
            <w:r>
              <w:rPr>
                <w:rFonts w:ascii="Calibri" w:cs="Calibri" w:eastAsia="Calibri" w:hAnsi="Calibri"/>
                <w:sz w:val="11"/>
                <w:szCs w:val="11"/>
                <w:color w:val="51555C"/>
              </w:rPr>
              <w:t>6.4</w:t>
            </w:r>
          </w:p>
        </w:tc>
        <w:tc>
          <w:tcPr>
            <w:tcW w:w="24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Calibri" w:cs="Calibri" w:eastAsia="Calibri" w:hAnsi="Calibri"/>
                <w:sz w:val="11"/>
                <w:szCs w:val="11"/>
                <w:color w:val="51555C"/>
              </w:rPr>
              <w:t>(14.1)</w:t>
            </w:r>
          </w:p>
        </w:tc>
      </w:tr>
      <w:tr>
        <w:trPr>
          <w:trHeight w:val="46"/>
        </w:trPr>
        <w:tc>
          <w:tcPr>
            <w:tcW w:w="20" w:type="dxa"/>
            <w:vAlign w:val="bottom"/>
          </w:tcPr>
          <w:p>
            <w:pPr>
              <w:spacing w:after="0"/>
              <w:rPr>
                <w:sz w:val="3"/>
                <w:szCs w:val="3"/>
                <w:color w:val="auto"/>
              </w:rPr>
            </w:pPr>
          </w:p>
        </w:tc>
        <w:tc>
          <w:tcPr>
            <w:tcW w:w="60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160"/>
        </w:trPr>
        <w:tc>
          <w:tcPr>
            <w:tcW w:w="20" w:type="dxa"/>
            <w:vAlign w:val="bottom"/>
            <w:tcBorders>
              <w:bottom w:val="single" w:sz="8" w:color="EBFBFF"/>
            </w:tcBorders>
            <w:shd w:val="clear" w:color="auto" w:fill="EBFBFF"/>
          </w:tcPr>
          <w:p>
            <w:pPr>
              <w:spacing w:after="0"/>
              <w:rPr>
                <w:sz w:val="13"/>
                <w:szCs w:val="13"/>
                <w:color w:val="auto"/>
              </w:rPr>
            </w:pPr>
          </w:p>
        </w:tc>
        <w:tc>
          <w:tcPr>
            <w:tcW w:w="6040" w:type="dxa"/>
            <w:vAlign w:val="bottom"/>
            <w:tcBorders>
              <w:bottom w:val="single" w:sz="8" w:color="EBFBFF"/>
            </w:tcBorders>
            <w:shd w:val="clear" w:color="auto" w:fill="EBFBFF"/>
          </w:tcPr>
          <w:p>
            <w:pPr>
              <w:ind w:left="80"/>
              <w:spacing w:after="0"/>
              <w:rPr>
                <w:sz w:val="20"/>
                <w:szCs w:val="20"/>
                <w:color w:val="auto"/>
              </w:rPr>
            </w:pPr>
            <w:r>
              <w:rPr>
                <w:rFonts w:ascii="Calibri" w:cs="Calibri" w:eastAsia="Calibri" w:hAnsi="Calibri"/>
                <w:sz w:val="11"/>
                <w:szCs w:val="11"/>
                <w:color w:val="51555C"/>
              </w:rPr>
              <w:t>Add: Depreciaton</w:t>
            </w:r>
          </w:p>
        </w:tc>
        <w:tc>
          <w:tcPr>
            <w:tcW w:w="500" w:type="dxa"/>
            <w:vAlign w:val="bottom"/>
            <w:tcBorders>
              <w:bottom w:val="single" w:sz="8" w:color="EBFBFF"/>
            </w:tcBorders>
            <w:shd w:val="clear" w:color="auto" w:fill="EBFBFF"/>
          </w:tcPr>
          <w:p>
            <w:pPr>
              <w:spacing w:after="0"/>
              <w:rPr>
                <w:sz w:val="13"/>
                <w:szCs w:val="13"/>
                <w:color w:val="auto"/>
              </w:rPr>
            </w:pPr>
          </w:p>
        </w:tc>
        <w:tc>
          <w:tcPr>
            <w:tcW w:w="820" w:type="dxa"/>
            <w:vAlign w:val="bottom"/>
            <w:tcBorders>
              <w:bottom w:val="single" w:sz="8" w:color="EBFBFF"/>
            </w:tcBorders>
            <w:shd w:val="clear" w:color="auto" w:fill="EBFBFF"/>
          </w:tcPr>
          <w:p>
            <w:pPr>
              <w:jc w:val="right"/>
              <w:ind w:right="63"/>
              <w:spacing w:after="0"/>
              <w:rPr>
                <w:sz w:val="20"/>
                <w:szCs w:val="20"/>
                <w:color w:val="auto"/>
              </w:rPr>
            </w:pPr>
            <w:r>
              <w:rPr>
                <w:rFonts w:ascii="Calibri" w:cs="Calibri" w:eastAsia="Calibri" w:hAnsi="Calibri"/>
                <w:sz w:val="11"/>
                <w:szCs w:val="11"/>
                <w:color w:val="51555C"/>
              </w:rPr>
              <w:t>3.3</w:t>
            </w:r>
          </w:p>
        </w:tc>
        <w:tc>
          <w:tcPr>
            <w:tcW w:w="180" w:type="dxa"/>
            <w:vAlign w:val="bottom"/>
            <w:tcBorders>
              <w:bottom w:val="single" w:sz="8" w:color="EBFBFF"/>
            </w:tcBorders>
            <w:shd w:val="clear" w:color="auto" w:fill="EBFBFF"/>
          </w:tcPr>
          <w:p>
            <w:pPr>
              <w:spacing w:after="0"/>
              <w:rPr>
                <w:sz w:val="13"/>
                <w:szCs w:val="13"/>
                <w:color w:val="auto"/>
              </w:rPr>
            </w:pPr>
          </w:p>
        </w:tc>
        <w:tc>
          <w:tcPr>
            <w:tcW w:w="1080" w:type="dxa"/>
            <w:vAlign w:val="bottom"/>
            <w:tcBorders>
              <w:bottom w:val="single" w:sz="8" w:color="EBFBFF"/>
            </w:tcBorders>
            <w:shd w:val="clear" w:color="auto" w:fill="EBFBFF"/>
          </w:tcPr>
          <w:p>
            <w:pPr>
              <w:jc w:val="right"/>
              <w:ind w:right="3"/>
              <w:spacing w:after="0"/>
              <w:rPr>
                <w:sz w:val="20"/>
                <w:szCs w:val="20"/>
                <w:color w:val="auto"/>
              </w:rPr>
            </w:pPr>
            <w:r>
              <w:rPr>
                <w:rFonts w:ascii="Calibri" w:cs="Calibri" w:eastAsia="Calibri" w:hAnsi="Calibri"/>
                <w:sz w:val="11"/>
                <w:szCs w:val="11"/>
                <w:color w:val="51555C"/>
              </w:rPr>
              <w:t>3.3</w:t>
            </w:r>
          </w:p>
        </w:tc>
        <w:tc>
          <w:tcPr>
            <w:tcW w:w="80" w:type="dxa"/>
            <w:vAlign w:val="bottom"/>
            <w:tcBorders>
              <w:bottom w:val="single" w:sz="8" w:color="EBFBFF"/>
            </w:tcBorders>
            <w:shd w:val="clear" w:color="auto" w:fill="EBFBFF"/>
          </w:tcPr>
          <w:p>
            <w:pPr>
              <w:spacing w:after="0"/>
              <w:rPr>
                <w:sz w:val="13"/>
                <w:szCs w:val="13"/>
                <w:color w:val="auto"/>
              </w:rPr>
            </w:pPr>
          </w:p>
        </w:tc>
        <w:tc>
          <w:tcPr>
            <w:tcW w:w="500" w:type="dxa"/>
            <w:vAlign w:val="bottom"/>
            <w:tcBorders>
              <w:bottom w:val="single" w:sz="8" w:color="EBFBFF"/>
            </w:tcBorders>
            <w:shd w:val="clear" w:color="auto" w:fill="EBFBFF"/>
          </w:tcPr>
          <w:p>
            <w:pPr>
              <w:spacing w:after="0"/>
              <w:rPr>
                <w:sz w:val="13"/>
                <w:szCs w:val="13"/>
                <w:color w:val="auto"/>
              </w:rPr>
            </w:pPr>
          </w:p>
        </w:tc>
        <w:tc>
          <w:tcPr>
            <w:tcW w:w="820" w:type="dxa"/>
            <w:vAlign w:val="bottom"/>
            <w:tcBorders>
              <w:bottom w:val="single" w:sz="8" w:color="EBFBFF"/>
            </w:tcBorders>
            <w:shd w:val="clear" w:color="auto" w:fill="EBFBFF"/>
          </w:tcPr>
          <w:p>
            <w:pPr>
              <w:jc w:val="right"/>
              <w:ind w:right="63"/>
              <w:spacing w:after="0"/>
              <w:rPr>
                <w:sz w:val="20"/>
                <w:szCs w:val="20"/>
                <w:color w:val="auto"/>
              </w:rPr>
            </w:pPr>
            <w:r>
              <w:rPr>
                <w:rFonts w:ascii="Calibri" w:cs="Calibri" w:eastAsia="Calibri" w:hAnsi="Calibri"/>
                <w:sz w:val="11"/>
                <w:szCs w:val="11"/>
                <w:color w:val="51555C"/>
              </w:rPr>
              <w:t>6.3</w:t>
            </w:r>
          </w:p>
        </w:tc>
        <w:tc>
          <w:tcPr>
            <w:tcW w:w="240" w:type="dxa"/>
            <w:vAlign w:val="bottom"/>
            <w:tcBorders>
              <w:bottom w:val="single" w:sz="8" w:color="EBFBFF"/>
            </w:tcBorders>
            <w:shd w:val="clear" w:color="auto" w:fill="EBFBFF"/>
          </w:tcPr>
          <w:p>
            <w:pPr>
              <w:spacing w:after="0"/>
              <w:rPr>
                <w:sz w:val="13"/>
                <w:szCs w:val="13"/>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1"/>
                <w:szCs w:val="11"/>
                <w:color w:val="51555C"/>
              </w:rPr>
              <w:t>6.6</w:t>
            </w:r>
          </w:p>
        </w:tc>
      </w:tr>
      <w:tr>
        <w:trPr>
          <w:trHeight w:val="135"/>
        </w:trPr>
        <w:tc>
          <w:tcPr>
            <w:tcW w:w="20" w:type="dxa"/>
            <w:vAlign w:val="bottom"/>
          </w:tcPr>
          <w:p>
            <w:pPr>
              <w:spacing w:after="0"/>
              <w:rPr>
                <w:sz w:val="11"/>
                <w:szCs w:val="11"/>
                <w:color w:val="auto"/>
              </w:rPr>
            </w:pPr>
          </w:p>
        </w:tc>
        <w:tc>
          <w:tcPr>
            <w:tcW w:w="6040" w:type="dxa"/>
            <w:vAlign w:val="bottom"/>
          </w:tcPr>
          <w:p>
            <w:pPr>
              <w:ind w:left="80"/>
              <w:spacing w:after="0"/>
              <w:rPr>
                <w:sz w:val="20"/>
                <w:szCs w:val="20"/>
                <w:color w:val="auto"/>
              </w:rPr>
            </w:pPr>
            <w:r>
              <w:rPr>
                <w:rFonts w:ascii="Calibri" w:cs="Calibri" w:eastAsia="Calibri" w:hAnsi="Calibri"/>
                <w:sz w:val="11"/>
                <w:szCs w:val="11"/>
                <w:color w:val="51555C"/>
              </w:rPr>
              <w:t>Add: Amortzaton of intangibles from business combinatons</w:t>
            </w:r>
          </w:p>
        </w:tc>
        <w:tc>
          <w:tcPr>
            <w:tcW w:w="500" w:type="dxa"/>
            <w:vAlign w:val="bottom"/>
          </w:tcPr>
          <w:p>
            <w:pPr>
              <w:spacing w:after="0"/>
              <w:rPr>
                <w:sz w:val="11"/>
                <w:szCs w:val="11"/>
                <w:color w:val="auto"/>
              </w:rPr>
            </w:pPr>
          </w:p>
        </w:tc>
        <w:tc>
          <w:tcPr>
            <w:tcW w:w="820" w:type="dxa"/>
            <w:vAlign w:val="bottom"/>
          </w:tcPr>
          <w:p>
            <w:pPr>
              <w:jc w:val="right"/>
              <w:ind w:right="63"/>
              <w:spacing w:after="0"/>
              <w:rPr>
                <w:sz w:val="20"/>
                <w:szCs w:val="20"/>
                <w:color w:val="auto"/>
              </w:rPr>
            </w:pPr>
            <w:r>
              <w:rPr>
                <w:rFonts w:ascii="Calibri" w:cs="Calibri" w:eastAsia="Calibri" w:hAnsi="Calibri"/>
                <w:sz w:val="11"/>
                <w:szCs w:val="11"/>
                <w:color w:val="51555C"/>
              </w:rPr>
              <w:t>15.5</w:t>
            </w:r>
          </w:p>
        </w:tc>
        <w:tc>
          <w:tcPr>
            <w:tcW w:w="180" w:type="dxa"/>
            <w:vAlign w:val="bottom"/>
          </w:tcPr>
          <w:p>
            <w:pPr>
              <w:spacing w:after="0"/>
              <w:rPr>
                <w:sz w:val="11"/>
                <w:szCs w:val="11"/>
                <w:color w:val="auto"/>
              </w:rPr>
            </w:pPr>
          </w:p>
        </w:tc>
        <w:tc>
          <w:tcPr>
            <w:tcW w:w="1080" w:type="dxa"/>
            <w:vAlign w:val="bottom"/>
          </w:tcPr>
          <w:p>
            <w:pPr>
              <w:jc w:val="right"/>
              <w:ind w:right="3"/>
              <w:spacing w:after="0"/>
              <w:rPr>
                <w:sz w:val="20"/>
                <w:szCs w:val="20"/>
                <w:color w:val="auto"/>
              </w:rPr>
            </w:pPr>
            <w:r>
              <w:rPr>
                <w:rFonts w:ascii="Calibri" w:cs="Calibri" w:eastAsia="Calibri" w:hAnsi="Calibri"/>
                <w:sz w:val="11"/>
                <w:szCs w:val="11"/>
                <w:color w:val="51555C"/>
              </w:rPr>
              <w:t>13.9</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tcPr>
          <w:p>
            <w:pPr>
              <w:jc w:val="right"/>
              <w:ind w:right="63"/>
              <w:spacing w:after="0"/>
              <w:rPr>
                <w:sz w:val="20"/>
                <w:szCs w:val="20"/>
                <w:color w:val="auto"/>
              </w:rPr>
            </w:pPr>
            <w:r>
              <w:rPr>
                <w:rFonts w:ascii="Calibri" w:cs="Calibri" w:eastAsia="Calibri" w:hAnsi="Calibri"/>
                <w:sz w:val="11"/>
                <w:szCs w:val="11"/>
                <w:color w:val="51555C"/>
              </w:rPr>
              <w:t>31.1</w:t>
            </w:r>
          </w:p>
        </w:tc>
        <w:tc>
          <w:tcPr>
            <w:tcW w:w="24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Calibri" w:cs="Calibri" w:eastAsia="Calibri" w:hAnsi="Calibri"/>
                <w:sz w:val="11"/>
                <w:szCs w:val="11"/>
                <w:color w:val="51555C"/>
              </w:rPr>
              <w:t>27.8</w:t>
            </w:r>
          </w:p>
        </w:tc>
      </w:tr>
      <w:tr>
        <w:trPr>
          <w:trHeight w:val="46"/>
        </w:trPr>
        <w:tc>
          <w:tcPr>
            <w:tcW w:w="20" w:type="dxa"/>
            <w:vAlign w:val="bottom"/>
          </w:tcPr>
          <w:p>
            <w:pPr>
              <w:spacing w:after="0"/>
              <w:rPr>
                <w:sz w:val="3"/>
                <w:szCs w:val="3"/>
                <w:color w:val="auto"/>
              </w:rPr>
            </w:pPr>
          </w:p>
        </w:tc>
        <w:tc>
          <w:tcPr>
            <w:tcW w:w="60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180"/>
        </w:trPr>
        <w:tc>
          <w:tcPr>
            <w:tcW w:w="20" w:type="dxa"/>
            <w:vAlign w:val="bottom"/>
            <w:shd w:val="clear" w:color="auto" w:fill="EBFBFF"/>
          </w:tcPr>
          <w:p>
            <w:pPr>
              <w:spacing w:after="0"/>
              <w:rPr>
                <w:sz w:val="15"/>
                <w:szCs w:val="15"/>
                <w:color w:val="auto"/>
              </w:rPr>
            </w:pPr>
          </w:p>
        </w:tc>
        <w:tc>
          <w:tcPr>
            <w:tcW w:w="6040" w:type="dxa"/>
            <w:vAlign w:val="bottom"/>
            <w:shd w:val="clear" w:color="auto" w:fill="EBFBFF"/>
          </w:tcPr>
          <w:p>
            <w:pPr>
              <w:ind w:left="80"/>
              <w:spacing w:after="0" w:line="170" w:lineRule="exact"/>
              <w:rPr>
                <w:sz w:val="20"/>
                <w:szCs w:val="20"/>
                <w:color w:val="auto"/>
              </w:rPr>
            </w:pPr>
            <w:r>
              <w:rPr>
                <w:rFonts w:ascii="Calibri" w:cs="Calibri" w:eastAsia="Calibri" w:hAnsi="Calibri"/>
                <w:sz w:val="11"/>
                <w:szCs w:val="11"/>
                <w:color w:val="51555C"/>
              </w:rPr>
              <w:t>Add: Amortzaton of sofware and content development costs</w:t>
            </w:r>
            <w:r>
              <w:rPr>
                <w:rFonts w:ascii="Calibri" w:cs="Calibri" w:eastAsia="Calibri" w:hAnsi="Calibri"/>
                <w:sz w:val="14"/>
                <w:szCs w:val="14"/>
                <w:color w:val="51555C"/>
                <w:vertAlign w:val="superscript"/>
              </w:rPr>
              <w:t>(1)</w:t>
            </w:r>
          </w:p>
        </w:tc>
        <w:tc>
          <w:tcPr>
            <w:tcW w:w="500" w:type="dxa"/>
            <w:vAlign w:val="bottom"/>
            <w:tcBorders>
              <w:bottom w:val="single" w:sz="8" w:color="51555C"/>
            </w:tcBorders>
            <w:shd w:val="clear" w:color="auto" w:fill="EBFBFF"/>
          </w:tcPr>
          <w:p>
            <w:pPr>
              <w:spacing w:after="0"/>
              <w:rPr>
                <w:sz w:val="15"/>
                <w:szCs w:val="15"/>
                <w:color w:val="auto"/>
              </w:rPr>
            </w:pPr>
          </w:p>
        </w:tc>
        <w:tc>
          <w:tcPr>
            <w:tcW w:w="820" w:type="dxa"/>
            <w:vAlign w:val="bottom"/>
            <w:tcBorders>
              <w:bottom w:val="single" w:sz="8" w:color="51555C"/>
            </w:tcBorders>
            <w:shd w:val="clear" w:color="auto" w:fill="EBFBFF"/>
          </w:tcPr>
          <w:p>
            <w:pPr>
              <w:jc w:val="right"/>
              <w:ind w:right="63"/>
              <w:spacing w:after="0"/>
              <w:rPr>
                <w:sz w:val="20"/>
                <w:szCs w:val="20"/>
                <w:color w:val="auto"/>
              </w:rPr>
            </w:pPr>
            <w:r>
              <w:rPr>
                <w:rFonts w:ascii="Calibri" w:cs="Calibri" w:eastAsia="Calibri" w:hAnsi="Calibri"/>
                <w:sz w:val="11"/>
                <w:szCs w:val="11"/>
                <w:color w:val="51555C"/>
              </w:rPr>
              <w:t>12.6</w:t>
            </w:r>
          </w:p>
        </w:tc>
        <w:tc>
          <w:tcPr>
            <w:tcW w:w="180" w:type="dxa"/>
            <w:vAlign w:val="bottom"/>
            <w:tcBorders>
              <w:bottom w:val="single" w:sz="8" w:color="51555C"/>
            </w:tcBorders>
            <w:shd w:val="clear" w:color="auto" w:fill="EBFBFF"/>
          </w:tcPr>
          <w:p>
            <w:pPr>
              <w:spacing w:after="0"/>
              <w:rPr>
                <w:sz w:val="15"/>
                <w:szCs w:val="15"/>
                <w:color w:val="auto"/>
              </w:rPr>
            </w:pPr>
          </w:p>
        </w:tc>
        <w:tc>
          <w:tcPr>
            <w:tcW w:w="1080" w:type="dxa"/>
            <w:vAlign w:val="bottom"/>
            <w:tcBorders>
              <w:bottom w:val="single" w:sz="8" w:color="51555C"/>
            </w:tcBorders>
            <w:shd w:val="clear" w:color="auto" w:fill="EBFBFF"/>
          </w:tcPr>
          <w:p>
            <w:pPr>
              <w:jc w:val="right"/>
              <w:ind w:right="3"/>
              <w:spacing w:after="0"/>
              <w:rPr>
                <w:sz w:val="20"/>
                <w:szCs w:val="20"/>
                <w:color w:val="auto"/>
              </w:rPr>
            </w:pPr>
            <w:r>
              <w:rPr>
                <w:rFonts w:ascii="Calibri" w:cs="Calibri" w:eastAsia="Calibri" w:hAnsi="Calibri"/>
                <w:sz w:val="11"/>
                <w:szCs w:val="11"/>
                <w:color w:val="51555C"/>
              </w:rPr>
              <w:t>10.9</w:t>
            </w:r>
          </w:p>
        </w:tc>
        <w:tc>
          <w:tcPr>
            <w:tcW w:w="80" w:type="dxa"/>
            <w:vAlign w:val="bottom"/>
            <w:shd w:val="clear" w:color="auto" w:fill="EBFBFF"/>
          </w:tcPr>
          <w:p>
            <w:pPr>
              <w:spacing w:after="0"/>
              <w:rPr>
                <w:sz w:val="15"/>
                <w:szCs w:val="15"/>
                <w:color w:val="auto"/>
              </w:rPr>
            </w:pPr>
          </w:p>
        </w:tc>
        <w:tc>
          <w:tcPr>
            <w:tcW w:w="500" w:type="dxa"/>
            <w:vAlign w:val="bottom"/>
            <w:tcBorders>
              <w:bottom w:val="single" w:sz="8" w:color="51555C"/>
            </w:tcBorders>
            <w:shd w:val="clear" w:color="auto" w:fill="EBFBFF"/>
          </w:tcPr>
          <w:p>
            <w:pPr>
              <w:spacing w:after="0"/>
              <w:rPr>
                <w:sz w:val="15"/>
                <w:szCs w:val="15"/>
                <w:color w:val="auto"/>
              </w:rPr>
            </w:pPr>
          </w:p>
        </w:tc>
        <w:tc>
          <w:tcPr>
            <w:tcW w:w="820" w:type="dxa"/>
            <w:vAlign w:val="bottom"/>
            <w:tcBorders>
              <w:bottom w:val="single" w:sz="8" w:color="51555C"/>
            </w:tcBorders>
            <w:shd w:val="clear" w:color="auto" w:fill="EBFBFF"/>
          </w:tcPr>
          <w:p>
            <w:pPr>
              <w:jc w:val="right"/>
              <w:ind w:right="63"/>
              <w:spacing w:after="0"/>
              <w:rPr>
                <w:sz w:val="20"/>
                <w:szCs w:val="20"/>
                <w:color w:val="auto"/>
              </w:rPr>
            </w:pPr>
            <w:r>
              <w:rPr>
                <w:rFonts w:ascii="Calibri" w:cs="Calibri" w:eastAsia="Calibri" w:hAnsi="Calibri"/>
                <w:sz w:val="11"/>
                <w:szCs w:val="11"/>
                <w:color w:val="51555C"/>
              </w:rPr>
              <w:t>24.7</w:t>
            </w:r>
          </w:p>
        </w:tc>
        <w:tc>
          <w:tcPr>
            <w:tcW w:w="240" w:type="dxa"/>
            <w:vAlign w:val="bottom"/>
            <w:tcBorders>
              <w:bottom w:val="single" w:sz="8" w:color="51555C"/>
            </w:tcBorders>
            <w:shd w:val="clear" w:color="auto" w:fill="EBFBFF"/>
          </w:tcPr>
          <w:p>
            <w:pPr>
              <w:spacing w:after="0"/>
              <w:rPr>
                <w:sz w:val="15"/>
                <w:szCs w:val="15"/>
                <w:color w:val="auto"/>
              </w:rPr>
            </w:pPr>
          </w:p>
        </w:tc>
        <w:tc>
          <w:tcPr>
            <w:tcW w:w="1000" w:type="dxa"/>
            <w:vAlign w:val="bottom"/>
            <w:tcBorders>
              <w:bottom w:val="single" w:sz="8" w:color="51555C"/>
            </w:tcBorders>
            <w:shd w:val="clear" w:color="auto" w:fill="EBFBFF"/>
          </w:tcPr>
          <w:p>
            <w:pPr>
              <w:jc w:val="right"/>
              <w:spacing w:after="0"/>
              <w:rPr>
                <w:sz w:val="20"/>
                <w:szCs w:val="20"/>
                <w:color w:val="auto"/>
              </w:rPr>
            </w:pPr>
            <w:r>
              <w:rPr>
                <w:rFonts w:ascii="Calibri" w:cs="Calibri" w:eastAsia="Calibri" w:hAnsi="Calibri"/>
                <w:sz w:val="11"/>
                <w:szCs w:val="11"/>
                <w:color w:val="51555C"/>
              </w:rPr>
              <w:t>21.5</w:t>
            </w:r>
          </w:p>
        </w:tc>
      </w:tr>
      <w:tr>
        <w:trPr>
          <w:trHeight w:val="163"/>
        </w:trPr>
        <w:tc>
          <w:tcPr>
            <w:tcW w:w="20" w:type="dxa"/>
            <w:vAlign w:val="bottom"/>
            <w:tcBorders>
              <w:bottom w:val="single" w:sz="8" w:color="EBFBFF"/>
            </w:tcBorders>
          </w:tcPr>
          <w:p>
            <w:pPr>
              <w:spacing w:after="0"/>
              <w:rPr>
                <w:sz w:val="14"/>
                <w:szCs w:val="14"/>
                <w:color w:val="auto"/>
              </w:rPr>
            </w:pPr>
          </w:p>
        </w:tc>
        <w:tc>
          <w:tcPr>
            <w:tcW w:w="6040" w:type="dxa"/>
            <w:vAlign w:val="bottom"/>
            <w:tcBorders>
              <w:bottom w:val="single" w:sz="8" w:color="EBFBFF"/>
            </w:tcBorders>
          </w:tcPr>
          <w:p>
            <w:pPr>
              <w:ind w:left="160"/>
              <w:spacing w:after="0" w:line="155" w:lineRule="exact"/>
              <w:rPr>
                <w:sz w:val="20"/>
                <w:szCs w:val="20"/>
                <w:color w:val="auto"/>
              </w:rPr>
            </w:pPr>
            <w:r>
              <w:rPr>
                <w:rFonts w:ascii="Calibri" w:cs="Calibri" w:eastAsia="Calibri" w:hAnsi="Calibri"/>
                <w:sz w:val="11"/>
                <w:szCs w:val="11"/>
                <w:color w:val="51555C"/>
              </w:rPr>
              <w:t>Subtotal</w:t>
            </w:r>
            <w:r>
              <w:rPr>
                <w:rFonts w:ascii="Calibri" w:cs="Calibri" w:eastAsia="Calibri" w:hAnsi="Calibri"/>
                <w:sz w:val="14"/>
                <w:szCs w:val="14"/>
                <w:color w:val="51555C"/>
                <w:vertAlign w:val="superscript"/>
              </w:rPr>
              <w:t>(2)</w:t>
            </w:r>
          </w:p>
        </w:tc>
        <w:tc>
          <w:tcPr>
            <w:tcW w:w="500" w:type="dxa"/>
            <w:vAlign w:val="bottom"/>
            <w:tcBorders>
              <w:bottom w:val="single" w:sz="8" w:color="51555C"/>
            </w:tcBorders>
          </w:tcPr>
          <w:p>
            <w:pPr>
              <w:spacing w:after="0"/>
              <w:rPr>
                <w:sz w:val="14"/>
                <w:szCs w:val="14"/>
                <w:color w:val="auto"/>
              </w:rPr>
            </w:pPr>
          </w:p>
        </w:tc>
        <w:tc>
          <w:tcPr>
            <w:tcW w:w="820" w:type="dxa"/>
            <w:vAlign w:val="bottom"/>
            <w:tcBorders>
              <w:bottom w:val="single" w:sz="8" w:color="51555C"/>
            </w:tcBorders>
          </w:tcPr>
          <w:p>
            <w:pPr>
              <w:jc w:val="right"/>
              <w:ind w:right="63"/>
              <w:spacing w:after="0"/>
              <w:rPr>
                <w:sz w:val="20"/>
                <w:szCs w:val="20"/>
                <w:color w:val="auto"/>
              </w:rPr>
            </w:pPr>
            <w:r>
              <w:rPr>
                <w:rFonts w:ascii="Calibri" w:cs="Calibri" w:eastAsia="Calibri" w:hAnsi="Calibri"/>
                <w:sz w:val="11"/>
                <w:szCs w:val="11"/>
                <w:color w:val="51555C"/>
              </w:rPr>
              <w:t>52.2</w:t>
            </w:r>
          </w:p>
        </w:tc>
        <w:tc>
          <w:tcPr>
            <w:tcW w:w="180" w:type="dxa"/>
            <w:vAlign w:val="bottom"/>
            <w:tcBorders>
              <w:bottom w:val="single" w:sz="8" w:color="51555C"/>
            </w:tcBorders>
          </w:tcPr>
          <w:p>
            <w:pPr>
              <w:spacing w:after="0"/>
              <w:rPr>
                <w:sz w:val="14"/>
                <w:szCs w:val="14"/>
                <w:color w:val="auto"/>
              </w:rPr>
            </w:pPr>
          </w:p>
        </w:tc>
        <w:tc>
          <w:tcPr>
            <w:tcW w:w="1080" w:type="dxa"/>
            <w:vAlign w:val="bottom"/>
            <w:tcBorders>
              <w:bottom w:val="single" w:sz="8" w:color="51555C"/>
            </w:tcBorders>
          </w:tcPr>
          <w:p>
            <w:pPr>
              <w:jc w:val="right"/>
              <w:ind w:right="3"/>
              <w:spacing w:after="0"/>
              <w:rPr>
                <w:sz w:val="20"/>
                <w:szCs w:val="20"/>
                <w:color w:val="auto"/>
              </w:rPr>
            </w:pPr>
            <w:r>
              <w:rPr>
                <w:rFonts w:ascii="Calibri" w:cs="Calibri" w:eastAsia="Calibri" w:hAnsi="Calibri"/>
                <w:sz w:val="11"/>
                <w:szCs w:val="11"/>
                <w:color w:val="51555C"/>
              </w:rPr>
              <w:t>26.8</w:t>
            </w:r>
          </w:p>
        </w:tc>
        <w:tc>
          <w:tcPr>
            <w:tcW w:w="80" w:type="dxa"/>
            <w:vAlign w:val="bottom"/>
            <w:tcBorders>
              <w:bottom w:val="single" w:sz="8" w:color="EBFBFF"/>
            </w:tcBorders>
          </w:tcPr>
          <w:p>
            <w:pPr>
              <w:spacing w:after="0"/>
              <w:rPr>
                <w:sz w:val="14"/>
                <w:szCs w:val="14"/>
                <w:color w:val="auto"/>
              </w:rPr>
            </w:pPr>
          </w:p>
        </w:tc>
        <w:tc>
          <w:tcPr>
            <w:tcW w:w="500" w:type="dxa"/>
            <w:vAlign w:val="bottom"/>
            <w:tcBorders>
              <w:bottom w:val="single" w:sz="8" w:color="51555C"/>
            </w:tcBorders>
          </w:tcPr>
          <w:p>
            <w:pPr>
              <w:spacing w:after="0"/>
              <w:rPr>
                <w:sz w:val="14"/>
                <w:szCs w:val="14"/>
                <w:color w:val="auto"/>
              </w:rPr>
            </w:pPr>
          </w:p>
        </w:tc>
        <w:tc>
          <w:tcPr>
            <w:tcW w:w="820" w:type="dxa"/>
            <w:vAlign w:val="bottom"/>
            <w:tcBorders>
              <w:bottom w:val="single" w:sz="8" w:color="51555C"/>
            </w:tcBorders>
          </w:tcPr>
          <w:p>
            <w:pPr>
              <w:jc w:val="right"/>
              <w:ind w:right="63"/>
              <w:spacing w:after="0"/>
              <w:rPr>
                <w:sz w:val="20"/>
                <w:szCs w:val="20"/>
                <w:color w:val="auto"/>
              </w:rPr>
            </w:pPr>
            <w:r>
              <w:rPr>
                <w:rFonts w:ascii="Calibri" w:cs="Calibri" w:eastAsia="Calibri" w:hAnsi="Calibri"/>
                <w:sz w:val="11"/>
                <w:szCs w:val="11"/>
                <w:color w:val="51555C"/>
              </w:rPr>
              <w:t>89.7</w:t>
            </w:r>
          </w:p>
        </w:tc>
        <w:tc>
          <w:tcPr>
            <w:tcW w:w="240" w:type="dxa"/>
            <w:vAlign w:val="bottom"/>
            <w:tcBorders>
              <w:bottom w:val="single" w:sz="8" w:color="51555C"/>
            </w:tcBorders>
          </w:tcPr>
          <w:p>
            <w:pPr>
              <w:spacing w:after="0"/>
              <w:rPr>
                <w:sz w:val="14"/>
                <w:szCs w:val="14"/>
                <w:color w:val="auto"/>
              </w:rPr>
            </w:pPr>
          </w:p>
        </w:tc>
        <w:tc>
          <w:tcPr>
            <w:tcW w:w="1000" w:type="dxa"/>
            <w:vAlign w:val="bottom"/>
            <w:tcBorders>
              <w:bottom w:val="single" w:sz="8" w:color="51555C"/>
            </w:tcBorders>
          </w:tcPr>
          <w:p>
            <w:pPr>
              <w:jc w:val="right"/>
              <w:spacing w:after="0"/>
              <w:rPr>
                <w:sz w:val="20"/>
                <w:szCs w:val="20"/>
                <w:color w:val="auto"/>
              </w:rPr>
            </w:pPr>
            <w:r>
              <w:rPr>
                <w:rFonts w:ascii="Calibri" w:cs="Calibri" w:eastAsia="Calibri" w:hAnsi="Calibri"/>
                <w:sz w:val="11"/>
                <w:szCs w:val="11"/>
                <w:color w:val="51555C"/>
              </w:rPr>
              <w:t>60.1</w:t>
            </w:r>
          </w:p>
        </w:tc>
      </w:tr>
      <w:tr>
        <w:trPr>
          <w:trHeight w:val="179"/>
        </w:trPr>
        <w:tc>
          <w:tcPr>
            <w:tcW w:w="20" w:type="dxa"/>
            <w:vAlign w:val="bottom"/>
            <w:shd w:val="clear" w:color="auto" w:fill="EBFBFF"/>
          </w:tcPr>
          <w:p>
            <w:pPr>
              <w:spacing w:after="0"/>
              <w:rPr>
                <w:sz w:val="15"/>
                <w:szCs w:val="15"/>
                <w:color w:val="auto"/>
              </w:rPr>
            </w:pPr>
          </w:p>
        </w:tc>
        <w:tc>
          <w:tcPr>
            <w:tcW w:w="6040" w:type="dxa"/>
            <w:vAlign w:val="bottom"/>
            <w:shd w:val="clear" w:color="auto" w:fill="EBFBFF"/>
          </w:tcPr>
          <w:p>
            <w:pPr>
              <w:spacing w:after="0" w:line="163" w:lineRule="exact"/>
              <w:rPr>
                <w:sz w:val="20"/>
                <w:szCs w:val="20"/>
                <w:color w:val="auto"/>
              </w:rPr>
            </w:pPr>
            <w:r>
              <w:rPr>
                <w:rFonts w:ascii="Calibri" w:cs="Calibri" w:eastAsia="Calibri" w:hAnsi="Calibri"/>
                <w:sz w:val="11"/>
                <w:szCs w:val="11"/>
                <w:color w:val="51555C"/>
              </w:rPr>
              <w:t>Non-GAAP EBITDA</w:t>
            </w:r>
            <w:r>
              <w:rPr>
                <w:rFonts w:ascii="Calibri" w:cs="Calibri" w:eastAsia="Calibri" w:hAnsi="Calibri"/>
                <w:sz w:val="14"/>
                <w:szCs w:val="14"/>
                <w:color w:val="51555C"/>
                <w:vertAlign w:val="superscript"/>
              </w:rPr>
              <w:t>(2)</w:t>
            </w:r>
          </w:p>
        </w:tc>
        <w:tc>
          <w:tcPr>
            <w:tcW w:w="500" w:type="dxa"/>
            <w:vAlign w:val="bottom"/>
            <w:tcBorders>
              <w:bottom w:val="single" w:sz="8" w:color="51555C"/>
            </w:tcBorders>
            <w:shd w:val="clear" w:color="auto" w:fill="EBFBFF"/>
          </w:tcPr>
          <w:p>
            <w:pPr>
              <w:jc w:val="right"/>
              <w:ind w:right="363"/>
              <w:spacing w:after="0"/>
              <w:rPr>
                <w:sz w:val="20"/>
                <w:szCs w:val="20"/>
                <w:color w:val="auto"/>
              </w:rPr>
            </w:pPr>
            <w:r>
              <w:rPr>
                <w:rFonts w:ascii="Calibri" w:cs="Calibri" w:eastAsia="Calibri" w:hAnsi="Calibri"/>
                <w:sz w:val="11"/>
                <w:szCs w:val="11"/>
                <w:color w:val="51555C"/>
              </w:rPr>
              <w:t>$</w:t>
            </w:r>
          </w:p>
        </w:tc>
        <w:tc>
          <w:tcPr>
            <w:tcW w:w="820" w:type="dxa"/>
            <w:vAlign w:val="bottom"/>
            <w:tcBorders>
              <w:bottom w:val="single" w:sz="8" w:color="51555C"/>
            </w:tcBorders>
            <w:shd w:val="clear" w:color="auto" w:fill="EBFBFF"/>
          </w:tcPr>
          <w:p>
            <w:pPr>
              <w:jc w:val="right"/>
              <w:ind w:right="63"/>
              <w:spacing w:after="0"/>
              <w:rPr>
                <w:sz w:val="20"/>
                <w:szCs w:val="20"/>
                <w:color w:val="auto"/>
              </w:rPr>
            </w:pPr>
            <w:r>
              <w:rPr>
                <w:rFonts w:ascii="Calibri" w:cs="Calibri" w:eastAsia="Calibri" w:hAnsi="Calibri"/>
                <w:sz w:val="11"/>
                <w:szCs w:val="11"/>
                <w:color w:val="51555C"/>
              </w:rPr>
              <w:t>74.0</w:t>
            </w:r>
          </w:p>
        </w:tc>
        <w:tc>
          <w:tcPr>
            <w:tcW w:w="180" w:type="dxa"/>
            <w:vAlign w:val="bottom"/>
            <w:tcBorders>
              <w:bottom w:val="single" w:sz="8" w:color="51555C"/>
            </w:tcBorders>
            <w:shd w:val="clear" w:color="auto" w:fill="EBFBFF"/>
          </w:tcPr>
          <w:p>
            <w:pPr>
              <w:jc w:val="right"/>
              <w:ind w:right="43"/>
              <w:spacing w:after="0"/>
              <w:rPr>
                <w:sz w:val="20"/>
                <w:szCs w:val="20"/>
                <w:color w:val="auto"/>
              </w:rPr>
            </w:pPr>
            <w:r>
              <w:rPr>
                <w:rFonts w:ascii="Calibri" w:cs="Calibri" w:eastAsia="Calibri" w:hAnsi="Calibri"/>
                <w:sz w:val="11"/>
                <w:szCs w:val="11"/>
                <w:color w:val="51555C"/>
              </w:rPr>
              <w:t>$</w:t>
            </w:r>
          </w:p>
        </w:tc>
        <w:tc>
          <w:tcPr>
            <w:tcW w:w="1080" w:type="dxa"/>
            <w:vAlign w:val="bottom"/>
            <w:tcBorders>
              <w:bottom w:val="single" w:sz="8" w:color="51555C"/>
            </w:tcBorders>
            <w:shd w:val="clear" w:color="auto" w:fill="EBFBFF"/>
          </w:tcPr>
          <w:p>
            <w:pPr>
              <w:jc w:val="right"/>
              <w:ind w:right="3"/>
              <w:spacing w:after="0"/>
              <w:rPr>
                <w:sz w:val="20"/>
                <w:szCs w:val="20"/>
                <w:color w:val="auto"/>
              </w:rPr>
            </w:pPr>
            <w:r>
              <w:rPr>
                <w:rFonts w:ascii="Calibri" w:cs="Calibri" w:eastAsia="Calibri" w:hAnsi="Calibri"/>
                <w:sz w:val="11"/>
                <w:szCs w:val="11"/>
                <w:color w:val="51555C"/>
              </w:rPr>
              <w:t>28.9</w:t>
            </w:r>
          </w:p>
        </w:tc>
        <w:tc>
          <w:tcPr>
            <w:tcW w:w="80" w:type="dxa"/>
            <w:vAlign w:val="bottom"/>
            <w:shd w:val="clear" w:color="auto" w:fill="EBFBFF"/>
          </w:tcPr>
          <w:p>
            <w:pPr>
              <w:spacing w:after="0"/>
              <w:rPr>
                <w:sz w:val="15"/>
                <w:szCs w:val="15"/>
                <w:color w:val="auto"/>
              </w:rPr>
            </w:pPr>
          </w:p>
        </w:tc>
        <w:tc>
          <w:tcPr>
            <w:tcW w:w="500" w:type="dxa"/>
            <w:vAlign w:val="bottom"/>
            <w:tcBorders>
              <w:bottom w:val="single" w:sz="8" w:color="51555C"/>
            </w:tcBorders>
            <w:shd w:val="clear" w:color="auto" w:fill="EBFBFF"/>
          </w:tcPr>
          <w:p>
            <w:pPr>
              <w:jc w:val="right"/>
              <w:ind w:right="383"/>
              <w:spacing w:after="0"/>
              <w:rPr>
                <w:sz w:val="20"/>
                <w:szCs w:val="20"/>
                <w:color w:val="auto"/>
              </w:rPr>
            </w:pPr>
            <w:r>
              <w:rPr>
                <w:rFonts w:ascii="Calibri" w:cs="Calibri" w:eastAsia="Calibri" w:hAnsi="Calibri"/>
                <w:sz w:val="11"/>
                <w:szCs w:val="11"/>
                <w:color w:val="51555C"/>
                <w:w w:val="70"/>
              </w:rPr>
              <w:t>$</w:t>
            </w:r>
          </w:p>
        </w:tc>
        <w:tc>
          <w:tcPr>
            <w:tcW w:w="820" w:type="dxa"/>
            <w:vAlign w:val="bottom"/>
            <w:tcBorders>
              <w:bottom w:val="single" w:sz="8" w:color="51555C"/>
            </w:tcBorders>
            <w:shd w:val="clear" w:color="auto" w:fill="EBFBFF"/>
          </w:tcPr>
          <w:p>
            <w:pPr>
              <w:jc w:val="right"/>
              <w:ind w:right="63"/>
              <w:spacing w:after="0"/>
              <w:rPr>
                <w:sz w:val="20"/>
                <w:szCs w:val="20"/>
                <w:color w:val="auto"/>
              </w:rPr>
            </w:pPr>
            <w:r>
              <w:rPr>
                <w:rFonts w:ascii="Calibri" w:cs="Calibri" w:eastAsia="Calibri" w:hAnsi="Calibri"/>
                <w:sz w:val="11"/>
                <w:szCs w:val="11"/>
                <w:color w:val="51555C"/>
              </w:rPr>
              <w:t>116.8</w:t>
            </w:r>
          </w:p>
        </w:tc>
        <w:tc>
          <w:tcPr>
            <w:tcW w:w="240" w:type="dxa"/>
            <w:vAlign w:val="bottom"/>
            <w:tcBorders>
              <w:bottom w:val="single" w:sz="8" w:color="51555C"/>
            </w:tcBorders>
            <w:shd w:val="clear" w:color="auto" w:fill="EBFBFF"/>
          </w:tcPr>
          <w:p>
            <w:pPr>
              <w:jc w:val="right"/>
              <w:ind w:right="103"/>
              <w:spacing w:after="0"/>
              <w:rPr>
                <w:sz w:val="20"/>
                <w:szCs w:val="20"/>
                <w:color w:val="auto"/>
              </w:rPr>
            </w:pPr>
            <w:r>
              <w:rPr>
                <w:rFonts w:ascii="Calibri" w:cs="Calibri" w:eastAsia="Calibri" w:hAnsi="Calibri"/>
                <w:sz w:val="11"/>
                <w:szCs w:val="11"/>
                <w:color w:val="51555C"/>
              </w:rPr>
              <w:t>$</w:t>
            </w:r>
          </w:p>
        </w:tc>
        <w:tc>
          <w:tcPr>
            <w:tcW w:w="1000" w:type="dxa"/>
            <w:vAlign w:val="bottom"/>
            <w:tcBorders>
              <w:bottom w:val="single" w:sz="8" w:color="51555C"/>
            </w:tcBorders>
            <w:shd w:val="clear" w:color="auto" w:fill="EBFBFF"/>
          </w:tcPr>
          <w:p>
            <w:pPr>
              <w:jc w:val="right"/>
              <w:spacing w:after="0"/>
              <w:rPr>
                <w:sz w:val="20"/>
                <w:szCs w:val="20"/>
                <w:color w:val="auto"/>
              </w:rPr>
            </w:pPr>
            <w:r>
              <w:rPr>
                <w:rFonts w:ascii="Calibri" w:cs="Calibri" w:eastAsia="Calibri" w:hAnsi="Calibri"/>
                <w:sz w:val="11"/>
                <w:szCs w:val="11"/>
                <w:color w:val="51555C"/>
              </w:rPr>
              <w:t>47.5</w:t>
            </w:r>
          </w:p>
        </w:tc>
      </w:tr>
      <w:tr>
        <w:trPr>
          <w:trHeight w:val="163"/>
        </w:trPr>
        <w:tc>
          <w:tcPr>
            <w:tcW w:w="20" w:type="dxa"/>
            <w:vAlign w:val="bottom"/>
          </w:tcPr>
          <w:p>
            <w:pPr>
              <w:spacing w:after="0"/>
              <w:rPr>
                <w:sz w:val="14"/>
                <w:szCs w:val="14"/>
                <w:color w:val="auto"/>
              </w:rPr>
            </w:pPr>
          </w:p>
        </w:tc>
        <w:tc>
          <w:tcPr>
            <w:tcW w:w="6040" w:type="dxa"/>
            <w:vAlign w:val="bottom"/>
          </w:tcPr>
          <w:p>
            <w:pPr>
              <w:ind w:left="80"/>
              <w:spacing w:after="0" w:line="155" w:lineRule="exact"/>
              <w:rPr>
                <w:sz w:val="20"/>
                <w:szCs w:val="20"/>
                <w:color w:val="auto"/>
              </w:rPr>
            </w:pPr>
            <w:r>
              <w:rPr>
                <w:rFonts w:ascii="Calibri" w:cs="Calibri" w:eastAsia="Calibri" w:hAnsi="Calibri"/>
                <w:sz w:val="11"/>
                <w:szCs w:val="11"/>
                <w:color w:val="51555C"/>
              </w:rPr>
              <w:t>Non-GAAP EBITDA margin</w:t>
            </w:r>
            <w:r>
              <w:rPr>
                <w:rFonts w:ascii="Calibri" w:cs="Calibri" w:eastAsia="Calibri" w:hAnsi="Calibri"/>
                <w:sz w:val="14"/>
                <w:szCs w:val="14"/>
                <w:color w:val="51555C"/>
                <w:vertAlign w:val="superscript"/>
              </w:rPr>
              <w:t>(3)</w:t>
            </w:r>
          </w:p>
        </w:tc>
        <w:tc>
          <w:tcPr>
            <w:tcW w:w="5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alibri" w:cs="Calibri" w:eastAsia="Calibri" w:hAnsi="Calibri"/>
                <w:sz w:val="11"/>
                <w:szCs w:val="11"/>
                <w:color w:val="51555C"/>
              </w:rPr>
              <w:t>25.8 %</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alibri" w:cs="Calibri" w:eastAsia="Calibri" w:hAnsi="Calibri"/>
                <w:sz w:val="11"/>
                <w:szCs w:val="11"/>
                <w:color w:val="51555C"/>
              </w:rPr>
              <w:t>20.6 %</w:t>
            </w: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25"/>
        </w:trPr>
        <w:tc>
          <w:tcPr>
            <w:tcW w:w="20" w:type="dxa"/>
            <w:vAlign w:val="bottom"/>
            <w:shd w:val="clear" w:color="auto" w:fill="EBFBFF"/>
          </w:tcPr>
          <w:p>
            <w:pPr>
              <w:spacing w:after="0"/>
              <w:rPr>
                <w:sz w:val="10"/>
                <w:szCs w:val="10"/>
                <w:color w:val="auto"/>
              </w:rPr>
            </w:pPr>
          </w:p>
        </w:tc>
        <w:tc>
          <w:tcPr>
            <w:tcW w:w="6040" w:type="dxa"/>
            <w:vAlign w:val="bottom"/>
            <w:shd w:val="clear" w:color="auto" w:fill="EBFBFF"/>
          </w:tcPr>
          <w:p>
            <w:pPr>
              <w:spacing w:after="0"/>
              <w:rPr>
                <w:sz w:val="10"/>
                <w:szCs w:val="10"/>
                <w:color w:val="auto"/>
              </w:rPr>
            </w:pPr>
          </w:p>
        </w:tc>
        <w:tc>
          <w:tcPr>
            <w:tcW w:w="500" w:type="dxa"/>
            <w:vAlign w:val="bottom"/>
            <w:shd w:val="clear" w:color="auto" w:fill="EBFBFF"/>
          </w:tcPr>
          <w:p>
            <w:pPr>
              <w:spacing w:after="0"/>
              <w:rPr>
                <w:sz w:val="10"/>
                <w:szCs w:val="10"/>
                <w:color w:val="auto"/>
              </w:rPr>
            </w:pPr>
          </w:p>
        </w:tc>
        <w:tc>
          <w:tcPr>
            <w:tcW w:w="820" w:type="dxa"/>
            <w:vAlign w:val="bottom"/>
            <w:shd w:val="clear" w:color="auto" w:fill="EBFBFF"/>
          </w:tcPr>
          <w:p>
            <w:pPr>
              <w:spacing w:after="0"/>
              <w:rPr>
                <w:sz w:val="10"/>
                <w:szCs w:val="10"/>
                <w:color w:val="auto"/>
              </w:rPr>
            </w:pPr>
          </w:p>
        </w:tc>
        <w:tc>
          <w:tcPr>
            <w:tcW w:w="180" w:type="dxa"/>
            <w:vAlign w:val="bottom"/>
            <w:shd w:val="clear" w:color="auto" w:fill="EBFBFF"/>
          </w:tcPr>
          <w:p>
            <w:pPr>
              <w:spacing w:after="0"/>
              <w:rPr>
                <w:sz w:val="10"/>
                <w:szCs w:val="10"/>
                <w:color w:val="auto"/>
              </w:rPr>
            </w:pPr>
          </w:p>
        </w:tc>
        <w:tc>
          <w:tcPr>
            <w:tcW w:w="1080" w:type="dxa"/>
            <w:vAlign w:val="bottom"/>
            <w:shd w:val="clear" w:color="auto" w:fill="EBFBFF"/>
          </w:tcPr>
          <w:p>
            <w:pPr>
              <w:spacing w:after="0"/>
              <w:rPr>
                <w:sz w:val="10"/>
                <w:szCs w:val="10"/>
                <w:color w:val="auto"/>
              </w:rPr>
            </w:pPr>
          </w:p>
        </w:tc>
        <w:tc>
          <w:tcPr>
            <w:tcW w:w="80" w:type="dxa"/>
            <w:vAlign w:val="bottom"/>
            <w:shd w:val="clear" w:color="auto" w:fill="EBFBFF"/>
          </w:tcPr>
          <w:p>
            <w:pPr>
              <w:spacing w:after="0"/>
              <w:rPr>
                <w:sz w:val="10"/>
                <w:szCs w:val="10"/>
                <w:color w:val="auto"/>
              </w:rPr>
            </w:pPr>
          </w:p>
        </w:tc>
        <w:tc>
          <w:tcPr>
            <w:tcW w:w="500" w:type="dxa"/>
            <w:vAlign w:val="bottom"/>
            <w:shd w:val="clear" w:color="auto" w:fill="EBFBFF"/>
          </w:tcPr>
          <w:p>
            <w:pPr>
              <w:spacing w:after="0"/>
              <w:rPr>
                <w:sz w:val="10"/>
                <w:szCs w:val="10"/>
                <w:color w:val="auto"/>
              </w:rPr>
            </w:pPr>
          </w:p>
        </w:tc>
        <w:tc>
          <w:tcPr>
            <w:tcW w:w="820" w:type="dxa"/>
            <w:vAlign w:val="bottom"/>
            <w:shd w:val="clear" w:color="auto" w:fill="EBFBFF"/>
          </w:tcPr>
          <w:p>
            <w:pPr>
              <w:spacing w:after="0"/>
              <w:rPr>
                <w:sz w:val="10"/>
                <w:szCs w:val="10"/>
                <w:color w:val="auto"/>
              </w:rPr>
            </w:pPr>
          </w:p>
        </w:tc>
        <w:tc>
          <w:tcPr>
            <w:tcW w:w="240" w:type="dxa"/>
            <w:vAlign w:val="bottom"/>
            <w:shd w:val="clear" w:color="auto" w:fill="EBFBFF"/>
          </w:tcPr>
          <w:p>
            <w:pPr>
              <w:spacing w:after="0"/>
              <w:rPr>
                <w:sz w:val="10"/>
                <w:szCs w:val="10"/>
                <w:color w:val="auto"/>
              </w:rPr>
            </w:pPr>
          </w:p>
        </w:tc>
        <w:tc>
          <w:tcPr>
            <w:tcW w:w="1000" w:type="dxa"/>
            <w:vAlign w:val="bottom"/>
            <w:shd w:val="clear" w:color="auto" w:fill="EBFBFF"/>
          </w:tcPr>
          <w:p>
            <w:pPr>
              <w:spacing w:after="0"/>
              <w:rPr>
                <w:sz w:val="10"/>
                <w:szCs w:val="10"/>
                <w:color w:val="auto"/>
              </w:rPr>
            </w:pPr>
          </w:p>
        </w:tc>
      </w:tr>
      <w:tr>
        <w:trPr>
          <w:trHeight w:val="135"/>
        </w:trPr>
        <w:tc>
          <w:tcPr>
            <w:tcW w:w="20" w:type="dxa"/>
            <w:vAlign w:val="bottom"/>
          </w:tcPr>
          <w:p>
            <w:pPr>
              <w:spacing w:after="0"/>
              <w:rPr>
                <w:sz w:val="11"/>
                <w:szCs w:val="11"/>
                <w:color w:val="auto"/>
              </w:rPr>
            </w:pPr>
          </w:p>
        </w:tc>
        <w:tc>
          <w:tcPr>
            <w:tcW w:w="6040" w:type="dxa"/>
            <w:vAlign w:val="bottom"/>
          </w:tcPr>
          <w:p>
            <w:pPr>
              <w:spacing w:after="0"/>
              <w:rPr>
                <w:sz w:val="20"/>
                <w:szCs w:val="20"/>
                <w:color w:val="auto"/>
              </w:rPr>
            </w:pPr>
            <w:r>
              <w:rPr>
                <w:rFonts w:ascii="Calibri" w:cs="Calibri" w:eastAsia="Calibri" w:hAnsi="Calibri"/>
                <w:sz w:val="11"/>
                <w:szCs w:val="11"/>
                <w:color w:val="51555C"/>
              </w:rPr>
              <w:t>Non-GAAP adjustments:</w:t>
            </w:r>
          </w:p>
        </w:tc>
        <w:tc>
          <w:tcPr>
            <w:tcW w:w="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46"/>
        </w:trPr>
        <w:tc>
          <w:tcPr>
            <w:tcW w:w="20" w:type="dxa"/>
            <w:vAlign w:val="bottom"/>
          </w:tcPr>
          <w:p>
            <w:pPr>
              <w:spacing w:after="0"/>
              <w:rPr>
                <w:sz w:val="3"/>
                <w:szCs w:val="3"/>
                <w:color w:val="auto"/>
              </w:rPr>
            </w:pPr>
          </w:p>
        </w:tc>
        <w:tc>
          <w:tcPr>
            <w:tcW w:w="60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160"/>
        </w:trPr>
        <w:tc>
          <w:tcPr>
            <w:tcW w:w="20" w:type="dxa"/>
            <w:vAlign w:val="bottom"/>
            <w:tcBorders>
              <w:bottom w:val="single" w:sz="8" w:color="EBFBFF"/>
            </w:tcBorders>
            <w:shd w:val="clear" w:color="auto" w:fill="EBFBFF"/>
          </w:tcPr>
          <w:p>
            <w:pPr>
              <w:spacing w:after="0"/>
              <w:rPr>
                <w:sz w:val="13"/>
                <w:szCs w:val="13"/>
                <w:color w:val="auto"/>
              </w:rPr>
            </w:pPr>
          </w:p>
        </w:tc>
        <w:tc>
          <w:tcPr>
            <w:tcW w:w="6040" w:type="dxa"/>
            <w:vAlign w:val="bottom"/>
            <w:tcBorders>
              <w:bottom w:val="single" w:sz="8" w:color="EBFBFF"/>
            </w:tcBorders>
            <w:shd w:val="clear" w:color="auto" w:fill="EBFBFF"/>
          </w:tcPr>
          <w:p>
            <w:pPr>
              <w:ind w:left="80"/>
              <w:spacing w:after="0"/>
              <w:rPr>
                <w:sz w:val="20"/>
                <w:szCs w:val="20"/>
                <w:color w:val="auto"/>
              </w:rPr>
            </w:pPr>
            <w:r>
              <w:rPr>
                <w:rFonts w:ascii="Calibri" w:cs="Calibri" w:eastAsia="Calibri" w:hAnsi="Calibri"/>
                <w:sz w:val="11"/>
                <w:szCs w:val="11"/>
                <w:color w:val="51555C"/>
              </w:rPr>
              <w:t>Add: Stock-based compensaton expense</w:t>
            </w:r>
          </w:p>
        </w:tc>
        <w:tc>
          <w:tcPr>
            <w:tcW w:w="500" w:type="dxa"/>
            <w:vAlign w:val="bottom"/>
            <w:tcBorders>
              <w:bottom w:val="single" w:sz="8" w:color="EBFBFF"/>
            </w:tcBorders>
            <w:shd w:val="clear" w:color="auto" w:fill="EBFBFF"/>
          </w:tcPr>
          <w:p>
            <w:pPr>
              <w:spacing w:after="0"/>
              <w:rPr>
                <w:sz w:val="13"/>
                <w:szCs w:val="13"/>
                <w:color w:val="auto"/>
              </w:rPr>
            </w:pPr>
          </w:p>
        </w:tc>
        <w:tc>
          <w:tcPr>
            <w:tcW w:w="820" w:type="dxa"/>
            <w:vAlign w:val="bottom"/>
            <w:tcBorders>
              <w:bottom w:val="single" w:sz="8" w:color="EBFBFF"/>
            </w:tcBorders>
            <w:shd w:val="clear" w:color="auto" w:fill="EBFBFF"/>
          </w:tcPr>
          <w:p>
            <w:pPr>
              <w:jc w:val="right"/>
              <w:ind w:right="63"/>
              <w:spacing w:after="0"/>
              <w:rPr>
                <w:sz w:val="20"/>
                <w:szCs w:val="20"/>
                <w:color w:val="auto"/>
              </w:rPr>
            </w:pPr>
            <w:r>
              <w:rPr>
                <w:rFonts w:ascii="Calibri" w:cs="Calibri" w:eastAsia="Calibri" w:hAnsi="Calibri"/>
                <w:sz w:val="11"/>
                <w:szCs w:val="11"/>
                <w:color w:val="51555C"/>
              </w:rPr>
              <w:t>24.3</w:t>
            </w:r>
          </w:p>
        </w:tc>
        <w:tc>
          <w:tcPr>
            <w:tcW w:w="180" w:type="dxa"/>
            <w:vAlign w:val="bottom"/>
            <w:tcBorders>
              <w:bottom w:val="single" w:sz="8" w:color="EBFBFF"/>
            </w:tcBorders>
            <w:shd w:val="clear" w:color="auto" w:fill="EBFBFF"/>
          </w:tcPr>
          <w:p>
            <w:pPr>
              <w:spacing w:after="0"/>
              <w:rPr>
                <w:sz w:val="13"/>
                <w:szCs w:val="13"/>
                <w:color w:val="auto"/>
              </w:rPr>
            </w:pPr>
          </w:p>
        </w:tc>
        <w:tc>
          <w:tcPr>
            <w:tcW w:w="1080" w:type="dxa"/>
            <w:vAlign w:val="bottom"/>
            <w:tcBorders>
              <w:bottom w:val="single" w:sz="8" w:color="EBFBFF"/>
            </w:tcBorders>
            <w:shd w:val="clear" w:color="auto" w:fill="EBFBFF"/>
          </w:tcPr>
          <w:p>
            <w:pPr>
              <w:jc w:val="right"/>
              <w:ind w:right="3"/>
              <w:spacing w:after="0"/>
              <w:rPr>
                <w:sz w:val="20"/>
                <w:szCs w:val="20"/>
                <w:color w:val="auto"/>
              </w:rPr>
            </w:pPr>
            <w:r>
              <w:rPr>
                <w:rFonts w:ascii="Calibri" w:cs="Calibri" w:eastAsia="Calibri" w:hAnsi="Calibri"/>
                <w:sz w:val="11"/>
                <w:szCs w:val="11"/>
                <w:color w:val="51555C"/>
              </w:rPr>
              <w:t>33.4</w:t>
            </w:r>
          </w:p>
        </w:tc>
        <w:tc>
          <w:tcPr>
            <w:tcW w:w="80" w:type="dxa"/>
            <w:vAlign w:val="bottom"/>
            <w:tcBorders>
              <w:bottom w:val="single" w:sz="8" w:color="EBFBFF"/>
            </w:tcBorders>
            <w:shd w:val="clear" w:color="auto" w:fill="EBFBFF"/>
          </w:tcPr>
          <w:p>
            <w:pPr>
              <w:spacing w:after="0"/>
              <w:rPr>
                <w:sz w:val="13"/>
                <w:szCs w:val="13"/>
                <w:color w:val="auto"/>
              </w:rPr>
            </w:pPr>
          </w:p>
        </w:tc>
        <w:tc>
          <w:tcPr>
            <w:tcW w:w="500" w:type="dxa"/>
            <w:vAlign w:val="bottom"/>
            <w:tcBorders>
              <w:bottom w:val="single" w:sz="8" w:color="EBFBFF"/>
            </w:tcBorders>
            <w:shd w:val="clear" w:color="auto" w:fill="EBFBFF"/>
          </w:tcPr>
          <w:p>
            <w:pPr>
              <w:spacing w:after="0"/>
              <w:rPr>
                <w:sz w:val="13"/>
                <w:szCs w:val="13"/>
                <w:color w:val="auto"/>
              </w:rPr>
            </w:pPr>
          </w:p>
        </w:tc>
        <w:tc>
          <w:tcPr>
            <w:tcW w:w="820" w:type="dxa"/>
            <w:vAlign w:val="bottom"/>
            <w:tcBorders>
              <w:bottom w:val="single" w:sz="8" w:color="EBFBFF"/>
            </w:tcBorders>
            <w:shd w:val="clear" w:color="auto" w:fill="EBFBFF"/>
          </w:tcPr>
          <w:p>
            <w:pPr>
              <w:jc w:val="right"/>
              <w:ind w:right="63"/>
              <w:spacing w:after="0"/>
              <w:rPr>
                <w:sz w:val="20"/>
                <w:szCs w:val="20"/>
                <w:color w:val="auto"/>
              </w:rPr>
            </w:pPr>
            <w:r>
              <w:rPr>
                <w:rFonts w:ascii="Calibri" w:cs="Calibri" w:eastAsia="Calibri" w:hAnsi="Calibri"/>
                <w:sz w:val="11"/>
                <w:szCs w:val="11"/>
                <w:color w:val="51555C"/>
              </w:rPr>
              <w:t>57.9</w:t>
            </w:r>
          </w:p>
        </w:tc>
        <w:tc>
          <w:tcPr>
            <w:tcW w:w="240" w:type="dxa"/>
            <w:vAlign w:val="bottom"/>
            <w:tcBorders>
              <w:bottom w:val="single" w:sz="8" w:color="EBFBFF"/>
            </w:tcBorders>
            <w:shd w:val="clear" w:color="auto" w:fill="EBFBFF"/>
          </w:tcPr>
          <w:p>
            <w:pPr>
              <w:spacing w:after="0"/>
              <w:rPr>
                <w:sz w:val="13"/>
                <w:szCs w:val="13"/>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1"/>
                <w:szCs w:val="11"/>
                <w:color w:val="51555C"/>
              </w:rPr>
              <w:t>63.3</w:t>
            </w:r>
          </w:p>
        </w:tc>
      </w:tr>
      <w:tr>
        <w:trPr>
          <w:trHeight w:val="135"/>
        </w:trPr>
        <w:tc>
          <w:tcPr>
            <w:tcW w:w="20" w:type="dxa"/>
            <w:vAlign w:val="bottom"/>
          </w:tcPr>
          <w:p>
            <w:pPr>
              <w:spacing w:after="0"/>
              <w:rPr>
                <w:sz w:val="11"/>
                <w:szCs w:val="11"/>
                <w:color w:val="auto"/>
              </w:rPr>
            </w:pPr>
          </w:p>
        </w:tc>
        <w:tc>
          <w:tcPr>
            <w:tcW w:w="6040" w:type="dxa"/>
            <w:vAlign w:val="bottom"/>
          </w:tcPr>
          <w:p>
            <w:pPr>
              <w:ind w:left="80"/>
              <w:spacing w:after="0"/>
              <w:rPr>
                <w:sz w:val="20"/>
                <w:szCs w:val="20"/>
                <w:color w:val="auto"/>
              </w:rPr>
            </w:pPr>
            <w:r>
              <w:rPr>
                <w:rFonts w:ascii="Calibri" w:cs="Calibri" w:eastAsia="Calibri" w:hAnsi="Calibri"/>
                <w:sz w:val="11"/>
                <w:szCs w:val="11"/>
                <w:color w:val="51555C"/>
              </w:rPr>
              <w:t>Add: Employee severance</w:t>
            </w:r>
          </w:p>
        </w:tc>
        <w:tc>
          <w:tcPr>
            <w:tcW w:w="500" w:type="dxa"/>
            <w:vAlign w:val="bottom"/>
          </w:tcPr>
          <w:p>
            <w:pPr>
              <w:spacing w:after="0"/>
              <w:rPr>
                <w:sz w:val="11"/>
                <w:szCs w:val="11"/>
                <w:color w:val="auto"/>
              </w:rPr>
            </w:pPr>
          </w:p>
        </w:tc>
        <w:tc>
          <w:tcPr>
            <w:tcW w:w="820" w:type="dxa"/>
            <w:vAlign w:val="bottom"/>
          </w:tcPr>
          <w:p>
            <w:pPr>
              <w:jc w:val="right"/>
              <w:ind w:right="63"/>
              <w:spacing w:after="0"/>
              <w:rPr>
                <w:sz w:val="20"/>
                <w:szCs w:val="20"/>
                <w:color w:val="auto"/>
              </w:rPr>
            </w:pPr>
            <w:r>
              <w:rPr>
                <w:rFonts w:ascii="Calibri" w:cs="Calibri" w:eastAsia="Calibri" w:hAnsi="Calibri"/>
                <w:sz w:val="11"/>
                <w:szCs w:val="11"/>
                <w:color w:val="51555C"/>
              </w:rPr>
              <w:t>—</w:t>
            </w:r>
          </w:p>
        </w:tc>
        <w:tc>
          <w:tcPr>
            <w:tcW w:w="180" w:type="dxa"/>
            <w:vAlign w:val="bottom"/>
          </w:tcPr>
          <w:p>
            <w:pPr>
              <w:spacing w:after="0"/>
              <w:rPr>
                <w:sz w:val="11"/>
                <w:szCs w:val="11"/>
                <w:color w:val="auto"/>
              </w:rPr>
            </w:pPr>
          </w:p>
        </w:tc>
        <w:tc>
          <w:tcPr>
            <w:tcW w:w="1080" w:type="dxa"/>
            <w:vAlign w:val="bottom"/>
          </w:tcPr>
          <w:p>
            <w:pPr>
              <w:jc w:val="right"/>
              <w:ind w:right="3"/>
              <w:spacing w:after="0"/>
              <w:rPr>
                <w:sz w:val="20"/>
                <w:szCs w:val="20"/>
                <w:color w:val="auto"/>
              </w:rPr>
            </w:pPr>
            <w:r>
              <w:rPr>
                <w:rFonts w:ascii="Calibri" w:cs="Calibri" w:eastAsia="Calibri" w:hAnsi="Calibri"/>
                <w:sz w:val="11"/>
                <w:szCs w:val="11"/>
                <w:color w:val="51555C"/>
              </w:rPr>
              <w:t>0.6</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tcPr>
          <w:p>
            <w:pPr>
              <w:jc w:val="right"/>
              <w:ind w:right="63"/>
              <w:spacing w:after="0"/>
              <w:rPr>
                <w:sz w:val="20"/>
                <w:szCs w:val="20"/>
                <w:color w:val="auto"/>
              </w:rPr>
            </w:pPr>
            <w:r>
              <w:rPr>
                <w:rFonts w:ascii="Calibri" w:cs="Calibri" w:eastAsia="Calibri" w:hAnsi="Calibri"/>
                <w:sz w:val="11"/>
                <w:szCs w:val="11"/>
                <w:color w:val="51555C"/>
              </w:rPr>
              <w:t>—</w:t>
            </w:r>
          </w:p>
        </w:tc>
        <w:tc>
          <w:tcPr>
            <w:tcW w:w="24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Calibri" w:cs="Calibri" w:eastAsia="Calibri" w:hAnsi="Calibri"/>
                <w:sz w:val="11"/>
                <w:szCs w:val="11"/>
                <w:color w:val="51555C"/>
              </w:rPr>
              <w:t>5.0</w:t>
            </w:r>
          </w:p>
        </w:tc>
      </w:tr>
      <w:tr>
        <w:trPr>
          <w:trHeight w:val="46"/>
        </w:trPr>
        <w:tc>
          <w:tcPr>
            <w:tcW w:w="20" w:type="dxa"/>
            <w:vAlign w:val="bottom"/>
          </w:tcPr>
          <w:p>
            <w:pPr>
              <w:spacing w:after="0"/>
              <w:rPr>
                <w:sz w:val="3"/>
                <w:szCs w:val="3"/>
                <w:color w:val="auto"/>
              </w:rPr>
            </w:pPr>
          </w:p>
        </w:tc>
        <w:tc>
          <w:tcPr>
            <w:tcW w:w="60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160"/>
        </w:trPr>
        <w:tc>
          <w:tcPr>
            <w:tcW w:w="20" w:type="dxa"/>
            <w:vAlign w:val="bottom"/>
            <w:tcBorders>
              <w:bottom w:val="single" w:sz="8" w:color="EBFBFF"/>
            </w:tcBorders>
            <w:shd w:val="clear" w:color="auto" w:fill="EBFBFF"/>
          </w:tcPr>
          <w:p>
            <w:pPr>
              <w:spacing w:after="0"/>
              <w:rPr>
                <w:sz w:val="13"/>
                <w:szCs w:val="13"/>
                <w:color w:val="auto"/>
              </w:rPr>
            </w:pPr>
          </w:p>
        </w:tc>
        <w:tc>
          <w:tcPr>
            <w:tcW w:w="6040" w:type="dxa"/>
            <w:vAlign w:val="bottom"/>
            <w:tcBorders>
              <w:bottom w:val="single" w:sz="8" w:color="EBFBFF"/>
            </w:tcBorders>
            <w:shd w:val="clear" w:color="auto" w:fill="EBFBFF"/>
          </w:tcPr>
          <w:p>
            <w:pPr>
              <w:ind w:left="80"/>
              <w:spacing w:after="0"/>
              <w:rPr>
                <w:sz w:val="20"/>
                <w:szCs w:val="20"/>
                <w:color w:val="auto"/>
              </w:rPr>
            </w:pPr>
            <w:r>
              <w:rPr>
                <w:rFonts w:ascii="Calibri" w:cs="Calibri" w:eastAsia="Calibri" w:hAnsi="Calibri"/>
                <w:sz w:val="11"/>
                <w:szCs w:val="11"/>
                <w:color w:val="51555C"/>
              </w:rPr>
              <w:t>Add: Acquisiton and dispositon-related costs</w:t>
            </w:r>
          </w:p>
        </w:tc>
        <w:tc>
          <w:tcPr>
            <w:tcW w:w="500" w:type="dxa"/>
            <w:vAlign w:val="bottom"/>
            <w:tcBorders>
              <w:bottom w:val="single" w:sz="8" w:color="EBFBFF"/>
            </w:tcBorders>
            <w:shd w:val="clear" w:color="auto" w:fill="EBFBFF"/>
          </w:tcPr>
          <w:p>
            <w:pPr>
              <w:spacing w:after="0"/>
              <w:rPr>
                <w:sz w:val="13"/>
                <w:szCs w:val="13"/>
                <w:color w:val="auto"/>
              </w:rPr>
            </w:pPr>
          </w:p>
        </w:tc>
        <w:tc>
          <w:tcPr>
            <w:tcW w:w="820" w:type="dxa"/>
            <w:vAlign w:val="bottom"/>
            <w:tcBorders>
              <w:bottom w:val="single" w:sz="8" w:color="EBFBFF"/>
            </w:tcBorders>
            <w:shd w:val="clear" w:color="auto" w:fill="EBFBFF"/>
          </w:tcPr>
          <w:p>
            <w:pPr>
              <w:jc w:val="right"/>
              <w:ind w:right="63"/>
              <w:spacing w:after="0"/>
              <w:rPr>
                <w:sz w:val="20"/>
                <w:szCs w:val="20"/>
                <w:color w:val="auto"/>
              </w:rPr>
            </w:pPr>
            <w:r>
              <w:rPr>
                <w:rFonts w:ascii="Calibri" w:cs="Calibri" w:eastAsia="Calibri" w:hAnsi="Calibri"/>
                <w:sz w:val="11"/>
                <w:szCs w:val="11"/>
                <w:color w:val="51555C"/>
              </w:rPr>
              <w:t>2.4</w:t>
            </w:r>
          </w:p>
        </w:tc>
        <w:tc>
          <w:tcPr>
            <w:tcW w:w="180" w:type="dxa"/>
            <w:vAlign w:val="bottom"/>
            <w:tcBorders>
              <w:bottom w:val="single" w:sz="8" w:color="EBFBFF"/>
            </w:tcBorders>
            <w:shd w:val="clear" w:color="auto" w:fill="EBFBFF"/>
          </w:tcPr>
          <w:p>
            <w:pPr>
              <w:spacing w:after="0"/>
              <w:rPr>
                <w:sz w:val="13"/>
                <w:szCs w:val="13"/>
                <w:color w:val="auto"/>
              </w:rPr>
            </w:pPr>
          </w:p>
        </w:tc>
        <w:tc>
          <w:tcPr>
            <w:tcW w:w="10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1"/>
                <w:szCs w:val="11"/>
                <w:color w:val="51555C"/>
              </w:rPr>
              <w:t>(0.8)</w:t>
            </w:r>
          </w:p>
        </w:tc>
        <w:tc>
          <w:tcPr>
            <w:tcW w:w="80" w:type="dxa"/>
            <w:vAlign w:val="bottom"/>
            <w:tcBorders>
              <w:bottom w:val="single" w:sz="8" w:color="EBFBFF"/>
            </w:tcBorders>
            <w:shd w:val="clear" w:color="auto" w:fill="EBFBFF"/>
          </w:tcPr>
          <w:p>
            <w:pPr>
              <w:spacing w:after="0"/>
              <w:rPr>
                <w:sz w:val="13"/>
                <w:szCs w:val="13"/>
                <w:color w:val="auto"/>
              </w:rPr>
            </w:pPr>
          </w:p>
        </w:tc>
        <w:tc>
          <w:tcPr>
            <w:tcW w:w="500" w:type="dxa"/>
            <w:vAlign w:val="bottom"/>
            <w:tcBorders>
              <w:bottom w:val="single" w:sz="8" w:color="EBFBFF"/>
            </w:tcBorders>
            <w:shd w:val="clear" w:color="auto" w:fill="EBFBFF"/>
          </w:tcPr>
          <w:p>
            <w:pPr>
              <w:spacing w:after="0"/>
              <w:rPr>
                <w:sz w:val="13"/>
                <w:szCs w:val="13"/>
                <w:color w:val="auto"/>
              </w:rPr>
            </w:pPr>
          </w:p>
        </w:tc>
        <w:tc>
          <w:tcPr>
            <w:tcW w:w="820" w:type="dxa"/>
            <w:vAlign w:val="bottom"/>
            <w:tcBorders>
              <w:bottom w:val="single" w:sz="8" w:color="EBFBFF"/>
            </w:tcBorders>
            <w:shd w:val="clear" w:color="auto" w:fill="EBFBFF"/>
          </w:tcPr>
          <w:p>
            <w:pPr>
              <w:jc w:val="right"/>
              <w:ind w:right="63"/>
              <w:spacing w:after="0"/>
              <w:rPr>
                <w:sz w:val="20"/>
                <w:szCs w:val="20"/>
                <w:color w:val="auto"/>
              </w:rPr>
            </w:pPr>
            <w:r>
              <w:rPr>
                <w:rFonts w:ascii="Calibri" w:cs="Calibri" w:eastAsia="Calibri" w:hAnsi="Calibri"/>
                <w:sz w:val="11"/>
                <w:szCs w:val="11"/>
                <w:color w:val="51555C"/>
              </w:rPr>
              <w:t>4.7</w:t>
            </w:r>
          </w:p>
        </w:tc>
        <w:tc>
          <w:tcPr>
            <w:tcW w:w="240" w:type="dxa"/>
            <w:vAlign w:val="bottom"/>
            <w:tcBorders>
              <w:bottom w:val="single" w:sz="8" w:color="EBFBFF"/>
            </w:tcBorders>
            <w:shd w:val="clear" w:color="auto" w:fill="EBFBFF"/>
          </w:tcPr>
          <w:p>
            <w:pPr>
              <w:spacing w:after="0"/>
              <w:rPr>
                <w:sz w:val="13"/>
                <w:szCs w:val="13"/>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1"/>
                <w:szCs w:val="11"/>
                <w:color w:val="51555C"/>
              </w:rPr>
              <w:t>(0.2)</w:t>
            </w:r>
          </w:p>
        </w:tc>
      </w:tr>
      <w:tr>
        <w:trPr>
          <w:trHeight w:val="175"/>
        </w:trPr>
        <w:tc>
          <w:tcPr>
            <w:tcW w:w="20" w:type="dxa"/>
            <w:vAlign w:val="bottom"/>
            <w:tcBorders>
              <w:bottom w:val="single" w:sz="8" w:color="EBFBFF"/>
            </w:tcBorders>
          </w:tcPr>
          <w:p>
            <w:pPr>
              <w:spacing w:after="0"/>
              <w:rPr>
                <w:sz w:val="15"/>
                <w:szCs w:val="15"/>
                <w:color w:val="auto"/>
              </w:rPr>
            </w:pPr>
          </w:p>
        </w:tc>
        <w:tc>
          <w:tcPr>
            <w:tcW w:w="6040" w:type="dxa"/>
            <w:vAlign w:val="bottom"/>
            <w:tcBorders>
              <w:bottom w:val="single" w:sz="8" w:color="EBFBFF"/>
            </w:tcBorders>
          </w:tcPr>
          <w:p>
            <w:pPr>
              <w:ind w:left="80"/>
              <w:spacing w:after="0" w:line="170" w:lineRule="exact"/>
              <w:rPr>
                <w:sz w:val="20"/>
                <w:szCs w:val="20"/>
                <w:color w:val="auto"/>
              </w:rPr>
            </w:pPr>
            <w:r>
              <w:rPr>
                <w:rFonts w:ascii="Calibri" w:cs="Calibri" w:eastAsia="Calibri" w:hAnsi="Calibri"/>
                <w:sz w:val="11"/>
                <w:szCs w:val="11"/>
                <w:color w:val="51555C"/>
              </w:rPr>
              <w:t>Add: Security Incident-related costs</w:t>
            </w:r>
            <w:r>
              <w:rPr>
                <w:rFonts w:ascii="Calibri" w:cs="Calibri" w:eastAsia="Calibri" w:hAnsi="Calibri"/>
                <w:sz w:val="14"/>
                <w:szCs w:val="14"/>
                <w:color w:val="51555C"/>
                <w:vertAlign w:val="superscript"/>
              </w:rPr>
              <w:t>(4)</w:t>
            </w:r>
          </w:p>
        </w:tc>
        <w:tc>
          <w:tcPr>
            <w:tcW w:w="500" w:type="dxa"/>
            <w:vAlign w:val="bottom"/>
            <w:tcBorders>
              <w:bottom w:val="single" w:sz="8" w:color="51555C"/>
            </w:tcBorders>
          </w:tcPr>
          <w:p>
            <w:pPr>
              <w:spacing w:after="0"/>
              <w:rPr>
                <w:sz w:val="15"/>
                <w:szCs w:val="15"/>
                <w:color w:val="auto"/>
              </w:rPr>
            </w:pPr>
          </w:p>
        </w:tc>
        <w:tc>
          <w:tcPr>
            <w:tcW w:w="820" w:type="dxa"/>
            <w:vAlign w:val="bottom"/>
            <w:tcBorders>
              <w:bottom w:val="single" w:sz="8" w:color="51555C"/>
            </w:tcBorders>
          </w:tcPr>
          <w:p>
            <w:pPr>
              <w:jc w:val="right"/>
              <w:ind w:right="63"/>
              <w:spacing w:after="0"/>
              <w:rPr>
                <w:sz w:val="20"/>
                <w:szCs w:val="20"/>
                <w:color w:val="auto"/>
              </w:rPr>
            </w:pPr>
            <w:r>
              <w:rPr>
                <w:rFonts w:ascii="Calibri" w:cs="Calibri" w:eastAsia="Calibri" w:hAnsi="Calibri"/>
                <w:sz w:val="11"/>
                <w:szCs w:val="11"/>
                <w:color w:val="51555C"/>
              </w:rPr>
              <w:t>1.8</w:t>
            </w:r>
          </w:p>
        </w:tc>
        <w:tc>
          <w:tcPr>
            <w:tcW w:w="180" w:type="dxa"/>
            <w:vAlign w:val="bottom"/>
            <w:tcBorders>
              <w:bottom w:val="single" w:sz="8" w:color="51555C"/>
            </w:tcBorders>
          </w:tcPr>
          <w:p>
            <w:pPr>
              <w:spacing w:after="0"/>
              <w:rPr>
                <w:sz w:val="15"/>
                <w:szCs w:val="15"/>
                <w:color w:val="auto"/>
              </w:rPr>
            </w:pPr>
          </w:p>
        </w:tc>
        <w:tc>
          <w:tcPr>
            <w:tcW w:w="1080" w:type="dxa"/>
            <w:vAlign w:val="bottom"/>
            <w:tcBorders>
              <w:bottom w:val="single" w:sz="8" w:color="51555C"/>
            </w:tcBorders>
          </w:tcPr>
          <w:p>
            <w:pPr>
              <w:jc w:val="right"/>
              <w:ind w:right="3"/>
              <w:spacing w:after="0"/>
              <w:rPr>
                <w:sz w:val="20"/>
                <w:szCs w:val="20"/>
                <w:color w:val="auto"/>
              </w:rPr>
            </w:pPr>
            <w:r>
              <w:rPr>
                <w:rFonts w:ascii="Calibri" w:cs="Calibri" w:eastAsia="Calibri" w:hAnsi="Calibri"/>
                <w:sz w:val="11"/>
                <w:szCs w:val="11"/>
                <w:color w:val="51555C"/>
              </w:rPr>
              <w:t>26.8</w:t>
            </w:r>
          </w:p>
        </w:tc>
        <w:tc>
          <w:tcPr>
            <w:tcW w:w="80" w:type="dxa"/>
            <w:vAlign w:val="bottom"/>
            <w:tcBorders>
              <w:bottom w:val="single" w:sz="8" w:color="EBFBFF"/>
            </w:tcBorders>
          </w:tcPr>
          <w:p>
            <w:pPr>
              <w:spacing w:after="0"/>
              <w:rPr>
                <w:sz w:val="15"/>
                <w:szCs w:val="15"/>
                <w:color w:val="auto"/>
              </w:rPr>
            </w:pPr>
          </w:p>
        </w:tc>
        <w:tc>
          <w:tcPr>
            <w:tcW w:w="500" w:type="dxa"/>
            <w:vAlign w:val="bottom"/>
            <w:tcBorders>
              <w:bottom w:val="single" w:sz="8" w:color="51555C"/>
            </w:tcBorders>
          </w:tcPr>
          <w:p>
            <w:pPr>
              <w:spacing w:after="0"/>
              <w:rPr>
                <w:sz w:val="15"/>
                <w:szCs w:val="15"/>
                <w:color w:val="auto"/>
              </w:rPr>
            </w:pPr>
          </w:p>
        </w:tc>
        <w:tc>
          <w:tcPr>
            <w:tcW w:w="820" w:type="dxa"/>
            <w:vAlign w:val="bottom"/>
            <w:tcBorders>
              <w:bottom w:val="single" w:sz="8" w:color="51555C"/>
            </w:tcBorders>
          </w:tcPr>
          <w:p>
            <w:pPr>
              <w:jc w:val="right"/>
              <w:ind w:right="63"/>
              <w:spacing w:after="0"/>
              <w:rPr>
                <w:sz w:val="20"/>
                <w:szCs w:val="20"/>
                <w:color w:val="auto"/>
              </w:rPr>
            </w:pPr>
            <w:r>
              <w:rPr>
                <w:rFonts w:ascii="Calibri" w:cs="Calibri" w:eastAsia="Calibri" w:hAnsi="Calibri"/>
                <w:sz w:val="11"/>
                <w:szCs w:val="11"/>
                <w:color w:val="51555C"/>
              </w:rPr>
              <w:t>12.1</w:t>
            </w:r>
          </w:p>
        </w:tc>
        <w:tc>
          <w:tcPr>
            <w:tcW w:w="240" w:type="dxa"/>
            <w:vAlign w:val="bottom"/>
            <w:tcBorders>
              <w:bottom w:val="single" w:sz="8" w:color="51555C"/>
            </w:tcBorders>
          </w:tcPr>
          <w:p>
            <w:pPr>
              <w:spacing w:after="0"/>
              <w:rPr>
                <w:sz w:val="15"/>
                <w:szCs w:val="15"/>
                <w:color w:val="auto"/>
              </w:rPr>
            </w:pPr>
          </w:p>
        </w:tc>
        <w:tc>
          <w:tcPr>
            <w:tcW w:w="1000" w:type="dxa"/>
            <w:vAlign w:val="bottom"/>
            <w:tcBorders>
              <w:bottom w:val="single" w:sz="8" w:color="51555C"/>
            </w:tcBorders>
          </w:tcPr>
          <w:p>
            <w:pPr>
              <w:jc w:val="right"/>
              <w:spacing w:after="0"/>
              <w:rPr>
                <w:sz w:val="20"/>
                <w:szCs w:val="20"/>
                <w:color w:val="auto"/>
              </w:rPr>
            </w:pPr>
            <w:r>
              <w:rPr>
                <w:rFonts w:ascii="Calibri" w:cs="Calibri" w:eastAsia="Calibri" w:hAnsi="Calibri"/>
                <w:sz w:val="11"/>
                <w:szCs w:val="11"/>
                <w:color w:val="51555C"/>
              </w:rPr>
              <w:t>44.6</w:t>
            </w:r>
          </w:p>
        </w:tc>
      </w:tr>
      <w:tr>
        <w:trPr>
          <w:trHeight w:val="176"/>
        </w:trPr>
        <w:tc>
          <w:tcPr>
            <w:tcW w:w="20" w:type="dxa"/>
            <w:vAlign w:val="bottom"/>
            <w:shd w:val="clear" w:color="auto" w:fill="EBFBFF"/>
          </w:tcPr>
          <w:p>
            <w:pPr>
              <w:spacing w:after="0"/>
              <w:rPr>
                <w:sz w:val="15"/>
                <w:szCs w:val="15"/>
                <w:color w:val="auto"/>
              </w:rPr>
            </w:pPr>
          </w:p>
        </w:tc>
        <w:tc>
          <w:tcPr>
            <w:tcW w:w="6040" w:type="dxa"/>
            <w:vAlign w:val="bottom"/>
            <w:shd w:val="clear" w:color="auto" w:fill="EBFBFF"/>
          </w:tcPr>
          <w:p>
            <w:pPr>
              <w:ind w:left="160"/>
              <w:spacing w:after="0" w:line="161" w:lineRule="exact"/>
              <w:rPr>
                <w:sz w:val="20"/>
                <w:szCs w:val="20"/>
                <w:color w:val="auto"/>
              </w:rPr>
            </w:pPr>
            <w:r>
              <w:rPr>
                <w:rFonts w:ascii="Calibri" w:cs="Calibri" w:eastAsia="Calibri" w:hAnsi="Calibri"/>
                <w:sz w:val="11"/>
                <w:szCs w:val="11"/>
                <w:color w:val="51555C"/>
              </w:rPr>
              <w:t>Subtotal</w:t>
            </w:r>
            <w:r>
              <w:rPr>
                <w:rFonts w:ascii="Calibri" w:cs="Calibri" w:eastAsia="Calibri" w:hAnsi="Calibri"/>
                <w:sz w:val="14"/>
                <w:szCs w:val="14"/>
                <w:color w:val="51555C"/>
                <w:vertAlign w:val="superscript"/>
              </w:rPr>
              <w:t>(2)</w:t>
            </w:r>
          </w:p>
        </w:tc>
        <w:tc>
          <w:tcPr>
            <w:tcW w:w="500" w:type="dxa"/>
            <w:vAlign w:val="bottom"/>
            <w:tcBorders>
              <w:bottom w:val="single" w:sz="8" w:color="51555C"/>
            </w:tcBorders>
            <w:shd w:val="clear" w:color="auto" w:fill="EBFBFF"/>
          </w:tcPr>
          <w:p>
            <w:pPr>
              <w:spacing w:after="0"/>
              <w:rPr>
                <w:sz w:val="15"/>
                <w:szCs w:val="15"/>
                <w:color w:val="auto"/>
              </w:rPr>
            </w:pPr>
          </w:p>
        </w:tc>
        <w:tc>
          <w:tcPr>
            <w:tcW w:w="820" w:type="dxa"/>
            <w:vAlign w:val="bottom"/>
            <w:tcBorders>
              <w:bottom w:val="single" w:sz="8" w:color="51555C"/>
            </w:tcBorders>
            <w:shd w:val="clear" w:color="auto" w:fill="EBFBFF"/>
          </w:tcPr>
          <w:p>
            <w:pPr>
              <w:jc w:val="right"/>
              <w:ind w:right="63"/>
              <w:spacing w:after="0"/>
              <w:rPr>
                <w:sz w:val="20"/>
                <w:szCs w:val="20"/>
                <w:color w:val="auto"/>
              </w:rPr>
            </w:pPr>
            <w:r>
              <w:rPr>
                <w:rFonts w:ascii="Calibri" w:cs="Calibri" w:eastAsia="Calibri" w:hAnsi="Calibri"/>
                <w:sz w:val="11"/>
                <w:szCs w:val="11"/>
                <w:color w:val="51555C"/>
              </w:rPr>
              <w:t>28.5</w:t>
            </w:r>
          </w:p>
        </w:tc>
        <w:tc>
          <w:tcPr>
            <w:tcW w:w="180" w:type="dxa"/>
            <w:vAlign w:val="bottom"/>
            <w:tcBorders>
              <w:bottom w:val="single" w:sz="8" w:color="51555C"/>
            </w:tcBorders>
            <w:shd w:val="clear" w:color="auto" w:fill="EBFBFF"/>
          </w:tcPr>
          <w:p>
            <w:pPr>
              <w:spacing w:after="0"/>
              <w:rPr>
                <w:sz w:val="15"/>
                <w:szCs w:val="15"/>
                <w:color w:val="auto"/>
              </w:rPr>
            </w:pPr>
          </w:p>
        </w:tc>
        <w:tc>
          <w:tcPr>
            <w:tcW w:w="1080" w:type="dxa"/>
            <w:vAlign w:val="bottom"/>
            <w:tcBorders>
              <w:bottom w:val="single" w:sz="8" w:color="51555C"/>
            </w:tcBorders>
            <w:shd w:val="clear" w:color="auto" w:fill="EBFBFF"/>
          </w:tcPr>
          <w:p>
            <w:pPr>
              <w:jc w:val="right"/>
              <w:ind w:right="3"/>
              <w:spacing w:after="0"/>
              <w:rPr>
                <w:sz w:val="20"/>
                <w:szCs w:val="20"/>
                <w:color w:val="auto"/>
              </w:rPr>
            </w:pPr>
            <w:r>
              <w:rPr>
                <w:rFonts w:ascii="Calibri" w:cs="Calibri" w:eastAsia="Calibri" w:hAnsi="Calibri"/>
                <w:sz w:val="11"/>
                <w:szCs w:val="11"/>
                <w:color w:val="51555C"/>
              </w:rPr>
              <w:t>59.9</w:t>
            </w:r>
          </w:p>
        </w:tc>
        <w:tc>
          <w:tcPr>
            <w:tcW w:w="80" w:type="dxa"/>
            <w:vAlign w:val="bottom"/>
            <w:shd w:val="clear" w:color="auto" w:fill="EBFBFF"/>
          </w:tcPr>
          <w:p>
            <w:pPr>
              <w:spacing w:after="0"/>
              <w:rPr>
                <w:sz w:val="15"/>
                <w:szCs w:val="15"/>
                <w:color w:val="auto"/>
              </w:rPr>
            </w:pPr>
          </w:p>
        </w:tc>
        <w:tc>
          <w:tcPr>
            <w:tcW w:w="500" w:type="dxa"/>
            <w:vAlign w:val="bottom"/>
            <w:tcBorders>
              <w:bottom w:val="single" w:sz="8" w:color="51555C"/>
            </w:tcBorders>
            <w:shd w:val="clear" w:color="auto" w:fill="EBFBFF"/>
          </w:tcPr>
          <w:p>
            <w:pPr>
              <w:spacing w:after="0"/>
              <w:rPr>
                <w:sz w:val="15"/>
                <w:szCs w:val="15"/>
                <w:color w:val="auto"/>
              </w:rPr>
            </w:pPr>
          </w:p>
        </w:tc>
        <w:tc>
          <w:tcPr>
            <w:tcW w:w="820" w:type="dxa"/>
            <w:vAlign w:val="bottom"/>
            <w:tcBorders>
              <w:bottom w:val="single" w:sz="8" w:color="51555C"/>
            </w:tcBorders>
            <w:shd w:val="clear" w:color="auto" w:fill="EBFBFF"/>
          </w:tcPr>
          <w:p>
            <w:pPr>
              <w:jc w:val="right"/>
              <w:ind w:right="63"/>
              <w:spacing w:after="0"/>
              <w:rPr>
                <w:sz w:val="20"/>
                <w:szCs w:val="20"/>
                <w:color w:val="auto"/>
              </w:rPr>
            </w:pPr>
            <w:r>
              <w:rPr>
                <w:rFonts w:ascii="Calibri" w:cs="Calibri" w:eastAsia="Calibri" w:hAnsi="Calibri"/>
                <w:sz w:val="11"/>
                <w:szCs w:val="11"/>
                <w:color w:val="51555C"/>
              </w:rPr>
              <w:t>74.7</w:t>
            </w:r>
          </w:p>
        </w:tc>
        <w:tc>
          <w:tcPr>
            <w:tcW w:w="240" w:type="dxa"/>
            <w:vAlign w:val="bottom"/>
            <w:tcBorders>
              <w:bottom w:val="single" w:sz="8" w:color="51555C"/>
            </w:tcBorders>
            <w:shd w:val="clear" w:color="auto" w:fill="EBFBFF"/>
          </w:tcPr>
          <w:p>
            <w:pPr>
              <w:spacing w:after="0"/>
              <w:rPr>
                <w:sz w:val="15"/>
                <w:szCs w:val="15"/>
                <w:color w:val="auto"/>
              </w:rPr>
            </w:pPr>
          </w:p>
        </w:tc>
        <w:tc>
          <w:tcPr>
            <w:tcW w:w="1000" w:type="dxa"/>
            <w:vAlign w:val="bottom"/>
            <w:tcBorders>
              <w:bottom w:val="single" w:sz="8" w:color="51555C"/>
            </w:tcBorders>
            <w:shd w:val="clear" w:color="auto" w:fill="EBFBFF"/>
          </w:tcPr>
          <w:p>
            <w:pPr>
              <w:jc w:val="right"/>
              <w:spacing w:after="0"/>
              <w:rPr>
                <w:sz w:val="20"/>
                <w:szCs w:val="20"/>
                <w:color w:val="auto"/>
              </w:rPr>
            </w:pPr>
            <w:r>
              <w:rPr>
                <w:rFonts w:ascii="Calibri" w:cs="Calibri" w:eastAsia="Calibri" w:hAnsi="Calibri"/>
                <w:sz w:val="11"/>
                <w:szCs w:val="11"/>
                <w:color w:val="51555C"/>
              </w:rPr>
              <w:t>112.6</w:t>
            </w:r>
          </w:p>
        </w:tc>
      </w:tr>
      <w:tr>
        <w:trPr>
          <w:trHeight w:val="163"/>
        </w:trPr>
        <w:tc>
          <w:tcPr>
            <w:tcW w:w="20" w:type="dxa"/>
            <w:vAlign w:val="bottom"/>
            <w:tcBorders>
              <w:bottom w:val="single" w:sz="8" w:color="EBFBFF"/>
            </w:tcBorders>
          </w:tcPr>
          <w:p>
            <w:pPr>
              <w:spacing w:after="0"/>
              <w:rPr>
                <w:sz w:val="14"/>
                <w:szCs w:val="14"/>
                <w:color w:val="auto"/>
              </w:rPr>
            </w:pPr>
          </w:p>
        </w:tc>
        <w:tc>
          <w:tcPr>
            <w:tcW w:w="6040" w:type="dxa"/>
            <w:vAlign w:val="bottom"/>
            <w:tcBorders>
              <w:bottom w:val="single" w:sz="8" w:color="EBFBFF"/>
            </w:tcBorders>
          </w:tcPr>
          <w:p>
            <w:pPr>
              <w:spacing w:after="0" w:line="155" w:lineRule="exact"/>
              <w:rPr>
                <w:sz w:val="20"/>
                <w:szCs w:val="20"/>
                <w:color w:val="auto"/>
              </w:rPr>
            </w:pPr>
            <w:r>
              <w:rPr>
                <w:rFonts w:ascii="Calibri" w:cs="Calibri" w:eastAsia="Calibri" w:hAnsi="Calibri"/>
                <w:sz w:val="11"/>
                <w:szCs w:val="11"/>
                <w:color w:val="51555C"/>
              </w:rPr>
              <w:t>Non-GAAP Adjusted EBITDA</w:t>
            </w:r>
            <w:r>
              <w:rPr>
                <w:rFonts w:ascii="Calibri" w:cs="Calibri" w:eastAsia="Calibri" w:hAnsi="Calibri"/>
                <w:sz w:val="14"/>
                <w:szCs w:val="14"/>
                <w:color w:val="51555C"/>
                <w:vertAlign w:val="superscript"/>
              </w:rPr>
              <w:t>(2)</w:t>
            </w:r>
          </w:p>
        </w:tc>
        <w:tc>
          <w:tcPr>
            <w:tcW w:w="500" w:type="dxa"/>
            <w:vAlign w:val="bottom"/>
            <w:tcBorders>
              <w:bottom w:val="single" w:sz="8" w:color="51555C"/>
            </w:tcBorders>
          </w:tcPr>
          <w:p>
            <w:pPr>
              <w:jc w:val="right"/>
              <w:ind w:right="363"/>
              <w:spacing w:after="0"/>
              <w:rPr>
                <w:sz w:val="20"/>
                <w:szCs w:val="20"/>
                <w:color w:val="auto"/>
              </w:rPr>
            </w:pPr>
            <w:r>
              <w:rPr>
                <w:rFonts w:ascii="Calibri" w:cs="Calibri" w:eastAsia="Calibri" w:hAnsi="Calibri"/>
                <w:sz w:val="11"/>
                <w:szCs w:val="11"/>
                <w:color w:val="51555C"/>
              </w:rPr>
              <w:t>$</w:t>
            </w:r>
          </w:p>
        </w:tc>
        <w:tc>
          <w:tcPr>
            <w:tcW w:w="820" w:type="dxa"/>
            <w:vAlign w:val="bottom"/>
            <w:tcBorders>
              <w:bottom w:val="single" w:sz="8" w:color="51555C"/>
            </w:tcBorders>
          </w:tcPr>
          <w:p>
            <w:pPr>
              <w:jc w:val="right"/>
              <w:ind w:right="63"/>
              <w:spacing w:after="0"/>
              <w:rPr>
                <w:sz w:val="20"/>
                <w:szCs w:val="20"/>
                <w:color w:val="auto"/>
              </w:rPr>
            </w:pPr>
            <w:r>
              <w:rPr>
                <w:rFonts w:ascii="Calibri" w:cs="Calibri" w:eastAsia="Calibri" w:hAnsi="Calibri"/>
                <w:sz w:val="11"/>
                <w:szCs w:val="11"/>
                <w:color w:val="51555C"/>
              </w:rPr>
              <w:t>102.5</w:t>
            </w:r>
          </w:p>
        </w:tc>
        <w:tc>
          <w:tcPr>
            <w:tcW w:w="180" w:type="dxa"/>
            <w:vAlign w:val="bottom"/>
            <w:tcBorders>
              <w:bottom w:val="single" w:sz="8" w:color="51555C"/>
            </w:tcBorders>
          </w:tcPr>
          <w:p>
            <w:pPr>
              <w:jc w:val="right"/>
              <w:ind w:right="43"/>
              <w:spacing w:after="0"/>
              <w:rPr>
                <w:sz w:val="20"/>
                <w:szCs w:val="20"/>
                <w:color w:val="auto"/>
              </w:rPr>
            </w:pPr>
            <w:r>
              <w:rPr>
                <w:rFonts w:ascii="Calibri" w:cs="Calibri" w:eastAsia="Calibri" w:hAnsi="Calibri"/>
                <w:sz w:val="11"/>
                <w:szCs w:val="11"/>
                <w:color w:val="51555C"/>
              </w:rPr>
              <w:t>$</w:t>
            </w:r>
          </w:p>
        </w:tc>
        <w:tc>
          <w:tcPr>
            <w:tcW w:w="1080" w:type="dxa"/>
            <w:vAlign w:val="bottom"/>
            <w:tcBorders>
              <w:bottom w:val="single" w:sz="8" w:color="51555C"/>
            </w:tcBorders>
          </w:tcPr>
          <w:p>
            <w:pPr>
              <w:jc w:val="right"/>
              <w:ind w:right="3"/>
              <w:spacing w:after="0"/>
              <w:rPr>
                <w:sz w:val="20"/>
                <w:szCs w:val="20"/>
                <w:color w:val="auto"/>
              </w:rPr>
            </w:pPr>
            <w:r>
              <w:rPr>
                <w:rFonts w:ascii="Calibri" w:cs="Calibri" w:eastAsia="Calibri" w:hAnsi="Calibri"/>
                <w:sz w:val="11"/>
                <w:szCs w:val="11"/>
                <w:color w:val="51555C"/>
              </w:rPr>
              <w:t>88.8</w:t>
            </w:r>
          </w:p>
        </w:tc>
        <w:tc>
          <w:tcPr>
            <w:tcW w:w="80" w:type="dxa"/>
            <w:vAlign w:val="bottom"/>
            <w:tcBorders>
              <w:bottom w:val="single" w:sz="8" w:color="EBFBFF"/>
            </w:tcBorders>
          </w:tcPr>
          <w:p>
            <w:pPr>
              <w:spacing w:after="0"/>
              <w:rPr>
                <w:sz w:val="14"/>
                <w:szCs w:val="14"/>
                <w:color w:val="auto"/>
              </w:rPr>
            </w:pPr>
          </w:p>
        </w:tc>
        <w:tc>
          <w:tcPr>
            <w:tcW w:w="500" w:type="dxa"/>
            <w:vAlign w:val="bottom"/>
            <w:tcBorders>
              <w:bottom w:val="single" w:sz="8" w:color="51555C"/>
            </w:tcBorders>
          </w:tcPr>
          <w:p>
            <w:pPr>
              <w:jc w:val="right"/>
              <w:ind w:right="383"/>
              <w:spacing w:after="0"/>
              <w:rPr>
                <w:sz w:val="20"/>
                <w:szCs w:val="20"/>
                <w:color w:val="auto"/>
              </w:rPr>
            </w:pPr>
            <w:r>
              <w:rPr>
                <w:rFonts w:ascii="Calibri" w:cs="Calibri" w:eastAsia="Calibri" w:hAnsi="Calibri"/>
                <w:sz w:val="11"/>
                <w:szCs w:val="11"/>
                <w:color w:val="51555C"/>
                <w:w w:val="70"/>
              </w:rPr>
              <w:t>$</w:t>
            </w:r>
          </w:p>
        </w:tc>
        <w:tc>
          <w:tcPr>
            <w:tcW w:w="820" w:type="dxa"/>
            <w:vAlign w:val="bottom"/>
            <w:tcBorders>
              <w:bottom w:val="single" w:sz="8" w:color="51555C"/>
            </w:tcBorders>
          </w:tcPr>
          <w:p>
            <w:pPr>
              <w:jc w:val="right"/>
              <w:ind w:right="63"/>
              <w:spacing w:after="0"/>
              <w:rPr>
                <w:sz w:val="20"/>
                <w:szCs w:val="20"/>
                <w:color w:val="auto"/>
              </w:rPr>
            </w:pPr>
            <w:r>
              <w:rPr>
                <w:rFonts w:ascii="Calibri" w:cs="Calibri" w:eastAsia="Calibri" w:hAnsi="Calibri"/>
                <w:sz w:val="11"/>
                <w:szCs w:val="11"/>
                <w:color w:val="51555C"/>
              </w:rPr>
              <w:t>191.4</w:t>
            </w:r>
          </w:p>
        </w:tc>
        <w:tc>
          <w:tcPr>
            <w:tcW w:w="240" w:type="dxa"/>
            <w:vAlign w:val="bottom"/>
            <w:tcBorders>
              <w:bottom w:val="single" w:sz="8" w:color="51555C"/>
            </w:tcBorders>
          </w:tcPr>
          <w:p>
            <w:pPr>
              <w:jc w:val="right"/>
              <w:ind w:right="103"/>
              <w:spacing w:after="0"/>
              <w:rPr>
                <w:sz w:val="20"/>
                <w:szCs w:val="20"/>
                <w:color w:val="auto"/>
              </w:rPr>
            </w:pPr>
            <w:r>
              <w:rPr>
                <w:rFonts w:ascii="Calibri" w:cs="Calibri" w:eastAsia="Calibri" w:hAnsi="Calibri"/>
                <w:sz w:val="11"/>
                <w:szCs w:val="11"/>
                <w:color w:val="51555C"/>
              </w:rPr>
              <w:t>$</w:t>
            </w:r>
          </w:p>
        </w:tc>
        <w:tc>
          <w:tcPr>
            <w:tcW w:w="1000" w:type="dxa"/>
            <w:vAlign w:val="bottom"/>
            <w:tcBorders>
              <w:bottom w:val="single" w:sz="8" w:color="51555C"/>
            </w:tcBorders>
          </w:tcPr>
          <w:p>
            <w:pPr>
              <w:jc w:val="right"/>
              <w:spacing w:after="0"/>
              <w:rPr>
                <w:sz w:val="20"/>
                <w:szCs w:val="20"/>
                <w:color w:val="auto"/>
              </w:rPr>
            </w:pPr>
            <w:r>
              <w:rPr>
                <w:rFonts w:ascii="Calibri" w:cs="Calibri" w:eastAsia="Calibri" w:hAnsi="Calibri"/>
                <w:sz w:val="11"/>
                <w:szCs w:val="11"/>
                <w:color w:val="51555C"/>
              </w:rPr>
              <w:t>160.1</w:t>
            </w:r>
          </w:p>
        </w:tc>
      </w:tr>
      <w:tr>
        <w:trPr>
          <w:trHeight w:val="179"/>
        </w:trPr>
        <w:tc>
          <w:tcPr>
            <w:tcW w:w="20" w:type="dxa"/>
            <w:vAlign w:val="bottom"/>
            <w:shd w:val="clear" w:color="auto" w:fill="EBFBFF"/>
          </w:tcPr>
          <w:p>
            <w:pPr>
              <w:spacing w:after="0"/>
              <w:rPr>
                <w:sz w:val="15"/>
                <w:szCs w:val="15"/>
                <w:color w:val="auto"/>
              </w:rPr>
            </w:pPr>
          </w:p>
        </w:tc>
        <w:tc>
          <w:tcPr>
            <w:tcW w:w="6040" w:type="dxa"/>
            <w:vAlign w:val="bottom"/>
            <w:shd w:val="clear" w:color="auto" w:fill="EBFBFF"/>
          </w:tcPr>
          <w:p>
            <w:pPr>
              <w:ind w:left="80"/>
              <w:spacing w:after="0" w:line="163" w:lineRule="exact"/>
              <w:rPr>
                <w:sz w:val="20"/>
                <w:szCs w:val="20"/>
                <w:color w:val="auto"/>
              </w:rPr>
            </w:pPr>
            <w:r>
              <w:rPr>
                <w:rFonts w:ascii="Calibri" w:cs="Calibri" w:eastAsia="Calibri" w:hAnsi="Calibri"/>
                <w:sz w:val="11"/>
                <w:szCs w:val="11"/>
                <w:b w:val="1"/>
                <w:bCs w:val="1"/>
                <w:color w:val="51555C"/>
              </w:rPr>
              <w:t>Non-GAAP Adjusted EBITDA margin</w:t>
            </w:r>
            <w:r>
              <w:rPr>
                <w:rFonts w:ascii="Calibri" w:cs="Calibri" w:eastAsia="Calibri" w:hAnsi="Calibri"/>
                <w:sz w:val="14"/>
                <w:szCs w:val="14"/>
                <w:b w:val="1"/>
                <w:bCs w:val="1"/>
                <w:color w:val="51555C"/>
                <w:vertAlign w:val="superscript"/>
              </w:rPr>
              <w:t>(5)</w:t>
            </w:r>
          </w:p>
        </w:tc>
        <w:tc>
          <w:tcPr>
            <w:tcW w:w="500" w:type="dxa"/>
            <w:vAlign w:val="bottom"/>
            <w:shd w:val="clear" w:color="auto" w:fill="EBFBFF"/>
          </w:tcPr>
          <w:p>
            <w:pPr>
              <w:spacing w:after="0"/>
              <w:rPr>
                <w:sz w:val="15"/>
                <w:szCs w:val="15"/>
                <w:color w:val="auto"/>
              </w:rPr>
            </w:pPr>
          </w:p>
        </w:tc>
        <w:tc>
          <w:tcPr>
            <w:tcW w:w="820" w:type="dxa"/>
            <w:vAlign w:val="bottom"/>
            <w:shd w:val="clear" w:color="auto" w:fill="EBFBFF"/>
          </w:tcPr>
          <w:p>
            <w:pPr>
              <w:jc w:val="right"/>
              <w:spacing w:after="0"/>
              <w:rPr>
                <w:sz w:val="20"/>
                <w:szCs w:val="20"/>
                <w:color w:val="auto"/>
              </w:rPr>
            </w:pPr>
            <w:r>
              <w:rPr>
                <w:rFonts w:ascii="Calibri" w:cs="Calibri" w:eastAsia="Calibri" w:hAnsi="Calibri"/>
                <w:sz w:val="11"/>
                <w:szCs w:val="11"/>
                <w:b w:val="1"/>
                <w:bCs w:val="1"/>
                <w:color w:val="51555C"/>
              </w:rPr>
              <w:t>35.7 %</w:t>
            </w:r>
          </w:p>
        </w:tc>
        <w:tc>
          <w:tcPr>
            <w:tcW w:w="180" w:type="dxa"/>
            <w:vAlign w:val="bottom"/>
            <w:shd w:val="clear" w:color="auto" w:fill="EBFBFF"/>
          </w:tcPr>
          <w:p>
            <w:pPr>
              <w:spacing w:after="0"/>
              <w:rPr>
                <w:sz w:val="15"/>
                <w:szCs w:val="15"/>
                <w:color w:val="auto"/>
              </w:rPr>
            </w:pPr>
          </w:p>
        </w:tc>
        <w:tc>
          <w:tcPr>
            <w:tcW w:w="1080" w:type="dxa"/>
            <w:vAlign w:val="bottom"/>
            <w:shd w:val="clear" w:color="auto" w:fill="EBFBFF"/>
          </w:tcPr>
          <w:p>
            <w:pPr>
              <w:spacing w:after="0"/>
              <w:rPr>
                <w:sz w:val="15"/>
                <w:szCs w:val="15"/>
                <w:color w:val="auto"/>
              </w:rPr>
            </w:pPr>
          </w:p>
        </w:tc>
        <w:tc>
          <w:tcPr>
            <w:tcW w:w="80" w:type="dxa"/>
            <w:vAlign w:val="bottom"/>
            <w:shd w:val="clear" w:color="auto" w:fill="EBFBFF"/>
          </w:tcPr>
          <w:p>
            <w:pPr>
              <w:spacing w:after="0"/>
              <w:rPr>
                <w:sz w:val="15"/>
                <w:szCs w:val="15"/>
                <w:color w:val="auto"/>
              </w:rPr>
            </w:pPr>
          </w:p>
        </w:tc>
        <w:tc>
          <w:tcPr>
            <w:tcW w:w="500" w:type="dxa"/>
            <w:vAlign w:val="bottom"/>
            <w:shd w:val="clear" w:color="auto" w:fill="EBFBFF"/>
          </w:tcPr>
          <w:p>
            <w:pPr>
              <w:spacing w:after="0"/>
              <w:rPr>
                <w:sz w:val="15"/>
                <w:szCs w:val="15"/>
                <w:color w:val="auto"/>
              </w:rPr>
            </w:pPr>
          </w:p>
        </w:tc>
        <w:tc>
          <w:tcPr>
            <w:tcW w:w="820" w:type="dxa"/>
            <w:vAlign w:val="bottom"/>
            <w:shd w:val="clear" w:color="auto" w:fill="EBFBFF"/>
          </w:tcPr>
          <w:p>
            <w:pPr>
              <w:jc w:val="right"/>
              <w:spacing w:after="0"/>
              <w:rPr>
                <w:sz w:val="20"/>
                <w:szCs w:val="20"/>
                <w:color w:val="auto"/>
              </w:rPr>
            </w:pPr>
            <w:r>
              <w:rPr>
                <w:rFonts w:ascii="Calibri" w:cs="Calibri" w:eastAsia="Calibri" w:hAnsi="Calibri"/>
                <w:sz w:val="11"/>
                <w:szCs w:val="11"/>
                <w:b w:val="1"/>
                <w:bCs w:val="1"/>
                <w:color w:val="51555C"/>
              </w:rPr>
              <w:t>33.8 %</w:t>
            </w:r>
          </w:p>
        </w:tc>
        <w:tc>
          <w:tcPr>
            <w:tcW w:w="240" w:type="dxa"/>
            <w:vAlign w:val="bottom"/>
            <w:shd w:val="clear" w:color="auto" w:fill="EBFBFF"/>
          </w:tcPr>
          <w:p>
            <w:pPr>
              <w:spacing w:after="0"/>
              <w:rPr>
                <w:sz w:val="15"/>
                <w:szCs w:val="15"/>
                <w:color w:val="auto"/>
              </w:rPr>
            </w:pPr>
          </w:p>
        </w:tc>
        <w:tc>
          <w:tcPr>
            <w:tcW w:w="1000" w:type="dxa"/>
            <w:vAlign w:val="bottom"/>
            <w:shd w:val="clear" w:color="auto" w:fill="EBFBFF"/>
          </w:tcPr>
          <w:p>
            <w:pPr>
              <w:spacing w:after="0"/>
              <w:rPr>
                <w:sz w:val="15"/>
                <w:szCs w:val="15"/>
                <w:color w:val="auto"/>
              </w:rPr>
            </w:pPr>
          </w:p>
        </w:tc>
      </w:tr>
      <w:tr>
        <w:trPr>
          <w:trHeight w:val="74"/>
        </w:trPr>
        <w:tc>
          <w:tcPr>
            <w:tcW w:w="20" w:type="dxa"/>
            <w:vAlign w:val="bottom"/>
          </w:tcPr>
          <w:p>
            <w:pPr>
              <w:spacing w:after="0"/>
              <w:rPr>
                <w:sz w:val="6"/>
                <w:szCs w:val="6"/>
                <w:color w:val="auto"/>
              </w:rPr>
            </w:pPr>
          </w:p>
        </w:tc>
        <w:tc>
          <w:tcPr>
            <w:tcW w:w="6040" w:type="dxa"/>
            <w:vAlign w:val="bottom"/>
          </w:tcPr>
          <w:p>
            <w:pPr>
              <w:spacing w:after="0"/>
              <w:rPr>
                <w:sz w:val="6"/>
                <w:szCs w:val="6"/>
                <w:color w:val="auto"/>
              </w:rPr>
            </w:pPr>
          </w:p>
        </w:tc>
        <w:tc>
          <w:tcPr>
            <w:tcW w:w="5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0" w:type="dxa"/>
            <w:vAlign w:val="bottom"/>
          </w:tcPr>
          <w:p>
            <w:pPr>
              <w:spacing w:after="0"/>
              <w:rPr>
                <w:sz w:val="6"/>
                <w:szCs w:val="6"/>
                <w:color w:val="auto"/>
              </w:rPr>
            </w:pPr>
          </w:p>
        </w:tc>
      </w:tr>
      <w:tr>
        <w:trPr>
          <w:trHeight w:val="180"/>
        </w:trPr>
        <w:tc>
          <w:tcPr>
            <w:tcW w:w="20" w:type="dxa"/>
            <w:vAlign w:val="bottom"/>
            <w:shd w:val="clear" w:color="auto" w:fill="EBFBFF"/>
          </w:tcPr>
          <w:p>
            <w:pPr>
              <w:spacing w:after="0"/>
              <w:rPr>
                <w:sz w:val="15"/>
                <w:szCs w:val="15"/>
                <w:color w:val="auto"/>
              </w:rPr>
            </w:pPr>
          </w:p>
        </w:tc>
        <w:tc>
          <w:tcPr>
            <w:tcW w:w="6040" w:type="dxa"/>
            <w:vAlign w:val="bottom"/>
            <w:shd w:val="clear" w:color="auto" w:fill="EBFBFF"/>
          </w:tcPr>
          <w:p>
            <w:pPr>
              <w:spacing w:after="0" w:line="170" w:lineRule="exact"/>
              <w:rPr>
                <w:sz w:val="20"/>
                <w:szCs w:val="20"/>
                <w:color w:val="auto"/>
              </w:rPr>
            </w:pPr>
            <w:r>
              <w:rPr>
                <w:rFonts w:ascii="Calibri" w:cs="Calibri" w:eastAsia="Calibri" w:hAnsi="Calibri"/>
                <w:sz w:val="11"/>
                <w:szCs w:val="11"/>
                <w:b w:val="1"/>
                <w:bCs w:val="1"/>
                <w:color w:val="51555C"/>
              </w:rPr>
              <w:t>Rule of 40</w:t>
            </w:r>
            <w:r>
              <w:rPr>
                <w:rFonts w:ascii="Calibri" w:cs="Calibri" w:eastAsia="Calibri" w:hAnsi="Calibri"/>
                <w:sz w:val="14"/>
                <w:szCs w:val="14"/>
                <w:b w:val="1"/>
                <w:bCs w:val="1"/>
                <w:color w:val="51555C"/>
                <w:vertAlign w:val="superscript"/>
              </w:rPr>
              <w:t>(6)</w:t>
            </w:r>
          </w:p>
        </w:tc>
        <w:tc>
          <w:tcPr>
            <w:tcW w:w="500" w:type="dxa"/>
            <w:vAlign w:val="bottom"/>
            <w:shd w:val="clear" w:color="auto" w:fill="EBFBFF"/>
          </w:tcPr>
          <w:p>
            <w:pPr>
              <w:spacing w:after="0"/>
              <w:rPr>
                <w:sz w:val="15"/>
                <w:szCs w:val="15"/>
                <w:color w:val="auto"/>
              </w:rPr>
            </w:pPr>
          </w:p>
        </w:tc>
        <w:tc>
          <w:tcPr>
            <w:tcW w:w="820" w:type="dxa"/>
            <w:vAlign w:val="bottom"/>
            <w:shd w:val="clear" w:color="auto" w:fill="EBFBFF"/>
          </w:tcPr>
          <w:p>
            <w:pPr>
              <w:jc w:val="right"/>
              <w:spacing w:after="0"/>
              <w:rPr>
                <w:sz w:val="20"/>
                <w:szCs w:val="20"/>
                <w:color w:val="auto"/>
              </w:rPr>
            </w:pPr>
            <w:r>
              <w:rPr>
                <w:rFonts w:ascii="Calibri" w:cs="Calibri" w:eastAsia="Calibri" w:hAnsi="Calibri"/>
                <w:sz w:val="11"/>
                <w:szCs w:val="11"/>
                <w:b w:val="1"/>
                <w:bCs w:val="1"/>
                <w:color w:val="51555C"/>
              </w:rPr>
              <w:t>42.4 %</w:t>
            </w:r>
          </w:p>
        </w:tc>
        <w:tc>
          <w:tcPr>
            <w:tcW w:w="180" w:type="dxa"/>
            <w:vAlign w:val="bottom"/>
            <w:shd w:val="clear" w:color="auto" w:fill="EBFBFF"/>
          </w:tcPr>
          <w:p>
            <w:pPr>
              <w:spacing w:after="0"/>
              <w:rPr>
                <w:sz w:val="15"/>
                <w:szCs w:val="15"/>
                <w:color w:val="auto"/>
              </w:rPr>
            </w:pPr>
          </w:p>
        </w:tc>
        <w:tc>
          <w:tcPr>
            <w:tcW w:w="1080" w:type="dxa"/>
            <w:vAlign w:val="bottom"/>
            <w:shd w:val="clear" w:color="auto" w:fill="EBFBFF"/>
          </w:tcPr>
          <w:p>
            <w:pPr>
              <w:spacing w:after="0"/>
              <w:rPr>
                <w:sz w:val="15"/>
                <w:szCs w:val="15"/>
                <w:color w:val="auto"/>
              </w:rPr>
            </w:pPr>
          </w:p>
        </w:tc>
        <w:tc>
          <w:tcPr>
            <w:tcW w:w="80" w:type="dxa"/>
            <w:vAlign w:val="bottom"/>
            <w:shd w:val="clear" w:color="auto" w:fill="EBFBFF"/>
          </w:tcPr>
          <w:p>
            <w:pPr>
              <w:spacing w:after="0"/>
              <w:rPr>
                <w:sz w:val="15"/>
                <w:szCs w:val="15"/>
                <w:color w:val="auto"/>
              </w:rPr>
            </w:pPr>
          </w:p>
        </w:tc>
        <w:tc>
          <w:tcPr>
            <w:tcW w:w="500" w:type="dxa"/>
            <w:vAlign w:val="bottom"/>
            <w:shd w:val="clear" w:color="auto" w:fill="EBFBFF"/>
          </w:tcPr>
          <w:p>
            <w:pPr>
              <w:spacing w:after="0"/>
              <w:rPr>
                <w:sz w:val="15"/>
                <w:szCs w:val="15"/>
                <w:color w:val="auto"/>
              </w:rPr>
            </w:pPr>
          </w:p>
        </w:tc>
        <w:tc>
          <w:tcPr>
            <w:tcW w:w="820" w:type="dxa"/>
            <w:vAlign w:val="bottom"/>
            <w:shd w:val="clear" w:color="auto" w:fill="EBFBFF"/>
          </w:tcPr>
          <w:p>
            <w:pPr>
              <w:jc w:val="right"/>
              <w:spacing w:after="0"/>
              <w:rPr>
                <w:sz w:val="20"/>
                <w:szCs w:val="20"/>
                <w:color w:val="auto"/>
              </w:rPr>
            </w:pPr>
            <w:r>
              <w:rPr>
                <w:rFonts w:ascii="Calibri" w:cs="Calibri" w:eastAsia="Calibri" w:hAnsi="Calibri"/>
                <w:sz w:val="11"/>
                <w:szCs w:val="11"/>
                <w:b w:val="1"/>
                <w:bCs w:val="1"/>
                <w:color w:val="51555C"/>
              </w:rPr>
              <w:t>40.6 %</w:t>
            </w:r>
          </w:p>
        </w:tc>
        <w:tc>
          <w:tcPr>
            <w:tcW w:w="240" w:type="dxa"/>
            <w:vAlign w:val="bottom"/>
            <w:shd w:val="clear" w:color="auto" w:fill="EBFBFF"/>
          </w:tcPr>
          <w:p>
            <w:pPr>
              <w:spacing w:after="0"/>
              <w:rPr>
                <w:sz w:val="15"/>
                <w:szCs w:val="15"/>
                <w:color w:val="auto"/>
              </w:rPr>
            </w:pPr>
          </w:p>
        </w:tc>
        <w:tc>
          <w:tcPr>
            <w:tcW w:w="1000" w:type="dxa"/>
            <w:vAlign w:val="bottom"/>
            <w:shd w:val="clear" w:color="auto" w:fill="EBFBFF"/>
          </w:tcPr>
          <w:p>
            <w:pPr>
              <w:spacing w:after="0"/>
              <w:rPr>
                <w:sz w:val="15"/>
                <w:szCs w:val="15"/>
                <w:color w:val="auto"/>
              </w:rPr>
            </w:pPr>
          </w:p>
        </w:tc>
      </w:tr>
      <w:tr>
        <w:trPr>
          <w:trHeight w:val="170"/>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0"/>
        </w:trPr>
        <w:tc>
          <w:tcPr>
            <w:tcW w:w="20" w:type="dxa"/>
            <w:vAlign w:val="bottom"/>
            <w:tcBorders>
              <w:bottom w:val="single" w:sz="8" w:color="EBFBFF"/>
            </w:tcBorders>
            <w:shd w:val="clear" w:color="auto" w:fill="EBFBFF"/>
          </w:tcPr>
          <w:p>
            <w:pPr>
              <w:spacing w:after="0"/>
              <w:rPr>
                <w:sz w:val="13"/>
                <w:szCs w:val="13"/>
                <w:color w:val="auto"/>
              </w:rPr>
            </w:pPr>
          </w:p>
        </w:tc>
        <w:tc>
          <w:tcPr>
            <w:tcW w:w="6040" w:type="dxa"/>
            <w:vAlign w:val="bottom"/>
            <w:tcBorders>
              <w:bottom w:val="single" w:sz="8" w:color="EBFBFF"/>
            </w:tcBorders>
            <w:shd w:val="clear" w:color="auto" w:fill="EBFBFF"/>
          </w:tcPr>
          <w:p>
            <w:pPr>
              <w:spacing w:after="0"/>
              <w:rPr>
                <w:sz w:val="20"/>
                <w:szCs w:val="20"/>
                <w:color w:val="auto"/>
              </w:rPr>
            </w:pPr>
            <w:r>
              <w:rPr>
                <w:rFonts w:ascii="Calibri" w:cs="Calibri" w:eastAsia="Calibri" w:hAnsi="Calibri"/>
                <w:sz w:val="11"/>
                <w:szCs w:val="11"/>
                <w:color w:val="51555C"/>
              </w:rPr>
              <w:t>Non-GAAP adjusted EBITDA</w:t>
            </w:r>
          </w:p>
        </w:tc>
        <w:tc>
          <w:tcPr>
            <w:tcW w:w="500" w:type="dxa"/>
            <w:vAlign w:val="bottom"/>
            <w:tcBorders>
              <w:bottom w:val="single" w:sz="8" w:color="EBFBFF"/>
            </w:tcBorders>
            <w:shd w:val="clear" w:color="auto" w:fill="EBFBFF"/>
          </w:tcPr>
          <w:p>
            <w:pPr>
              <w:spacing w:after="0"/>
              <w:rPr>
                <w:sz w:val="13"/>
                <w:szCs w:val="13"/>
                <w:color w:val="auto"/>
              </w:rPr>
            </w:pPr>
          </w:p>
        </w:tc>
        <w:tc>
          <w:tcPr>
            <w:tcW w:w="820" w:type="dxa"/>
            <w:vAlign w:val="bottom"/>
            <w:tcBorders>
              <w:bottom w:val="single" w:sz="8" w:color="EBFBFF"/>
            </w:tcBorders>
            <w:shd w:val="clear" w:color="auto" w:fill="EBFBFF"/>
          </w:tcPr>
          <w:p>
            <w:pPr>
              <w:jc w:val="right"/>
              <w:ind w:right="63"/>
              <w:spacing w:after="0"/>
              <w:rPr>
                <w:sz w:val="20"/>
                <w:szCs w:val="20"/>
                <w:color w:val="auto"/>
              </w:rPr>
            </w:pPr>
            <w:r>
              <w:rPr>
                <w:rFonts w:ascii="Calibri" w:cs="Calibri" w:eastAsia="Calibri" w:hAnsi="Calibri"/>
                <w:sz w:val="11"/>
                <w:szCs w:val="11"/>
                <w:color w:val="51555C"/>
              </w:rPr>
              <w:t>102.5</w:t>
            </w:r>
          </w:p>
        </w:tc>
        <w:tc>
          <w:tcPr>
            <w:tcW w:w="180" w:type="dxa"/>
            <w:vAlign w:val="bottom"/>
            <w:tcBorders>
              <w:bottom w:val="single" w:sz="8" w:color="EBFBFF"/>
            </w:tcBorders>
            <w:shd w:val="clear" w:color="auto" w:fill="EBFBFF"/>
          </w:tcPr>
          <w:p>
            <w:pPr>
              <w:spacing w:after="0"/>
              <w:rPr>
                <w:sz w:val="13"/>
                <w:szCs w:val="13"/>
                <w:color w:val="auto"/>
              </w:rPr>
            </w:pPr>
          </w:p>
        </w:tc>
        <w:tc>
          <w:tcPr>
            <w:tcW w:w="1080" w:type="dxa"/>
            <w:vAlign w:val="bottom"/>
            <w:tcBorders>
              <w:bottom w:val="single" w:sz="8" w:color="EBFBFF"/>
            </w:tcBorders>
            <w:shd w:val="clear" w:color="auto" w:fill="EBFBFF"/>
          </w:tcPr>
          <w:p>
            <w:pPr>
              <w:jc w:val="right"/>
              <w:ind w:right="3"/>
              <w:spacing w:after="0"/>
              <w:rPr>
                <w:sz w:val="20"/>
                <w:szCs w:val="20"/>
                <w:color w:val="auto"/>
              </w:rPr>
            </w:pPr>
            <w:r>
              <w:rPr>
                <w:rFonts w:ascii="Calibri" w:cs="Calibri" w:eastAsia="Calibri" w:hAnsi="Calibri"/>
                <w:sz w:val="11"/>
                <w:szCs w:val="11"/>
                <w:color w:val="51555C"/>
              </w:rPr>
              <w:t>88.8</w:t>
            </w:r>
          </w:p>
        </w:tc>
        <w:tc>
          <w:tcPr>
            <w:tcW w:w="80" w:type="dxa"/>
            <w:vAlign w:val="bottom"/>
            <w:tcBorders>
              <w:bottom w:val="single" w:sz="8" w:color="EBFBFF"/>
            </w:tcBorders>
            <w:shd w:val="clear" w:color="auto" w:fill="EBFBFF"/>
          </w:tcPr>
          <w:p>
            <w:pPr>
              <w:spacing w:after="0"/>
              <w:rPr>
                <w:sz w:val="13"/>
                <w:szCs w:val="13"/>
                <w:color w:val="auto"/>
              </w:rPr>
            </w:pPr>
          </w:p>
        </w:tc>
        <w:tc>
          <w:tcPr>
            <w:tcW w:w="500" w:type="dxa"/>
            <w:vAlign w:val="bottom"/>
            <w:tcBorders>
              <w:bottom w:val="single" w:sz="8" w:color="EBFBFF"/>
            </w:tcBorders>
            <w:shd w:val="clear" w:color="auto" w:fill="EBFBFF"/>
          </w:tcPr>
          <w:p>
            <w:pPr>
              <w:spacing w:after="0"/>
              <w:rPr>
                <w:sz w:val="13"/>
                <w:szCs w:val="13"/>
                <w:color w:val="auto"/>
              </w:rPr>
            </w:pPr>
          </w:p>
        </w:tc>
        <w:tc>
          <w:tcPr>
            <w:tcW w:w="820" w:type="dxa"/>
            <w:vAlign w:val="bottom"/>
            <w:tcBorders>
              <w:bottom w:val="single" w:sz="8" w:color="EBFBFF"/>
            </w:tcBorders>
            <w:shd w:val="clear" w:color="auto" w:fill="EBFBFF"/>
          </w:tcPr>
          <w:p>
            <w:pPr>
              <w:jc w:val="right"/>
              <w:ind w:right="63"/>
              <w:spacing w:after="0"/>
              <w:rPr>
                <w:sz w:val="20"/>
                <w:szCs w:val="20"/>
                <w:color w:val="auto"/>
              </w:rPr>
            </w:pPr>
            <w:r>
              <w:rPr>
                <w:rFonts w:ascii="Calibri" w:cs="Calibri" w:eastAsia="Calibri" w:hAnsi="Calibri"/>
                <w:sz w:val="11"/>
                <w:szCs w:val="11"/>
                <w:color w:val="51555C"/>
              </w:rPr>
              <w:t>191.4</w:t>
            </w:r>
          </w:p>
        </w:tc>
        <w:tc>
          <w:tcPr>
            <w:tcW w:w="240" w:type="dxa"/>
            <w:vAlign w:val="bottom"/>
            <w:tcBorders>
              <w:bottom w:val="single" w:sz="8" w:color="EBFBFF"/>
            </w:tcBorders>
            <w:shd w:val="clear" w:color="auto" w:fill="EBFBFF"/>
          </w:tcPr>
          <w:p>
            <w:pPr>
              <w:spacing w:after="0"/>
              <w:rPr>
                <w:sz w:val="13"/>
                <w:szCs w:val="13"/>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1"/>
                <w:szCs w:val="11"/>
                <w:color w:val="51555C"/>
              </w:rPr>
              <w:t>160.1</w:t>
            </w:r>
          </w:p>
        </w:tc>
      </w:tr>
      <w:tr>
        <w:trPr>
          <w:trHeight w:val="175"/>
        </w:trPr>
        <w:tc>
          <w:tcPr>
            <w:tcW w:w="20" w:type="dxa"/>
            <w:vAlign w:val="bottom"/>
            <w:tcBorders>
              <w:bottom w:val="single" w:sz="8" w:color="EBFBFF"/>
            </w:tcBorders>
          </w:tcPr>
          <w:p>
            <w:pPr>
              <w:spacing w:after="0"/>
              <w:rPr>
                <w:sz w:val="15"/>
                <w:szCs w:val="15"/>
                <w:color w:val="auto"/>
              </w:rPr>
            </w:pPr>
          </w:p>
        </w:tc>
        <w:tc>
          <w:tcPr>
            <w:tcW w:w="6040" w:type="dxa"/>
            <w:vAlign w:val="bottom"/>
            <w:tcBorders>
              <w:bottom w:val="single" w:sz="8" w:color="EBFBFF"/>
            </w:tcBorders>
          </w:tcPr>
          <w:p>
            <w:pPr>
              <w:ind w:left="80"/>
              <w:spacing w:after="0" w:line="170" w:lineRule="exact"/>
              <w:rPr>
                <w:sz w:val="20"/>
                <w:szCs w:val="20"/>
                <w:color w:val="auto"/>
              </w:rPr>
            </w:pPr>
            <w:r>
              <w:rPr>
                <w:rFonts w:ascii="Calibri" w:cs="Calibri" w:eastAsia="Calibri" w:hAnsi="Calibri"/>
                <w:sz w:val="11"/>
                <w:szCs w:val="11"/>
                <w:color w:val="51555C"/>
              </w:rPr>
              <w:t>Foreign currency impact on Non-GAAP adjusted EBITDA</w:t>
            </w:r>
            <w:r>
              <w:rPr>
                <w:rFonts w:ascii="Calibri" w:cs="Calibri" w:eastAsia="Calibri" w:hAnsi="Calibri"/>
                <w:sz w:val="14"/>
                <w:szCs w:val="14"/>
                <w:color w:val="51555C"/>
                <w:vertAlign w:val="superscript"/>
              </w:rPr>
              <w:t>(7)</w:t>
            </w:r>
          </w:p>
        </w:tc>
        <w:tc>
          <w:tcPr>
            <w:tcW w:w="500" w:type="dxa"/>
            <w:vAlign w:val="bottom"/>
            <w:tcBorders>
              <w:bottom w:val="single" w:sz="8" w:color="51555C"/>
            </w:tcBorders>
          </w:tcPr>
          <w:p>
            <w:pPr>
              <w:spacing w:after="0"/>
              <w:rPr>
                <w:sz w:val="15"/>
                <w:szCs w:val="15"/>
                <w:color w:val="auto"/>
              </w:rPr>
            </w:pPr>
          </w:p>
        </w:tc>
        <w:tc>
          <w:tcPr>
            <w:tcW w:w="820" w:type="dxa"/>
            <w:vAlign w:val="bottom"/>
            <w:tcBorders>
              <w:bottom w:val="single" w:sz="8" w:color="51555C"/>
            </w:tcBorders>
          </w:tcPr>
          <w:p>
            <w:pPr>
              <w:jc w:val="right"/>
              <w:ind w:right="43"/>
              <w:spacing w:after="0"/>
              <w:rPr>
                <w:sz w:val="20"/>
                <w:szCs w:val="20"/>
                <w:color w:val="auto"/>
              </w:rPr>
            </w:pPr>
            <w:r>
              <w:rPr>
                <w:rFonts w:ascii="Calibri" w:cs="Calibri" w:eastAsia="Calibri" w:hAnsi="Calibri"/>
                <w:sz w:val="11"/>
                <w:szCs w:val="11"/>
                <w:color w:val="51555C"/>
              </w:rPr>
              <w:t>(0.1)</w:t>
            </w:r>
          </w:p>
        </w:tc>
        <w:tc>
          <w:tcPr>
            <w:tcW w:w="180" w:type="dxa"/>
            <w:vAlign w:val="bottom"/>
            <w:tcBorders>
              <w:bottom w:val="single" w:sz="8" w:color="51555C"/>
            </w:tcBorders>
          </w:tcPr>
          <w:p>
            <w:pPr>
              <w:spacing w:after="0"/>
              <w:rPr>
                <w:sz w:val="15"/>
                <w:szCs w:val="15"/>
                <w:color w:val="auto"/>
              </w:rPr>
            </w:pPr>
          </w:p>
        </w:tc>
        <w:tc>
          <w:tcPr>
            <w:tcW w:w="1080" w:type="dxa"/>
            <w:vAlign w:val="bottom"/>
            <w:tcBorders>
              <w:bottom w:val="single" w:sz="8" w:color="51555C"/>
            </w:tcBorders>
          </w:tcPr>
          <w:p>
            <w:pPr>
              <w:jc w:val="right"/>
              <w:ind w:right="3"/>
              <w:spacing w:after="0"/>
              <w:rPr>
                <w:sz w:val="20"/>
                <w:szCs w:val="20"/>
                <w:color w:val="auto"/>
              </w:rPr>
            </w:pPr>
            <w:r>
              <w:rPr>
                <w:rFonts w:ascii="Calibri" w:cs="Calibri" w:eastAsia="Calibri" w:hAnsi="Calibri"/>
                <w:sz w:val="11"/>
                <w:szCs w:val="11"/>
                <w:color w:val="51555C"/>
              </w:rPr>
              <w:t>0.6</w:t>
            </w:r>
          </w:p>
        </w:tc>
        <w:tc>
          <w:tcPr>
            <w:tcW w:w="80" w:type="dxa"/>
            <w:vAlign w:val="bottom"/>
            <w:tcBorders>
              <w:bottom w:val="single" w:sz="8" w:color="EBFBFF"/>
            </w:tcBorders>
          </w:tcPr>
          <w:p>
            <w:pPr>
              <w:spacing w:after="0"/>
              <w:rPr>
                <w:sz w:val="15"/>
                <w:szCs w:val="15"/>
                <w:color w:val="auto"/>
              </w:rPr>
            </w:pPr>
          </w:p>
        </w:tc>
        <w:tc>
          <w:tcPr>
            <w:tcW w:w="500" w:type="dxa"/>
            <w:vAlign w:val="bottom"/>
            <w:tcBorders>
              <w:bottom w:val="single" w:sz="8" w:color="51555C"/>
            </w:tcBorders>
          </w:tcPr>
          <w:p>
            <w:pPr>
              <w:spacing w:after="0"/>
              <w:rPr>
                <w:sz w:val="15"/>
                <w:szCs w:val="15"/>
                <w:color w:val="auto"/>
              </w:rPr>
            </w:pPr>
          </w:p>
        </w:tc>
        <w:tc>
          <w:tcPr>
            <w:tcW w:w="820" w:type="dxa"/>
            <w:vAlign w:val="bottom"/>
            <w:tcBorders>
              <w:bottom w:val="single" w:sz="8" w:color="51555C"/>
            </w:tcBorders>
          </w:tcPr>
          <w:p>
            <w:pPr>
              <w:jc w:val="right"/>
              <w:ind w:right="43"/>
              <w:spacing w:after="0"/>
              <w:rPr>
                <w:sz w:val="20"/>
                <w:szCs w:val="20"/>
                <w:color w:val="auto"/>
              </w:rPr>
            </w:pPr>
            <w:r>
              <w:rPr>
                <w:rFonts w:ascii="Calibri" w:cs="Calibri" w:eastAsia="Calibri" w:hAnsi="Calibri"/>
                <w:sz w:val="11"/>
                <w:szCs w:val="11"/>
                <w:color w:val="51555C"/>
              </w:rPr>
              <w:t>(0.5)</w:t>
            </w:r>
          </w:p>
        </w:tc>
        <w:tc>
          <w:tcPr>
            <w:tcW w:w="240" w:type="dxa"/>
            <w:vAlign w:val="bottom"/>
            <w:tcBorders>
              <w:bottom w:val="single" w:sz="8" w:color="51555C"/>
            </w:tcBorders>
          </w:tcPr>
          <w:p>
            <w:pPr>
              <w:spacing w:after="0"/>
              <w:rPr>
                <w:sz w:val="15"/>
                <w:szCs w:val="15"/>
                <w:color w:val="auto"/>
              </w:rPr>
            </w:pPr>
          </w:p>
        </w:tc>
        <w:tc>
          <w:tcPr>
            <w:tcW w:w="1000" w:type="dxa"/>
            <w:vAlign w:val="bottom"/>
            <w:tcBorders>
              <w:bottom w:val="single" w:sz="8" w:color="51555C"/>
            </w:tcBorders>
          </w:tcPr>
          <w:p>
            <w:pPr>
              <w:jc w:val="right"/>
              <w:spacing w:after="0"/>
              <w:rPr>
                <w:sz w:val="20"/>
                <w:szCs w:val="20"/>
                <w:color w:val="auto"/>
              </w:rPr>
            </w:pPr>
            <w:r>
              <w:rPr>
                <w:rFonts w:ascii="Calibri" w:cs="Calibri" w:eastAsia="Calibri" w:hAnsi="Calibri"/>
                <w:sz w:val="11"/>
                <w:szCs w:val="11"/>
                <w:color w:val="51555C"/>
              </w:rPr>
              <w:t>1.9</w:t>
            </w:r>
          </w:p>
        </w:tc>
      </w:tr>
      <w:tr>
        <w:trPr>
          <w:trHeight w:val="176"/>
        </w:trPr>
        <w:tc>
          <w:tcPr>
            <w:tcW w:w="20" w:type="dxa"/>
            <w:vAlign w:val="bottom"/>
            <w:shd w:val="clear" w:color="auto" w:fill="EBFBFF"/>
          </w:tcPr>
          <w:p>
            <w:pPr>
              <w:spacing w:after="0"/>
              <w:rPr>
                <w:sz w:val="15"/>
                <w:szCs w:val="15"/>
                <w:color w:val="auto"/>
              </w:rPr>
            </w:pPr>
          </w:p>
        </w:tc>
        <w:tc>
          <w:tcPr>
            <w:tcW w:w="6040" w:type="dxa"/>
            <w:vAlign w:val="bottom"/>
            <w:shd w:val="clear" w:color="auto" w:fill="EBFBFF"/>
          </w:tcPr>
          <w:p>
            <w:pPr>
              <w:spacing w:after="0" w:line="161" w:lineRule="exact"/>
              <w:rPr>
                <w:sz w:val="20"/>
                <w:szCs w:val="20"/>
                <w:color w:val="auto"/>
              </w:rPr>
            </w:pPr>
            <w:r>
              <w:rPr>
                <w:rFonts w:ascii="Calibri" w:cs="Calibri" w:eastAsia="Calibri" w:hAnsi="Calibri"/>
                <w:sz w:val="11"/>
                <w:szCs w:val="11"/>
                <w:color w:val="51555C"/>
              </w:rPr>
              <w:t>Non-GAAP adjusted EBITDA on constant currency basis</w:t>
            </w:r>
            <w:r>
              <w:rPr>
                <w:rFonts w:ascii="Calibri" w:cs="Calibri" w:eastAsia="Calibri" w:hAnsi="Calibri"/>
                <w:sz w:val="14"/>
                <w:szCs w:val="14"/>
                <w:color w:val="51555C"/>
                <w:vertAlign w:val="superscript"/>
              </w:rPr>
              <w:t>(7)</w:t>
            </w:r>
          </w:p>
        </w:tc>
        <w:tc>
          <w:tcPr>
            <w:tcW w:w="500" w:type="dxa"/>
            <w:vAlign w:val="bottom"/>
            <w:tcBorders>
              <w:bottom w:val="single" w:sz="8" w:color="51555C"/>
            </w:tcBorders>
            <w:shd w:val="clear" w:color="auto" w:fill="EBFBFF"/>
          </w:tcPr>
          <w:p>
            <w:pPr>
              <w:jc w:val="right"/>
              <w:ind w:right="363"/>
              <w:spacing w:after="0"/>
              <w:rPr>
                <w:sz w:val="20"/>
                <w:szCs w:val="20"/>
                <w:color w:val="auto"/>
              </w:rPr>
            </w:pPr>
            <w:r>
              <w:rPr>
                <w:rFonts w:ascii="Calibri" w:cs="Calibri" w:eastAsia="Calibri" w:hAnsi="Calibri"/>
                <w:sz w:val="11"/>
                <w:szCs w:val="11"/>
                <w:color w:val="51555C"/>
              </w:rPr>
              <w:t>$</w:t>
            </w:r>
          </w:p>
        </w:tc>
        <w:tc>
          <w:tcPr>
            <w:tcW w:w="820" w:type="dxa"/>
            <w:vAlign w:val="bottom"/>
            <w:tcBorders>
              <w:bottom w:val="single" w:sz="8" w:color="51555C"/>
            </w:tcBorders>
            <w:shd w:val="clear" w:color="auto" w:fill="EBFBFF"/>
          </w:tcPr>
          <w:p>
            <w:pPr>
              <w:jc w:val="right"/>
              <w:ind w:right="63"/>
              <w:spacing w:after="0"/>
              <w:rPr>
                <w:sz w:val="20"/>
                <w:szCs w:val="20"/>
                <w:color w:val="auto"/>
              </w:rPr>
            </w:pPr>
            <w:r>
              <w:rPr>
                <w:rFonts w:ascii="Calibri" w:cs="Calibri" w:eastAsia="Calibri" w:hAnsi="Calibri"/>
                <w:sz w:val="11"/>
                <w:szCs w:val="11"/>
                <w:color w:val="51555C"/>
              </w:rPr>
              <w:t>102.4</w:t>
            </w:r>
          </w:p>
        </w:tc>
        <w:tc>
          <w:tcPr>
            <w:tcW w:w="180" w:type="dxa"/>
            <w:vAlign w:val="bottom"/>
            <w:tcBorders>
              <w:bottom w:val="single" w:sz="8" w:color="51555C"/>
            </w:tcBorders>
            <w:shd w:val="clear" w:color="auto" w:fill="EBFBFF"/>
          </w:tcPr>
          <w:p>
            <w:pPr>
              <w:jc w:val="right"/>
              <w:ind w:right="43"/>
              <w:spacing w:after="0"/>
              <w:rPr>
                <w:sz w:val="20"/>
                <w:szCs w:val="20"/>
                <w:color w:val="auto"/>
              </w:rPr>
            </w:pPr>
            <w:r>
              <w:rPr>
                <w:rFonts w:ascii="Calibri" w:cs="Calibri" w:eastAsia="Calibri" w:hAnsi="Calibri"/>
                <w:sz w:val="11"/>
                <w:szCs w:val="11"/>
                <w:color w:val="51555C"/>
              </w:rPr>
              <w:t>$</w:t>
            </w:r>
          </w:p>
        </w:tc>
        <w:tc>
          <w:tcPr>
            <w:tcW w:w="1080" w:type="dxa"/>
            <w:vAlign w:val="bottom"/>
            <w:tcBorders>
              <w:bottom w:val="single" w:sz="8" w:color="51555C"/>
            </w:tcBorders>
            <w:shd w:val="clear" w:color="auto" w:fill="EBFBFF"/>
          </w:tcPr>
          <w:p>
            <w:pPr>
              <w:jc w:val="right"/>
              <w:ind w:right="3"/>
              <w:spacing w:after="0"/>
              <w:rPr>
                <w:sz w:val="20"/>
                <w:szCs w:val="20"/>
                <w:color w:val="auto"/>
              </w:rPr>
            </w:pPr>
            <w:r>
              <w:rPr>
                <w:rFonts w:ascii="Calibri" w:cs="Calibri" w:eastAsia="Calibri" w:hAnsi="Calibri"/>
                <w:sz w:val="11"/>
                <w:szCs w:val="11"/>
                <w:color w:val="51555C"/>
              </w:rPr>
              <w:t>89.4</w:t>
            </w:r>
          </w:p>
        </w:tc>
        <w:tc>
          <w:tcPr>
            <w:tcW w:w="80" w:type="dxa"/>
            <w:vAlign w:val="bottom"/>
            <w:shd w:val="clear" w:color="auto" w:fill="EBFBFF"/>
          </w:tcPr>
          <w:p>
            <w:pPr>
              <w:spacing w:after="0"/>
              <w:rPr>
                <w:sz w:val="15"/>
                <w:szCs w:val="15"/>
                <w:color w:val="auto"/>
              </w:rPr>
            </w:pPr>
          </w:p>
        </w:tc>
        <w:tc>
          <w:tcPr>
            <w:tcW w:w="500" w:type="dxa"/>
            <w:vAlign w:val="bottom"/>
            <w:tcBorders>
              <w:bottom w:val="single" w:sz="8" w:color="51555C"/>
            </w:tcBorders>
            <w:shd w:val="clear" w:color="auto" w:fill="EBFBFF"/>
          </w:tcPr>
          <w:p>
            <w:pPr>
              <w:jc w:val="right"/>
              <w:ind w:right="383"/>
              <w:spacing w:after="0"/>
              <w:rPr>
                <w:sz w:val="20"/>
                <w:szCs w:val="20"/>
                <w:color w:val="auto"/>
              </w:rPr>
            </w:pPr>
            <w:r>
              <w:rPr>
                <w:rFonts w:ascii="Calibri" w:cs="Calibri" w:eastAsia="Calibri" w:hAnsi="Calibri"/>
                <w:sz w:val="11"/>
                <w:szCs w:val="11"/>
                <w:color w:val="51555C"/>
                <w:w w:val="70"/>
              </w:rPr>
              <w:t>$</w:t>
            </w:r>
          </w:p>
        </w:tc>
        <w:tc>
          <w:tcPr>
            <w:tcW w:w="820" w:type="dxa"/>
            <w:vAlign w:val="bottom"/>
            <w:tcBorders>
              <w:bottom w:val="single" w:sz="8" w:color="51555C"/>
            </w:tcBorders>
            <w:shd w:val="clear" w:color="auto" w:fill="EBFBFF"/>
          </w:tcPr>
          <w:p>
            <w:pPr>
              <w:jc w:val="right"/>
              <w:ind w:right="63"/>
              <w:spacing w:after="0"/>
              <w:rPr>
                <w:sz w:val="20"/>
                <w:szCs w:val="20"/>
                <w:color w:val="auto"/>
              </w:rPr>
            </w:pPr>
            <w:r>
              <w:rPr>
                <w:rFonts w:ascii="Calibri" w:cs="Calibri" w:eastAsia="Calibri" w:hAnsi="Calibri"/>
                <w:sz w:val="11"/>
                <w:szCs w:val="11"/>
                <w:color w:val="51555C"/>
              </w:rPr>
              <w:t>190.9</w:t>
            </w:r>
          </w:p>
        </w:tc>
        <w:tc>
          <w:tcPr>
            <w:tcW w:w="240" w:type="dxa"/>
            <w:vAlign w:val="bottom"/>
            <w:tcBorders>
              <w:bottom w:val="single" w:sz="8" w:color="51555C"/>
            </w:tcBorders>
            <w:shd w:val="clear" w:color="auto" w:fill="EBFBFF"/>
          </w:tcPr>
          <w:p>
            <w:pPr>
              <w:jc w:val="right"/>
              <w:ind w:right="103"/>
              <w:spacing w:after="0"/>
              <w:rPr>
                <w:sz w:val="20"/>
                <w:szCs w:val="20"/>
                <w:color w:val="auto"/>
              </w:rPr>
            </w:pPr>
            <w:r>
              <w:rPr>
                <w:rFonts w:ascii="Calibri" w:cs="Calibri" w:eastAsia="Calibri" w:hAnsi="Calibri"/>
                <w:sz w:val="11"/>
                <w:szCs w:val="11"/>
                <w:color w:val="51555C"/>
              </w:rPr>
              <w:t>$</w:t>
            </w:r>
          </w:p>
        </w:tc>
        <w:tc>
          <w:tcPr>
            <w:tcW w:w="1000" w:type="dxa"/>
            <w:vAlign w:val="bottom"/>
            <w:tcBorders>
              <w:bottom w:val="single" w:sz="8" w:color="51555C"/>
            </w:tcBorders>
            <w:shd w:val="clear" w:color="auto" w:fill="EBFBFF"/>
          </w:tcPr>
          <w:p>
            <w:pPr>
              <w:jc w:val="right"/>
              <w:spacing w:after="0"/>
              <w:rPr>
                <w:sz w:val="20"/>
                <w:szCs w:val="20"/>
                <w:color w:val="auto"/>
              </w:rPr>
            </w:pPr>
            <w:r>
              <w:rPr>
                <w:rFonts w:ascii="Calibri" w:cs="Calibri" w:eastAsia="Calibri" w:hAnsi="Calibri"/>
                <w:sz w:val="11"/>
                <w:szCs w:val="11"/>
                <w:color w:val="51555C"/>
              </w:rPr>
              <w:t>162.0</w:t>
            </w:r>
          </w:p>
        </w:tc>
      </w:tr>
      <w:tr>
        <w:trPr>
          <w:trHeight w:val="125"/>
        </w:trPr>
        <w:tc>
          <w:tcPr>
            <w:tcW w:w="20" w:type="dxa"/>
            <w:vAlign w:val="bottom"/>
          </w:tcPr>
          <w:p>
            <w:pPr>
              <w:spacing w:after="0"/>
              <w:rPr>
                <w:sz w:val="10"/>
                <w:szCs w:val="10"/>
                <w:color w:val="auto"/>
              </w:rPr>
            </w:pPr>
          </w:p>
        </w:tc>
        <w:tc>
          <w:tcPr>
            <w:tcW w:w="6040" w:type="dxa"/>
            <w:vAlign w:val="bottom"/>
          </w:tcPr>
          <w:p>
            <w:pPr>
              <w:ind w:left="80"/>
              <w:spacing w:after="0" w:line="125" w:lineRule="exact"/>
              <w:rPr>
                <w:sz w:val="20"/>
                <w:szCs w:val="20"/>
                <w:color w:val="auto"/>
              </w:rPr>
            </w:pPr>
            <w:r>
              <w:rPr>
                <w:rFonts w:ascii="Calibri" w:cs="Calibri" w:eastAsia="Calibri" w:hAnsi="Calibri"/>
                <w:sz w:val="11"/>
                <w:szCs w:val="11"/>
                <w:b w:val="1"/>
                <w:bCs w:val="1"/>
                <w:color w:val="51555C"/>
              </w:rPr>
              <w:t>Non-GAAP adjusted EBITDA margin on constant currency basis</w:t>
            </w:r>
          </w:p>
        </w:tc>
        <w:tc>
          <w:tcPr>
            <w:tcW w:w="500" w:type="dxa"/>
            <w:vAlign w:val="bottom"/>
          </w:tcPr>
          <w:p>
            <w:pPr>
              <w:spacing w:after="0"/>
              <w:rPr>
                <w:sz w:val="10"/>
                <w:szCs w:val="10"/>
                <w:color w:val="auto"/>
              </w:rPr>
            </w:pPr>
          </w:p>
        </w:tc>
        <w:tc>
          <w:tcPr>
            <w:tcW w:w="820" w:type="dxa"/>
            <w:vAlign w:val="bottom"/>
          </w:tcPr>
          <w:p>
            <w:pPr>
              <w:jc w:val="right"/>
              <w:spacing w:after="0" w:line="126" w:lineRule="exact"/>
              <w:rPr>
                <w:sz w:val="20"/>
                <w:szCs w:val="20"/>
                <w:color w:val="auto"/>
              </w:rPr>
            </w:pPr>
            <w:r>
              <w:rPr>
                <w:rFonts w:ascii="Calibri" w:cs="Calibri" w:eastAsia="Calibri" w:hAnsi="Calibri"/>
                <w:sz w:val="11"/>
                <w:szCs w:val="11"/>
                <w:b w:val="1"/>
                <w:bCs w:val="1"/>
                <w:color w:val="51555C"/>
              </w:rPr>
              <w:t>35.7 %</w:t>
            </w:r>
          </w:p>
        </w:tc>
        <w:tc>
          <w:tcPr>
            <w:tcW w:w="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20" w:type="dxa"/>
            <w:vAlign w:val="bottom"/>
          </w:tcPr>
          <w:p>
            <w:pPr>
              <w:jc w:val="right"/>
              <w:spacing w:after="0" w:line="126" w:lineRule="exact"/>
              <w:rPr>
                <w:sz w:val="20"/>
                <w:szCs w:val="20"/>
                <w:color w:val="auto"/>
              </w:rPr>
            </w:pPr>
            <w:r>
              <w:rPr>
                <w:rFonts w:ascii="Calibri" w:cs="Calibri" w:eastAsia="Calibri" w:hAnsi="Calibri"/>
                <w:sz w:val="11"/>
                <w:szCs w:val="11"/>
                <w:b w:val="1"/>
                <w:bCs w:val="1"/>
                <w:color w:val="51555C"/>
              </w:rPr>
              <w:t>33.8 %</w:t>
            </w: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r>
      <w:tr>
        <w:trPr>
          <w:trHeight w:val="46"/>
        </w:trPr>
        <w:tc>
          <w:tcPr>
            <w:tcW w:w="20" w:type="dxa"/>
            <w:vAlign w:val="bottom"/>
          </w:tcPr>
          <w:p>
            <w:pPr>
              <w:spacing w:after="0"/>
              <w:rPr>
                <w:sz w:val="3"/>
                <w:szCs w:val="3"/>
                <w:color w:val="auto"/>
              </w:rPr>
            </w:pPr>
          </w:p>
        </w:tc>
        <w:tc>
          <w:tcPr>
            <w:tcW w:w="60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74"/>
        </w:trPr>
        <w:tc>
          <w:tcPr>
            <w:tcW w:w="20" w:type="dxa"/>
            <w:vAlign w:val="bottom"/>
            <w:shd w:val="clear" w:color="auto" w:fill="EBFBFF"/>
          </w:tcPr>
          <w:p>
            <w:pPr>
              <w:spacing w:after="0"/>
              <w:rPr>
                <w:sz w:val="6"/>
                <w:szCs w:val="6"/>
                <w:color w:val="auto"/>
              </w:rPr>
            </w:pPr>
          </w:p>
        </w:tc>
        <w:tc>
          <w:tcPr>
            <w:tcW w:w="6040" w:type="dxa"/>
            <w:vAlign w:val="bottom"/>
            <w:shd w:val="clear" w:color="auto" w:fill="EBFBFF"/>
          </w:tcPr>
          <w:p>
            <w:pPr>
              <w:spacing w:after="0"/>
              <w:rPr>
                <w:sz w:val="6"/>
                <w:szCs w:val="6"/>
                <w:color w:val="auto"/>
              </w:rPr>
            </w:pPr>
          </w:p>
        </w:tc>
        <w:tc>
          <w:tcPr>
            <w:tcW w:w="500" w:type="dxa"/>
            <w:vAlign w:val="bottom"/>
            <w:shd w:val="clear" w:color="auto" w:fill="EBFBFF"/>
          </w:tcPr>
          <w:p>
            <w:pPr>
              <w:spacing w:after="0"/>
              <w:rPr>
                <w:sz w:val="6"/>
                <w:szCs w:val="6"/>
                <w:color w:val="auto"/>
              </w:rPr>
            </w:pPr>
          </w:p>
        </w:tc>
        <w:tc>
          <w:tcPr>
            <w:tcW w:w="820" w:type="dxa"/>
            <w:vAlign w:val="bottom"/>
            <w:shd w:val="clear" w:color="auto" w:fill="EBFBFF"/>
          </w:tcPr>
          <w:p>
            <w:pPr>
              <w:spacing w:after="0"/>
              <w:rPr>
                <w:sz w:val="6"/>
                <w:szCs w:val="6"/>
                <w:color w:val="auto"/>
              </w:rPr>
            </w:pPr>
          </w:p>
        </w:tc>
        <w:tc>
          <w:tcPr>
            <w:tcW w:w="180" w:type="dxa"/>
            <w:vAlign w:val="bottom"/>
            <w:shd w:val="clear" w:color="auto" w:fill="EBFBFF"/>
          </w:tcPr>
          <w:p>
            <w:pPr>
              <w:spacing w:after="0"/>
              <w:rPr>
                <w:sz w:val="6"/>
                <w:szCs w:val="6"/>
                <w:color w:val="auto"/>
              </w:rPr>
            </w:pPr>
          </w:p>
        </w:tc>
        <w:tc>
          <w:tcPr>
            <w:tcW w:w="1080" w:type="dxa"/>
            <w:vAlign w:val="bottom"/>
            <w:shd w:val="clear" w:color="auto" w:fill="EBFBFF"/>
          </w:tcPr>
          <w:p>
            <w:pPr>
              <w:spacing w:after="0"/>
              <w:rPr>
                <w:sz w:val="6"/>
                <w:szCs w:val="6"/>
                <w:color w:val="auto"/>
              </w:rPr>
            </w:pPr>
          </w:p>
        </w:tc>
        <w:tc>
          <w:tcPr>
            <w:tcW w:w="80" w:type="dxa"/>
            <w:vAlign w:val="bottom"/>
            <w:shd w:val="clear" w:color="auto" w:fill="EBFBFF"/>
          </w:tcPr>
          <w:p>
            <w:pPr>
              <w:spacing w:after="0"/>
              <w:rPr>
                <w:sz w:val="6"/>
                <w:szCs w:val="6"/>
                <w:color w:val="auto"/>
              </w:rPr>
            </w:pPr>
          </w:p>
        </w:tc>
        <w:tc>
          <w:tcPr>
            <w:tcW w:w="500" w:type="dxa"/>
            <w:vAlign w:val="bottom"/>
            <w:shd w:val="clear" w:color="auto" w:fill="EBFBFF"/>
          </w:tcPr>
          <w:p>
            <w:pPr>
              <w:spacing w:after="0"/>
              <w:rPr>
                <w:sz w:val="6"/>
                <w:szCs w:val="6"/>
                <w:color w:val="auto"/>
              </w:rPr>
            </w:pPr>
          </w:p>
        </w:tc>
        <w:tc>
          <w:tcPr>
            <w:tcW w:w="820" w:type="dxa"/>
            <w:vAlign w:val="bottom"/>
            <w:shd w:val="clear" w:color="auto" w:fill="EBFBFF"/>
          </w:tcPr>
          <w:p>
            <w:pPr>
              <w:spacing w:after="0"/>
              <w:rPr>
                <w:sz w:val="6"/>
                <w:szCs w:val="6"/>
                <w:color w:val="auto"/>
              </w:rPr>
            </w:pPr>
          </w:p>
        </w:tc>
        <w:tc>
          <w:tcPr>
            <w:tcW w:w="240" w:type="dxa"/>
            <w:vAlign w:val="bottom"/>
            <w:shd w:val="clear" w:color="auto" w:fill="EBFBFF"/>
          </w:tcPr>
          <w:p>
            <w:pPr>
              <w:spacing w:after="0"/>
              <w:rPr>
                <w:sz w:val="6"/>
                <w:szCs w:val="6"/>
                <w:color w:val="auto"/>
              </w:rPr>
            </w:pPr>
          </w:p>
        </w:tc>
        <w:tc>
          <w:tcPr>
            <w:tcW w:w="1000" w:type="dxa"/>
            <w:vAlign w:val="bottom"/>
            <w:shd w:val="clear" w:color="auto" w:fill="EBFBFF"/>
          </w:tcPr>
          <w:p>
            <w:pPr>
              <w:spacing w:after="0"/>
              <w:rPr>
                <w:sz w:val="6"/>
                <w:szCs w:val="6"/>
                <w:color w:val="auto"/>
              </w:rPr>
            </w:pPr>
          </w:p>
        </w:tc>
      </w:tr>
      <w:tr>
        <w:trPr>
          <w:trHeight w:val="175"/>
        </w:trPr>
        <w:tc>
          <w:tcPr>
            <w:tcW w:w="20" w:type="dxa"/>
            <w:vAlign w:val="bottom"/>
            <w:tcBorders>
              <w:bottom w:val="single" w:sz="8" w:color="0CD973"/>
            </w:tcBorders>
          </w:tcPr>
          <w:p>
            <w:pPr>
              <w:spacing w:after="0"/>
              <w:rPr>
                <w:sz w:val="15"/>
                <w:szCs w:val="15"/>
                <w:color w:val="auto"/>
              </w:rPr>
            </w:pPr>
          </w:p>
        </w:tc>
        <w:tc>
          <w:tcPr>
            <w:tcW w:w="6040" w:type="dxa"/>
            <w:vAlign w:val="bottom"/>
            <w:tcBorders>
              <w:bottom w:val="single" w:sz="8" w:color="0CD973"/>
            </w:tcBorders>
          </w:tcPr>
          <w:p>
            <w:pPr>
              <w:spacing w:after="0" w:line="170" w:lineRule="exact"/>
              <w:rPr>
                <w:sz w:val="20"/>
                <w:szCs w:val="20"/>
                <w:color w:val="auto"/>
              </w:rPr>
            </w:pPr>
            <w:r>
              <w:rPr>
                <w:rFonts w:ascii="Calibri" w:cs="Calibri" w:eastAsia="Calibri" w:hAnsi="Calibri"/>
                <w:sz w:val="11"/>
                <w:szCs w:val="11"/>
                <w:b w:val="1"/>
                <w:bCs w:val="1"/>
                <w:color w:val="51555C"/>
              </w:rPr>
              <w:t>Rule of 40 on constant currency basis</w:t>
            </w:r>
            <w:r>
              <w:rPr>
                <w:rFonts w:ascii="Calibri" w:cs="Calibri" w:eastAsia="Calibri" w:hAnsi="Calibri"/>
                <w:sz w:val="14"/>
                <w:szCs w:val="14"/>
                <w:b w:val="1"/>
                <w:bCs w:val="1"/>
                <w:color w:val="51555C"/>
                <w:vertAlign w:val="superscript"/>
              </w:rPr>
              <w:t>(8)</w:t>
            </w:r>
          </w:p>
        </w:tc>
        <w:tc>
          <w:tcPr>
            <w:tcW w:w="500" w:type="dxa"/>
            <w:vAlign w:val="bottom"/>
            <w:tcBorders>
              <w:bottom w:val="single" w:sz="8" w:color="0CD973"/>
            </w:tcBorders>
          </w:tcPr>
          <w:p>
            <w:pPr>
              <w:spacing w:after="0"/>
              <w:rPr>
                <w:sz w:val="15"/>
                <w:szCs w:val="15"/>
                <w:color w:val="auto"/>
              </w:rPr>
            </w:pPr>
          </w:p>
        </w:tc>
        <w:tc>
          <w:tcPr>
            <w:tcW w:w="820" w:type="dxa"/>
            <w:vAlign w:val="bottom"/>
            <w:tcBorders>
              <w:bottom w:val="single" w:sz="8" w:color="0CD973"/>
            </w:tcBorders>
          </w:tcPr>
          <w:p>
            <w:pPr>
              <w:jc w:val="right"/>
              <w:spacing w:after="0"/>
              <w:rPr>
                <w:sz w:val="20"/>
                <w:szCs w:val="20"/>
                <w:color w:val="auto"/>
              </w:rPr>
            </w:pPr>
            <w:r>
              <w:rPr>
                <w:rFonts w:ascii="Calibri" w:cs="Calibri" w:eastAsia="Calibri" w:hAnsi="Calibri"/>
                <w:sz w:val="11"/>
                <w:szCs w:val="11"/>
                <w:b w:val="1"/>
                <w:bCs w:val="1"/>
                <w:color w:val="51555C"/>
              </w:rPr>
              <w:t>42.3 %</w:t>
            </w:r>
          </w:p>
        </w:tc>
        <w:tc>
          <w:tcPr>
            <w:tcW w:w="180" w:type="dxa"/>
            <w:vAlign w:val="bottom"/>
            <w:tcBorders>
              <w:bottom w:val="single" w:sz="8" w:color="0CD973"/>
            </w:tcBorders>
          </w:tcPr>
          <w:p>
            <w:pPr>
              <w:spacing w:after="0"/>
              <w:rPr>
                <w:sz w:val="15"/>
                <w:szCs w:val="15"/>
                <w:color w:val="auto"/>
              </w:rPr>
            </w:pPr>
          </w:p>
        </w:tc>
        <w:tc>
          <w:tcPr>
            <w:tcW w:w="1080" w:type="dxa"/>
            <w:vAlign w:val="bottom"/>
            <w:tcBorders>
              <w:bottom w:val="single" w:sz="8" w:color="0CD973"/>
            </w:tcBorders>
          </w:tcPr>
          <w:p>
            <w:pPr>
              <w:spacing w:after="0"/>
              <w:rPr>
                <w:sz w:val="15"/>
                <w:szCs w:val="15"/>
                <w:color w:val="auto"/>
              </w:rPr>
            </w:pPr>
          </w:p>
        </w:tc>
        <w:tc>
          <w:tcPr>
            <w:tcW w:w="80" w:type="dxa"/>
            <w:vAlign w:val="bottom"/>
            <w:tcBorders>
              <w:bottom w:val="single" w:sz="8" w:color="0CD973"/>
            </w:tcBorders>
          </w:tcPr>
          <w:p>
            <w:pPr>
              <w:spacing w:after="0"/>
              <w:rPr>
                <w:sz w:val="15"/>
                <w:szCs w:val="15"/>
                <w:color w:val="auto"/>
              </w:rPr>
            </w:pPr>
          </w:p>
        </w:tc>
        <w:tc>
          <w:tcPr>
            <w:tcW w:w="500" w:type="dxa"/>
            <w:vAlign w:val="bottom"/>
            <w:tcBorders>
              <w:bottom w:val="single" w:sz="8" w:color="0CD973"/>
            </w:tcBorders>
          </w:tcPr>
          <w:p>
            <w:pPr>
              <w:spacing w:after="0"/>
              <w:rPr>
                <w:sz w:val="15"/>
                <w:szCs w:val="15"/>
                <w:color w:val="auto"/>
              </w:rPr>
            </w:pPr>
          </w:p>
        </w:tc>
        <w:tc>
          <w:tcPr>
            <w:tcW w:w="820" w:type="dxa"/>
            <w:vAlign w:val="bottom"/>
            <w:tcBorders>
              <w:bottom w:val="single" w:sz="8" w:color="0CD973"/>
            </w:tcBorders>
          </w:tcPr>
          <w:p>
            <w:pPr>
              <w:jc w:val="right"/>
              <w:spacing w:after="0"/>
              <w:rPr>
                <w:sz w:val="20"/>
                <w:szCs w:val="20"/>
                <w:color w:val="auto"/>
              </w:rPr>
            </w:pPr>
            <w:r>
              <w:rPr>
                <w:rFonts w:ascii="Calibri" w:cs="Calibri" w:eastAsia="Calibri" w:hAnsi="Calibri"/>
                <w:sz w:val="11"/>
                <w:szCs w:val="11"/>
                <w:b w:val="1"/>
                <w:bCs w:val="1"/>
                <w:color w:val="51555C"/>
              </w:rPr>
              <w:t>40.4 %</w:t>
            </w:r>
          </w:p>
        </w:tc>
        <w:tc>
          <w:tcPr>
            <w:tcW w:w="240" w:type="dxa"/>
            <w:vAlign w:val="bottom"/>
            <w:tcBorders>
              <w:bottom w:val="single" w:sz="8" w:color="0CD973"/>
            </w:tcBorders>
          </w:tcPr>
          <w:p>
            <w:pPr>
              <w:spacing w:after="0"/>
              <w:rPr>
                <w:sz w:val="15"/>
                <w:szCs w:val="15"/>
                <w:color w:val="auto"/>
              </w:rPr>
            </w:pPr>
          </w:p>
        </w:tc>
        <w:tc>
          <w:tcPr>
            <w:tcW w:w="1000" w:type="dxa"/>
            <w:vAlign w:val="bottom"/>
            <w:tcBorders>
              <w:bottom w:val="single" w:sz="8" w:color="0CD973"/>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3850005</wp:posOffset>
            </wp:positionH>
            <wp:positionV relativeFrom="paragraph">
              <wp:posOffset>-3213100</wp:posOffset>
            </wp:positionV>
            <wp:extent cx="3314700" cy="69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314700" cy="6985"/>
                    </a:xfrm>
                    <a:prstGeom prst="rect">
                      <a:avLst/>
                    </a:prstGeom>
                    <a:noFill/>
                  </pic:spPr>
                </pic:pic>
              </a:graphicData>
            </a:graphic>
          </wp:anchor>
        </w:drawing>
      </w:r>
    </w:p>
    <w:p>
      <w:pPr>
        <w:spacing w:after="0" w:line="32" w:lineRule="exact"/>
        <w:rPr>
          <w:sz w:val="20"/>
          <w:szCs w:val="20"/>
          <w:color w:val="auto"/>
        </w:rPr>
      </w:pPr>
    </w:p>
    <w:p>
      <w:pPr>
        <w:ind w:left="260" w:hanging="255"/>
        <w:spacing w:after="0"/>
        <w:tabs>
          <w:tab w:leader="none" w:pos="260" w:val="left"/>
        </w:tabs>
        <w:numPr>
          <w:ilvl w:val="0"/>
          <w:numId w:val="30"/>
        </w:numPr>
        <w:rPr>
          <w:rFonts w:ascii="Calibri" w:cs="Calibri" w:eastAsia="Calibri" w:hAnsi="Calibri"/>
          <w:sz w:val="11"/>
          <w:szCs w:val="11"/>
          <w:color w:val="51555C"/>
        </w:rPr>
      </w:pPr>
      <w:r>
        <w:rPr>
          <w:rFonts w:ascii="Calibri" w:cs="Calibri" w:eastAsia="Calibri" w:hAnsi="Calibri"/>
          <w:sz w:val="11"/>
          <w:szCs w:val="11"/>
          <w:color w:val="51555C"/>
        </w:rPr>
        <w:t>Includes amortzaton expense related to sofware development costs and amortzaton expense from capitalized cloud computng implementaton costs.</w:t>
      </w:r>
    </w:p>
    <w:p>
      <w:pPr>
        <w:ind w:left="260" w:hanging="255"/>
        <w:spacing w:after="0" w:line="227" w:lineRule="auto"/>
        <w:tabs>
          <w:tab w:leader="none" w:pos="260" w:val="left"/>
        </w:tabs>
        <w:numPr>
          <w:ilvl w:val="0"/>
          <w:numId w:val="30"/>
        </w:numPr>
        <w:rPr>
          <w:rFonts w:ascii="Calibri" w:cs="Calibri" w:eastAsia="Calibri" w:hAnsi="Calibri"/>
          <w:sz w:val="11"/>
          <w:szCs w:val="11"/>
          <w:color w:val="51555C"/>
        </w:rPr>
      </w:pPr>
      <w:r>
        <w:rPr>
          <w:rFonts w:ascii="Calibri" w:cs="Calibri" w:eastAsia="Calibri" w:hAnsi="Calibri"/>
          <w:sz w:val="11"/>
          <w:szCs w:val="11"/>
          <w:color w:val="51555C"/>
        </w:rPr>
        <w:t>The individual amounts for each year may not sum to subtotal, non-GAAP EBITDA, non-GAAP adjusted EBITDA or non-GAAP adjusted EBITDA on a constant currency basis due to rounding.</w:t>
      </w:r>
    </w:p>
    <w:p>
      <w:pPr>
        <w:spacing w:after="0" w:line="3" w:lineRule="exact"/>
        <w:rPr>
          <w:rFonts w:ascii="Calibri" w:cs="Calibri" w:eastAsia="Calibri" w:hAnsi="Calibri"/>
          <w:sz w:val="11"/>
          <w:szCs w:val="11"/>
          <w:color w:val="51555C"/>
        </w:rPr>
      </w:pPr>
    </w:p>
    <w:p>
      <w:pPr>
        <w:ind w:left="260" w:hanging="255"/>
        <w:spacing w:after="0"/>
        <w:tabs>
          <w:tab w:leader="none" w:pos="260" w:val="left"/>
        </w:tabs>
        <w:numPr>
          <w:ilvl w:val="0"/>
          <w:numId w:val="30"/>
        </w:numPr>
        <w:rPr>
          <w:rFonts w:ascii="Calibri" w:cs="Calibri" w:eastAsia="Calibri" w:hAnsi="Calibri"/>
          <w:sz w:val="11"/>
          <w:szCs w:val="11"/>
          <w:color w:val="51555C"/>
        </w:rPr>
      </w:pPr>
      <w:r>
        <w:rPr>
          <w:rFonts w:ascii="Calibri" w:cs="Calibri" w:eastAsia="Calibri" w:hAnsi="Calibri"/>
          <w:sz w:val="11"/>
          <w:szCs w:val="11"/>
          <w:color w:val="51555C"/>
        </w:rPr>
        <w:t>Measured by GAAP revenue divided by non-GAAP EBITDA.</w:t>
      </w:r>
    </w:p>
    <w:p>
      <w:pPr>
        <w:spacing w:after="0" w:line="3" w:lineRule="exact"/>
        <w:rPr>
          <w:rFonts w:ascii="Calibri" w:cs="Calibri" w:eastAsia="Calibri" w:hAnsi="Calibri"/>
          <w:sz w:val="11"/>
          <w:szCs w:val="11"/>
          <w:color w:val="51555C"/>
        </w:rPr>
      </w:pPr>
    </w:p>
    <w:p>
      <w:pPr>
        <w:ind w:left="260" w:hanging="255"/>
        <w:spacing w:after="0"/>
        <w:tabs>
          <w:tab w:leader="none" w:pos="260" w:val="left"/>
        </w:tabs>
        <w:numPr>
          <w:ilvl w:val="0"/>
          <w:numId w:val="30"/>
        </w:numPr>
        <w:rPr>
          <w:rFonts w:ascii="Calibri" w:cs="Calibri" w:eastAsia="Calibri" w:hAnsi="Calibri"/>
          <w:sz w:val="11"/>
          <w:szCs w:val="11"/>
          <w:color w:val="51555C"/>
        </w:rPr>
      </w:pPr>
      <w:r>
        <w:rPr>
          <w:rFonts w:ascii="Calibri" w:cs="Calibri" w:eastAsia="Calibri" w:hAnsi="Calibri"/>
          <w:sz w:val="11"/>
          <w:szCs w:val="11"/>
          <w:color w:val="51555C"/>
        </w:rPr>
        <w:t>See additonal details in the reconciliaton of GAAP to Non-GAAP operatng income above.</w:t>
      </w:r>
    </w:p>
    <w:p>
      <w:pPr>
        <w:spacing w:after="0" w:line="3" w:lineRule="exact"/>
        <w:rPr>
          <w:rFonts w:ascii="Calibri" w:cs="Calibri" w:eastAsia="Calibri" w:hAnsi="Calibri"/>
          <w:sz w:val="11"/>
          <w:szCs w:val="11"/>
          <w:color w:val="51555C"/>
        </w:rPr>
      </w:pPr>
    </w:p>
    <w:p>
      <w:pPr>
        <w:ind w:left="260" w:hanging="255"/>
        <w:spacing w:after="0"/>
        <w:tabs>
          <w:tab w:leader="none" w:pos="260" w:val="left"/>
        </w:tabs>
        <w:numPr>
          <w:ilvl w:val="0"/>
          <w:numId w:val="30"/>
        </w:numPr>
        <w:rPr>
          <w:rFonts w:ascii="Calibri" w:cs="Calibri" w:eastAsia="Calibri" w:hAnsi="Calibri"/>
          <w:sz w:val="11"/>
          <w:szCs w:val="11"/>
          <w:color w:val="51555C"/>
        </w:rPr>
      </w:pPr>
      <w:r>
        <w:rPr>
          <w:rFonts w:ascii="Calibri" w:cs="Calibri" w:eastAsia="Calibri" w:hAnsi="Calibri"/>
          <w:sz w:val="11"/>
          <w:szCs w:val="11"/>
          <w:color w:val="51555C"/>
        </w:rPr>
        <w:t>Measured by non-GAAP organic revenue divided by non-GAAP adjusted EBITDA.</w:t>
      </w:r>
    </w:p>
    <w:p>
      <w:pPr>
        <w:spacing w:after="0" w:line="3" w:lineRule="exact"/>
        <w:rPr>
          <w:rFonts w:ascii="Calibri" w:cs="Calibri" w:eastAsia="Calibri" w:hAnsi="Calibri"/>
          <w:sz w:val="11"/>
          <w:szCs w:val="11"/>
          <w:color w:val="51555C"/>
        </w:rPr>
      </w:pPr>
    </w:p>
    <w:p>
      <w:pPr>
        <w:ind w:left="260" w:hanging="255"/>
        <w:spacing w:after="0"/>
        <w:tabs>
          <w:tab w:leader="none" w:pos="260" w:val="left"/>
        </w:tabs>
        <w:numPr>
          <w:ilvl w:val="0"/>
          <w:numId w:val="30"/>
        </w:numPr>
        <w:rPr>
          <w:rFonts w:ascii="Calibri" w:cs="Calibri" w:eastAsia="Calibri" w:hAnsi="Calibri"/>
          <w:sz w:val="11"/>
          <w:szCs w:val="11"/>
          <w:color w:val="51555C"/>
        </w:rPr>
      </w:pPr>
      <w:r>
        <w:rPr>
          <w:rFonts w:ascii="Calibri" w:cs="Calibri" w:eastAsia="Calibri" w:hAnsi="Calibri"/>
          <w:sz w:val="11"/>
          <w:szCs w:val="11"/>
          <w:color w:val="51555C"/>
        </w:rPr>
        <w:t>Measured by non-GAAP organic revenue growth plus non-GAAP adjusted EBITDA margin. See Non-GAAP organic revenue growth table above.</w:t>
      </w:r>
    </w:p>
    <w:p>
      <w:pPr>
        <w:ind w:left="260" w:hanging="255"/>
        <w:spacing w:after="0" w:line="237" w:lineRule="auto"/>
        <w:tabs>
          <w:tab w:leader="none" w:pos="258" w:val="left"/>
        </w:tabs>
        <w:numPr>
          <w:ilvl w:val="0"/>
          <w:numId w:val="30"/>
        </w:numPr>
        <w:rPr>
          <w:rFonts w:ascii="Calibri" w:cs="Calibri" w:eastAsia="Calibri" w:hAnsi="Calibri"/>
          <w:sz w:val="11"/>
          <w:szCs w:val="11"/>
          <w:color w:val="51555C"/>
        </w:rPr>
      </w:pPr>
      <w:r>
        <w:rPr>
          <w:rFonts w:ascii="Calibri" w:cs="Calibri" w:eastAsia="Calibri" w:hAnsi="Calibri"/>
          <w:sz w:val="11"/>
          <w:szCs w:val="11"/>
          <w:color w:val="51555C"/>
        </w:rPr>
        <w:t>To determine non-GAAP adjusted EBITDA on a constant currency basis, non-GAAP adjusted EBITDA from enttes reportng in foreign currencies were translated to U.S. Dollars using the comparable prior period's quarterly weighted average foreign currency exchange rates. The primary foreign currencies creatng the impact are the Australian Dollar, Britsh Pound, Canadian Dollar and Euro.</w:t>
      </w:r>
    </w:p>
    <w:p>
      <w:pPr>
        <w:spacing w:after="0" w:line="3" w:lineRule="exact"/>
        <w:rPr>
          <w:rFonts w:ascii="Calibri" w:cs="Calibri" w:eastAsia="Calibri" w:hAnsi="Calibri"/>
          <w:sz w:val="11"/>
          <w:szCs w:val="11"/>
          <w:color w:val="51555C"/>
        </w:rPr>
      </w:pPr>
    </w:p>
    <w:p>
      <w:pPr>
        <w:ind w:left="260" w:hanging="255"/>
        <w:spacing w:after="0"/>
        <w:tabs>
          <w:tab w:leader="none" w:pos="260" w:val="left"/>
        </w:tabs>
        <w:numPr>
          <w:ilvl w:val="0"/>
          <w:numId w:val="30"/>
        </w:numPr>
        <w:rPr>
          <w:rFonts w:ascii="Calibri" w:cs="Calibri" w:eastAsia="Calibri" w:hAnsi="Calibri"/>
          <w:sz w:val="11"/>
          <w:szCs w:val="11"/>
          <w:color w:val="51555C"/>
        </w:rPr>
      </w:pPr>
      <w:r>
        <w:rPr>
          <w:rFonts w:ascii="Calibri" w:cs="Calibri" w:eastAsia="Calibri" w:hAnsi="Calibri"/>
          <w:sz w:val="11"/>
          <w:szCs w:val="11"/>
          <w:color w:val="51555C"/>
        </w:rPr>
        <w:t>Measured by non-GAAP organic revenue growth on constant currency basis plus non-GAAP adjusted EBITDA margin on constant currency basis. See Non-GAAP organic revenue growth table above.</w:t>
      </w:r>
    </w:p>
    <w:p>
      <w:pPr>
        <w:spacing w:after="0" w:line="272" w:lineRule="exact"/>
        <w:rPr>
          <w:sz w:val="20"/>
          <w:szCs w:val="20"/>
          <w:color w:val="auto"/>
        </w:rPr>
      </w:pPr>
    </w:p>
    <w:p>
      <w:pPr>
        <w:ind w:left="20"/>
        <w:spacing w:after="0"/>
        <w:tabs>
          <w:tab w:leader="none" w:pos="589" w:val="left"/>
        </w:tabs>
        <w:rPr>
          <w:sz w:val="20"/>
          <w:szCs w:val="20"/>
          <w:color w:val="auto"/>
        </w:rPr>
      </w:pPr>
      <w:r>
        <w:rPr>
          <w:rFonts w:ascii="Calibri" w:cs="Calibri" w:eastAsia="Calibri" w:hAnsi="Calibri"/>
          <w:sz w:val="11"/>
          <w:szCs w:val="11"/>
          <w:color w:val="51555C"/>
        </w:rPr>
        <w:t>42</w:t>
      </w:r>
      <w:r>
        <w:rPr>
          <w:sz w:val="20"/>
          <w:szCs w:val="20"/>
          <w:color w:val="auto"/>
        </w:rPr>
        <w:tab/>
      </w:r>
      <w:r>
        <w:rPr>
          <w:sz w:val="1"/>
          <w:szCs w:val="1"/>
          <w:color w:val="auto"/>
        </w:rPr>
        <w:drawing>
          <wp:inline distT="0" distB="0" distL="0" distR="0">
            <wp:extent cx="511810" cy="134620"/>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1810" cy="134620"/>
                    </a:xfrm>
                    <a:prstGeom prst="rect">
                      <a:avLst/>
                    </a:prstGeom>
                    <a:noFill/>
                    <a:ln>
                      <a:noFill/>
                    </a:ln>
                  </pic:spPr>
                </pic:pic>
              </a:graphicData>
            </a:graphic>
          </wp:inline>
        </w:drawing>
      </w:r>
      <w:r>
        <w:rPr>
          <w:rFonts w:ascii="Calibri" w:cs="Calibri" w:eastAsia="Calibri" w:hAnsi="Calibri"/>
          <w:sz w:val="11"/>
          <w:szCs w:val="11"/>
          <w:color w:val="51555C"/>
        </w:rPr>
        <w:t xml:space="preserve">    Second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135255</wp:posOffset>
            </wp:positionV>
            <wp:extent cx="7186930"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43" w:name="page44"/>
    <w:bookmarkEnd w:id="43"/>
    <w:p>
      <w:pPr>
        <w:spacing w:after="0"/>
        <w:rPr>
          <w:sz w:val="20"/>
          <w:szCs w:val="20"/>
          <w:color w:val="auto"/>
        </w:rPr>
      </w:pPr>
      <w:r>
        <w:rPr>
          <w:rFonts w:ascii="Calibri" w:cs="Calibri" w:eastAsia="Calibri" w:hAnsi="Calibri"/>
          <w:sz w:val="11"/>
          <w:szCs w:val="11"/>
          <w:u w:val="single" w:color="auto"/>
          <w:color w:val="7A04DD"/>
        </w:rPr>
        <w:t>Table of Contents</w:t>
      </w:r>
    </w:p>
    <w:p>
      <w:pPr>
        <w:spacing w:after="0" w:line="196" w:lineRule="exact"/>
        <w:rPr>
          <w:sz w:val="20"/>
          <w:szCs w:val="20"/>
          <w:color w:val="auto"/>
        </w:rPr>
      </w:pPr>
    </w:p>
    <w:p>
      <w:pPr>
        <w:jc w:val="center"/>
        <w:spacing w:after="0"/>
        <w:rPr>
          <w:sz w:val="20"/>
          <w:szCs w:val="20"/>
          <w:color w:val="auto"/>
        </w:rPr>
      </w:pPr>
      <w:r>
        <w:rPr>
          <w:rFonts w:ascii="Calibri" w:cs="Calibri" w:eastAsia="Calibri" w:hAnsi="Calibri"/>
          <w:sz w:val="14"/>
          <w:szCs w:val="14"/>
          <w:b w:val="1"/>
          <w:bCs w:val="1"/>
          <w:color w:val="51555C"/>
        </w:rPr>
        <w:t>Blackbaud, Inc.</w:t>
      </w:r>
    </w:p>
    <w:p>
      <w:pPr>
        <w:jc w:val="center"/>
        <w:spacing w:after="0" w:line="238" w:lineRule="auto"/>
        <w:rPr>
          <w:sz w:val="20"/>
          <w:szCs w:val="20"/>
          <w:color w:val="auto"/>
        </w:rPr>
      </w:pPr>
      <w:r>
        <w:rPr>
          <w:rFonts w:ascii="Calibri" w:cs="Calibri" w:eastAsia="Calibri" w:hAnsi="Calibri"/>
          <w:sz w:val="14"/>
          <w:szCs w:val="14"/>
          <w:b w:val="1"/>
          <w:bCs w:val="1"/>
          <w:color w:val="51555C"/>
        </w:rPr>
        <w:t>(Unaudited)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Calibri" w:cs="Calibri" w:eastAsia="Calibri" w:hAnsi="Calibri"/>
          <w:sz w:val="14"/>
          <w:szCs w:val="14"/>
          <w:i w:val="1"/>
          <w:iCs w:val="1"/>
          <w:color w:val="51555C"/>
        </w:rPr>
        <w:t>Non-GAAP free cash fow and non-GAAP adjusted free cash fow</w:t>
      </w:r>
    </w:p>
    <w:p>
      <w:pPr>
        <w:spacing w:after="0" w:line="129" w:lineRule="exact"/>
        <w:rPr>
          <w:sz w:val="20"/>
          <w:szCs w:val="20"/>
          <w:color w:val="auto"/>
        </w:rPr>
      </w:pPr>
    </w:p>
    <w:p>
      <w:pPr>
        <w:spacing w:after="0" w:line="237" w:lineRule="auto"/>
        <w:rPr>
          <w:sz w:val="20"/>
          <w:szCs w:val="20"/>
          <w:color w:val="auto"/>
        </w:rPr>
      </w:pPr>
      <w:r>
        <w:rPr>
          <w:rFonts w:ascii="Calibri" w:cs="Calibri" w:eastAsia="Calibri" w:hAnsi="Calibri"/>
          <w:sz w:val="14"/>
          <w:szCs w:val="14"/>
          <w:color w:val="51555C"/>
        </w:rPr>
        <w:t>Non-GAAP free cash fow is defned as operatng cash fow less capital expenditures, including costs required to be capitalized for sofware and content development, and capital expenditures for property and equipment.</w:t>
      </w:r>
    </w:p>
    <w:p>
      <w:pPr>
        <w:spacing w:after="0" w:line="129" w:lineRule="exact"/>
        <w:rPr>
          <w:sz w:val="20"/>
          <w:szCs w:val="20"/>
          <w:color w:val="auto"/>
        </w:rPr>
      </w:pPr>
    </w:p>
    <w:p>
      <w:pPr>
        <w:spacing w:after="0" w:line="237" w:lineRule="auto"/>
        <w:rPr>
          <w:sz w:val="20"/>
          <w:szCs w:val="20"/>
          <w:color w:val="auto"/>
        </w:rPr>
      </w:pPr>
      <w:r>
        <w:rPr>
          <w:rFonts w:ascii="Calibri" w:cs="Calibri" w:eastAsia="Calibri" w:hAnsi="Calibri"/>
          <w:sz w:val="14"/>
          <w:szCs w:val="14"/>
          <w:color w:val="51555C"/>
        </w:rPr>
        <w:t>Non-GAAP adjusted free cash fow is defned as operatng cash fow less capital expenditures, including costs required to be capitalized for sofware and content development and capital expenditures for property and equipment, plus cash outlows related to the Security Incident.</w:t>
      </w:r>
    </w:p>
    <w:p>
      <w:pPr>
        <w:spacing w:after="0" w:line="129" w:lineRule="exact"/>
        <w:rPr>
          <w:sz w:val="20"/>
          <w:szCs w:val="20"/>
          <w:color w:val="auto"/>
        </w:rPr>
      </w:pPr>
    </w:p>
    <w:p>
      <w:pPr>
        <w:spacing w:after="0" w:line="237" w:lineRule="auto"/>
        <w:rPr>
          <w:sz w:val="20"/>
          <w:szCs w:val="20"/>
          <w:color w:val="auto"/>
        </w:rPr>
      </w:pPr>
      <w:r>
        <w:rPr>
          <w:rFonts w:ascii="Calibri" w:cs="Calibri" w:eastAsia="Calibri" w:hAnsi="Calibri"/>
          <w:sz w:val="14"/>
          <w:szCs w:val="14"/>
          <w:color w:val="51555C"/>
        </w:rPr>
        <w:t>We believe non-GAAP free cash fow and non-GAAP adjusted free cash fow provides useful measures of the Company's operatng performance. Non-GAAP adjusted free cash fow is not intended to represent and should not be viewed as the amount of residual cash fow available for discretonary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52705</wp:posOffset>
            </wp:positionV>
            <wp:extent cx="7168515" cy="4514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68515" cy="45148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p>
      <w:pPr>
        <w:spacing w:after="0" w:line="200" w:lineRule="exact"/>
        <w:rPr>
          <w:sz w:val="20"/>
          <w:szCs w:val="20"/>
          <w:color w:val="auto"/>
        </w:rPr>
      </w:pPr>
    </w:p>
    <w:p>
      <w:pPr>
        <w:spacing w:after="0" w:line="222" w:lineRule="exact"/>
        <w:rPr>
          <w:sz w:val="20"/>
          <w:szCs w:val="20"/>
          <w:color w:val="auto"/>
        </w:rPr>
      </w:pPr>
    </w:p>
    <w:p>
      <w:pPr>
        <w:ind w:left="20"/>
        <w:spacing w:after="0"/>
        <w:rPr>
          <w:sz w:val="20"/>
          <w:szCs w:val="20"/>
          <w:color w:val="auto"/>
        </w:rPr>
      </w:pPr>
      <w:r>
        <w:rPr>
          <w:rFonts w:ascii="Calibri" w:cs="Calibri" w:eastAsia="Calibri" w:hAnsi="Calibri"/>
          <w:sz w:val="11"/>
          <w:szCs w:val="11"/>
          <w:b w:val="1"/>
          <w:bCs w:val="1"/>
          <w:color w:val="FFFFFF"/>
        </w:rPr>
        <w:t>(dollars in millions)</w:t>
      </w:r>
    </w:p>
    <w:p>
      <w:pPr>
        <w:spacing w:after="0" w:line="57" w:lineRule="exact"/>
        <w:rPr>
          <w:sz w:val="20"/>
          <w:szCs w:val="20"/>
          <w:color w:val="auto"/>
        </w:rPr>
      </w:pPr>
    </w:p>
    <w:p>
      <w:pPr>
        <w:ind w:left="20"/>
        <w:spacing w:after="0"/>
        <w:rPr>
          <w:sz w:val="20"/>
          <w:szCs w:val="20"/>
          <w:color w:val="auto"/>
        </w:rPr>
      </w:pPr>
      <w:r>
        <w:rPr>
          <w:rFonts w:ascii="Calibri" w:cs="Calibri" w:eastAsia="Calibri" w:hAnsi="Calibri"/>
          <w:sz w:val="11"/>
          <w:szCs w:val="11"/>
          <w:b w:val="1"/>
          <w:bCs w:val="1"/>
          <w:color w:val="51555C"/>
        </w:rPr>
        <w:t>GAAP net cash provided by operatng actvites</w:t>
      </w:r>
    </w:p>
    <w:p>
      <w:pPr>
        <w:spacing w:after="0" w:line="46" w:lineRule="exact"/>
        <w:rPr>
          <w:sz w:val="20"/>
          <w:szCs w:val="20"/>
          <w:color w:val="auto"/>
        </w:rPr>
      </w:pPr>
    </w:p>
    <w:p>
      <w:pPr>
        <w:ind w:left="100"/>
        <w:spacing w:after="0"/>
        <w:rPr>
          <w:sz w:val="20"/>
          <w:szCs w:val="20"/>
          <w:color w:val="auto"/>
        </w:rPr>
      </w:pPr>
      <w:r>
        <w:rPr>
          <w:rFonts w:ascii="Calibri" w:cs="Calibri" w:eastAsia="Calibri" w:hAnsi="Calibri"/>
          <w:sz w:val="11"/>
          <w:szCs w:val="11"/>
          <w:b w:val="1"/>
          <w:bCs w:val="1"/>
          <w:color w:val="51555C"/>
        </w:rPr>
        <w:t>GAAP operatng cash fow margin</w:t>
      </w:r>
    </w:p>
    <w:p>
      <w:pPr>
        <w:spacing w:after="0" w:line="46" w:lineRule="exact"/>
        <w:rPr>
          <w:sz w:val="20"/>
          <w:szCs w:val="20"/>
          <w:color w:val="auto"/>
        </w:rPr>
      </w:pPr>
    </w:p>
    <w:p>
      <w:pPr>
        <w:ind w:left="20"/>
        <w:spacing w:after="0"/>
        <w:rPr>
          <w:sz w:val="20"/>
          <w:szCs w:val="20"/>
          <w:color w:val="auto"/>
        </w:rPr>
      </w:pPr>
      <w:r>
        <w:rPr>
          <w:rFonts w:ascii="Calibri" w:cs="Calibri" w:eastAsia="Calibri" w:hAnsi="Calibri"/>
          <w:sz w:val="11"/>
          <w:szCs w:val="11"/>
          <w:b w:val="1"/>
          <w:bCs w:val="1"/>
          <w:color w:val="51555C"/>
        </w:rPr>
        <w:t>Non-GAAP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161530" cy="1143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26" w:lineRule="exact"/>
        <w:rPr>
          <w:sz w:val="20"/>
          <w:szCs w:val="20"/>
          <w:color w:val="auto"/>
        </w:rPr>
      </w:pPr>
    </w:p>
    <w:p>
      <w:pPr>
        <w:ind w:left="100"/>
        <w:spacing w:after="0"/>
        <w:rPr>
          <w:sz w:val="20"/>
          <w:szCs w:val="20"/>
          <w:color w:val="auto"/>
        </w:rPr>
      </w:pPr>
      <w:r>
        <w:rPr>
          <w:rFonts w:ascii="Calibri" w:cs="Calibri" w:eastAsia="Calibri" w:hAnsi="Calibri"/>
          <w:sz w:val="11"/>
          <w:szCs w:val="11"/>
          <w:color w:val="51555C"/>
        </w:rPr>
        <w:t>Less: purchase of property and equipment</w:t>
      </w:r>
    </w:p>
    <w:p>
      <w:pPr>
        <w:spacing w:after="0" w:line="46" w:lineRule="exact"/>
        <w:rPr>
          <w:sz w:val="20"/>
          <w:szCs w:val="20"/>
          <w:color w:val="auto"/>
        </w:rPr>
      </w:pPr>
    </w:p>
    <w:p>
      <w:pPr>
        <w:ind w:left="100"/>
        <w:spacing w:after="0"/>
        <w:rPr>
          <w:sz w:val="20"/>
          <w:szCs w:val="20"/>
          <w:color w:val="auto"/>
        </w:rPr>
      </w:pPr>
      <w:r>
        <w:rPr>
          <w:rFonts w:ascii="Calibri" w:cs="Calibri" w:eastAsia="Calibri" w:hAnsi="Calibri"/>
          <w:sz w:val="11"/>
          <w:szCs w:val="11"/>
          <w:color w:val="51555C"/>
        </w:rPr>
        <w:t>Less: capitalized sofware and content development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161530" cy="1143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Calibri" w:cs="Calibri" w:eastAsia="Calibri" w:hAnsi="Calibri"/>
          <w:sz w:val="11"/>
          <w:szCs w:val="11"/>
          <w:b w:val="1"/>
          <w:bCs w:val="1"/>
          <w:color w:val="51555C"/>
        </w:rPr>
        <w:t>Non-GAAP free cash fow</w:t>
      </w:r>
      <w:r>
        <w:rPr>
          <w:rFonts w:ascii="Calibri" w:cs="Calibri" w:eastAsia="Calibri" w:hAnsi="Calibri"/>
          <w:sz w:val="14"/>
          <w:szCs w:val="14"/>
          <w:b w:val="1"/>
          <w:bCs w:val="1"/>
          <w:color w:val="51555C"/>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161530" cy="1212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6" w:lineRule="exact"/>
        <w:rPr>
          <w:sz w:val="20"/>
          <w:szCs w:val="20"/>
          <w:color w:val="auto"/>
        </w:rPr>
      </w:pPr>
    </w:p>
    <w:p>
      <w:pPr>
        <w:ind w:left="100"/>
        <w:spacing w:after="0"/>
        <w:rPr>
          <w:sz w:val="20"/>
          <w:szCs w:val="20"/>
          <w:color w:val="auto"/>
        </w:rPr>
      </w:pPr>
      <w:r>
        <w:rPr>
          <w:rFonts w:ascii="Calibri" w:cs="Calibri" w:eastAsia="Calibri" w:hAnsi="Calibri"/>
          <w:sz w:val="11"/>
          <w:szCs w:val="11"/>
          <w:b w:val="1"/>
          <w:bCs w:val="1"/>
          <w:color w:val="51555C"/>
        </w:rPr>
        <w:t>Non-GAAP free cash fow margin</w:t>
      </w:r>
    </w:p>
    <w:p>
      <w:pPr>
        <w:spacing w:after="0" w:line="46" w:lineRule="exact"/>
        <w:rPr>
          <w:sz w:val="20"/>
          <w:szCs w:val="20"/>
          <w:color w:val="auto"/>
        </w:rPr>
      </w:pPr>
    </w:p>
    <w:p>
      <w:pPr>
        <w:ind w:left="20"/>
        <w:spacing w:after="0"/>
        <w:rPr>
          <w:sz w:val="20"/>
          <w:szCs w:val="20"/>
          <w:color w:val="auto"/>
        </w:rPr>
      </w:pPr>
      <w:r>
        <w:rPr>
          <w:rFonts w:ascii="Calibri" w:cs="Calibri" w:eastAsia="Calibri" w:hAnsi="Calibri"/>
          <w:sz w:val="11"/>
          <w:szCs w:val="11"/>
          <w:b w:val="1"/>
          <w:bCs w:val="1"/>
          <w:color w:val="51555C"/>
        </w:rPr>
        <w:t>Non-GAAP adjustments:</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5"/>
        </w:trPr>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Calibri" w:cs="Calibri" w:eastAsia="Calibri" w:hAnsi="Calibri"/>
                <w:sz w:val="11"/>
                <w:szCs w:val="11"/>
                <w:b w:val="1"/>
                <w:bCs w:val="1"/>
                <w:color w:val="FFFFFF"/>
              </w:rPr>
              <w:t>Six months ended</w:t>
            </w:r>
          </w:p>
        </w:tc>
      </w:tr>
      <w:tr>
        <w:trPr>
          <w:trHeight w:val="138"/>
        </w:trPr>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Calibri" w:cs="Calibri" w:eastAsia="Calibri" w:hAnsi="Calibri"/>
                <w:sz w:val="11"/>
                <w:szCs w:val="11"/>
                <w:b w:val="1"/>
                <w:bCs w:val="1"/>
                <w:color w:val="FFFFFF"/>
              </w:rPr>
              <w:t>June 30,</w:t>
            </w:r>
          </w:p>
        </w:tc>
      </w:tr>
      <w:tr>
        <w:trPr>
          <w:trHeight w:val="46"/>
        </w:trPr>
        <w:tc>
          <w:tcPr>
            <w:tcW w:w="5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191"/>
        </w:trPr>
        <w:tc>
          <w:tcPr>
            <w:tcW w:w="500" w:type="dxa"/>
            <w:vAlign w:val="bottom"/>
            <w:tcBorders>
              <w:bottom w:val="single" w:sz="8" w:color="004054"/>
            </w:tcBorders>
            <w:shd w:val="clear" w:color="auto" w:fill="004054"/>
          </w:tcPr>
          <w:p>
            <w:pPr>
              <w:spacing w:after="0"/>
              <w:rPr>
                <w:sz w:val="16"/>
                <w:szCs w:val="16"/>
                <w:color w:val="auto"/>
              </w:rPr>
            </w:pPr>
          </w:p>
        </w:tc>
        <w:tc>
          <w:tcPr>
            <w:tcW w:w="800" w:type="dxa"/>
            <w:vAlign w:val="bottom"/>
            <w:tcBorders>
              <w:bottom w:val="single" w:sz="8" w:color="004054"/>
            </w:tcBorders>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2024</w:t>
            </w:r>
          </w:p>
        </w:tc>
        <w:tc>
          <w:tcPr>
            <w:tcW w:w="20" w:type="dxa"/>
            <w:vAlign w:val="bottom"/>
            <w:tcBorders>
              <w:bottom w:val="single" w:sz="8" w:color="004054"/>
            </w:tcBorders>
            <w:shd w:val="clear" w:color="auto" w:fill="004054"/>
          </w:tcPr>
          <w:p>
            <w:pPr>
              <w:spacing w:after="0"/>
              <w:rPr>
                <w:sz w:val="16"/>
                <w:szCs w:val="16"/>
                <w:color w:val="auto"/>
              </w:rPr>
            </w:pPr>
          </w:p>
        </w:tc>
        <w:tc>
          <w:tcPr>
            <w:tcW w:w="260" w:type="dxa"/>
            <w:vAlign w:val="bottom"/>
            <w:tcBorders>
              <w:bottom w:val="single" w:sz="8" w:color="004054"/>
            </w:tcBorders>
            <w:shd w:val="clear" w:color="auto" w:fill="004054"/>
          </w:tcPr>
          <w:p>
            <w:pPr>
              <w:spacing w:after="0"/>
              <w:rPr>
                <w:sz w:val="16"/>
                <w:szCs w:val="16"/>
                <w:color w:val="auto"/>
              </w:rPr>
            </w:pPr>
          </w:p>
        </w:tc>
        <w:tc>
          <w:tcPr>
            <w:tcW w:w="1040" w:type="dxa"/>
            <w:vAlign w:val="bottom"/>
            <w:tcBorders>
              <w:bottom w:val="single" w:sz="8" w:color="004054"/>
            </w:tcBorders>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2023</w:t>
            </w:r>
          </w:p>
        </w:tc>
      </w:tr>
      <w:tr>
        <w:trPr>
          <w:trHeight w:val="125"/>
        </w:trPr>
        <w:tc>
          <w:tcPr>
            <w:tcW w:w="500" w:type="dxa"/>
            <w:vAlign w:val="bottom"/>
          </w:tcPr>
          <w:p>
            <w:pPr>
              <w:jc w:val="right"/>
              <w:ind w:right="383"/>
              <w:spacing w:after="0" w:line="125" w:lineRule="exact"/>
              <w:rPr>
                <w:sz w:val="20"/>
                <w:szCs w:val="20"/>
                <w:color w:val="auto"/>
              </w:rPr>
            </w:pPr>
            <w:r>
              <w:rPr>
                <w:rFonts w:ascii="Calibri" w:cs="Calibri" w:eastAsia="Calibri" w:hAnsi="Calibri"/>
                <w:sz w:val="11"/>
                <w:szCs w:val="11"/>
                <w:color w:val="51555C"/>
                <w:w w:val="70"/>
              </w:rPr>
              <w:t>$</w:t>
            </w:r>
          </w:p>
        </w:tc>
        <w:tc>
          <w:tcPr>
            <w:tcW w:w="800" w:type="dxa"/>
            <w:vAlign w:val="bottom"/>
          </w:tcPr>
          <w:p>
            <w:pPr>
              <w:jc w:val="right"/>
              <w:ind w:right="63"/>
              <w:spacing w:after="0" w:line="125" w:lineRule="exact"/>
              <w:rPr>
                <w:sz w:val="20"/>
                <w:szCs w:val="20"/>
                <w:color w:val="auto"/>
              </w:rPr>
            </w:pPr>
            <w:r>
              <w:rPr>
                <w:rFonts w:ascii="Calibri" w:cs="Calibri" w:eastAsia="Calibri" w:hAnsi="Calibri"/>
                <w:sz w:val="11"/>
                <w:szCs w:val="11"/>
                <w:color w:val="51555C"/>
              </w:rPr>
              <w:t>118.4</w:t>
            </w:r>
          </w:p>
        </w:tc>
        <w:tc>
          <w:tcPr>
            <w:tcW w:w="20" w:type="dxa"/>
            <w:vAlign w:val="bottom"/>
          </w:tcPr>
          <w:p>
            <w:pPr>
              <w:spacing w:after="0"/>
              <w:rPr>
                <w:sz w:val="10"/>
                <w:szCs w:val="10"/>
                <w:color w:val="auto"/>
              </w:rPr>
            </w:pPr>
          </w:p>
        </w:tc>
        <w:tc>
          <w:tcPr>
            <w:tcW w:w="260" w:type="dxa"/>
            <w:vAlign w:val="bottom"/>
          </w:tcPr>
          <w:p>
            <w:pPr>
              <w:jc w:val="right"/>
              <w:ind w:right="143"/>
              <w:spacing w:after="0" w:line="125" w:lineRule="exact"/>
              <w:rPr>
                <w:sz w:val="20"/>
                <w:szCs w:val="20"/>
                <w:color w:val="auto"/>
              </w:rPr>
            </w:pPr>
            <w:r>
              <w:rPr>
                <w:rFonts w:ascii="Calibri" w:cs="Calibri" w:eastAsia="Calibri" w:hAnsi="Calibri"/>
                <w:sz w:val="11"/>
                <w:szCs w:val="11"/>
                <w:color w:val="51555C"/>
                <w:w w:val="70"/>
              </w:rPr>
              <w:t>$</w:t>
            </w:r>
          </w:p>
        </w:tc>
        <w:tc>
          <w:tcPr>
            <w:tcW w:w="1040" w:type="dxa"/>
            <w:vAlign w:val="bottom"/>
          </w:tcPr>
          <w:p>
            <w:pPr>
              <w:jc w:val="right"/>
              <w:ind w:right="63"/>
              <w:spacing w:after="0" w:line="125" w:lineRule="exact"/>
              <w:rPr>
                <w:sz w:val="20"/>
                <w:szCs w:val="20"/>
                <w:color w:val="auto"/>
              </w:rPr>
            </w:pPr>
            <w:r>
              <w:rPr>
                <w:rFonts w:ascii="Calibri" w:cs="Calibri" w:eastAsia="Calibri" w:hAnsi="Calibri"/>
                <w:sz w:val="11"/>
                <w:szCs w:val="11"/>
                <w:color w:val="51555C"/>
              </w:rPr>
              <w:t>75.0</w:t>
            </w:r>
          </w:p>
        </w:tc>
      </w:tr>
      <w:tr>
        <w:trPr>
          <w:trHeight w:val="180"/>
        </w:trPr>
        <w:tc>
          <w:tcPr>
            <w:tcW w:w="5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alibri" w:cs="Calibri" w:eastAsia="Calibri" w:hAnsi="Calibri"/>
                <w:sz w:val="11"/>
                <w:szCs w:val="11"/>
                <w:color w:val="51555C"/>
              </w:rPr>
              <w:t>20.9 %</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alibri" w:cs="Calibri" w:eastAsia="Calibri" w:hAnsi="Calibri"/>
                <w:sz w:val="11"/>
                <w:szCs w:val="11"/>
                <w:color w:val="51555C"/>
              </w:rPr>
              <w:t>14.1 %</w:t>
            </w:r>
          </w:p>
        </w:tc>
      </w:tr>
      <w:tr>
        <w:trPr>
          <w:trHeight w:val="361"/>
        </w:trPr>
        <w:tc>
          <w:tcPr>
            <w:tcW w:w="500" w:type="dxa"/>
            <w:vAlign w:val="bottom"/>
          </w:tcPr>
          <w:p>
            <w:pPr>
              <w:spacing w:after="0"/>
              <w:rPr>
                <w:sz w:val="24"/>
                <w:szCs w:val="24"/>
                <w:color w:val="auto"/>
              </w:rPr>
            </w:pPr>
          </w:p>
        </w:tc>
        <w:tc>
          <w:tcPr>
            <w:tcW w:w="800" w:type="dxa"/>
            <w:vAlign w:val="bottom"/>
          </w:tcPr>
          <w:p>
            <w:pPr>
              <w:jc w:val="right"/>
              <w:ind w:right="23"/>
              <w:spacing w:after="0"/>
              <w:rPr>
                <w:sz w:val="20"/>
                <w:szCs w:val="20"/>
                <w:color w:val="auto"/>
              </w:rPr>
            </w:pPr>
            <w:r>
              <w:rPr>
                <w:rFonts w:ascii="Calibri" w:cs="Calibri" w:eastAsia="Calibri" w:hAnsi="Calibri"/>
                <w:sz w:val="11"/>
                <w:szCs w:val="11"/>
                <w:color w:val="51555C"/>
              </w:rPr>
              <w:t>(6.1)</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ind w:right="43"/>
              <w:spacing w:after="0"/>
              <w:rPr>
                <w:sz w:val="20"/>
                <w:szCs w:val="20"/>
                <w:color w:val="auto"/>
              </w:rPr>
            </w:pPr>
            <w:r>
              <w:rPr>
                <w:rFonts w:ascii="Calibri" w:cs="Calibri" w:eastAsia="Calibri" w:hAnsi="Calibri"/>
                <w:sz w:val="11"/>
                <w:szCs w:val="11"/>
                <w:color w:val="51555C"/>
              </w:rPr>
              <w:t>(2.8)</w:t>
            </w:r>
          </w:p>
        </w:tc>
      </w:tr>
      <w:tr>
        <w:trPr>
          <w:trHeight w:val="180"/>
        </w:trPr>
        <w:tc>
          <w:tcPr>
            <w:tcW w:w="500" w:type="dxa"/>
            <w:vAlign w:val="bottom"/>
          </w:tcPr>
          <w:p>
            <w:pPr>
              <w:spacing w:after="0"/>
              <w:rPr>
                <w:sz w:val="15"/>
                <w:szCs w:val="15"/>
                <w:color w:val="auto"/>
              </w:rPr>
            </w:pPr>
          </w:p>
        </w:tc>
        <w:tc>
          <w:tcPr>
            <w:tcW w:w="800" w:type="dxa"/>
            <w:vAlign w:val="bottom"/>
          </w:tcPr>
          <w:p>
            <w:pPr>
              <w:jc w:val="right"/>
              <w:ind w:right="23"/>
              <w:spacing w:after="0"/>
              <w:rPr>
                <w:sz w:val="20"/>
                <w:szCs w:val="20"/>
                <w:color w:val="auto"/>
              </w:rPr>
            </w:pPr>
            <w:r>
              <w:rPr>
                <w:rFonts w:ascii="Calibri" w:cs="Calibri" w:eastAsia="Calibri" w:hAnsi="Calibri"/>
                <w:sz w:val="11"/>
                <w:szCs w:val="11"/>
                <w:color w:val="51555C"/>
              </w:rPr>
              <w:t>(28.4)</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ind w:right="43"/>
              <w:spacing w:after="0"/>
              <w:rPr>
                <w:sz w:val="20"/>
                <w:szCs w:val="20"/>
                <w:color w:val="auto"/>
              </w:rPr>
            </w:pPr>
            <w:r>
              <w:rPr>
                <w:rFonts w:ascii="Calibri" w:cs="Calibri" w:eastAsia="Calibri" w:hAnsi="Calibri"/>
                <w:sz w:val="11"/>
                <w:szCs w:val="11"/>
                <w:color w:val="51555C"/>
              </w:rPr>
              <w:t>(28.8)</w:t>
            </w:r>
          </w:p>
        </w:tc>
      </w:tr>
      <w:tr>
        <w:trPr>
          <w:trHeight w:val="46"/>
        </w:trPr>
        <w:tc>
          <w:tcPr>
            <w:tcW w:w="500" w:type="dxa"/>
            <w:vAlign w:val="bottom"/>
            <w:tcBorders>
              <w:bottom w:val="single" w:sz="8" w:color="51555C"/>
            </w:tcBorders>
          </w:tcPr>
          <w:p>
            <w:pPr>
              <w:spacing w:after="0"/>
              <w:rPr>
                <w:sz w:val="4"/>
                <w:szCs w:val="4"/>
                <w:color w:val="auto"/>
              </w:rPr>
            </w:pPr>
          </w:p>
        </w:tc>
        <w:tc>
          <w:tcPr>
            <w:tcW w:w="800" w:type="dxa"/>
            <w:vAlign w:val="bottom"/>
            <w:tcBorders>
              <w:bottom w:val="single" w:sz="8" w:color="51555C"/>
            </w:tcBorders>
          </w:tcPr>
          <w:p>
            <w:pPr>
              <w:spacing w:after="0"/>
              <w:rPr>
                <w:sz w:val="4"/>
                <w:szCs w:val="4"/>
                <w:color w:val="auto"/>
              </w:rPr>
            </w:pPr>
          </w:p>
        </w:tc>
        <w:tc>
          <w:tcPr>
            <w:tcW w:w="20" w:type="dxa"/>
            <w:vAlign w:val="bottom"/>
            <w:tcBorders>
              <w:bottom w:val="single" w:sz="8" w:color="51555C"/>
            </w:tcBorders>
          </w:tcPr>
          <w:p>
            <w:pPr>
              <w:spacing w:after="0"/>
              <w:rPr>
                <w:sz w:val="4"/>
                <w:szCs w:val="4"/>
                <w:color w:val="auto"/>
              </w:rPr>
            </w:pPr>
          </w:p>
        </w:tc>
        <w:tc>
          <w:tcPr>
            <w:tcW w:w="260" w:type="dxa"/>
            <w:vAlign w:val="bottom"/>
            <w:tcBorders>
              <w:bottom w:val="single" w:sz="8" w:color="51555C"/>
            </w:tcBorders>
          </w:tcPr>
          <w:p>
            <w:pPr>
              <w:spacing w:after="0"/>
              <w:rPr>
                <w:sz w:val="4"/>
                <w:szCs w:val="4"/>
                <w:color w:val="auto"/>
              </w:rPr>
            </w:pPr>
          </w:p>
        </w:tc>
        <w:tc>
          <w:tcPr>
            <w:tcW w:w="1040" w:type="dxa"/>
            <w:vAlign w:val="bottom"/>
            <w:tcBorders>
              <w:bottom w:val="single" w:sz="8" w:color="51555C"/>
            </w:tcBorders>
          </w:tcPr>
          <w:p>
            <w:pPr>
              <w:spacing w:after="0"/>
              <w:rPr>
                <w:sz w:val="4"/>
                <w:szCs w:val="4"/>
                <w:color w:val="auto"/>
              </w:rPr>
            </w:pPr>
          </w:p>
        </w:tc>
      </w:tr>
      <w:tr>
        <w:trPr>
          <w:trHeight w:val="125"/>
        </w:trPr>
        <w:tc>
          <w:tcPr>
            <w:tcW w:w="500" w:type="dxa"/>
            <w:vAlign w:val="bottom"/>
          </w:tcPr>
          <w:p>
            <w:pPr>
              <w:jc w:val="right"/>
              <w:ind w:right="383"/>
              <w:spacing w:after="0" w:line="126" w:lineRule="exact"/>
              <w:rPr>
                <w:sz w:val="20"/>
                <w:szCs w:val="20"/>
                <w:color w:val="auto"/>
              </w:rPr>
            </w:pPr>
            <w:r>
              <w:rPr>
                <w:rFonts w:ascii="Calibri" w:cs="Calibri" w:eastAsia="Calibri" w:hAnsi="Calibri"/>
                <w:sz w:val="11"/>
                <w:szCs w:val="11"/>
                <w:color w:val="51555C"/>
                <w:w w:val="70"/>
              </w:rPr>
              <w:t>$</w:t>
            </w:r>
          </w:p>
        </w:tc>
        <w:tc>
          <w:tcPr>
            <w:tcW w:w="800" w:type="dxa"/>
            <w:vAlign w:val="bottom"/>
          </w:tcPr>
          <w:p>
            <w:pPr>
              <w:jc w:val="right"/>
              <w:ind w:right="63"/>
              <w:spacing w:after="0" w:line="126" w:lineRule="exact"/>
              <w:rPr>
                <w:sz w:val="20"/>
                <w:szCs w:val="20"/>
                <w:color w:val="auto"/>
              </w:rPr>
            </w:pPr>
            <w:r>
              <w:rPr>
                <w:rFonts w:ascii="Calibri" w:cs="Calibri" w:eastAsia="Calibri" w:hAnsi="Calibri"/>
                <w:sz w:val="11"/>
                <w:szCs w:val="11"/>
                <w:color w:val="51555C"/>
              </w:rPr>
              <w:t>83.9</w:t>
            </w:r>
          </w:p>
        </w:tc>
        <w:tc>
          <w:tcPr>
            <w:tcW w:w="280" w:type="dxa"/>
            <w:vAlign w:val="bottom"/>
            <w:gridSpan w:val="2"/>
          </w:tcPr>
          <w:p>
            <w:pPr>
              <w:jc w:val="right"/>
              <w:ind w:right="143"/>
              <w:spacing w:after="0" w:line="126" w:lineRule="exact"/>
              <w:rPr>
                <w:sz w:val="20"/>
                <w:szCs w:val="20"/>
                <w:color w:val="auto"/>
              </w:rPr>
            </w:pPr>
            <w:r>
              <w:rPr>
                <w:rFonts w:ascii="Calibri" w:cs="Calibri" w:eastAsia="Calibri" w:hAnsi="Calibri"/>
                <w:sz w:val="11"/>
                <w:szCs w:val="11"/>
                <w:color w:val="51555C"/>
              </w:rPr>
              <w:t>$</w:t>
            </w:r>
          </w:p>
        </w:tc>
        <w:tc>
          <w:tcPr>
            <w:tcW w:w="1040" w:type="dxa"/>
            <w:vAlign w:val="bottom"/>
          </w:tcPr>
          <w:p>
            <w:pPr>
              <w:jc w:val="right"/>
              <w:ind w:right="63"/>
              <w:spacing w:after="0" w:line="126" w:lineRule="exact"/>
              <w:rPr>
                <w:sz w:val="20"/>
                <w:szCs w:val="20"/>
                <w:color w:val="auto"/>
              </w:rPr>
            </w:pPr>
            <w:r>
              <w:rPr>
                <w:rFonts w:ascii="Calibri" w:cs="Calibri" w:eastAsia="Calibri" w:hAnsi="Calibri"/>
                <w:sz w:val="11"/>
                <w:szCs w:val="11"/>
                <w:color w:val="51555C"/>
              </w:rPr>
              <w:t>43.5</w:t>
            </w:r>
          </w:p>
        </w:tc>
      </w:tr>
      <w:tr>
        <w:trPr>
          <w:trHeight w:val="46"/>
        </w:trPr>
        <w:tc>
          <w:tcPr>
            <w:tcW w:w="500" w:type="dxa"/>
            <w:vAlign w:val="bottom"/>
            <w:tcBorders>
              <w:bottom w:val="single" w:sz="8" w:color="51555C"/>
            </w:tcBorders>
          </w:tcPr>
          <w:p>
            <w:pPr>
              <w:spacing w:after="0"/>
              <w:rPr>
                <w:sz w:val="3"/>
                <w:szCs w:val="3"/>
                <w:color w:val="auto"/>
              </w:rPr>
            </w:pPr>
          </w:p>
        </w:tc>
        <w:tc>
          <w:tcPr>
            <w:tcW w:w="800" w:type="dxa"/>
            <w:vAlign w:val="bottom"/>
            <w:tcBorders>
              <w:bottom w:val="single" w:sz="8" w:color="51555C"/>
            </w:tcBorders>
          </w:tcPr>
          <w:p>
            <w:pPr>
              <w:spacing w:after="0"/>
              <w:rPr>
                <w:sz w:val="3"/>
                <w:szCs w:val="3"/>
                <w:color w:val="auto"/>
              </w:rPr>
            </w:pPr>
          </w:p>
        </w:tc>
        <w:tc>
          <w:tcPr>
            <w:tcW w:w="20" w:type="dxa"/>
            <w:vAlign w:val="bottom"/>
            <w:tcBorders>
              <w:bottom w:val="single" w:sz="8" w:color="51555C"/>
            </w:tcBorders>
          </w:tcPr>
          <w:p>
            <w:pPr>
              <w:spacing w:after="0"/>
              <w:rPr>
                <w:sz w:val="3"/>
                <w:szCs w:val="3"/>
                <w:color w:val="auto"/>
              </w:rPr>
            </w:pPr>
          </w:p>
        </w:tc>
        <w:tc>
          <w:tcPr>
            <w:tcW w:w="260" w:type="dxa"/>
            <w:vAlign w:val="bottom"/>
            <w:tcBorders>
              <w:bottom w:val="single" w:sz="8" w:color="51555C"/>
            </w:tcBorders>
          </w:tcPr>
          <w:p>
            <w:pPr>
              <w:spacing w:after="0"/>
              <w:rPr>
                <w:sz w:val="3"/>
                <w:szCs w:val="3"/>
                <w:color w:val="auto"/>
              </w:rPr>
            </w:pPr>
          </w:p>
        </w:tc>
        <w:tc>
          <w:tcPr>
            <w:tcW w:w="1040" w:type="dxa"/>
            <w:vAlign w:val="bottom"/>
            <w:tcBorders>
              <w:bottom w:val="single" w:sz="8" w:color="51555C"/>
            </w:tcBorders>
          </w:tcPr>
          <w:p>
            <w:pPr>
              <w:spacing w:after="0"/>
              <w:rPr>
                <w:sz w:val="3"/>
                <w:szCs w:val="3"/>
                <w:color w:val="auto"/>
              </w:rPr>
            </w:pPr>
          </w:p>
        </w:tc>
      </w:tr>
      <w:tr>
        <w:trPr>
          <w:trHeight w:val="125"/>
        </w:trPr>
        <w:tc>
          <w:tcPr>
            <w:tcW w:w="500" w:type="dxa"/>
            <w:vAlign w:val="bottom"/>
          </w:tcPr>
          <w:p>
            <w:pPr>
              <w:spacing w:after="0"/>
              <w:rPr>
                <w:sz w:val="10"/>
                <w:szCs w:val="10"/>
                <w:color w:val="auto"/>
              </w:rPr>
            </w:pPr>
          </w:p>
        </w:tc>
        <w:tc>
          <w:tcPr>
            <w:tcW w:w="800" w:type="dxa"/>
            <w:vAlign w:val="bottom"/>
          </w:tcPr>
          <w:p>
            <w:pPr>
              <w:jc w:val="right"/>
              <w:spacing w:after="0" w:line="126" w:lineRule="exact"/>
              <w:rPr>
                <w:sz w:val="20"/>
                <w:szCs w:val="20"/>
                <w:color w:val="auto"/>
              </w:rPr>
            </w:pPr>
            <w:r>
              <w:rPr>
                <w:rFonts w:ascii="Calibri" w:cs="Calibri" w:eastAsia="Calibri" w:hAnsi="Calibri"/>
                <w:sz w:val="11"/>
                <w:szCs w:val="11"/>
                <w:color w:val="51555C"/>
              </w:rPr>
              <w:t>14.8 %</w:t>
            </w: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tcPr>
          <w:p>
            <w:pPr>
              <w:jc w:val="right"/>
              <w:spacing w:after="0" w:line="126" w:lineRule="exact"/>
              <w:rPr>
                <w:sz w:val="20"/>
                <w:szCs w:val="20"/>
                <w:color w:val="auto"/>
              </w:rPr>
            </w:pPr>
            <w:r>
              <w:rPr>
                <w:rFonts w:ascii="Calibri" w:cs="Calibri" w:eastAsia="Calibri" w:hAnsi="Calibri"/>
                <w:sz w:val="11"/>
                <w:szCs w:val="11"/>
                <w:color w:val="51555C"/>
              </w:rPr>
              <w:t>8.2 %</w:t>
            </w:r>
          </w:p>
        </w:tc>
      </w:tr>
    </w:tbl>
    <w:p>
      <w:pPr>
        <w:spacing w:after="0" w:line="226" w:lineRule="exact"/>
        <w:rPr>
          <w:sz w:val="20"/>
          <w:szCs w:val="20"/>
          <w:color w:val="auto"/>
        </w:rPr>
      </w:pPr>
    </w:p>
    <w:p>
      <w:pPr>
        <w:sectPr>
          <w:pgSz w:w="11900" w:h="16838" w:orient="portrait"/>
          <w:cols w:equalWidth="0" w:num="2">
            <w:col w:w="7940" w:space="720"/>
            <w:col w:w="2620"/>
          </w:cols>
          <w:pgMar w:left="300" w:top="118" w:right="319" w:bottom="1440" w:gutter="0" w:footer="0" w:header="0"/>
          <w:type w:val="continuous"/>
        </w:sectPr>
      </w:pPr>
    </w:p>
    <w:tbl>
      <w:tblPr>
        <w:tblLayout w:type="fixed"/>
        <w:tblInd w:w="0" w:type="dxa"/>
        <w:tblCellMar>
          <w:top w:w="0" w:type="dxa"/>
          <w:left w:w="0" w:type="dxa"/>
          <w:bottom w:w="0" w:type="dxa"/>
          <w:right w:w="0" w:type="dxa"/>
        </w:tblCellMar>
      </w:tblPr>
      <w:tr>
        <w:trPr>
          <w:trHeight w:val="180"/>
        </w:trPr>
        <w:tc>
          <w:tcPr>
            <w:tcW w:w="8660" w:type="dxa"/>
            <w:vAlign w:val="bottom"/>
            <w:tcBorders>
              <w:bottom w:val="single" w:sz="8" w:color="EBFBFF"/>
            </w:tcBorders>
            <w:shd w:val="clear" w:color="auto" w:fill="EBFBFF"/>
          </w:tcPr>
          <w:p>
            <w:pPr>
              <w:ind w:left="100"/>
              <w:spacing w:after="0"/>
              <w:rPr>
                <w:sz w:val="20"/>
                <w:szCs w:val="20"/>
                <w:color w:val="auto"/>
              </w:rPr>
            </w:pPr>
            <w:r>
              <w:rPr>
                <w:rFonts w:ascii="Calibri" w:cs="Calibri" w:eastAsia="Calibri" w:hAnsi="Calibri"/>
                <w:sz w:val="11"/>
                <w:szCs w:val="11"/>
                <w:color w:val="51555C"/>
              </w:rPr>
              <w:t>Add: Security Incident-related cash fows</w:t>
            </w:r>
          </w:p>
        </w:tc>
        <w:tc>
          <w:tcPr>
            <w:tcW w:w="520" w:type="dxa"/>
            <w:vAlign w:val="bottom"/>
            <w:tcBorders>
              <w:bottom w:val="single" w:sz="8" w:color="EBFBFF"/>
            </w:tcBorders>
            <w:shd w:val="clear" w:color="auto" w:fill="EBFBFF"/>
          </w:tcPr>
          <w:p>
            <w:pPr>
              <w:spacing w:after="0"/>
              <w:rPr>
                <w:sz w:val="15"/>
                <w:szCs w:val="15"/>
                <w:color w:val="auto"/>
              </w:rPr>
            </w:pPr>
          </w:p>
        </w:tc>
        <w:tc>
          <w:tcPr>
            <w:tcW w:w="780" w:type="dxa"/>
            <w:vAlign w:val="bottom"/>
            <w:tcBorders>
              <w:bottom w:val="single" w:sz="8" w:color="EBFBFF"/>
            </w:tcBorders>
            <w:shd w:val="clear" w:color="auto" w:fill="EBFBFF"/>
          </w:tcPr>
          <w:p>
            <w:pPr>
              <w:jc w:val="right"/>
              <w:ind w:right="63"/>
              <w:spacing w:after="0"/>
              <w:rPr>
                <w:sz w:val="20"/>
                <w:szCs w:val="20"/>
                <w:color w:val="auto"/>
              </w:rPr>
            </w:pPr>
            <w:r>
              <w:rPr>
                <w:rFonts w:ascii="Calibri" w:cs="Calibri" w:eastAsia="Calibri" w:hAnsi="Calibri"/>
                <w:sz w:val="11"/>
                <w:szCs w:val="11"/>
                <w:color w:val="51555C"/>
              </w:rPr>
              <w:t>5.8</w:t>
            </w:r>
          </w:p>
        </w:tc>
        <w:tc>
          <w:tcPr>
            <w:tcW w:w="540" w:type="dxa"/>
            <w:vAlign w:val="bottom"/>
            <w:tcBorders>
              <w:bottom w:val="single" w:sz="8" w:color="EBFBFF"/>
            </w:tcBorders>
            <w:shd w:val="clear" w:color="auto" w:fill="EBFBFF"/>
          </w:tcPr>
          <w:p>
            <w:pPr>
              <w:spacing w:after="0"/>
              <w:rPr>
                <w:sz w:val="15"/>
                <w:szCs w:val="15"/>
                <w:color w:val="auto"/>
              </w:rPr>
            </w:pPr>
          </w:p>
        </w:tc>
        <w:tc>
          <w:tcPr>
            <w:tcW w:w="780" w:type="dxa"/>
            <w:vAlign w:val="bottom"/>
            <w:tcBorders>
              <w:bottom w:val="single" w:sz="8" w:color="EBFBFF"/>
            </w:tcBorders>
            <w:shd w:val="clear" w:color="auto" w:fill="EBFBFF"/>
          </w:tcPr>
          <w:p>
            <w:pPr>
              <w:ind w:left="460"/>
              <w:spacing w:after="0"/>
              <w:rPr>
                <w:sz w:val="20"/>
                <w:szCs w:val="20"/>
                <w:color w:val="auto"/>
              </w:rPr>
            </w:pPr>
            <w:r>
              <w:rPr>
                <w:rFonts w:ascii="Calibri" w:cs="Calibri" w:eastAsia="Calibri" w:hAnsi="Calibri"/>
                <w:sz w:val="11"/>
                <w:szCs w:val="11"/>
                <w:color w:val="51555C"/>
              </w:rPr>
              <w:t>15.8</w:t>
            </w:r>
          </w:p>
        </w:tc>
      </w:tr>
      <w:tr>
        <w:trPr>
          <w:trHeight w:val="163"/>
        </w:trPr>
        <w:tc>
          <w:tcPr>
            <w:tcW w:w="8660" w:type="dxa"/>
            <w:vAlign w:val="bottom"/>
            <w:tcBorders>
              <w:bottom w:val="single" w:sz="8" w:color="EBFBFF"/>
            </w:tcBorders>
          </w:tcPr>
          <w:p>
            <w:pPr>
              <w:ind w:left="20"/>
              <w:spacing w:after="0" w:line="155" w:lineRule="exact"/>
              <w:rPr>
                <w:sz w:val="20"/>
                <w:szCs w:val="20"/>
                <w:color w:val="auto"/>
              </w:rPr>
            </w:pPr>
            <w:r>
              <w:rPr>
                <w:rFonts w:ascii="Calibri" w:cs="Calibri" w:eastAsia="Calibri" w:hAnsi="Calibri"/>
                <w:sz w:val="11"/>
                <w:szCs w:val="11"/>
                <w:b w:val="1"/>
                <w:bCs w:val="1"/>
                <w:color w:val="51555C"/>
              </w:rPr>
              <w:t>Non-GAAP adjusted free cash fow</w:t>
            </w:r>
            <w:r>
              <w:rPr>
                <w:rFonts w:ascii="Calibri" w:cs="Calibri" w:eastAsia="Calibri" w:hAnsi="Calibri"/>
                <w:sz w:val="14"/>
                <w:szCs w:val="14"/>
                <w:b w:val="1"/>
                <w:bCs w:val="1"/>
                <w:color w:val="51555C"/>
                <w:vertAlign w:val="superscript"/>
              </w:rPr>
              <w:t>(1)</w:t>
            </w:r>
          </w:p>
        </w:tc>
        <w:tc>
          <w:tcPr>
            <w:tcW w:w="520" w:type="dxa"/>
            <w:vAlign w:val="bottom"/>
            <w:tcBorders>
              <w:top w:val="single" w:sz="8" w:color="51555C"/>
              <w:bottom w:val="single" w:sz="8" w:color="51555C"/>
            </w:tcBorders>
          </w:tcPr>
          <w:p>
            <w:pPr>
              <w:jc w:val="right"/>
              <w:ind w:right="403"/>
              <w:spacing w:after="0"/>
              <w:rPr>
                <w:sz w:val="20"/>
                <w:szCs w:val="20"/>
                <w:color w:val="auto"/>
              </w:rPr>
            </w:pPr>
            <w:r>
              <w:rPr>
                <w:rFonts w:ascii="Calibri" w:cs="Calibri" w:eastAsia="Calibri" w:hAnsi="Calibri"/>
                <w:sz w:val="11"/>
                <w:szCs w:val="11"/>
                <w:color w:val="51555C"/>
                <w:w w:val="70"/>
              </w:rPr>
              <w:t>$</w:t>
            </w:r>
          </w:p>
        </w:tc>
        <w:tc>
          <w:tcPr>
            <w:tcW w:w="780" w:type="dxa"/>
            <w:vAlign w:val="bottom"/>
            <w:tcBorders>
              <w:top w:val="single" w:sz="8" w:color="51555C"/>
              <w:bottom w:val="single" w:sz="8" w:color="51555C"/>
            </w:tcBorders>
          </w:tcPr>
          <w:p>
            <w:pPr>
              <w:jc w:val="right"/>
              <w:ind w:right="63"/>
              <w:spacing w:after="0"/>
              <w:rPr>
                <w:sz w:val="20"/>
                <w:szCs w:val="20"/>
                <w:color w:val="auto"/>
              </w:rPr>
            </w:pPr>
            <w:r>
              <w:rPr>
                <w:rFonts w:ascii="Calibri" w:cs="Calibri" w:eastAsia="Calibri" w:hAnsi="Calibri"/>
                <w:sz w:val="11"/>
                <w:szCs w:val="11"/>
                <w:color w:val="51555C"/>
              </w:rPr>
              <w:t>89.7</w:t>
            </w:r>
          </w:p>
        </w:tc>
        <w:tc>
          <w:tcPr>
            <w:tcW w:w="540" w:type="dxa"/>
            <w:vAlign w:val="bottom"/>
            <w:tcBorders>
              <w:top w:val="single" w:sz="8" w:color="51555C"/>
              <w:bottom w:val="single" w:sz="8" w:color="51555C"/>
            </w:tcBorders>
          </w:tcPr>
          <w:p>
            <w:pPr>
              <w:jc w:val="right"/>
              <w:ind w:right="403"/>
              <w:spacing w:after="0"/>
              <w:rPr>
                <w:sz w:val="20"/>
                <w:szCs w:val="20"/>
                <w:color w:val="auto"/>
              </w:rPr>
            </w:pPr>
            <w:r>
              <w:rPr>
                <w:rFonts w:ascii="Calibri" w:cs="Calibri" w:eastAsia="Calibri" w:hAnsi="Calibri"/>
                <w:sz w:val="11"/>
                <w:szCs w:val="11"/>
                <w:color w:val="51555C"/>
              </w:rPr>
              <w:t>$</w:t>
            </w:r>
          </w:p>
        </w:tc>
        <w:tc>
          <w:tcPr>
            <w:tcW w:w="780" w:type="dxa"/>
            <w:vAlign w:val="bottom"/>
            <w:tcBorders>
              <w:top w:val="single" w:sz="8" w:color="51555C"/>
              <w:bottom w:val="single" w:sz="8" w:color="51555C"/>
            </w:tcBorders>
          </w:tcPr>
          <w:p>
            <w:pPr>
              <w:ind w:left="460"/>
              <w:spacing w:after="0"/>
              <w:rPr>
                <w:sz w:val="20"/>
                <w:szCs w:val="20"/>
                <w:color w:val="auto"/>
              </w:rPr>
            </w:pPr>
            <w:r>
              <w:rPr>
                <w:rFonts w:ascii="Calibri" w:cs="Calibri" w:eastAsia="Calibri" w:hAnsi="Calibri"/>
                <w:sz w:val="11"/>
                <w:szCs w:val="11"/>
                <w:color w:val="51555C"/>
              </w:rPr>
              <w:t>59.3</w:t>
            </w:r>
          </w:p>
        </w:tc>
      </w:tr>
      <w:tr>
        <w:trPr>
          <w:trHeight w:val="159"/>
        </w:trPr>
        <w:tc>
          <w:tcPr>
            <w:tcW w:w="8660" w:type="dxa"/>
            <w:vAlign w:val="bottom"/>
            <w:tcBorders>
              <w:bottom w:val="single" w:sz="8" w:color="EBFBFF"/>
            </w:tcBorders>
            <w:shd w:val="clear" w:color="auto" w:fill="EBFBFF"/>
          </w:tcPr>
          <w:p>
            <w:pPr>
              <w:ind w:left="100"/>
              <w:spacing w:after="0" w:line="133" w:lineRule="exact"/>
              <w:rPr>
                <w:sz w:val="20"/>
                <w:szCs w:val="20"/>
                <w:color w:val="auto"/>
              </w:rPr>
            </w:pPr>
            <w:r>
              <w:rPr>
                <w:rFonts w:ascii="Calibri" w:cs="Calibri" w:eastAsia="Calibri" w:hAnsi="Calibri"/>
                <w:sz w:val="11"/>
                <w:szCs w:val="11"/>
                <w:b w:val="1"/>
                <w:bCs w:val="1"/>
                <w:color w:val="51555C"/>
              </w:rPr>
              <w:t>Non-GAAP adjusted free cash fow margin</w:t>
            </w:r>
          </w:p>
        </w:tc>
        <w:tc>
          <w:tcPr>
            <w:tcW w:w="520" w:type="dxa"/>
            <w:vAlign w:val="bottom"/>
            <w:tcBorders>
              <w:bottom w:val="single" w:sz="8" w:color="EBFBFF"/>
            </w:tcBorders>
            <w:shd w:val="clear" w:color="auto" w:fill="EBFBFF"/>
          </w:tcPr>
          <w:p>
            <w:pPr>
              <w:spacing w:after="0"/>
              <w:rPr>
                <w:sz w:val="13"/>
                <w:szCs w:val="13"/>
                <w:color w:val="auto"/>
              </w:rPr>
            </w:pPr>
          </w:p>
        </w:tc>
        <w:tc>
          <w:tcPr>
            <w:tcW w:w="7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1"/>
                <w:szCs w:val="11"/>
                <w:color w:val="51555C"/>
              </w:rPr>
              <w:t>15.8 %</w:t>
            </w:r>
          </w:p>
        </w:tc>
        <w:tc>
          <w:tcPr>
            <w:tcW w:w="540" w:type="dxa"/>
            <w:vAlign w:val="bottom"/>
            <w:tcBorders>
              <w:bottom w:val="single" w:sz="8" w:color="EBFBFF"/>
            </w:tcBorders>
            <w:shd w:val="clear" w:color="auto" w:fill="EBFBFF"/>
          </w:tcPr>
          <w:p>
            <w:pPr>
              <w:spacing w:after="0"/>
              <w:rPr>
                <w:sz w:val="13"/>
                <w:szCs w:val="13"/>
                <w:color w:val="auto"/>
              </w:rPr>
            </w:pPr>
          </w:p>
        </w:tc>
        <w:tc>
          <w:tcPr>
            <w:tcW w:w="780" w:type="dxa"/>
            <w:vAlign w:val="bottom"/>
            <w:tcBorders>
              <w:bottom w:val="single" w:sz="8" w:color="EBFBFF"/>
            </w:tcBorders>
            <w:shd w:val="clear" w:color="auto" w:fill="EBFBFF"/>
          </w:tcPr>
          <w:p>
            <w:pPr>
              <w:ind w:left="460"/>
              <w:spacing w:after="0"/>
              <w:rPr>
                <w:sz w:val="20"/>
                <w:szCs w:val="20"/>
                <w:color w:val="auto"/>
              </w:rPr>
            </w:pPr>
            <w:r>
              <w:rPr>
                <w:rFonts w:ascii="Calibri" w:cs="Calibri" w:eastAsia="Calibri" w:hAnsi="Calibri"/>
                <w:sz w:val="11"/>
                <w:szCs w:val="11"/>
                <w:color w:val="51555C"/>
              </w:rPr>
              <w:t>11.1 %</w:t>
            </w:r>
          </w:p>
        </w:tc>
      </w:tr>
      <w:tr>
        <w:trPr>
          <w:trHeight w:val="20"/>
        </w:trPr>
        <w:tc>
          <w:tcPr>
            <w:tcW w:w="8660" w:type="dxa"/>
            <w:vAlign w:val="bottom"/>
            <w:shd w:val="clear" w:color="auto" w:fill="0CD973"/>
          </w:tcPr>
          <w:p>
            <w:pPr>
              <w:spacing w:after="0" w:line="20" w:lineRule="exact"/>
              <w:rPr>
                <w:sz w:val="1"/>
                <w:szCs w:val="1"/>
                <w:color w:val="auto"/>
              </w:rPr>
            </w:pPr>
          </w:p>
        </w:tc>
        <w:tc>
          <w:tcPr>
            <w:tcW w:w="520" w:type="dxa"/>
            <w:vAlign w:val="bottom"/>
            <w:shd w:val="clear" w:color="auto" w:fill="0CD973"/>
          </w:tcPr>
          <w:p>
            <w:pPr>
              <w:spacing w:after="0" w:line="20" w:lineRule="exact"/>
              <w:rPr>
                <w:sz w:val="1"/>
                <w:szCs w:val="1"/>
                <w:color w:val="auto"/>
              </w:rPr>
            </w:pPr>
          </w:p>
        </w:tc>
        <w:tc>
          <w:tcPr>
            <w:tcW w:w="780" w:type="dxa"/>
            <w:vAlign w:val="bottom"/>
            <w:shd w:val="clear" w:color="auto" w:fill="0CD973"/>
          </w:tcPr>
          <w:p>
            <w:pPr>
              <w:spacing w:after="0" w:line="20" w:lineRule="exact"/>
              <w:rPr>
                <w:sz w:val="1"/>
                <w:szCs w:val="1"/>
                <w:color w:val="auto"/>
              </w:rPr>
            </w:pPr>
          </w:p>
        </w:tc>
        <w:tc>
          <w:tcPr>
            <w:tcW w:w="540" w:type="dxa"/>
            <w:vAlign w:val="bottom"/>
            <w:shd w:val="clear" w:color="auto" w:fill="0CD973"/>
          </w:tcPr>
          <w:p>
            <w:pPr>
              <w:spacing w:after="0" w:line="20" w:lineRule="exact"/>
              <w:rPr>
                <w:sz w:val="1"/>
                <w:szCs w:val="1"/>
                <w:color w:val="auto"/>
              </w:rPr>
            </w:pPr>
          </w:p>
        </w:tc>
        <w:tc>
          <w:tcPr>
            <w:tcW w:w="780" w:type="dxa"/>
            <w:vAlign w:val="bottom"/>
            <w:shd w:val="clear" w:color="auto" w:fill="0CD973"/>
          </w:tcPr>
          <w:p>
            <w:pPr>
              <w:spacing w:after="0" w:line="20" w:lineRule="exact"/>
              <w:rPr>
                <w:sz w:val="1"/>
                <w:szCs w:val="1"/>
                <w:color w:val="auto"/>
              </w:rPr>
            </w:pPr>
          </w:p>
        </w:tc>
      </w:tr>
    </w:tbl>
    <w:p>
      <w:pPr>
        <w:spacing w:after="0" w:line="52" w:lineRule="exact"/>
        <w:rPr>
          <w:sz w:val="20"/>
          <w:szCs w:val="20"/>
          <w:color w:val="auto"/>
        </w:rPr>
      </w:pPr>
    </w:p>
    <w:p>
      <w:pPr>
        <w:ind w:left="260" w:hanging="255"/>
        <w:spacing w:after="0"/>
        <w:tabs>
          <w:tab w:leader="none" w:pos="260" w:val="left"/>
        </w:tabs>
        <w:numPr>
          <w:ilvl w:val="0"/>
          <w:numId w:val="31"/>
        </w:numPr>
        <w:rPr>
          <w:rFonts w:ascii="Calibri" w:cs="Calibri" w:eastAsia="Calibri" w:hAnsi="Calibri"/>
          <w:sz w:val="11"/>
          <w:szCs w:val="11"/>
          <w:color w:val="51555C"/>
        </w:rPr>
      </w:pPr>
      <w:r>
        <w:rPr>
          <w:rFonts w:ascii="Calibri" w:cs="Calibri" w:eastAsia="Calibri" w:hAnsi="Calibri"/>
          <w:sz w:val="11"/>
          <w:szCs w:val="11"/>
          <w:color w:val="51555C"/>
        </w:rPr>
        <w:t>The individual amounts for each year may not sum to non-GAAP free cash fow or non-GAAP adjusted free cash fow due to rounding.</w:t>
      </w:r>
    </w:p>
    <w:p>
      <w:pPr>
        <w:spacing w:after="0" w:line="122"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51555C"/>
        </w:rPr>
        <w:t>Seasonality</w:t>
      </w:r>
    </w:p>
    <w:p>
      <w:pPr>
        <w:spacing w:after="0" w:line="129" w:lineRule="exact"/>
        <w:rPr>
          <w:sz w:val="20"/>
          <w:szCs w:val="20"/>
          <w:color w:val="auto"/>
        </w:rPr>
      </w:pPr>
    </w:p>
    <w:p>
      <w:pPr>
        <w:jc w:val="both"/>
        <w:spacing w:after="0" w:line="238" w:lineRule="auto"/>
        <w:rPr>
          <w:sz w:val="20"/>
          <w:szCs w:val="20"/>
          <w:color w:val="auto"/>
        </w:rPr>
      </w:pPr>
      <w:r>
        <w:rPr>
          <w:rFonts w:ascii="Calibri" w:cs="Calibri" w:eastAsia="Calibri" w:hAnsi="Calibri"/>
          <w:sz w:val="14"/>
          <w:szCs w:val="14"/>
          <w:color w:val="51555C"/>
        </w:rPr>
        <w:t>Our revenues normally fuctuate as a result of certain seasonal variatons in our business. Our frst quarter has historically been the seasonal low for bookings, with the second and fourth quarters historically being seasonally higher, and our bookings tend to be back-end loaded within individual quarters given our quarterly quota plans. Transactonal revenue is non-contractual and less predictable given the susceptbility to certain drivers such as tming and number of events and marketng campaigns, as well as fuctuatons in donaton volumes and tuiton payments. Our transactonal revenue has historically been at its lowest in the frst quarter due to the tming of customer fundraising initatves and events. We have historically experienced seasonal highs during the fourth quarter due to year-end giving campaigns and during the second quarter when a large number of events are held. Our revenue from professional services has historically been lower in the frst quarter when many of those services commence and in the fourth quarter due to the holiday season. As a result of these and other factors, our total revenue has historically been lower in the frst quarter than in the remainder of our fscal year, with the fourth quarter historically achieving the highest total revenue. Our expenses, other than transacton-based costs related to our payments services, do not vary signifcantly as a result of these factors, but do fuctuate on a quarterly basis due to varying tming of expenditures.</w:t>
      </w:r>
    </w:p>
    <w:p>
      <w:pPr>
        <w:spacing w:after="0" w:line="130" w:lineRule="exact"/>
        <w:rPr>
          <w:sz w:val="20"/>
          <w:szCs w:val="20"/>
          <w:color w:val="auto"/>
        </w:rPr>
      </w:pPr>
    </w:p>
    <w:p>
      <w:pPr>
        <w:jc w:val="both"/>
        <w:spacing w:after="0" w:line="238" w:lineRule="auto"/>
        <w:rPr>
          <w:sz w:val="20"/>
          <w:szCs w:val="20"/>
          <w:color w:val="auto"/>
        </w:rPr>
      </w:pPr>
      <w:r>
        <w:rPr>
          <w:rFonts w:ascii="Calibri" w:cs="Calibri" w:eastAsia="Calibri" w:hAnsi="Calibri"/>
          <w:sz w:val="14"/>
          <w:szCs w:val="14"/>
          <w:color w:val="51555C"/>
        </w:rPr>
        <w:t>Our cash fow from operatons normally fuctuates quarterly due to the combinaton of the tming of customer contract renewals including renewals associated with customers of acquired companies, delivery of professional services and occurrence of customer events, as well as merit-based salary increases, among other factors. Historically, due to lower revenues in our frst quarter, combined with the payment of certain annual vendor contracts, our cash fow from operatons has been lowest in our frst quarter. Due to the tming of customer contract renewals and student enrollments, many of which take place at or near the beginning of our third quarter, our cash fow from operatons has generally been lower in our second quarter as compared to our third and fourth quarters. Partally ofsetng these favorable drivers of cash fow from operatons in our third and fourth quarters are base salary merit increases, which occur in July. In additon, deferred revenues can vary on a seasonal basis due to the tming of customer contract renewals and student enrollments or signifcant acquisitons. Our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6268720</wp:posOffset>
            </wp:positionH>
            <wp:positionV relativeFrom="paragraph">
              <wp:posOffset>194310</wp:posOffset>
            </wp:positionV>
            <wp:extent cx="518795" cy="1346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8795" cy="134620"/>
                    </a:xfrm>
                    <a:prstGeom prst="rect">
                      <a:avLst/>
                    </a:prstGeom>
                    <a:noFill/>
                  </pic:spPr>
                </pic:pic>
              </a:graphicData>
            </a:graphic>
          </wp:anchor>
        </w:drawing>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0400" w:type="dxa"/>
            <w:vAlign w:val="bottom"/>
          </w:tcPr>
          <w:p>
            <w:pPr>
              <w:ind w:left="8160"/>
              <w:spacing w:after="0"/>
              <w:rPr>
                <w:sz w:val="20"/>
                <w:szCs w:val="20"/>
                <w:color w:val="auto"/>
              </w:rPr>
            </w:pPr>
            <w:r>
              <w:rPr>
                <w:rFonts w:ascii="Calibri" w:cs="Calibri" w:eastAsia="Calibri" w:hAnsi="Calibri"/>
                <w:sz w:val="11"/>
                <w:szCs w:val="11"/>
                <w:color w:val="51555C"/>
              </w:rPr>
              <w:t>Second Quarter 2024 Form 10-Q</w:t>
            </w:r>
          </w:p>
        </w:tc>
        <w:tc>
          <w:tcPr>
            <w:tcW w:w="880" w:type="dxa"/>
            <w:vAlign w:val="bottom"/>
          </w:tcPr>
          <w:p>
            <w:pPr>
              <w:jc w:val="right"/>
              <w:spacing w:after="0"/>
              <w:rPr>
                <w:sz w:val="20"/>
                <w:szCs w:val="20"/>
                <w:color w:val="auto"/>
              </w:rPr>
            </w:pPr>
            <w:r>
              <w:rPr>
                <w:rFonts w:ascii="Calibri" w:cs="Calibri" w:eastAsia="Calibri" w:hAnsi="Calibri"/>
                <w:sz w:val="11"/>
                <w:szCs w:val="11"/>
                <w:color w:val="51555C"/>
              </w:rPr>
              <w:t>43</w:t>
            </w:r>
          </w:p>
        </w:tc>
      </w:tr>
      <w:tr>
        <w:trPr>
          <w:trHeight w:val="270"/>
        </w:trPr>
        <w:tc>
          <w:tcPr>
            <w:tcW w:w="10400" w:type="dxa"/>
            <w:vAlign w:val="bottom"/>
            <w:tcBorders>
              <w:bottom w:val="single" w:sz="8" w:color="9A9A9A"/>
            </w:tcBorders>
          </w:tcPr>
          <w:p>
            <w:pPr>
              <w:spacing w:after="0"/>
              <w:rPr>
                <w:sz w:val="23"/>
                <w:szCs w:val="23"/>
                <w:color w:val="auto"/>
              </w:rPr>
            </w:pPr>
          </w:p>
        </w:tc>
        <w:tc>
          <w:tcPr>
            <w:tcW w:w="88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type w:val="continuous"/>
        </w:sectPr>
      </w:pPr>
    </w:p>
    <w:bookmarkStart w:id="44" w:name="page45"/>
    <w:bookmarkEnd w:id="44"/>
    <w:p>
      <w:pPr>
        <w:spacing w:after="0"/>
        <w:rPr>
          <w:sz w:val="20"/>
          <w:szCs w:val="20"/>
          <w:color w:val="auto"/>
        </w:rPr>
      </w:pPr>
      <w:r>
        <w:rPr>
          <w:rFonts w:ascii="Calibri" w:cs="Calibri" w:eastAsia="Calibri" w:hAnsi="Calibri"/>
          <w:sz w:val="11"/>
          <w:szCs w:val="11"/>
          <w:u w:val="single" w:color="auto"/>
          <w:color w:val="7A04DD"/>
        </w:rPr>
        <w:t>Table of Contents</w:t>
      </w:r>
    </w:p>
    <w:p>
      <w:pPr>
        <w:spacing w:after="0" w:line="196" w:lineRule="exact"/>
        <w:rPr>
          <w:sz w:val="20"/>
          <w:szCs w:val="20"/>
          <w:color w:val="auto"/>
        </w:rPr>
      </w:pPr>
    </w:p>
    <w:p>
      <w:pPr>
        <w:jc w:val="center"/>
        <w:ind w:right="20"/>
        <w:spacing w:after="0"/>
        <w:rPr>
          <w:sz w:val="20"/>
          <w:szCs w:val="20"/>
          <w:color w:val="auto"/>
        </w:rPr>
      </w:pPr>
      <w:r>
        <w:rPr>
          <w:rFonts w:ascii="Calibri" w:cs="Calibri" w:eastAsia="Calibri" w:hAnsi="Calibri"/>
          <w:sz w:val="14"/>
          <w:szCs w:val="14"/>
          <w:b w:val="1"/>
          <w:bCs w:val="1"/>
          <w:color w:val="51555C"/>
        </w:rPr>
        <w:t>Blackbaud, Inc.</w:t>
      </w:r>
    </w:p>
    <w:p>
      <w:pPr>
        <w:jc w:val="center"/>
        <w:ind w:right="20"/>
        <w:spacing w:after="0" w:line="238" w:lineRule="auto"/>
        <w:rPr>
          <w:sz w:val="20"/>
          <w:szCs w:val="20"/>
          <w:color w:val="auto"/>
        </w:rPr>
      </w:pPr>
      <w:r>
        <w:rPr>
          <w:rFonts w:ascii="Calibri" w:cs="Calibri" w:eastAsia="Calibri" w:hAnsi="Calibri"/>
          <w:sz w:val="14"/>
          <w:szCs w:val="14"/>
          <w:b w:val="1"/>
          <w:bCs w:val="1"/>
          <w:color w:val="51555C"/>
        </w:rPr>
        <w:t>(Unaudited)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Calibri" w:cs="Calibri" w:eastAsia="Calibri" w:hAnsi="Calibri"/>
          <w:sz w:val="14"/>
          <w:szCs w:val="14"/>
          <w:color w:val="51555C"/>
        </w:rPr>
        <w:t>fow from fnancing is negatvely impacted in our frst quarter when most of our equity awards vest, as we pay taxes on behalf of our employees related to the setlement or exercise of equity awards.</w:t>
      </w:r>
    </w:p>
    <w:p>
      <w:pPr>
        <w:spacing w:after="0" w:line="129" w:lineRule="exact"/>
        <w:rPr>
          <w:sz w:val="20"/>
          <w:szCs w:val="20"/>
          <w:color w:val="auto"/>
        </w:rPr>
      </w:pPr>
    </w:p>
    <w:p>
      <w:pPr>
        <w:jc w:val="both"/>
        <w:ind w:right="20"/>
        <w:spacing w:after="0" w:line="237" w:lineRule="auto"/>
        <w:rPr>
          <w:sz w:val="20"/>
          <w:szCs w:val="20"/>
          <w:color w:val="auto"/>
        </w:rPr>
      </w:pPr>
      <w:r>
        <w:rPr>
          <w:rFonts w:ascii="Calibri" w:cs="Calibri" w:eastAsia="Calibri" w:hAnsi="Calibri"/>
          <w:sz w:val="14"/>
          <w:szCs w:val="14"/>
          <w:color w:val="51555C"/>
        </w:rPr>
        <w:t>These paterns may change as a result of the contnued shif to online giving, growth in volume of transactons for which we process payments, large dollar customer bookings and contract renewals, fuctuatons in the tming of vendor payments, or as a result of acquisitons, new market opportunites, new soluton introductons or other factors.</w:t>
      </w:r>
    </w:p>
    <w:p>
      <w:pPr>
        <w:spacing w:after="0" w:line="204" w:lineRule="exact"/>
        <w:rPr>
          <w:sz w:val="20"/>
          <w:szCs w:val="20"/>
          <w:color w:val="auto"/>
        </w:rPr>
      </w:pPr>
    </w:p>
    <w:p>
      <w:pPr>
        <w:ind w:left="20"/>
        <w:spacing w:after="0"/>
        <w:rPr>
          <w:sz w:val="20"/>
          <w:szCs w:val="20"/>
          <w:color w:val="auto"/>
        </w:rPr>
      </w:pPr>
      <w:r>
        <w:rPr>
          <w:rFonts w:ascii="Calibri" w:cs="Calibri" w:eastAsia="Calibri" w:hAnsi="Calibri"/>
          <w:sz w:val="17"/>
          <w:szCs w:val="17"/>
          <w:b w:val="1"/>
          <w:bCs w:val="1"/>
          <w:color w:val="006880"/>
        </w:rPr>
        <w:t>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27305</wp:posOffset>
            </wp:positionV>
            <wp:extent cx="7161530" cy="69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Calibri" w:cs="Calibri" w:eastAsia="Calibri" w:hAnsi="Calibri"/>
          <w:sz w:val="14"/>
          <w:szCs w:val="14"/>
          <w:color w:val="51555C"/>
        </w:rPr>
        <w:t>The following table presents selected fnancial informaton about our fnancial positon:</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7240" w:type="dxa"/>
            <w:vAlign w:val="bottom"/>
            <w:shd w:val="clear" w:color="auto" w:fill="004054"/>
          </w:tcPr>
          <w:p>
            <w:pPr>
              <w:spacing w:after="0"/>
              <w:rPr>
                <w:sz w:val="11"/>
                <w:szCs w:val="11"/>
                <w:color w:val="auto"/>
              </w:rPr>
            </w:pPr>
          </w:p>
        </w:tc>
        <w:tc>
          <w:tcPr>
            <w:tcW w:w="460" w:type="dxa"/>
            <w:vAlign w:val="bottom"/>
            <w:shd w:val="clear" w:color="auto" w:fill="004054"/>
          </w:tcPr>
          <w:p>
            <w:pPr>
              <w:spacing w:after="0"/>
              <w:rPr>
                <w:sz w:val="11"/>
                <w:szCs w:val="11"/>
                <w:color w:val="auto"/>
              </w:rPr>
            </w:pPr>
          </w:p>
        </w:tc>
        <w:tc>
          <w:tcPr>
            <w:tcW w:w="86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June 30,</w:t>
            </w:r>
          </w:p>
        </w:tc>
        <w:tc>
          <w:tcPr>
            <w:tcW w:w="360" w:type="dxa"/>
            <w:vAlign w:val="bottom"/>
            <w:shd w:val="clear" w:color="auto" w:fill="004054"/>
          </w:tcPr>
          <w:p>
            <w:pPr>
              <w:spacing w:after="0"/>
              <w:rPr>
                <w:sz w:val="11"/>
                <w:szCs w:val="11"/>
                <w:color w:val="auto"/>
              </w:rPr>
            </w:pPr>
          </w:p>
        </w:tc>
        <w:tc>
          <w:tcPr>
            <w:tcW w:w="96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December 31,</w:t>
            </w:r>
          </w:p>
        </w:tc>
        <w:tc>
          <w:tcPr>
            <w:tcW w:w="1400" w:type="dxa"/>
            <w:vAlign w:val="bottom"/>
            <w:shd w:val="clear" w:color="auto" w:fill="004054"/>
          </w:tcPr>
          <w:p>
            <w:pPr>
              <w:spacing w:after="0"/>
              <w:rPr>
                <w:sz w:val="11"/>
                <w:szCs w:val="11"/>
                <w:color w:val="auto"/>
              </w:rPr>
            </w:pPr>
          </w:p>
        </w:tc>
        <w:tc>
          <w:tcPr>
            <w:tcW w:w="20" w:type="dxa"/>
            <w:vAlign w:val="bottom"/>
            <w:shd w:val="clear" w:color="auto" w:fill="004054"/>
          </w:tcPr>
          <w:p>
            <w:pPr>
              <w:spacing w:after="0"/>
              <w:rPr>
                <w:sz w:val="11"/>
                <w:szCs w:val="11"/>
                <w:color w:val="auto"/>
              </w:rPr>
            </w:pPr>
          </w:p>
        </w:tc>
      </w:tr>
      <w:tr>
        <w:trPr>
          <w:trHeight w:val="182"/>
        </w:trPr>
        <w:tc>
          <w:tcPr>
            <w:tcW w:w="7240" w:type="dxa"/>
            <w:vAlign w:val="bottom"/>
            <w:tcBorders>
              <w:bottom w:val="single" w:sz="8" w:color="004054"/>
            </w:tcBorders>
            <w:shd w:val="clear" w:color="auto" w:fill="004054"/>
          </w:tcPr>
          <w:p>
            <w:pPr>
              <w:ind w:left="20"/>
              <w:spacing w:after="0"/>
              <w:rPr>
                <w:sz w:val="20"/>
                <w:szCs w:val="20"/>
                <w:color w:val="auto"/>
              </w:rPr>
            </w:pPr>
            <w:r>
              <w:rPr>
                <w:rFonts w:ascii="Calibri" w:cs="Calibri" w:eastAsia="Calibri" w:hAnsi="Calibri"/>
                <w:sz w:val="11"/>
                <w:szCs w:val="11"/>
                <w:b w:val="1"/>
                <w:bCs w:val="1"/>
                <w:color w:val="FFFFFF"/>
              </w:rPr>
              <w:t>(dollars in millions)</w:t>
            </w:r>
          </w:p>
        </w:tc>
        <w:tc>
          <w:tcPr>
            <w:tcW w:w="460" w:type="dxa"/>
            <w:vAlign w:val="bottom"/>
            <w:tcBorders>
              <w:bottom w:val="single" w:sz="8" w:color="004054"/>
            </w:tcBorders>
            <w:shd w:val="clear" w:color="auto" w:fill="004054"/>
          </w:tcPr>
          <w:p>
            <w:pPr>
              <w:spacing w:after="0"/>
              <w:rPr>
                <w:sz w:val="15"/>
                <w:szCs w:val="15"/>
                <w:color w:val="auto"/>
              </w:rPr>
            </w:pPr>
          </w:p>
        </w:tc>
        <w:tc>
          <w:tcPr>
            <w:tcW w:w="860" w:type="dxa"/>
            <w:vAlign w:val="bottom"/>
            <w:tcBorders>
              <w:bottom w:val="single" w:sz="8" w:color="004054"/>
            </w:tcBorders>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2024</w:t>
            </w:r>
          </w:p>
        </w:tc>
        <w:tc>
          <w:tcPr>
            <w:tcW w:w="360" w:type="dxa"/>
            <w:vAlign w:val="bottom"/>
            <w:tcBorders>
              <w:bottom w:val="single" w:sz="8" w:color="004054"/>
            </w:tcBorders>
            <w:shd w:val="clear" w:color="auto" w:fill="004054"/>
          </w:tcPr>
          <w:p>
            <w:pPr>
              <w:spacing w:after="0"/>
              <w:rPr>
                <w:sz w:val="15"/>
                <w:szCs w:val="15"/>
                <w:color w:val="auto"/>
              </w:rPr>
            </w:pPr>
          </w:p>
        </w:tc>
        <w:tc>
          <w:tcPr>
            <w:tcW w:w="960" w:type="dxa"/>
            <w:vAlign w:val="bottom"/>
            <w:tcBorders>
              <w:bottom w:val="single" w:sz="8" w:color="004054"/>
            </w:tcBorders>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2023</w:t>
            </w:r>
          </w:p>
        </w:tc>
        <w:tc>
          <w:tcPr>
            <w:tcW w:w="1400" w:type="dxa"/>
            <w:vAlign w:val="bottom"/>
            <w:tcBorders>
              <w:bottom w:val="single" w:sz="8" w:color="004054"/>
            </w:tcBorders>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Change</w:t>
            </w:r>
          </w:p>
        </w:tc>
        <w:tc>
          <w:tcPr>
            <w:tcW w:w="20" w:type="dxa"/>
            <w:vAlign w:val="bottom"/>
            <w:tcBorders>
              <w:bottom w:val="single" w:sz="8" w:color="004054"/>
            </w:tcBorders>
            <w:shd w:val="clear" w:color="auto" w:fill="004054"/>
          </w:tcPr>
          <w:p>
            <w:pPr>
              <w:spacing w:after="0"/>
              <w:rPr>
                <w:sz w:val="15"/>
                <w:szCs w:val="15"/>
                <w:color w:val="auto"/>
              </w:rPr>
            </w:pPr>
          </w:p>
        </w:tc>
      </w:tr>
      <w:tr>
        <w:trPr>
          <w:trHeight w:val="192"/>
        </w:trPr>
        <w:tc>
          <w:tcPr>
            <w:tcW w:w="724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4"/>
                <w:szCs w:val="14"/>
                <w:color w:val="51555C"/>
              </w:rPr>
              <w:t>Cash and cash equivalents</w:t>
            </w:r>
          </w:p>
        </w:tc>
        <w:tc>
          <w:tcPr>
            <w:tcW w:w="460" w:type="dxa"/>
            <w:vAlign w:val="bottom"/>
            <w:tcBorders>
              <w:bottom w:val="single" w:sz="8" w:color="EBFBFF"/>
            </w:tcBorders>
            <w:shd w:val="clear" w:color="auto" w:fill="EBFBFF"/>
          </w:tcPr>
          <w:p>
            <w:pPr>
              <w:jc w:val="right"/>
              <w:ind w:right="309"/>
              <w:spacing w:after="0"/>
              <w:rPr>
                <w:sz w:val="20"/>
                <w:szCs w:val="20"/>
                <w:color w:val="auto"/>
              </w:rPr>
            </w:pPr>
            <w:r>
              <w:rPr>
                <w:rFonts w:ascii="Calibri" w:cs="Calibri" w:eastAsia="Calibri" w:hAnsi="Calibri"/>
                <w:sz w:val="14"/>
                <w:szCs w:val="14"/>
                <w:color w:val="51555C"/>
                <w:w w:val="83"/>
              </w:rPr>
              <w:t>$</w:t>
            </w:r>
          </w:p>
        </w:tc>
        <w:tc>
          <w:tcPr>
            <w:tcW w:w="8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30.4</w:t>
            </w:r>
          </w:p>
        </w:tc>
        <w:tc>
          <w:tcPr>
            <w:tcW w:w="360" w:type="dxa"/>
            <w:vAlign w:val="bottom"/>
            <w:tcBorders>
              <w:bottom w:val="single" w:sz="8" w:color="EBFBFF"/>
            </w:tcBorders>
            <w:shd w:val="clear" w:color="auto" w:fill="EBFBFF"/>
          </w:tcPr>
          <w:p>
            <w:pPr>
              <w:jc w:val="right"/>
              <w:ind w:right="209"/>
              <w:spacing w:after="0"/>
              <w:rPr>
                <w:sz w:val="20"/>
                <w:szCs w:val="20"/>
                <w:color w:val="auto"/>
              </w:rPr>
            </w:pPr>
            <w:r>
              <w:rPr>
                <w:rFonts w:ascii="Calibri" w:cs="Calibri" w:eastAsia="Calibri" w:hAnsi="Calibri"/>
                <w:sz w:val="14"/>
                <w:szCs w:val="14"/>
                <w:color w:val="51555C"/>
                <w:w w:val="83"/>
              </w:rPr>
              <w:t>$</w:t>
            </w:r>
          </w:p>
        </w:tc>
        <w:tc>
          <w:tcPr>
            <w:tcW w:w="9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31.3</w:t>
            </w:r>
          </w:p>
        </w:tc>
        <w:tc>
          <w:tcPr>
            <w:tcW w:w="14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(2.6)%</w:t>
            </w:r>
          </w:p>
        </w:tc>
        <w:tc>
          <w:tcPr>
            <w:tcW w:w="20" w:type="dxa"/>
            <w:vAlign w:val="bottom"/>
          </w:tcPr>
          <w:p>
            <w:pPr>
              <w:spacing w:after="0"/>
              <w:rPr>
                <w:sz w:val="16"/>
                <w:szCs w:val="16"/>
                <w:color w:val="auto"/>
              </w:rPr>
            </w:pPr>
          </w:p>
        </w:tc>
      </w:tr>
      <w:tr>
        <w:trPr>
          <w:trHeight w:val="172"/>
        </w:trPr>
        <w:tc>
          <w:tcPr>
            <w:tcW w:w="7240" w:type="dxa"/>
            <w:vAlign w:val="bottom"/>
          </w:tcPr>
          <w:p>
            <w:pPr>
              <w:ind w:left="20"/>
              <w:spacing w:after="0"/>
              <w:rPr>
                <w:sz w:val="20"/>
                <w:szCs w:val="20"/>
                <w:color w:val="auto"/>
              </w:rPr>
            </w:pPr>
            <w:r>
              <w:rPr>
                <w:rFonts w:ascii="Calibri" w:cs="Calibri" w:eastAsia="Calibri" w:hAnsi="Calibri"/>
                <w:sz w:val="14"/>
                <w:szCs w:val="14"/>
                <w:color w:val="51555C"/>
              </w:rPr>
              <w:t>Property and equipment, net</w:t>
            </w:r>
          </w:p>
        </w:tc>
        <w:tc>
          <w:tcPr>
            <w:tcW w:w="4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alibri" w:cs="Calibri" w:eastAsia="Calibri" w:hAnsi="Calibri"/>
                <w:sz w:val="14"/>
                <w:szCs w:val="14"/>
                <w:color w:val="51555C"/>
              </w:rPr>
              <w:t>98.1</w:t>
            </w:r>
          </w:p>
        </w:tc>
        <w:tc>
          <w:tcPr>
            <w:tcW w:w="3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alibri" w:cs="Calibri" w:eastAsia="Calibri" w:hAnsi="Calibri"/>
                <w:sz w:val="14"/>
                <w:szCs w:val="14"/>
                <w:color w:val="51555C"/>
              </w:rPr>
              <w:t>98.7</w:t>
            </w:r>
          </w:p>
        </w:tc>
        <w:tc>
          <w:tcPr>
            <w:tcW w:w="1400" w:type="dxa"/>
            <w:vAlign w:val="bottom"/>
          </w:tcPr>
          <w:p>
            <w:pPr>
              <w:jc w:val="right"/>
              <w:spacing w:after="0"/>
              <w:rPr>
                <w:sz w:val="20"/>
                <w:szCs w:val="20"/>
                <w:color w:val="auto"/>
              </w:rPr>
            </w:pPr>
            <w:r>
              <w:rPr>
                <w:rFonts w:ascii="Calibri" w:cs="Calibri" w:eastAsia="Calibri" w:hAnsi="Calibri"/>
                <w:sz w:val="14"/>
                <w:szCs w:val="14"/>
                <w:color w:val="51555C"/>
              </w:rPr>
              <w:t>(0.6)%</w:t>
            </w:r>
          </w:p>
        </w:tc>
        <w:tc>
          <w:tcPr>
            <w:tcW w:w="20" w:type="dxa"/>
            <w:vAlign w:val="bottom"/>
          </w:tcPr>
          <w:p>
            <w:pPr>
              <w:spacing w:after="0"/>
              <w:rPr>
                <w:sz w:val="14"/>
                <w:szCs w:val="14"/>
                <w:color w:val="auto"/>
              </w:rPr>
            </w:pPr>
          </w:p>
        </w:tc>
      </w:tr>
      <w:tr>
        <w:trPr>
          <w:trHeight w:val="40"/>
        </w:trPr>
        <w:tc>
          <w:tcPr>
            <w:tcW w:w="7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60" w:type="dxa"/>
            <w:vAlign w:val="bottom"/>
          </w:tcPr>
          <w:p>
            <w:pPr>
              <w:spacing w:after="0"/>
              <w:rPr>
                <w:sz w:val="3"/>
                <w:szCs w:val="3"/>
                <w:color w:val="auto"/>
              </w:rPr>
            </w:pPr>
          </w:p>
        </w:tc>
        <w:tc>
          <w:tcPr>
            <w:tcW w:w="3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92"/>
        </w:trPr>
        <w:tc>
          <w:tcPr>
            <w:tcW w:w="724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4"/>
                <w:szCs w:val="14"/>
                <w:color w:val="51555C"/>
              </w:rPr>
              <w:t>Sofware and content development costs, net</w:t>
            </w:r>
          </w:p>
        </w:tc>
        <w:tc>
          <w:tcPr>
            <w:tcW w:w="460" w:type="dxa"/>
            <w:vAlign w:val="bottom"/>
            <w:tcBorders>
              <w:bottom w:val="single" w:sz="8" w:color="EBFBFF"/>
            </w:tcBorders>
            <w:shd w:val="clear" w:color="auto" w:fill="EBFBFF"/>
          </w:tcPr>
          <w:p>
            <w:pPr>
              <w:spacing w:after="0"/>
              <w:rPr>
                <w:sz w:val="16"/>
                <w:szCs w:val="16"/>
                <w:color w:val="auto"/>
              </w:rPr>
            </w:pPr>
          </w:p>
        </w:tc>
        <w:tc>
          <w:tcPr>
            <w:tcW w:w="8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165.5</w:t>
            </w:r>
          </w:p>
        </w:tc>
        <w:tc>
          <w:tcPr>
            <w:tcW w:w="360" w:type="dxa"/>
            <w:vAlign w:val="bottom"/>
            <w:tcBorders>
              <w:bottom w:val="single" w:sz="8" w:color="EBFBFF"/>
            </w:tcBorders>
            <w:shd w:val="clear" w:color="auto" w:fill="EBFBFF"/>
          </w:tcPr>
          <w:p>
            <w:pPr>
              <w:spacing w:after="0"/>
              <w:rPr>
                <w:sz w:val="16"/>
                <w:szCs w:val="16"/>
                <w:color w:val="auto"/>
              </w:rPr>
            </w:pPr>
          </w:p>
        </w:tc>
        <w:tc>
          <w:tcPr>
            <w:tcW w:w="9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160.2</w:t>
            </w:r>
          </w:p>
        </w:tc>
        <w:tc>
          <w:tcPr>
            <w:tcW w:w="14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3.3 %</w:t>
            </w:r>
          </w:p>
        </w:tc>
        <w:tc>
          <w:tcPr>
            <w:tcW w:w="20" w:type="dxa"/>
            <w:vAlign w:val="bottom"/>
          </w:tcPr>
          <w:p>
            <w:pPr>
              <w:spacing w:after="0"/>
              <w:rPr>
                <w:sz w:val="16"/>
                <w:szCs w:val="16"/>
                <w:color w:val="auto"/>
              </w:rPr>
            </w:pPr>
          </w:p>
        </w:tc>
      </w:tr>
      <w:tr>
        <w:trPr>
          <w:trHeight w:val="172"/>
        </w:trPr>
        <w:tc>
          <w:tcPr>
            <w:tcW w:w="7240" w:type="dxa"/>
            <w:vAlign w:val="bottom"/>
          </w:tcPr>
          <w:p>
            <w:pPr>
              <w:ind w:left="20"/>
              <w:spacing w:after="0"/>
              <w:rPr>
                <w:sz w:val="20"/>
                <w:szCs w:val="20"/>
                <w:color w:val="auto"/>
              </w:rPr>
            </w:pPr>
            <w:r>
              <w:rPr>
                <w:rFonts w:ascii="Calibri" w:cs="Calibri" w:eastAsia="Calibri" w:hAnsi="Calibri"/>
                <w:sz w:val="14"/>
                <w:szCs w:val="14"/>
                <w:color w:val="51555C"/>
              </w:rPr>
              <w:t>Total carrying value of debt</w:t>
            </w:r>
          </w:p>
        </w:tc>
        <w:tc>
          <w:tcPr>
            <w:tcW w:w="4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alibri" w:cs="Calibri" w:eastAsia="Calibri" w:hAnsi="Calibri"/>
                <w:sz w:val="14"/>
                <w:szCs w:val="14"/>
                <w:color w:val="51555C"/>
              </w:rPr>
              <w:t>1,021.9</w:t>
            </w:r>
          </w:p>
        </w:tc>
        <w:tc>
          <w:tcPr>
            <w:tcW w:w="3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alibri" w:cs="Calibri" w:eastAsia="Calibri" w:hAnsi="Calibri"/>
                <w:sz w:val="14"/>
                <w:szCs w:val="14"/>
                <w:color w:val="51555C"/>
              </w:rPr>
              <w:t>779.7</w:t>
            </w:r>
          </w:p>
        </w:tc>
        <w:tc>
          <w:tcPr>
            <w:tcW w:w="1400" w:type="dxa"/>
            <w:vAlign w:val="bottom"/>
          </w:tcPr>
          <w:p>
            <w:pPr>
              <w:jc w:val="right"/>
              <w:spacing w:after="0"/>
              <w:rPr>
                <w:sz w:val="20"/>
                <w:szCs w:val="20"/>
                <w:color w:val="auto"/>
              </w:rPr>
            </w:pPr>
            <w:r>
              <w:rPr>
                <w:rFonts w:ascii="Calibri" w:cs="Calibri" w:eastAsia="Calibri" w:hAnsi="Calibri"/>
                <w:sz w:val="14"/>
                <w:szCs w:val="14"/>
                <w:color w:val="51555C"/>
              </w:rPr>
              <w:t>31.1 %</w:t>
            </w:r>
          </w:p>
        </w:tc>
        <w:tc>
          <w:tcPr>
            <w:tcW w:w="20" w:type="dxa"/>
            <w:vAlign w:val="bottom"/>
          </w:tcPr>
          <w:p>
            <w:pPr>
              <w:spacing w:after="0"/>
              <w:rPr>
                <w:sz w:val="14"/>
                <w:szCs w:val="14"/>
                <w:color w:val="auto"/>
              </w:rPr>
            </w:pPr>
          </w:p>
        </w:tc>
      </w:tr>
      <w:tr>
        <w:trPr>
          <w:trHeight w:val="40"/>
        </w:trPr>
        <w:tc>
          <w:tcPr>
            <w:tcW w:w="7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60" w:type="dxa"/>
            <w:vAlign w:val="bottom"/>
          </w:tcPr>
          <w:p>
            <w:pPr>
              <w:spacing w:after="0"/>
              <w:rPr>
                <w:sz w:val="3"/>
                <w:szCs w:val="3"/>
                <w:color w:val="auto"/>
              </w:rPr>
            </w:pPr>
          </w:p>
        </w:tc>
        <w:tc>
          <w:tcPr>
            <w:tcW w:w="3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17"/>
        </w:trPr>
        <w:tc>
          <w:tcPr>
            <w:tcW w:w="724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4"/>
                <w:szCs w:val="14"/>
                <w:color w:val="51555C"/>
              </w:rPr>
              <w:t>Working capital</w:t>
            </w:r>
          </w:p>
        </w:tc>
        <w:tc>
          <w:tcPr>
            <w:tcW w:w="460" w:type="dxa"/>
            <w:vAlign w:val="bottom"/>
            <w:tcBorders>
              <w:bottom w:val="single" w:sz="8" w:color="EBFBFF"/>
            </w:tcBorders>
            <w:shd w:val="clear" w:color="auto" w:fill="EBFBFF"/>
          </w:tcPr>
          <w:p>
            <w:pPr>
              <w:spacing w:after="0"/>
              <w:rPr>
                <w:sz w:val="18"/>
                <w:szCs w:val="18"/>
                <w:color w:val="auto"/>
              </w:rPr>
            </w:pPr>
          </w:p>
        </w:tc>
        <w:tc>
          <w:tcPr>
            <w:tcW w:w="8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(269.8)</w:t>
            </w:r>
          </w:p>
        </w:tc>
        <w:tc>
          <w:tcPr>
            <w:tcW w:w="360" w:type="dxa"/>
            <w:vAlign w:val="bottom"/>
            <w:tcBorders>
              <w:bottom w:val="single" w:sz="8" w:color="EBFBFF"/>
            </w:tcBorders>
            <w:shd w:val="clear" w:color="auto" w:fill="EBFBFF"/>
          </w:tcPr>
          <w:p>
            <w:pPr>
              <w:spacing w:after="0"/>
              <w:rPr>
                <w:sz w:val="18"/>
                <w:szCs w:val="18"/>
                <w:color w:val="auto"/>
              </w:rPr>
            </w:pPr>
          </w:p>
        </w:tc>
        <w:tc>
          <w:tcPr>
            <w:tcW w:w="9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(267.4)</w:t>
            </w:r>
          </w:p>
        </w:tc>
        <w:tc>
          <w:tcPr>
            <w:tcW w:w="14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(0.9)%</w:t>
            </w:r>
          </w:p>
        </w:tc>
        <w:tc>
          <w:tcPr>
            <w:tcW w:w="20" w:type="dxa"/>
            <w:vAlign w:val="bottom"/>
          </w:tcPr>
          <w:p>
            <w:pPr>
              <w:spacing w:after="0"/>
              <w:rPr>
                <w:sz w:val="18"/>
                <w:szCs w:val="18"/>
                <w:color w:val="auto"/>
              </w:rPr>
            </w:pPr>
          </w:p>
        </w:tc>
      </w:tr>
      <w:tr>
        <w:trPr>
          <w:trHeight w:val="332"/>
        </w:trPr>
        <w:tc>
          <w:tcPr>
            <w:tcW w:w="7240" w:type="dxa"/>
            <w:vAlign w:val="bottom"/>
            <w:tcBorders>
              <w:top w:val="single" w:sz="8" w:color="0CD973"/>
            </w:tcBorders>
          </w:tcPr>
          <w:p>
            <w:pPr>
              <w:spacing w:after="0"/>
              <w:rPr>
                <w:sz w:val="20"/>
                <w:szCs w:val="20"/>
                <w:color w:val="auto"/>
              </w:rPr>
            </w:pPr>
            <w:r>
              <w:rPr>
                <w:rFonts w:ascii="Calibri" w:cs="Calibri" w:eastAsia="Calibri" w:hAnsi="Calibri"/>
                <w:sz w:val="14"/>
                <w:szCs w:val="14"/>
                <w:color w:val="51555C"/>
              </w:rPr>
              <w:t>The following table presents selected fnancial informaton about our cash fows:</w:t>
            </w:r>
          </w:p>
        </w:tc>
        <w:tc>
          <w:tcPr>
            <w:tcW w:w="460" w:type="dxa"/>
            <w:vAlign w:val="bottom"/>
            <w:tcBorders>
              <w:top w:val="single" w:sz="8" w:color="0CD973"/>
            </w:tcBorders>
          </w:tcPr>
          <w:p>
            <w:pPr>
              <w:spacing w:after="0"/>
              <w:rPr>
                <w:sz w:val="24"/>
                <w:szCs w:val="24"/>
                <w:color w:val="auto"/>
              </w:rPr>
            </w:pPr>
          </w:p>
        </w:tc>
        <w:tc>
          <w:tcPr>
            <w:tcW w:w="860" w:type="dxa"/>
            <w:vAlign w:val="bottom"/>
            <w:tcBorders>
              <w:top w:val="single" w:sz="8" w:color="0CD973"/>
            </w:tcBorders>
          </w:tcPr>
          <w:p>
            <w:pPr>
              <w:spacing w:after="0"/>
              <w:rPr>
                <w:sz w:val="24"/>
                <w:szCs w:val="24"/>
                <w:color w:val="auto"/>
              </w:rPr>
            </w:pPr>
          </w:p>
        </w:tc>
        <w:tc>
          <w:tcPr>
            <w:tcW w:w="360" w:type="dxa"/>
            <w:vAlign w:val="bottom"/>
            <w:tcBorders>
              <w:top w:val="single" w:sz="8" w:color="0CD973"/>
            </w:tcBorders>
          </w:tcPr>
          <w:p>
            <w:pPr>
              <w:spacing w:after="0"/>
              <w:rPr>
                <w:sz w:val="24"/>
                <w:szCs w:val="24"/>
                <w:color w:val="auto"/>
              </w:rPr>
            </w:pPr>
          </w:p>
        </w:tc>
        <w:tc>
          <w:tcPr>
            <w:tcW w:w="960" w:type="dxa"/>
            <w:vAlign w:val="bottom"/>
            <w:tcBorders>
              <w:top w:val="single" w:sz="8" w:color="0CD973"/>
            </w:tcBorders>
          </w:tcPr>
          <w:p>
            <w:pPr>
              <w:spacing w:after="0"/>
              <w:rPr>
                <w:sz w:val="24"/>
                <w:szCs w:val="24"/>
                <w:color w:val="auto"/>
              </w:rPr>
            </w:pPr>
          </w:p>
        </w:tc>
        <w:tc>
          <w:tcPr>
            <w:tcW w:w="1400" w:type="dxa"/>
            <w:vAlign w:val="bottom"/>
            <w:tcBorders>
              <w:top w:val="single" w:sz="8" w:color="0CD973"/>
            </w:tcBorders>
          </w:tcPr>
          <w:p>
            <w:pPr>
              <w:spacing w:after="0"/>
              <w:rPr>
                <w:sz w:val="24"/>
                <w:szCs w:val="24"/>
                <w:color w:val="auto"/>
              </w:rPr>
            </w:pPr>
          </w:p>
        </w:tc>
        <w:tc>
          <w:tcPr>
            <w:tcW w:w="20" w:type="dxa"/>
            <w:vAlign w:val="bottom"/>
          </w:tcPr>
          <w:p>
            <w:pPr>
              <w:spacing w:after="0"/>
              <w:rPr>
                <w:sz w:val="24"/>
                <w:szCs w:val="24"/>
                <w:color w:val="auto"/>
              </w:rPr>
            </w:pPr>
          </w:p>
        </w:tc>
      </w:tr>
      <w:tr>
        <w:trPr>
          <w:trHeight w:val="83"/>
        </w:trPr>
        <w:tc>
          <w:tcPr>
            <w:tcW w:w="7240" w:type="dxa"/>
            <w:vAlign w:val="bottom"/>
          </w:tcPr>
          <w:p>
            <w:pPr>
              <w:spacing w:after="0"/>
              <w:rPr>
                <w:sz w:val="7"/>
                <w:szCs w:val="7"/>
                <w:color w:val="auto"/>
              </w:rPr>
            </w:pPr>
          </w:p>
        </w:tc>
        <w:tc>
          <w:tcPr>
            <w:tcW w:w="460" w:type="dxa"/>
            <w:vAlign w:val="bottom"/>
          </w:tcPr>
          <w:p>
            <w:pPr>
              <w:spacing w:after="0"/>
              <w:rPr>
                <w:sz w:val="7"/>
                <w:szCs w:val="7"/>
                <w:color w:val="auto"/>
              </w:rPr>
            </w:pPr>
          </w:p>
        </w:tc>
        <w:tc>
          <w:tcPr>
            <w:tcW w:w="8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45"/>
        </w:trPr>
        <w:tc>
          <w:tcPr>
            <w:tcW w:w="7240" w:type="dxa"/>
            <w:vAlign w:val="bottom"/>
            <w:shd w:val="clear" w:color="auto" w:fill="004054"/>
          </w:tcPr>
          <w:p>
            <w:pPr>
              <w:spacing w:after="0"/>
              <w:rPr>
                <w:sz w:val="12"/>
                <w:szCs w:val="12"/>
                <w:color w:val="auto"/>
              </w:rPr>
            </w:pPr>
          </w:p>
        </w:tc>
        <w:tc>
          <w:tcPr>
            <w:tcW w:w="460" w:type="dxa"/>
            <w:vAlign w:val="bottom"/>
            <w:shd w:val="clear" w:color="auto" w:fill="004054"/>
          </w:tcPr>
          <w:p>
            <w:pPr>
              <w:spacing w:after="0"/>
              <w:rPr>
                <w:sz w:val="12"/>
                <w:szCs w:val="12"/>
                <w:color w:val="auto"/>
              </w:rPr>
            </w:pPr>
          </w:p>
        </w:tc>
        <w:tc>
          <w:tcPr>
            <w:tcW w:w="860" w:type="dxa"/>
            <w:vAlign w:val="bottom"/>
            <w:shd w:val="clear" w:color="auto" w:fill="004054"/>
          </w:tcPr>
          <w:p>
            <w:pPr>
              <w:spacing w:after="0"/>
              <w:rPr>
                <w:sz w:val="12"/>
                <w:szCs w:val="12"/>
                <w:color w:val="auto"/>
              </w:rPr>
            </w:pPr>
          </w:p>
        </w:tc>
        <w:tc>
          <w:tcPr>
            <w:tcW w:w="360" w:type="dxa"/>
            <w:vAlign w:val="bottom"/>
            <w:shd w:val="clear" w:color="auto" w:fill="004054"/>
          </w:tcPr>
          <w:p>
            <w:pPr>
              <w:spacing w:after="0"/>
              <w:rPr>
                <w:sz w:val="12"/>
                <w:szCs w:val="12"/>
                <w:color w:val="auto"/>
              </w:rPr>
            </w:pPr>
          </w:p>
        </w:tc>
        <w:tc>
          <w:tcPr>
            <w:tcW w:w="960" w:type="dxa"/>
            <w:vAlign w:val="bottom"/>
            <w:shd w:val="clear" w:color="auto" w:fill="004054"/>
          </w:tcPr>
          <w:p>
            <w:pPr>
              <w:spacing w:after="0"/>
              <w:rPr>
                <w:sz w:val="12"/>
                <w:szCs w:val="12"/>
                <w:color w:val="auto"/>
              </w:rPr>
            </w:pPr>
          </w:p>
        </w:tc>
        <w:tc>
          <w:tcPr>
            <w:tcW w:w="140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Six months ended June 30,</w:t>
            </w:r>
          </w:p>
        </w:tc>
        <w:tc>
          <w:tcPr>
            <w:tcW w:w="20" w:type="dxa"/>
            <w:vAlign w:val="bottom"/>
            <w:shd w:val="clear" w:color="auto" w:fill="004054"/>
          </w:tcPr>
          <w:p>
            <w:pPr>
              <w:spacing w:after="0"/>
              <w:rPr>
                <w:sz w:val="12"/>
                <w:szCs w:val="12"/>
                <w:color w:val="auto"/>
              </w:rPr>
            </w:pPr>
          </w:p>
        </w:tc>
      </w:tr>
      <w:tr>
        <w:trPr>
          <w:trHeight w:val="228"/>
        </w:trPr>
        <w:tc>
          <w:tcPr>
            <w:tcW w:w="7240" w:type="dxa"/>
            <w:vAlign w:val="bottom"/>
            <w:tcBorders>
              <w:bottom w:val="single" w:sz="8" w:color="004054"/>
            </w:tcBorders>
            <w:shd w:val="clear" w:color="auto" w:fill="004054"/>
          </w:tcPr>
          <w:p>
            <w:pPr>
              <w:ind w:left="20"/>
              <w:spacing w:after="0"/>
              <w:rPr>
                <w:sz w:val="20"/>
                <w:szCs w:val="20"/>
                <w:color w:val="auto"/>
              </w:rPr>
            </w:pPr>
            <w:r>
              <w:rPr>
                <w:rFonts w:ascii="Calibri" w:cs="Calibri" w:eastAsia="Calibri" w:hAnsi="Calibri"/>
                <w:sz w:val="11"/>
                <w:szCs w:val="11"/>
                <w:b w:val="1"/>
                <w:bCs w:val="1"/>
                <w:color w:val="FFFFFF"/>
              </w:rPr>
              <w:t>(dollars in millions)</w:t>
            </w:r>
          </w:p>
        </w:tc>
        <w:tc>
          <w:tcPr>
            <w:tcW w:w="460" w:type="dxa"/>
            <w:vAlign w:val="bottom"/>
            <w:tcBorders>
              <w:bottom w:val="single" w:sz="8" w:color="004054"/>
            </w:tcBorders>
            <w:shd w:val="clear" w:color="auto" w:fill="004054"/>
          </w:tcPr>
          <w:p>
            <w:pPr>
              <w:spacing w:after="0"/>
              <w:rPr>
                <w:sz w:val="19"/>
                <w:szCs w:val="19"/>
                <w:color w:val="auto"/>
              </w:rPr>
            </w:pPr>
          </w:p>
        </w:tc>
        <w:tc>
          <w:tcPr>
            <w:tcW w:w="860" w:type="dxa"/>
            <w:vAlign w:val="bottom"/>
            <w:tcBorders>
              <w:bottom w:val="single" w:sz="8" w:color="004054"/>
            </w:tcBorders>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2024</w:t>
            </w:r>
          </w:p>
        </w:tc>
        <w:tc>
          <w:tcPr>
            <w:tcW w:w="360" w:type="dxa"/>
            <w:vAlign w:val="bottom"/>
            <w:tcBorders>
              <w:bottom w:val="single" w:sz="8" w:color="004054"/>
            </w:tcBorders>
            <w:shd w:val="clear" w:color="auto" w:fill="004054"/>
          </w:tcPr>
          <w:p>
            <w:pPr>
              <w:spacing w:after="0"/>
              <w:rPr>
                <w:sz w:val="19"/>
                <w:szCs w:val="19"/>
                <w:color w:val="auto"/>
              </w:rPr>
            </w:pPr>
          </w:p>
        </w:tc>
        <w:tc>
          <w:tcPr>
            <w:tcW w:w="960" w:type="dxa"/>
            <w:vAlign w:val="bottom"/>
            <w:tcBorders>
              <w:bottom w:val="single" w:sz="8" w:color="004054"/>
            </w:tcBorders>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2023</w:t>
            </w:r>
          </w:p>
        </w:tc>
        <w:tc>
          <w:tcPr>
            <w:tcW w:w="1400" w:type="dxa"/>
            <w:vAlign w:val="bottom"/>
            <w:tcBorders>
              <w:bottom w:val="single" w:sz="8" w:color="004054"/>
            </w:tcBorders>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Change</w:t>
            </w:r>
          </w:p>
        </w:tc>
        <w:tc>
          <w:tcPr>
            <w:tcW w:w="20" w:type="dxa"/>
            <w:vAlign w:val="bottom"/>
            <w:tcBorders>
              <w:bottom w:val="single" w:sz="8" w:color="004054"/>
            </w:tcBorders>
            <w:shd w:val="clear" w:color="auto" w:fill="004054"/>
          </w:tcPr>
          <w:p>
            <w:pPr>
              <w:spacing w:after="0"/>
              <w:rPr>
                <w:sz w:val="19"/>
                <w:szCs w:val="19"/>
                <w:color w:val="auto"/>
              </w:rPr>
            </w:pPr>
          </w:p>
        </w:tc>
      </w:tr>
      <w:tr>
        <w:trPr>
          <w:trHeight w:val="192"/>
        </w:trPr>
        <w:tc>
          <w:tcPr>
            <w:tcW w:w="724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4"/>
                <w:szCs w:val="14"/>
                <w:color w:val="51555C"/>
              </w:rPr>
              <w:t>Net cash provided by operatng actvites</w:t>
            </w:r>
          </w:p>
        </w:tc>
        <w:tc>
          <w:tcPr>
            <w:tcW w:w="460" w:type="dxa"/>
            <w:vAlign w:val="bottom"/>
            <w:tcBorders>
              <w:bottom w:val="single" w:sz="8" w:color="EBFBFF"/>
            </w:tcBorders>
            <w:shd w:val="clear" w:color="auto" w:fill="EBFBFF"/>
          </w:tcPr>
          <w:p>
            <w:pPr>
              <w:jc w:val="right"/>
              <w:ind w:right="309"/>
              <w:spacing w:after="0"/>
              <w:rPr>
                <w:sz w:val="20"/>
                <w:szCs w:val="20"/>
                <w:color w:val="auto"/>
              </w:rPr>
            </w:pPr>
            <w:r>
              <w:rPr>
                <w:rFonts w:ascii="Calibri" w:cs="Calibri" w:eastAsia="Calibri" w:hAnsi="Calibri"/>
                <w:sz w:val="14"/>
                <w:szCs w:val="14"/>
                <w:color w:val="51555C"/>
                <w:w w:val="83"/>
              </w:rPr>
              <w:t>$</w:t>
            </w:r>
          </w:p>
        </w:tc>
        <w:tc>
          <w:tcPr>
            <w:tcW w:w="8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118.4</w:t>
            </w:r>
          </w:p>
        </w:tc>
        <w:tc>
          <w:tcPr>
            <w:tcW w:w="360" w:type="dxa"/>
            <w:vAlign w:val="bottom"/>
            <w:tcBorders>
              <w:bottom w:val="single" w:sz="8" w:color="EBFBFF"/>
            </w:tcBorders>
            <w:shd w:val="clear" w:color="auto" w:fill="EBFBFF"/>
          </w:tcPr>
          <w:p>
            <w:pPr>
              <w:jc w:val="right"/>
              <w:ind w:right="209"/>
              <w:spacing w:after="0"/>
              <w:rPr>
                <w:sz w:val="20"/>
                <w:szCs w:val="20"/>
                <w:color w:val="auto"/>
              </w:rPr>
            </w:pPr>
            <w:r>
              <w:rPr>
                <w:rFonts w:ascii="Calibri" w:cs="Calibri" w:eastAsia="Calibri" w:hAnsi="Calibri"/>
                <w:sz w:val="14"/>
                <w:szCs w:val="14"/>
                <w:color w:val="51555C"/>
                <w:w w:val="83"/>
              </w:rPr>
              <w:t>$</w:t>
            </w:r>
          </w:p>
        </w:tc>
        <w:tc>
          <w:tcPr>
            <w:tcW w:w="9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75.0</w:t>
            </w:r>
          </w:p>
        </w:tc>
        <w:tc>
          <w:tcPr>
            <w:tcW w:w="14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57.9 %</w:t>
            </w:r>
          </w:p>
        </w:tc>
        <w:tc>
          <w:tcPr>
            <w:tcW w:w="20" w:type="dxa"/>
            <w:vAlign w:val="bottom"/>
          </w:tcPr>
          <w:p>
            <w:pPr>
              <w:spacing w:after="0"/>
              <w:rPr>
                <w:sz w:val="16"/>
                <w:szCs w:val="16"/>
                <w:color w:val="auto"/>
              </w:rPr>
            </w:pPr>
          </w:p>
        </w:tc>
      </w:tr>
      <w:tr>
        <w:trPr>
          <w:trHeight w:val="172"/>
        </w:trPr>
        <w:tc>
          <w:tcPr>
            <w:tcW w:w="7240" w:type="dxa"/>
            <w:vAlign w:val="bottom"/>
          </w:tcPr>
          <w:p>
            <w:pPr>
              <w:ind w:left="20"/>
              <w:spacing w:after="0"/>
              <w:rPr>
                <w:sz w:val="20"/>
                <w:szCs w:val="20"/>
                <w:color w:val="auto"/>
              </w:rPr>
            </w:pPr>
            <w:r>
              <w:rPr>
                <w:rFonts w:ascii="Calibri" w:cs="Calibri" w:eastAsia="Calibri" w:hAnsi="Calibri"/>
                <w:sz w:val="14"/>
                <w:szCs w:val="14"/>
                <w:color w:val="51555C"/>
              </w:rPr>
              <w:t>Net cash used in investng actvites</w:t>
            </w:r>
          </w:p>
        </w:tc>
        <w:tc>
          <w:tcPr>
            <w:tcW w:w="4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alibri" w:cs="Calibri" w:eastAsia="Calibri" w:hAnsi="Calibri"/>
                <w:sz w:val="14"/>
                <w:szCs w:val="14"/>
                <w:color w:val="51555C"/>
              </w:rPr>
              <w:t>(40.7)</w:t>
            </w:r>
          </w:p>
        </w:tc>
        <w:tc>
          <w:tcPr>
            <w:tcW w:w="3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alibri" w:cs="Calibri" w:eastAsia="Calibri" w:hAnsi="Calibri"/>
                <w:sz w:val="14"/>
                <w:szCs w:val="14"/>
                <w:color w:val="51555C"/>
              </w:rPr>
              <w:t>(31.5)</w:t>
            </w:r>
          </w:p>
        </w:tc>
        <w:tc>
          <w:tcPr>
            <w:tcW w:w="1400" w:type="dxa"/>
            <w:vAlign w:val="bottom"/>
          </w:tcPr>
          <w:p>
            <w:pPr>
              <w:jc w:val="right"/>
              <w:spacing w:after="0"/>
              <w:rPr>
                <w:sz w:val="20"/>
                <w:szCs w:val="20"/>
                <w:color w:val="auto"/>
              </w:rPr>
            </w:pPr>
            <w:r>
              <w:rPr>
                <w:rFonts w:ascii="Calibri" w:cs="Calibri" w:eastAsia="Calibri" w:hAnsi="Calibri"/>
                <w:sz w:val="14"/>
                <w:szCs w:val="14"/>
                <w:color w:val="51555C"/>
              </w:rPr>
              <w:t>29.1 %</w:t>
            </w:r>
          </w:p>
        </w:tc>
        <w:tc>
          <w:tcPr>
            <w:tcW w:w="20" w:type="dxa"/>
            <w:vAlign w:val="bottom"/>
          </w:tcPr>
          <w:p>
            <w:pPr>
              <w:spacing w:after="0"/>
              <w:rPr>
                <w:sz w:val="14"/>
                <w:szCs w:val="14"/>
                <w:color w:val="auto"/>
              </w:rPr>
            </w:pPr>
          </w:p>
        </w:tc>
      </w:tr>
      <w:tr>
        <w:trPr>
          <w:trHeight w:val="40"/>
        </w:trPr>
        <w:tc>
          <w:tcPr>
            <w:tcW w:w="7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60" w:type="dxa"/>
            <w:vAlign w:val="bottom"/>
          </w:tcPr>
          <w:p>
            <w:pPr>
              <w:spacing w:after="0"/>
              <w:rPr>
                <w:sz w:val="3"/>
                <w:szCs w:val="3"/>
                <w:color w:val="auto"/>
              </w:rPr>
            </w:pPr>
          </w:p>
        </w:tc>
        <w:tc>
          <w:tcPr>
            <w:tcW w:w="3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92"/>
        </w:trPr>
        <w:tc>
          <w:tcPr>
            <w:tcW w:w="724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4"/>
                <w:szCs w:val="14"/>
                <w:color w:val="51555C"/>
              </w:rPr>
              <w:t>Net cash provided by fnancing actvites</w:t>
            </w:r>
          </w:p>
        </w:tc>
        <w:tc>
          <w:tcPr>
            <w:tcW w:w="460" w:type="dxa"/>
            <w:vAlign w:val="bottom"/>
            <w:tcBorders>
              <w:bottom w:val="single" w:sz="8" w:color="EBFBFF"/>
            </w:tcBorders>
            <w:shd w:val="clear" w:color="auto" w:fill="EBFBFF"/>
          </w:tcPr>
          <w:p>
            <w:pPr>
              <w:spacing w:after="0"/>
              <w:rPr>
                <w:sz w:val="16"/>
                <w:szCs w:val="16"/>
                <w:color w:val="auto"/>
              </w:rPr>
            </w:pPr>
          </w:p>
        </w:tc>
        <w:tc>
          <w:tcPr>
            <w:tcW w:w="8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25.7</w:t>
            </w:r>
          </w:p>
        </w:tc>
        <w:tc>
          <w:tcPr>
            <w:tcW w:w="360" w:type="dxa"/>
            <w:vAlign w:val="bottom"/>
            <w:tcBorders>
              <w:bottom w:val="single" w:sz="8" w:color="EBFBFF"/>
            </w:tcBorders>
            <w:shd w:val="clear" w:color="auto" w:fill="EBFBFF"/>
          </w:tcPr>
          <w:p>
            <w:pPr>
              <w:spacing w:after="0"/>
              <w:rPr>
                <w:sz w:val="16"/>
                <w:szCs w:val="16"/>
                <w:color w:val="auto"/>
              </w:rPr>
            </w:pPr>
          </w:p>
        </w:tc>
        <w:tc>
          <w:tcPr>
            <w:tcW w:w="9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10.4</w:t>
            </w:r>
          </w:p>
        </w:tc>
        <w:tc>
          <w:tcPr>
            <w:tcW w:w="14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145.7 %</w:t>
            </w:r>
          </w:p>
        </w:tc>
        <w:tc>
          <w:tcPr>
            <w:tcW w:w="20" w:type="dxa"/>
            <w:vAlign w:val="bottom"/>
          </w:tcPr>
          <w:p>
            <w:pPr>
              <w:spacing w:after="0"/>
              <w:rPr>
                <w:sz w:val="16"/>
                <w:szCs w:val="16"/>
                <w:color w:val="auto"/>
              </w:rPr>
            </w:pPr>
          </w:p>
        </w:tc>
      </w:tr>
      <w:tr>
        <w:trPr>
          <w:trHeight w:val="20"/>
        </w:trPr>
        <w:tc>
          <w:tcPr>
            <w:tcW w:w="7240" w:type="dxa"/>
            <w:vAlign w:val="bottom"/>
            <w:shd w:val="clear" w:color="auto" w:fill="0CD973"/>
          </w:tcPr>
          <w:p>
            <w:pPr>
              <w:spacing w:after="0" w:line="20" w:lineRule="exact"/>
              <w:rPr>
                <w:sz w:val="1"/>
                <w:szCs w:val="1"/>
                <w:color w:val="auto"/>
              </w:rPr>
            </w:pPr>
          </w:p>
        </w:tc>
        <w:tc>
          <w:tcPr>
            <w:tcW w:w="460" w:type="dxa"/>
            <w:vAlign w:val="bottom"/>
            <w:shd w:val="clear" w:color="auto" w:fill="0CD973"/>
          </w:tcPr>
          <w:p>
            <w:pPr>
              <w:spacing w:after="0" w:line="20" w:lineRule="exact"/>
              <w:rPr>
                <w:sz w:val="1"/>
                <w:szCs w:val="1"/>
                <w:color w:val="auto"/>
              </w:rPr>
            </w:pPr>
          </w:p>
        </w:tc>
        <w:tc>
          <w:tcPr>
            <w:tcW w:w="860" w:type="dxa"/>
            <w:vAlign w:val="bottom"/>
            <w:shd w:val="clear" w:color="auto" w:fill="0CD973"/>
          </w:tcPr>
          <w:p>
            <w:pPr>
              <w:spacing w:after="0" w:line="20" w:lineRule="exact"/>
              <w:rPr>
                <w:sz w:val="1"/>
                <w:szCs w:val="1"/>
                <w:color w:val="auto"/>
              </w:rPr>
            </w:pPr>
          </w:p>
        </w:tc>
        <w:tc>
          <w:tcPr>
            <w:tcW w:w="360" w:type="dxa"/>
            <w:vAlign w:val="bottom"/>
            <w:shd w:val="clear" w:color="auto" w:fill="0CD973"/>
          </w:tcPr>
          <w:p>
            <w:pPr>
              <w:spacing w:after="0" w:line="20" w:lineRule="exact"/>
              <w:rPr>
                <w:sz w:val="1"/>
                <w:szCs w:val="1"/>
                <w:color w:val="auto"/>
              </w:rPr>
            </w:pPr>
          </w:p>
        </w:tc>
        <w:tc>
          <w:tcPr>
            <w:tcW w:w="960" w:type="dxa"/>
            <w:vAlign w:val="bottom"/>
            <w:shd w:val="clear" w:color="auto" w:fill="0CD973"/>
          </w:tcPr>
          <w:p>
            <w:pPr>
              <w:spacing w:after="0" w:line="20" w:lineRule="exact"/>
              <w:rPr>
                <w:sz w:val="1"/>
                <w:szCs w:val="1"/>
                <w:color w:val="auto"/>
              </w:rPr>
            </w:pPr>
          </w:p>
        </w:tc>
        <w:tc>
          <w:tcPr>
            <w:tcW w:w="140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4598035</wp:posOffset>
            </wp:positionH>
            <wp:positionV relativeFrom="paragraph">
              <wp:posOffset>-538480</wp:posOffset>
            </wp:positionV>
            <wp:extent cx="2573655" cy="69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573655" cy="6985"/>
                    </a:xfrm>
                    <a:prstGeom prst="rect">
                      <a:avLst/>
                    </a:prstGeom>
                    <a:noFill/>
                  </pic:spPr>
                </pic:pic>
              </a:graphicData>
            </a:graphic>
          </wp:anchor>
        </w:drawing>
      </w:r>
    </w:p>
    <w:p>
      <w:pPr>
        <w:spacing w:after="0" w:line="164" w:lineRule="exact"/>
        <w:rPr>
          <w:sz w:val="20"/>
          <w:szCs w:val="20"/>
          <w:color w:val="auto"/>
        </w:rPr>
      </w:pPr>
    </w:p>
    <w:p>
      <w:pPr>
        <w:jc w:val="both"/>
        <w:ind w:right="20"/>
        <w:spacing w:after="0" w:line="238" w:lineRule="auto"/>
        <w:rPr>
          <w:sz w:val="20"/>
          <w:szCs w:val="20"/>
          <w:color w:val="auto"/>
        </w:rPr>
      </w:pPr>
      <w:r>
        <w:rPr>
          <w:rFonts w:ascii="Calibri" w:cs="Calibri" w:eastAsia="Calibri" w:hAnsi="Calibri"/>
          <w:sz w:val="14"/>
          <w:szCs w:val="14"/>
          <w:color w:val="51555C"/>
        </w:rPr>
        <w:t>Our principal sources of liquidity are our operatng cash fow, funds available under the 2024 Credit Facilites and cash on hand. Our operatng cash fow depends on contnued customer renewal of our subscripton and maintenance arrangements, market acceptance of our solutons and services, the volume and size of transactons for which we process payments and our customers' ability to pay. Based on current estmates of revenue and expenses, we believe that the currently available sources of funds and antcipated cash fows from operatons will be adequate for at least the next twelve months to fnance our operatons, fund antcipated capital expenditures and meet our debt obligatons. We also believe that we will be able to contnue to meet our long-term cash requirements due to our antcipated cash fow from operatons, solid fnancial positon and ability to access capital from fnancial markets. To the extent we undertake future material acquisitons or investments or unantcipated capital or operatng expenditures, including in connecton with the Security Incident, we may require additonal capital. In that context, we regularly evaluate opportunites to enhance our capital structure, including through potental debt or equity issuances.</w:t>
      </w:r>
    </w:p>
    <w:p>
      <w:pPr>
        <w:spacing w:after="0" w:line="129" w:lineRule="exact"/>
        <w:rPr>
          <w:sz w:val="20"/>
          <w:szCs w:val="20"/>
          <w:color w:val="auto"/>
        </w:rPr>
      </w:pPr>
    </w:p>
    <w:p>
      <w:pPr>
        <w:jc w:val="both"/>
        <w:ind w:right="20"/>
        <w:spacing w:after="0" w:line="237" w:lineRule="auto"/>
        <w:rPr>
          <w:sz w:val="20"/>
          <w:szCs w:val="20"/>
          <w:color w:val="auto"/>
        </w:rPr>
      </w:pPr>
      <w:r>
        <w:rPr>
          <w:rFonts w:ascii="Calibri" w:cs="Calibri" w:eastAsia="Calibri" w:hAnsi="Calibri"/>
          <w:sz w:val="14"/>
          <w:szCs w:val="14"/>
          <w:color w:val="51555C"/>
        </w:rPr>
        <w:t>As a well-known seasoned issuer, we fled an automatc shelf registraton statement for an undetermined amount of debt and equity securites with the SEC on January 14, 2022. Under this universal shelf registraton statement we may ofer and sell, from tme to tme, debt securites, common stock, preferred stock, depositary shares, warrants, stock purchase contracts and stock purchase units. Subject to certain conditons, this registraton statement will be efectve through January 13, 2025.</w:t>
      </w:r>
    </w:p>
    <w:p>
      <w:pPr>
        <w:spacing w:after="0" w:line="130" w:lineRule="exact"/>
        <w:rPr>
          <w:sz w:val="20"/>
          <w:szCs w:val="20"/>
          <w:color w:val="auto"/>
        </w:rPr>
      </w:pPr>
    </w:p>
    <w:p>
      <w:pPr>
        <w:jc w:val="both"/>
        <w:ind w:right="20"/>
        <w:spacing w:after="0" w:line="237" w:lineRule="auto"/>
        <w:rPr>
          <w:sz w:val="20"/>
          <w:szCs w:val="20"/>
          <w:color w:val="auto"/>
        </w:rPr>
      </w:pPr>
      <w:r>
        <w:rPr>
          <w:rFonts w:ascii="Calibri" w:cs="Calibri" w:eastAsia="Calibri" w:hAnsi="Calibri"/>
          <w:sz w:val="14"/>
          <w:szCs w:val="14"/>
          <w:color w:val="51555C"/>
        </w:rPr>
        <w:t>At June 30, 2024, our total cash and cash equivalents balance included approximately $16.5 million of cash that was held by operatons outside the U.S. While these funds may not be needed to fund our U.S. operatons for at least the next twelve months, if we need these funds, we may be required to accrue and pay taxes to repatriate the funds. We currently do not intend nor antcipate a need to repatriate our cash held outside the U.S.</w:t>
      </w:r>
    </w:p>
    <w:p>
      <w:pPr>
        <w:spacing w:after="0" w:line="267" w:lineRule="exact"/>
        <w:rPr>
          <w:sz w:val="20"/>
          <w:szCs w:val="20"/>
          <w:color w:val="auto"/>
        </w:rPr>
      </w:pPr>
    </w:p>
    <w:p>
      <w:pPr>
        <w:ind w:left="20"/>
        <w:spacing w:after="0"/>
        <w:tabs>
          <w:tab w:leader="none" w:pos="589" w:val="left"/>
        </w:tabs>
        <w:rPr>
          <w:sz w:val="20"/>
          <w:szCs w:val="20"/>
          <w:color w:val="auto"/>
        </w:rPr>
      </w:pPr>
      <w:r>
        <w:rPr>
          <w:rFonts w:ascii="Calibri" w:cs="Calibri" w:eastAsia="Calibri" w:hAnsi="Calibri"/>
          <w:sz w:val="11"/>
          <w:szCs w:val="11"/>
          <w:color w:val="51555C"/>
        </w:rPr>
        <w:t>44</w:t>
      </w:r>
      <w:r>
        <w:rPr>
          <w:sz w:val="20"/>
          <w:szCs w:val="20"/>
          <w:color w:val="auto"/>
        </w:rPr>
        <w:tab/>
      </w:r>
      <w:r>
        <w:rPr>
          <w:sz w:val="1"/>
          <w:szCs w:val="1"/>
          <w:color w:val="auto"/>
        </w:rPr>
        <w:drawing>
          <wp:inline distT="0" distB="0" distL="0" distR="0">
            <wp:extent cx="511810" cy="134620"/>
            <wp:effectExtent l="0" t="0" r="0" b="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1810" cy="134620"/>
                    </a:xfrm>
                    <a:prstGeom prst="rect">
                      <a:avLst/>
                    </a:prstGeom>
                    <a:noFill/>
                    <a:ln>
                      <a:noFill/>
                    </a:ln>
                  </pic:spPr>
                </pic:pic>
              </a:graphicData>
            </a:graphic>
          </wp:inline>
        </w:drawing>
      </w:r>
      <w:r>
        <w:rPr>
          <w:rFonts w:ascii="Calibri" w:cs="Calibri" w:eastAsia="Calibri" w:hAnsi="Calibri"/>
          <w:sz w:val="11"/>
          <w:szCs w:val="11"/>
          <w:color w:val="51555C"/>
        </w:rPr>
        <w:t xml:space="preserve">    Second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135255</wp:posOffset>
            </wp:positionV>
            <wp:extent cx="7186930"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45" w:name="page46"/>
    <w:bookmarkEnd w:id="45"/>
    <w:p>
      <w:pPr>
        <w:spacing w:after="0"/>
        <w:rPr>
          <w:sz w:val="20"/>
          <w:szCs w:val="20"/>
          <w:color w:val="auto"/>
        </w:rPr>
      </w:pPr>
      <w:r>
        <w:rPr>
          <w:rFonts w:ascii="Calibri" w:cs="Calibri" w:eastAsia="Calibri" w:hAnsi="Calibri"/>
          <w:sz w:val="11"/>
          <w:szCs w:val="11"/>
          <w:u w:val="single" w:color="auto"/>
          <w:color w:val="7A04DD"/>
        </w:rPr>
        <w:t>Table of Contents</w:t>
      </w:r>
    </w:p>
    <w:p>
      <w:pPr>
        <w:spacing w:after="0" w:line="196" w:lineRule="exact"/>
        <w:rPr>
          <w:sz w:val="20"/>
          <w:szCs w:val="20"/>
          <w:color w:val="auto"/>
        </w:rPr>
      </w:pPr>
    </w:p>
    <w:p>
      <w:pPr>
        <w:jc w:val="center"/>
        <w:spacing w:after="0"/>
        <w:rPr>
          <w:sz w:val="20"/>
          <w:szCs w:val="20"/>
          <w:color w:val="auto"/>
        </w:rPr>
      </w:pPr>
      <w:r>
        <w:rPr>
          <w:rFonts w:ascii="Calibri" w:cs="Calibri" w:eastAsia="Calibri" w:hAnsi="Calibri"/>
          <w:sz w:val="14"/>
          <w:szCs w:val="14"/>
          <w:b w:val="1"/>
          <w:bCs w:val="1"/>
          <w:color w:val="51555C"/>
        </w:rPr>
        <w:t>Blackbaud, Inc.</w:t>
      </w:r>
    </w:p>
    <w:p>
      <w:pPr>
        <w:jc w:val="center"/>
        <w:spacing w:after="0" w:line="238" w:lineRule="auto"/>
        <w:rPr>
          <w:sz w:val="20"/>
          <w:szCs w:val="20"/>
          <w:color w:val="auto"/>
        </w:rPr>
      </w:pPr>
      <w:r>
        <w:rPr>
          <w:rFonts w:ascii="Calibri" w:cs="Calibri" w:eastAsia="Calibri" w:hAnsi="Calibri"/>
          <w:sz w:val="14"/>
          <w:szCs w:val="14"/>
          <w:b w:val="1"/>
          <w:bCs w:val="1"/>
          <w:color w:val="51555C"/>
        </w:rPr>
        <w:t>(Unaudited)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51555C"/>
        </w:rPr>
        <w:t>Operatng Cash Flow</w:t>
      </w:r>
    </w:p>
    <w:p>
      <w:pPr>
        <w:spacing w:after="0" w:line="129" w:lineRule="exact"/>
        <w:rPr>
          <w:sz w:val="20"/>
          <w:szCs w:val="20"/>
          <w:color w:val="auto"/>
        </w:rPr>
      </w:pPr>
    </w:p>
    <w:p>
      <w:pPr>
        <w:spacing w:after="0" w:line="237" w:lineRule="auto"/>
        <w:rPr>
          <w:sz w:val="20"/>
          <w:szCs w:val="20"/>
          <w:color w:val="auto"/>
        </w:rPr>
      </w:pPr>
      <w:r>
        <w:rPr>
          <w:rFonts w:ascii="Calibri" w:cs="Calibri" w:eastAsia="Calibri" w:hAnsi="Calibri"/>
          <w:sz w:val="14"/>
          <w:szCs w:val="14"/>
          <w:color w:val="51555C"/>
        </w:rPr>
        <w:t>Our cash fows from operatons are derived principally from: (i) our earnings from on-going operatons prior to non-cash expenses such as depreciaton, amortzaton, stock-based compensaton, deferred taxes, amortzaton of deferred fnancing costs and debt discount and adjustments to our provision for credit losses and sales returns; and (ii) changes in our working capital.</w:t>
      </w:r>
    </w:p>
    <w:p>
      <w:pPr>
        <w:spacing w:after="0" w:line="126" w:lineRule="exact"/>
        <w:rPr>
          <w:sz w:val="20"/>
          <w:szCs w:val="20"/>
          <w:color w:val="auto"/>
        </w:rPr>
      </w:pPr>
    </w:p>
    <w:p>
      <w:pPr>
        <w:spacing w:after="0"/>
        <w:rPr>
          <w:sz w:val="20"/>
          <w:szCs w:val="20"/>
          <w:color w:val="auto"/>
        </w:rPr>
      </w:pPr>
      <w:r>
        <w:rPr>
          <w:rFonts w:ascii="Calibri" w:cs="Calibri" w:eastAsia="Calibri" w:hAnsi="Calibri"/>
          <w:sz w:val="14"/>
          <w:szCs w:val="14"/>
          <w:color w:val="51555C"/>
        </w:rPr>
        <w:t>Working capital changes are composed of changes in accounts receivable, prepaid expenses and other assets, trade accounts payable, accrued expenses and other liabilites, and deferred revenue.</w:t>
      </w:r>
    </w:p>
    <w:p>
      <w:pPr>
        <w:spacing w:after="0" w:line="129" w:lineRule="exact"/>
        <w:rPr>
          <w:sz w:val="20"/>
          <w:szCs w:val="20"/>
          <w:color w:val="auto"/>
        </w:rPr>
      </w:pPr>
    </w:p>
    <w:p>
      <w:pPr>
        <w:spacing w:after="0" w:line="237" w:lineRule="auto"/>
        <w:rPr>
          <w:sz w:val="20"/>
          <w:szCs w:val="20"/>
          <w:color w:val="auto"/>
        </w:rPr>
      </w:pPr>
      <w:r>
        <w:rPr>
          <w:rFonts w:ascii="Calibri" w:cs="Calibri" w:eastAsia="Calibri" w:hAnsi="Calibri"/>
          <w:sz w:val="14"/>
          <w:szCs w:val="14"/>
          <w:color w:val="51555C"/>
        </w:rPr>
        <w:t>Net cash provided by operatng actvites increased by $43.4 million during the six months ended June 30, 2024, when compared to the same period in 2023, primarily due to a $57.8 million increase in net income adjusted for non-cash expenses and a $14.3 million decrease in cash fow from operatons associated with working capital.</w:t>
      </w:r>
    </w:p>
    <w:p>
      <w:pPr>
        <w:spacing w:after="0" w:line="126" w:lineRule="exact"/>
        <w:rPr>
          <w:sz w:val="20"/>
          <w:szCs w:val="20"/>
          <w:color w:val="auto"/>
        </w:rPr>
      </w:pPr>
    </w:p>
    <w:p>
      <w:pPr>
        <w:spacing w:after="0"/>
        <w:rPr>
          <w:sz w:val="20"/>
          <w:szCs w:val="20"/>
          <w:color w:val="auto"/>
        </w:rPr>
      </w:pPr>
      <w:r>
        <w:rPr>
          <w:rFonts w:ascii="Calibri" w:cs="Calibri" w:eastAsia="Calibri" w:hAnsi="Calibri"/>
          <w:sz w:val="14"/>
          <w:szCs w:val="14"/>
          <w:color w:val="51555C"/>
        </w:rPr>
        <w:t>The decrease in cash fow from operatons associated with working capital during the six months ended June 30, 2024, when compared to the same period in 2023, was primarily due to:</w:t>
      </w:r>
    </w:p>
    <w:p>
      <w:pPr>
        <w:spacing w:after="0" w:line="126" w:lineRule="exact"/>
        <w:rPr>
          <w:sz w:val="20"/>
          <w:szCs w:val="20"/>
          <w:color w:val="auto"/>
        </w:rPr>
      </w:pPr>
    </w:p>
    <w:p>
      <w:pPr>
        <w:ind w:left="500" w:hanging="240"/>
        <w:spacing w:after="0"/>
        <w:tabs>
          <w:tab w:leader="none" w:pos="500" w:val="left"/>
        </w:tabs>
        <w:numPr>
          <w:ilvl w:val="0"/>
          <w:numId w:val="32"/>
        </w:numPr>
        <w:rPr>
          <w:rFonts w:ascii="Calibri" w:cs="Calibri" w:eastAsia="Calibri" w:hAnsi="Calibri"/>
          <w:sz w:val="14"/>
          <w:szCs w:val="14"/>
          <w:color w:val="51555C"/>
        </w:rPr>
      </w:pPr>
      <w:r>
        <w:rPr>
          <w:rFonts w:ascii="Calibri" w:cs="Calibri" w:eastAsia="Calibri" w:hAnsi="Calibri"/>
          <w:sz w:val="14"/>
          <w:szCs w:val="14"/>
          <w:color w:val="51555C"/>
        </w:rPr>
        <w:t>a decrease in accrued expenses related to the Security Incident;</w:t>
      </w:r>
    </w:p>
    <w:p>
      <w:pPr>
        <w:spacing w:after="0" w:line="126" w:lineRule="exact"/>
        <w:rPr>
          <w:rFonts w:ascii="Calibri" w:cs="Calibri" w:eastAsia="Calibri" w:hAnsi="Calibri"/>
          <w:sz w:val="14"/>
          <w:szCs w:val="14"/>
          <w:color w:val="51555C"/>
        </w:rPr>
      </w:pPr>
    </w:p>
    <w:p>
      <w:pPr>
        <w:ind w:left="500" w:hanging="240"/>
        <w:spacing w:after="0"/>
        <w:tabs>
          <w:tab w:leader="none" w:pos="500" w:val="left"/>
        </w:tabs>
        <w:numPr>
          <w:ilvl w:val="0"/>
          <w:numId w:val="32"/>
        </w:numPr>
        <w:rPr>
          <w:rFonts w:ascii="Calibri" w:cs="Calibri" w:eastAsia="Calibri" w:hAnsi="Calibri"/>
          <w:sz w:val="14"/>
          <w:szCs w:val="14"/>
          <w:color w:val="51555C"/>
        </w:rPr>
      </w:pPr>
      <w:r>
        <w:rPr>
          <w:rFonts w:ascii="Calibri" w:cs="Calibri" w:eastAsia="Calibri" w:hAnsi="Calibri"/>
          <w:sz w:val="14"/>
          <w:szCs w:val="14"/>
          <w:color w:val="51555C"/>
        </w:rPr>
        <w:t>a decrease in taxes payable; partally ofset by</w:t>
      </w:r>
    </w:p>
    <w:p>
      <w:pPr>
        <w:spacing w:after="0" w:line="126" w:lineRule="exact"/>
        <w:rPr>
          <w:rFonts w:ascii="Calibri" w:cs="Calibri" w:eastAsia="Calibri" w:hAnsi="Calibri"/>
          <w:sz w:val="14"/>
          <w:szCs w:val="14"/>
          <w:color w:val="51555C"/>
        </w:rPr>
      </w:pPr>
    </w:p>
    <w:p>
      <w:pPr>
        <w:ind w:left="500" w:hanging="240"/>
        <w:spacing w:after="0"/>
        <w:tabs>
          <w:tab w:leader="none" w:pos="500" w:val="left"/>
        </w:tabs>
        <w:numPr>
          <w:ilvl w:val="0"/>
          <w:numId w:val="32"/>
        </w:numPr>
        <w:rPr>
          <w:rFonts w:ascii="Calibri" w:cs="Calibri" w:eastAsia="Calibri" w:hAnsi="Calibri"/>
          <w:sz w:val="14"/>
          <w:szCs w:val="14"/>
          <w:color w:val="51555C"/>
        </w:rPr>
      </w:pPr>
      <w:r>
        <w:rPr>
          <w:rFonts w:ascii="Calibri" w:cs="Calibri" w:eastAsia="Calibri" w:hAnsi="Calibri"/>
          <w:sz w:val="14"/>
          <w:szCs w:val="14"/>
          <w:color w:val="51555C"/>
        </w:rPr>
        <w:t>fuctuatons in the tming of vendor payments.</w:t>
      </w:r>
    </w:p>
    <w:p>
      <w:pPr>
        <w:spacing w:after="0" w:line="126" w:lineRule="exact"/>
        <w:rPr>
          <w:sz w:val="20"/>
          <w:szCs w:val="20"/>
          <w:color w:val="auto"/>
        </w:rPr>
      </w:pPr>
    </w:p>
    <w:p>
      <w:pPr>
        <w:spacing w:after="0"/>
        <w:rPr>
          <w:sz w:val="20"/>
          <w:szCs w:val="20"/>
          <w:color w:val="auto"/>
        </w:rPr>
      </w:pPr>
      <w:r>
        <w:rPr>
          <w:rFonts w:ascii="Calibri" w:cs="Calibri" w:eastAsia="Calibri" w:hAnsi="Calibri"/>
          <w:sz w:val="14"/>
          <w:szCs w:val="14"/>
          <w:u w:val="single" w:color="auto"/>
          <w:color w:val="51555C"/>
        </w:rPr>
        <w:t>Security Incident update</w:t>
      </w:r>
    </w:p>
    <w:p>
      <w:pPr>
        <w:spacing w:after="0" w:line="129" w:lineRule="exact"/>
        <w:rPr>
          <w:sz w:val="20"/>
          <w:szCs w:val="20"/>
          <w:color w:val="auto"/>
        </w:rPr>
      </w:pPr>
    </w:p>
    <w:p>
      <w:pPr>
        <w:jc w:val="both"/>
        <w:spacing w:after="0" w:line="237" w:lineRule="auto"/>
        <w:rPr>
          <w:sz w:val="20"/>
          <w:szCs w:val="20"/>
          <w:color w:val="auto"/>
        </w:rPr>
      </w:pPr>
      <w:r>
        <w:rPr>
          <w:rFonts w:ascii="Calibri" w:cs="Calibri" w:eastAsia="Calibri" w:hAnsi="Calibri"/>
          <w:sz w:val="14"/>
          <w:szCs w:val="14"/>
          <w:color w:val="51555C"/>
        </w:rPr>
        <w:t>As discussed in Note 9 to our unaudited, condensed consolidated fnancial statements in this report, total costs related to the Security Incident exceeded the limit of our insurance coverage in the frst quarter of 2022. Accordingly, the Security Incident has negatvely impacted, and we expect it to contnue for the foreseeable future to negatvely impact, our GAAP proftability and GAAP cash fow (see discussion regarding non-GAAP free cash fow and non-GAAP adjusted free cash fow on page 43). For full year 2024, we currently expect pre-tax expenses of approximately $5 million to $10 million and cash outlays of approximately $8 million to $13 million for ongoing legal fees related to the Security Incident. In line with our policy, legal fees are expensed as incurred. Not included in these ranges are our previous setlements or current accruals for loss contngencies related to the maters discussed below.</w:t>
      </w:r>
    </w:p>
    <w:p>
      <w:pPr>
        <w:spacing w:after="0" w:line="132" w:lineRule="exact"/>
        <w:rPr>
          <w:sz w:val="20"/>
          <w:szCs w:val="20"/>
          <w:color w:val="auto"/>
        </w:rPr>
      </w:pPr>
    </w:p>
    <w:p>
      <w:pPr>
        <w:jc w:val="both"/>
        <w:spacing w:after="0" w:line="237" w:lineRule="auto"/>
        <w:rPr>
          <w:sz w:val="20"/>
          <w:szCs w:val="20"/>
          <w:color w:val="auto"/>
        </w:rPr>
      </w:pPr>
      <w:r>
        <w:rPr>
          <w:rFonts w:ascii="Calibri" w:cs="Calibri" w:eastAsia="Calibri" w:hAnsi="Calibri"/>
          <w:sz w:val="14"/>
          <w:szCs w:val="14"/>
          <w:color w:val="51555C"/>
        </w:rPr>
        <w:t>As of June 30, 2024, we have recorded approximately $8.5 million in aggregate liabilites for loss contngencies, which included $6.8 million for our setlement with the Atorney General of the State of California on June 13, 2024 that we paid in the third quarter of 2024, and other accruals based primarily on recent negotatons with certain customers related to the Security Incident that we believed we could reasonably estmate in accordance with our loss contngency procedures described above and as more fully described in Note 9. It is reasonably possible that our estmated actual losses may change in the near term for those maters and be materially in excess of the amounts accrued, but we are unable at this tme to reasonably estmate the possible additonal loss.</w:t>
      </w:r>
    </w:p>
    <w:p>
      <w:pPr>
        <w:spacing w:after="0" w:line="131" w:lineRule="exact"/>
        <w:rPr>
          <w:sz w:val="20"/>
          <w:szCs w:val="20"/>
          <w:color w:val="auto"/>
        </w:rPr>
      </w:pPr>
    </w:p>
    <w:p>
      <w:pPr>
        <w:jc w:val="both"/>
        <w:spacing w:after="0" w:line="237" w:lineRule="auto"/>
        <w:rPr>
          <w:sz w:val="20"/>
          <w:szCs w:val="20"/>
          <w:color w:val="auto"/>
        </w:rPr>
      </w:pPr>
      <w:r>
        <w:rPr>
          <w:rFonts w:ascii="Calibri" w:cs="Calibri" w:eastAsia="Calibri" w:hAnsi="Calibri"/>
          <w:sz w:val="14"/>
          <w:szCs w:val="14"/>
          <w:color w:val="51555C"/>
        </w:rPr>
        <w:t>There are other Security Incident-related maters, including customer claims, customer consttuent class actons and governmental investgatons, for which we have not recorded a liability for a loss contngency as of June 30, 2024 because we are unable at this tme to reasonably estmate the possible loss or range of loss. Each of these maters could, separately or in the aggregate, result in an adverse judgment, setlement, fne, penalty or other resoluton, the amount, scope and tming of which we are currently unable to predict, but could have a material adverse impact on our results of operatons, cash fows or fnancial conditon.</w:t>
      </w:r>
    </w:p>
    <w:p>
      <w:pPr>
        <w:spacing w:after="0" w:line="128"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51555C"/>
        </w:rPr>
        <w:t>Investng Cash Flow</w:t>
      </w:r>
    </w:p>
    <w:p>
      <w:pPr>
        <w:spacing w:after="0" w:line="126" w:lineRule="exact"/>
        <w:rPr>
          <w:sz w:val="20"/>
          <w:szCs w:val="20"/>
          <w:color w:val="auto"/>
        </w:rPr>
      </w:pPr>
    </w:p>
    <w:p>
      <w:pPr>
        <w:spacing w:after="0"/>
        <w:rPr>
          <w:sz w:val="20"/>
          <w:szCs w:val="20"/>
          <w:color w:val="auto"/>
        </w:rPr>
      </w:pPr>
      <w:r>
        <w:rPr>
          <w:rFonts w:ascii="Calibri" w:cs="Calibri" w:eastAsia="Calibri" w:hAnsi="Calibri"/>
          <w:sz w:val="14"/>
          <w:szCs w:val="14"/>
          <w:color w:val="51555C"/>
        </w:rPr>
        <w:t>Net cash used in investng actvites of $40.7 million increased by $9.2 million during the six months ended June 30, 2024, when compared to the same period in 2023.</w:t>
      </w:r>
    </w:p>
    <w:p>
      <w:pPr>
        <w:spacing w:after="0" w:line="129" w:lineRule="exact"/>
        <w:rPr>
          <w:sz w:val="20"/>
          <w:szCs w:val="20"/>
          <w:color w:val="auto"/>
        </w:rPr>
      </w:pPr>
    </w:p>
    <w:p>
      <w:pPr>
        <w:jc w:val="both"/>
        <w:spacing w:after="0" w:line="237" w:lineRule="auto"/>
        <w:rPr>
          <w:sz w:val="20"/>
          <w:szCs w:val="20"/>
          <w:color w:val="auto"/>
        </w:rPr>
      </w:pPr>
      <w:r>
        <w:rPr>
          <w:rFonts w:ascii="Calibri" w:cs="Calibri" w:eastAsia="Calibri" w:hAnsi="Calibri"/>
          <w:sz w:val="14"/>
          <w:szCs w:val="14"/>
          <w:color w:val="51555C"/>
        </w:rPr>
        <w:t>During the six months ended June 30, 2024, we used $28.4 million for sofware and content development costs, which was down $0.4 million from cash spent during the same period in 2023. We also spent $6.1 million of cash for purchases of property and equipment during the six months ended June 30, 2024, which was an increase of $3.3 million when compared to the same period in 2023. In additon, we used net cash of $1.2 million in the dispositon of a business and $5.0 million for a minor investment in a business during the six months ended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6268720</wp:posOffset>
            </wp:positionH>
            <wp:positionV relativeFrom="paragraph">
              <wp:posOffset>187960</wp:posOffset>
            </wp:positionV>
            <wp:extent cx="518795" cy="1346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8795" cy="134620"/>
                    </a:xfrm>
                    <a:prstGeom prst="rect">
                      <a:avLst/>
                    </a:prstGeom>
                    <a:noFill/>
                  </pic:spPr>
                </pic:pic>
              </a:graphicData>
            </a:graphic>
          </wp:anchor>
        </w:drawing>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0400" w:type="dxa"/>
            <w:vAlign w:val="bottom"/>
          </w:tcPr>
          <w:p>
            <w:pPr>
              <w:ind w:left="8160"/>
              <w:spacing w:after="0"/>
              <w:rPr>
                <w:sz w:val="20"/>
                <w:szCs w:val="20"/>
                <w:color w:val="auto"/>
              </w:rPr>
            </w:pPr>
            <w:r>
              <w:rPr>
                <w:rFonts w:ascii="Calibri" w:cs="Calibri" w:eastAsia="Calibri" w:hAnsi="Calibri"/>
                <w:sz w:val="11"/>
                <w:szCs w:val="11"/>
                <w:color w:val="51555C"/>
              </w:rPr>
              <w:t>Second Quarter 2024 Form 10-Q</w:t>
            </w:r>
          </w:p>
        </w:tc>
        <w:tc>
          <w:tcPr>
            <w:tcW w:w="880" w:type="dxa"/>
            <w:vAlign w:val="bottom"/>
          </w:tcPr>
          <w:p>
            <w:pPr>
              <w:jc w:val="right"/>
              <w:spacing w:after="0"/>
              <w:rPr>
                <w:sz w:val="20"/>
                <w:szCs w:val="20"/>
                <w:color w:val="auto"/>
              </w:rPr>
            </w:pPr>
            <w:r>
              <w:rPr>
                <w:rFonts w:ascii="Calibri" w:cs="Calibri" w:eastAsia="Calibri" w:hAnsi="Calibri"/>
                <w:sz w:val="11"/>
                <w:szCs w:val="11"/>
                <w:color w:val="51555C"/>
              </w:rPr>
              <w:t>45</w:t>
            </w:r>
          </w:p>
        </w:tc>
      </w:tr>
      <w:tr>
        <w:trPr>
          <w:trHeight w:val="281"/>
        </w:trPr>
        <w:tc>
          <w:tcPr>
            <w:tcW w:w="104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46" w:name="page47"/>
    <w:bookmarkEnd w:id="46"/>
    <w:p>
      <w:pPr>
        <w:spacing w:after="0"/>
        <w:rPr>
          <w:sz w:val="20"/>
          <w:szCs w:val="20"/>
          <w:color w:val="auto"/>
        </w:rPr>
      </w:pPr>
      <w:r>
        <w:rPr>
          <w:rFonts w:ascii="Calibri" w:cs="Calibri" w:eastAsia="Calibri" w:hAnsi="Calibri"/>
          <w:sz w:val="11"/>
          <w:szCs w:val="11"/>
          <w:u w:val="single" w:color="auto"/>
          <w:color w:val="7A04DD"/>
        </w:rPr>
        <w:t>Table of Contents</w:t>
      </w:r>
    </w:p>
    <w:p>
      <w:pPr>
        <w:spacing w:after="0" w:line="196" w:lineRule="exact"/>
        <w:rPr>
          <w:sz w:val="20"/>
          <w:szCs w:val="20"/>
          <w:color w:val="auto"/>
        </w:rPr>
      </w:pPr>
    </w:p>
    <w:p>
      <w:pPr>
        <w:jc w:val="center"/>
        <w:spacing w:after="0"/>
        <w:rPr>
          <w:sz w:val="20"/>
          <w:szCs w:val="20"/>
          <w:color w:val="auto"/>
        </w:rPr>
      </w:pPr>
      <w:r>
        <w:rPr>
          <w:rFonts w:ascii="Calibri" w:cs="Calibri" w:eastAsia="Calibri" w:hAnsi="Calibri"/>
          <w:sz w:val="14"/>
          <w:szCs w:val="14"/>
          <w:b w:val="1"/>
          <w:bCs w:val="1"/>
          <w:color w:val="51555C"/>
        </w:rPr>
        <w:t>Blackbaud, Inc.</w:t>
      </w:r>
    </w:p>
    <w:p>
      <w:pPr>
        <w:jc w:val="center"/>
        <w:spacing w:after="0" w:line="238" w:lineRule="auto"/>
        <w:rPr>
          <w:sz w:val="20"/>
          <w:szCs w:val="20"/>
          <w:color w:val="auto"/>
        </w:rPr>
      </w:pPr>
      <w:r>
        <w:rPr>
          <w:rFonts w:ascii="Calibri" w:cs="Calibri" w:eastAsia="Calibri" w:hAnsi="Calibri"/>
          <w:sz w:val="14"/>
          <w:szCs w:val="14"/>
          <w:b w:val="1"/>
          <w:bCs w:val="1"/>
          <w:color w:val="51555C"/>
        </w:rPr>
        <w:t>(Unaudited)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51555C"/>
        </w:rPr>
        <w:t>Financing Cash Flow</w:t>
      </w:r>
    </w:p>
    <w:p>
      <w:pPr>
        <w:spacing w:after="0" w:line="129" w:lineRule="exact"/>
        <w:rPr>
          <w:sz w:val="20"/>
          <w:szCs w:val="20"/>
          <w:color w:val="auto"/>
        </w:rPr>
      </w:pPr>
    </w:p>
    <w:p>
      <w:pPr>
        <w:jc w:val="both"/>
        <w:spacing w:after="0" w:line="237" w:lineRule="auto"/>
        <w:rPr>
          <w:sz w:val="20"/>
          <w:szCs w:val="20"/>
          <w:color w:val="auto"/>
        </w:rPr>
      </w:pPr>
      <w:r>
        <w:rPr>
          <w:rFonts w:ascii="Calibri" w:cs="Calibri" w:eastAsia="Calibri" w:hAnsi="Calibri"/>
          <w:sz w:val="14"/>
          <w:szCs w:val="14"/>
          <w:color w:val="51555C"/>
        </w:rPr>
        <w:t>During the six months ended June 30, 2024, we had a net increase in borrowings of $244.9 million, primarily due to our ASR Transacton (as defned below) in March 2024. We also paid $6.5 million in debt issuance costs in conjuncton with our April 2024 refnancing.</w:t>
      </w:r>
    </w:p>
    <w:p>
      <w:pPr>
        <w:spacing w:after="0" w:line="129" w:lineRule="exact"/>
        <w:rPr>
          <w:sz w:val="20"/>
          <w:szCs w:val="20"/>
          <w:color w:val="auto"/>
        </w:rPr>
      </w:pPr>
    </w:p>
    <w:p>
      <w:pPr>
        <w:jc w:val="both"/>
        <w:spacing w:after="0" w:line="237" w:lineRule="auto"/>
        <w:rPr>
          <w:sz w:val="20"/>
          <w:szCs w:val="20"/>
          <w:color w:val="auto"/>
        </w:rPr>
      </w:pPr>
      <w:r>
        <w:rPr>
          <w:rFonts w:ascii="Calibri" w:cs="Calibri" w:eastAsia="Calibri" w:hAnsi="Calibri"/>
          <w:sz w:val="14"/>
          <w:szCs w:val="14"/>
          <w:color w:val="51555C"/>
        </w:rPr>
        <w:t>We paid $54.5 million to satsfy tax obligatons of employees upon setlement of equity awards during the six months ended June 30, 2024 compared to $33.7 million during the same period in 2023. The amount of taxes paid by us on behalf of employees related to the setlement of equity awards varies from period to period based upon the tming of grants and vestng, as well as the market price for shares of our common stock at the tme of setlement. Most of our equity awards currently vest in our frst quarter.</w:t>
      </w:r>
    </w:p>
    <w:p>
      <w:pPr>
        <w:spacing w:after="0" w:line="130" w:lineRule="exact"/>
        <w:rPr>
          <w:sz w:val="20"/>
          <w:szCs w:val="20"/>
          <w:color w:val="auto"/>
        </w:rPr>
      </w:pPr>
    </w:p>
    <w:p>
      <w:pPr>
        <w:jc w:val="both"/>
        <w:spacing w:after="0" w:line="270" w:lineRule="auto"/>
        <w:rPr>
          <w:sz w:val="20"/>
          <w:szCs w:val="20"/>
          <w:color w:val="auto"/>
        </w:rPr>
      </w:pPr>
      <w:r>
        <w:rPr>
          <w:rFonts w:ascii="Calibri" w:cs="Calibri" w:eastAsia="Calibri" w:hAnsi="Calibri"/>
          <w:sz w:val="13"/>
          <w:szCs w:val="13"/>
          <w:color w:val="51555C"/>
        </w:rPr>
        <w:t>During the six months ended June 30, 2024, cash fow from fnancing actvites associated with changes in restricted cash due to customers increased $106.9 million, compared to an increase of $61.3 million during the same period in 2023. This line in the statement of cash fows represents the change in the amount of restricted cash held and payable by us to customers from one period to the next.</w:t>
      </w:r>
    </w:p>
    <w:p>
      <w:pPr>
        <w:spacing w:after="0" w:line="107" w:lineRule="exact"/>
        <w:rPr>
          <w:sz w:val="20"/>
          <w:szCs w:val="20"/>
          <w:color w:val="auto"/>
        </w:rPr>
      </w:pPr>
    </w:p>
    <w:p>
      <w:pPr>
        <w:spacing w:after="0"/>
        <w:rPr>
          <w:sz w:val="20"/>
          <w:szCs w:val="20"/>
          <w:color w:val="auto"/>
        </w:rPr>
      </w:pPr>
      <w:r>
        <w:rPr>
          <w:rFonts w:ascii="Calibri" w:cs="Calibri" w:eastAsia="Calibri" w:hAnsi="Calibri"/>
          <w:sz w:val="14"/>
          <w:szCs w:val="14"/>
          <w:u w:val="single" w:color="auto"/>
          <w:color w:val="51555C"/>
        </w:rPr>
        <w:t>Stock repurchase program</w:t>
      </w:r>
    </w:p>
    <w:p>
      <w:pPr>
        <w:spacing w:after="0" w:line="129" w:lineRule="exact"/>
        <w:rPr>
          <w:sz w:val="20"/>
          <w:szCs w:val="20"/>
          <w:color w:val="auto"/>
        </w:rPr>
      </w:pPr>
    </w:p>
    <w:p>
      <w:pPr>
        <w:jc w:val="both"/>
        <w:spacing w:after="0" w:line="237" w:lineRule="auto"/>
        <w:rPr>
          <w:sz w:val="20"/>
          <w:szCs w:val="20"/>
          <w:color w:val="auto"/>
        </w:rPr>
      </w:pPr>
      <w:r>
        <w:rPr>
          <w:rFonts w:ascii="Calibri" w:cs="Calibri" w:eastAsia="Calibri" w:hAnsi="Calibri"/>
          <w:sz w:val="14"/>
          <w:szCs w:val="14"/>
          <w:color w:val="51555C"/>
        </w:rPr>
        <w:t>On January 17, 2024, our Board of Directors reauthorized, expanded and replenished our stock repurchase program by raising the total capacity under the program from $250.0 million to $500.0 million available for repurchases. The program does not have an expiraton date. Under the stock repurchase program, we are authorized to repurchase shares from tme to tme in accordance with applicable laws both on the open market, including under trading plans established pursuant to Rule 10b5-1 under the Securites Exchange Act of 1934, as amended, and in privately negotated transactons. The tming and amount of repurchases depends on several factors, including market and business conditons, the trading price of our common stock and the nature of other investment opportunites. The repurchase program may be limited, suspended or discontnued at any tme without prior notce.</w:t>
      </w:r>
    </w:p>
    <w:p>
      <w:pPr>
        <w:spacing w:after="0" w:line="132" w:lineRule="exact"/>
        <w:rPr>
          <w:sz w:val="20"/>
          <w:szCs w:val="20"/>
          <w:color w:val="auto"/>
        </w:rPr>
      </w:pPr>
    </w:p>
    <w:p>
      <w:pPr>
        <w:jc w:val="both"/>
        <w:spacing w:after="0" w:line="238" w:lineRule="auto"/>
        <w:rPr>
          <w:sz w:val="20"/>
          <w:szCs w:val="20"/>
          <w:color w:val="auto"/>
        </w:rPr>
      </w:pPr>
      <w:r>
        <w:rPr>
          <w:rFonts w:ascii="Calibri" w:cs="Calibri" w:eastAsia="Calibri" w:hAnsi="Calibri"/>
          <w:sz w:val="14"/>
          <w:szCs w:val="14"/>
          <w:color w:val="51555C"/>
        </w:rPr>
        <w:t>In March 2024, we announced that we intend to repurchase between 7% and 10% of our outstanding common stock as of December 31, 2023 under our repurchase program. Consistent with that commitment, in March 2024, we entered into the ASR Transacton to repurchase an aggregate $200 million of shares of our common stock. Pursuant to the terms of the ASR Transacton, we provided the fnancial insttuton with a prepayment of $200 million and received an inital delivery of 2.1 million shares of our common stock, representng approximately 70% of the total shares then-expected to be repurchased under the ASR Transacton. The fnal number of shares of common stock delivered to us under the ASR Transacton will be based on the average of the daily volume-weighted average prices of the common stock during the term of the ASR Transacton, less a discount and subject to customary adjustments upon events afectng the common stock (e.g., dilutve or concentratve events, mergers and acquisitons, and market disruptons). The fnal setlement of the ASR Transacton is scheduled to occur by the fourth quarter of 2024, unless setled earlier at the electon of the fnancial insttuton.</w:t>
      </w:r>
    </w:p>
    <w:p>
      <w:pPr>
        <w:spacing w:after="0" w:line="129" w:lineRule="exact"/>
        <w:rPr>
          <w:sz w:val="20"/>
          <w:szCs w:val="20"/>
          <w:color w:val="auto"/>
        </w:rPr>
      </w:pPr>
    </w:p>
    <w:p>
      <w:pPr>
        <w:jc w:val="both"/>
        <w:spacing w:after="0" w:line="237" w:lineRule="auto"/>
        <w:rPr>
          <w:sz w:val="20"/>
          <w:szCs w:val="20"/>
          <w:color w:val="auto"/>
        </w:rPr>
      </w:pPr>
      <w:r>
        <w:rPr>
          <w:rFonts w:ascii="Calibri" w:cs="Calibri" w:eastAsia="Calibri" w:hAnsi="Calibri"/>
          <w:sz w:val="14"/>
          <w:szCs w:val="14"/>
          <w:color w:val="51555C"/>
        </w:rPr>
        <w:t>The diference of $52.2 million between the prepayment of $200 million and the value of the shares repurchased on the ASR Transacton date represents an unsetled prepaid forward contract indexed to our common stock and met all of the applicable criteria for equity classifcaton; therefore, it was not accounted for as a derivatve instrument as of June 30, 2024. Because of our ability to setle in shares, the $52.2 million prepaid forward contract was classifed as a reducton to additonal paid-in capital within our unaudited, condensed consolidated statement of stockholders' equity in this report. We funded the ASR Transacton prepayment with borrowings pursuant to a revolving credit loan under the 2024 Credit Facilites.</w:t>
      </w:r>
    </w:p>
    <w:p>
      <w:pPr>
        <w:spacing w:after="0" w:line="131" w:lineRule="exact"/>
        <w:rPr>
          <w:sz w:val="20"/>
          <w:szCs w:val="20"/>
          <w:color w:val="auto"/>
        </w:rPr>
      </w:pPr>
    </w:p>
    <w:p>
      <w:pPr>
        <w:jc w:val="both"/>
        <w:spacing w:after="0" w:line="237" w:lineRule="auto"/>
        <w:rPr>
          <w:sz w:val="20"/>
          <w:szCs w:val="20"/>
          <w:color w:val="auto"/>
        </w:rPr>
      </w:pPr>
      <w:r>
        <w:rPr>
          <w:rFonts w:ascii="Calibri" w:cs="Calibri" w:eastAsia="Calibri" w:hAnsi="Calibri"/>
          <w:sz w:val="14"/>
          <w:szCs w:val="14"/>
          <w:color w:val="51555C"/>
        </w:rPr>
        <w:t>During the three months ended June 30, 2024, we did not repurchase any shares. During the six months ended June 30, 2024, we repurchased 2,954,211 shares for $262.6 million, representng approximately 5.5% of the Company's common stock outstanding as of December 31, 2023. The remaining amount available to purchase stock under the stock repurchase program was $259.7 million as of June 30, 2024. Afer 2024, we plan to repurchase shares to at least ofset the diluton from our annual stock-based compensaton and possibly beyond that amount as market conditons and our strategic plans permit.</w:t>
      </w:r>
    </w:p>
    <w:p>
      <w:pPr>
        <w:spacing w:after="0" w:line="131" w:lineRule="exact"/>
        <w:rPr>
          <w:sz w:val="20"/>
          <w:szCs w:val="20"/>
          <w:color w:val="auto"/>
        </w:rPr>
      </w:pPr>
    </w:p>
    <w:p>
      <w:pPr>
        <w:jc w:val="both"/>
        <w:spacing w:after="0" w:line="237" w:lineRule="auto"/>
        <w:rPr>
          <w:sz w:val="20"/>
          <w:szCs w:val="20"/>
          <w:color w:val="auto"/>
        </w:rPr>
      </w:pPr>
      <w:r>
        <w:rPr>
          <w:rFonts w:ascii="Calibri" w:cs="Calibri" w:eastAsia="Calibri" w:hAnsi="Calibri"/>
          <w:sz w:val="14"/>
          <w:szCs w:val="14"/>
          <w:color w:val="51555C"/>
        </w:rPr>
        <w:t>On July 16, 2024, our Board of Directors reauthorized, expanded and replenished our stock repurchase program by expanding the total capacity under the program from $500.0 million to $800.0 million available for repurchases. As of July 16, 2024, the amount available to purchase stock under the Company's repurchase program was $800.0 million. See Note 13 to our unaudited, condensed fnancial statements in this report for additonal informaton.</w:t>
      </w:r>
    </w:p>
    <w:p>
      <w:pPr>
        <w:spacing w:after="0" w:line="267" w:lineRule="exact"/>
        <w:rPr>
          <w:sz w:val="20"/>
          <w:szCs w:val="20"/>
          <w:color w:val="auto"/>
        </w:rPr>
      </w:pPr>
    </w:p>
    <w:p>
      <w:pPr>
        <w:ind w:left="20"/>
        <w:spacing w:after="0"/>
        <w:tabs>
          <w:tab w:leader="none" w:pos="589" w:val="left"/>
        </w:tabs>
        <w:rPr>
          <w:sz w:val="20"/>
          <w:szCs w:val="20"/>
          <w:color w:val="auto"/>
        </w:rPr>
      </w:pPr>
      <w:r>
        <w:rPr>
          <w:rFonts w:ascii="Calibri" w:cs="Calibri" w:eastAsia="Calibri" w:hAnsi="Calibri"/>
          <w:sz w:val="11"/>
          <w:szCs w:val="11"/>
          <w:color w:val="51555C"/>
        </w:rPr>
        <w:t>46</w:t>
      </w:r>
      <w:r>
        <w:rPr>
          <w:sz w:val="20"/>
          <w:szCs w:val="20"/>
          <w:color w:val="auto"/>
        </w:rPr>
        <w:tab/>
      </w:r>
      <w:r>
        <w:rPr>
          <w:sz w:val="1"/>
          <w:szCs w:val="1"/>
          <w:color w:val="auto"/>
        </w:rPr>
        <w:drawing>
          <wp:inline distT="0" distB="0" distL="0" distR="0">
            <wp:extent cx="511810" cy="134620"/>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1810" cy="134620"/>
                    </a:xfrm>
                    <a:prstGeom prst="rect">
                      <a:avLst/>
                    </a:prstGeom>
                    <a:noFill/>
                    <a:ln>
                      <a:noFill/>
                    </a:ln>
                  </pic:spPr>
                </pic:pic>
              </a:graphicData>
            </a:graphic>
          </wp:inline>
        </w:drawing>
      </w:r>
      <w:r>
        <w:rPr>
          <w:rFonts w:ascii="Calibri" w:cs="Calibri" w:eastAsia="Calibri" w:hAnsi="Calibri"/>
          <w:sz w:val="11"/>
          <w:szCs w:val="11"/>
          <w:color w:val="51555C"/>
        </w:rPr>
        <w:t xml:space="preserve">    Second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135255</wp:posOffset>
            </wp:positionV>
            <wp:extent cx="7186930"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47" w:name="page48"/>
    <w:bookmarkEnd w:id="47"/>
    <w:p>
      <w:pPr>
        <w:spacing w:after="0"/>
        <w:rPr>
          <w:sz w:val="20"/>
          <w:szCs w:val="20"/>
          <w:color w:val="auto"/>
        </w:rPr>
      </w:pPr>
      <w:r>
        <w:rPr>
          <w:rFonts w:ascii="Calibri" w:cs="Calibri" w:eastAsia="Calibri" w:hAnsi="Calibri"/>
          <w:sz w:val="11"/>
          <w:szCs w:val="11"/>
          <w:u w:val="single" w:color="auto"/>
          <w:color w:val="7A04DD"/>
        </w:rPr>
        <w:t>Table of Contents</w:t>
      </w:r>
    </w:p>
    <w:p>
      <w:pPr>
        <w:spacing w:after="0" w:line="196" w:lineRule="exact"/>
        <w:rPr>
          <w:sz w:val="20"/>
          <w:szCs w:val="20"/>
          <w:color w:val="auto"/>
        </w:rPr>
      </w:pPr>
    </w:p>
    <w:p>
      <w:pPr>
        <w:jc w:val="center"/>
        <w:ind w:right="20"/>
        <w:spacing w:after="0"/>
        <w:rPr>
          <w:sz w:val="20"/>
          <w:szCs w:val="20"/>
          <w:color w:val="auto"/>
        </w:rPr>
      </w:pPr>
      <w:r>
        <w:rPr>
          <w:rFonts w:ascii="Calibri" w:cs="Calibri" w:eastAsia="Calibri" w:hAnsi="Calibri"/>
          <w:sz w:val="14"/>
          <w:szCs w:val="14"/>
          <w:b w:val="1"/>
          <w:bCs w:val="1"/>
          <w:color w:val="51555C"/>
        </w:rPr>
        <w:t>Blackbaud, Inc.</w:t>
      </w:r>
    </w:p>
    <w:p>
      <w:pPr>
        <w:jc w:val="center"/>
        <w:ind w:right="20"/>
        <w:spacing w:after="0" w:line="238" w:lineRule="auto"/>
        <w:rPr>
          <w:sz w:val="20"/>
          <w:szCs w:val="20"/>
          <w:color w:val="auto"/>
        </w:rPr>
      </w:pPr>
      <w:r>
        <w:rPr>
          <w:rFonts w:ascii="Calibri" w:cs="Calibri" w:eastAsia="Calibri" w:hAnsi="Calibri"/>
          <w:sz w:val="14"/>
          <w:szCs w:val="14"/>
          <w:b w:val="1"/>
          <w:bCs w:val="1"/>
          <w:color w:val="51555C"/>
        </w:rPr>
        <w:t>(Unaudited)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Calibri" w:cs="Calibri" w:eastAsia="Calibri" w:hAnsi="Calibri"/>
          <w:sz w:val="14"/>
          <w:szCs w:val="14"/>
          <w:u w:val="single" w:color="auto"/>
          <w:color w:val="51555C"/>
        </w:rPr>
        <w:t>2024 Credit Facilites</w:t>
      </w:r>
    </w:p>
    <w:p>
      <w:pPr>
        <w:spacing w:after="0" w:line="129" w:lineRule="exact"/>
        <w:rPr>
          <w:sz w:val="20"/>
          <w:szCs w:val="20"/>
          <w:color w:val="auto"/>
        </w:rPr>
      </w:pPr>
    </w:p>
    <w:p>
      <w:pPr>
        <w:ind w:right="20"/>
        <w:spacing w:after="0" w:line="237" w:lineRule="auto"/>
        <w:rPr>
          <w:sz w:val="20"/>
          <w:szCs w:val="20"/>
          <w:color w:val="auto"/>
        </w:rPr>
      </w:pPr>
      <w:r>
        <w:rPr>
          <w:rFonts w:ascii="Calibri" w:cs="Calibri" w:eastAsia="Calibri" w:hAnsi="Calibri"/>
          <w:sz w:val="14"/>
          <w:szCs w:val="14"/>
          <w:color w:val="51555C"/>
        </w:rPr>
        <w:t>Historically, we have drawn on our credit facility from tme to tme to help us meet fnancial needs, primarily due to the seasonality of our cash fows from operatons and fnancing for business acquisitons. At June 30, 2024, our available borrowing capacity under the 2024 Credit Facilites was $531.3 million. The 2024 Credit Facilites mature in April 2029.</w:t>
      </w:r>
    </w:p>
    <w:p>
      <w:pPr>
        <w:spacing w:after="0" w:line="129" w:lineRule="exact"/>
        <w:rPr>
          <w:sz w:val="20"/>
          <w:szCs w:val="20"/>
          <w:color w:val="auto"/>
        </w:rPr>
      </w:pPr>
    </w:p>
    <w:p>
      <w:pPr>
        <w:ind w:right="20"/>
        <w:spacing w:after="0" w:line="237" w:lineRule="auto"/>
        <w:rPr>
          <w:sz w:val="20"/>
          <w:szCs w:val="20"/>
          <w:color w:val="auto"/>
        </w:rPr>
      </w:pPr>
      <w:r>
        <w:rPr>
          <w:rFonts w:ascii="Calibri" w:cs="Calibri" w:eastAsia="Calibri" w:hAnsi="Calibri"/>
          <w:sz w:val="14"/>
          <w:szCs w:val="14"/>
          <w:color w:val="51555C"/>
        </w:rPr>
        <w:t>At June 30, 2024, the carrying amount of our debt under the 2024 Credit Facilites was $963.6 million. Our average daily borrowings during the three and six months ended June 30, 2024 were $994.7 million and $900.4 million, respectvely.</w:t>
      </w:r>
    </w:p>
    <w:p>
      <w:pPr>
        <w:spacing w:after="0" w:line="126" w:lineRule="exact"/>
        <w:rPr>
          <w:sz w:val="20"/>
          <w:szCs w:val="20"/>
          <w:color w:val="auto"/>
        </w:rPr>
      </w:pPr>
    </w:p>
    <w:p>
      <w:pPr>
        <w:spacing w:after="0"/>
        <w:rPr>
          <w:sz w:val="20"/>
          <w:szCs w:val="20"/>
          <w:color w:val="auto"/>
        </w:rPr>
      </w:pPr>
      <w:r>
        <w:rPr>
          <w:rFonts w:ascii="Calibri" w:cs="Calibri" w:eastAsia="Calibri" w:hAnsi="Calibri"/>
          <w:sz w:val="14"/>
          <w:szCs w:val="14"/>
          <w:color w:val="51555C"/>
        </w:rPr>
        <w:t>The following is a summary of the fnancial covenants under the 2024 Credit Facilites: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040" w:type="dxa"/>
            <w:vAlign w:val="bottom"/>
            <w:tcBorders>
              <w:bottom w:val="single" w:sz="8" w:color="004054"/>
            </w:tcBorders>
            <w:shd w:val="clear" w:color="auto" w:fill="004054"/>
          </w:tcPr>
          <w:p>
            <w:pPr>
              <w:ind w:left="20"/>
              <w:spacing w:after="0"/>
              <w:rPr>
                <w:sz w:val="20"/>
                <w:szCs w:val="20"/>
                <w:color w:val="auto"/>
              </w:rPr>
            </w:pPr>
            <w:r>
              <w:rPr>
                <w:rFonts w:ascii="Calibri" w:cs="Calibri" w:eastAsia="Calibri" w:hAnsi="Calibri"/>
                <w:sz w:val="11"/>
                <w:szCs w:val="11"/>
                <w:b w:val="1"/>
                <w:bCs w:val="1"/>
                <w:color w:val="FFFFFF"/>
              </w:rPr>
              <w:t>Financial covenant</w:t>
            </w:r>
          </w:p>
        </w:tc>
        <w:tc>
          <w:tcPr>
            <w:tcW w:w="2850" w:type="dxa"/>
            <w:vAlign w:val="bottom"/>
            <w:tcBorders>
              <w:bottom w:val="single" w:sz="8" w:color="004054"/>
            </w:tcBorders>
            <w:shd w:val="clear" w:color="auto" w:fill="004054"/>
          </w:tcPr>
          <w:p>
            <w:pPr>
              <w:jc w:val="center"/>
              <w:spacing w:after="0"/>
              <w:rPr>
                <w:sz w:val="20"/>
                <w:szCs w:val="20"/>
                <w:color w:val="auto"/>
              </w:rPr>
            </w:pPr>
            <w:r>
              <w:rPr>
                <w:rFonts w:ascii="Calibri" w:cs="Calibri" w:eastAsia="Calibri" w:hAnsi="Calibri"/>
                <w:sz w:val="11"/>
                <w:szCs w:val="11"/>
                <w:b w:val="1"/>
                <w:bCs w:val="1"/>
                <w:color w:val="FFFFFF"/>
              </w:rPr>
              <w:t>Requirement</w:t>
            </w:r>
          </w:p>
        </w:tc>
        <w:tc>
          <w:tcPr>
            <w:tcW w:w="3370" w:type="dxa"/>
            <w:vAlign w:val="bottom"/>
            <w:tcBorders>
              <w:bottom w:val="single" w:sz="8" w:color="004054"/>
            </w:tcBorders>
            <w:shd w:val="clear" w:color="auto" w:fill="004054"/>
          </w:tcPr>
          <w:p>
            <w:pPr>
              <w:jc w:val="center"/>
              <w:spacing w:after="0"/>
              <w:rPr>
                <w:sz w:val="20"/>
                <w:szCs w:val="20"/>
                <w:color w:val="auto"/>
              </w:rPr>
            </w:pPr>
            <w:r>
              <w:rPr>
                <w:rFonts w:ascii="Calibri" w:cs="Calibri" w:eastAsia="Calibri" w:hAnsi="Calibri"/>
                <w:sz w:val="11"/>
                <w:szCs w:val="11"/>
                <w:b w:val="1"/>
                <w:bCs w:val="1"/>
                <w:color w:val="FFFFFF"/>
              </w:rPr>
              <w:t>Rato as of June 30, 2024</w:t>
            </w:r>
          </w:p>
        </w:tc>
        <w:tc>
          <w:tcPr>
            <w:tcW w:w="20" w:type="dxa"/>
            <w:vAlign w:val="bottom"/>
            <w:tcBorders>
              <w:bottom w:val="single" w:sz="8" w:color="004054"/>
            </w:tcBorders>
            <w:shd w:val="clear" w:color="auto" w:fill="004054"/>
          </w:tcPr>
          <w:p>
            <w:pPr>
              <w:spacing w:after="0"/>
              <w:rPr>
                <w:sz w:val="15"/>
                <w:szCs w:val="15"/>
                <w:color w:val="auto"/>
              </w:rPr>
            </w:pPr>
          </w:p>
        </w:tc>
      </w:tr>
      <w:tr>
        <w:trPr>
          <w:trHeight w:val="255"/>
        </w:trPr>
        <w:tc>
          <w:tcPr>
            <w:tcW w:w="5040" w:type="dxa"/>
            <w:vAlign w:val="bottom"/>
            <w:shd w:val="clear" w:color="auto" w:fill="EBFBFF"/>
          </w:tcPr>
          <w:p>
            <w:pPr>
              <w:ind w:left="20"/>
              <w:spacing w:after="0"/>
              <w:rPr>
                <w:sz w:val="20"/>
                <w:szCs w:val="20"/>
                <w:color w:val="auto"/>
              </w:rPr>
            </w:pPr>
            <w:r>
              <w:rPr>
                <w:rFonts w:ascii="Calibri" w:cs="Calibri" w:eastAsia="Calibri" w:hAnsi="Calibri"/>
                <w:sz w:val="14"/>
                <w:szCs w:val="14"/>
                <w:color w:val="51555C"/>
              </w:rPr>
              <w:t>Net leverage rato</w:t>
            </w:r>
            <w:r>
              <w:rPr>
                <w:rFonts w:ascii="Calibri" w:cs="Calibri" w:eastAsia="Calibri" w:hAnsi="Calibri"/>
                <w:sz w:val="18"/>
                <w:szCs w:val="18"/>
                <w:color w:val="51555C"/>
                <w:vertAlign w:val="superscript"/>
              </w:rPr>
              <w:t>(1)</w:t>
            </w:r>
          </w:p>
        </w:tc>
        <w:tc>
          <w:tcPr>
            <w:tcW w:w="2850" w:type="dxa"/>
            <w:vAlign w:val="bottom"/>
            <w:shd w:val="clear" w:color="auto" w:fill="EBFBFF"/>
          </w:tcPr>
          <w:p>
            <w:pPr>
              <w:jc w:val="center"/>
              <w:spacing w:after="0"/>
              <w:rPr>
                <w:sz w:val="20"/>
                <w:szCs w:val="20"/>
                <w:color w:val="auto"/>
              </w:rPr>
            </w:pPr>
            <w:r>
              <w:rPr>
                <w:rFonts w:ascii="Calibri" w:cs="Calibri" w:eastAsia="Calibri" w:hAnsi="Calibri"/>
                <w:sz w:val="14"/>
                <w:szCs w:val="14"/>
                <w:color w:val="51555C"/>
                <w:w w:val="97"/>
              </w:rPr>
              <w:t>≤ 3.75 to 1.00</w:t>
            </w:r>
          </w:p>
        </w:tc>
        <w:tc>
          <w:tcPr>
            <w:tcW w:w="3370" w:type="dxa"/>
            <w:vAlign w:val="bottom"/>
            <w:shd w:val="clear" w:color="auto" w:fill="EBFBFF"/>
          </w:tcPr>
          <w:p>
            <w:pPr>
              <w:jc w:val="center"/>
              <w:spacing w:after="0"/>
              <w:rPr>
                <w:sz w:val="20"/>
                <w:szCs w:val="20"/>
                <w:color w:val="auto"/>
              </w:rPr>
            </w:pPr>
            <w:r>
              <w:rPr>
                <w:rFonts w:ascii="Calibri" w:cs="Calibri" w:eastAsia="Calibri" w:hAnsi="Calibri"/>
                <w:sz w:val="14"/>
                <w:szCs w:val="14"/>
                <w:color w:val="51555C"/>
                <w:w w:val="99"/>
              </w:rPr>
              <w:t>2.51 to 1.00</w:t>
            </w:r>
          </w:p>
        </w:tc>
        <w:tc>
          <w:tcPr>
            <w:tcW w:w="20" w:type="dxa"/>
            <w:vAlign w:val="bottom"/>
          </w:tcPr>
          <w:p>
            <w:pPr>
              <w:spacing w:after="0"/>
              <w:rPr>
                <w:sz w:val="22"/>
                <w:szCs w:val="22"/>
                <w:color w:val="auto"/>
              </w:rPr>
            </w:pPr>
          </w:p>
        </w:tc>
      </w:tr>
      <w:tr>
        <w:trPr>
          <w:trHeight w:val="172"/>
        </w:trPr>
        <w:tc>
          <w:tcPr>
            <w:tcW w:w="5040" w:type="dxa"/>
            <w:vAlign w:val="bottom"/>
          </w:tcPr>
          <w:p>
            <w:pPr>
              <w:ind w:left="20"/>
              <w:spacing w:after="0"/>
              <w:rPr>
                <w:sz w:val="20"/>
                <w:szCs w:val="20"/>
                <w:color w:val="auto"/>
              </w:rPr>
            </w:pPr>
            <w:r>
              <w:rPr>
                <w:rFonts w:ascii="Calibri" w:cs="Calibri" w:eastAsia="Calibri" w:hAnsi="Calibri"/>
                <w:sz w:val="14"/>
                <w:szCs w:val="14"/>
                <w:color w:val="51555C"/>
              </w:rPr>
              <w:t>Interest coverage rato</w:t>
            </w:r>
          </w:p>
        </w:tc>
        <w:tc>
          <w:tcPr>
            <w:tcW w:w="2850" w:type="dxa"/>
            <w:vAlign w:val="bottom"/>
          </w:tcPr>
          <w:p>
            <w:pPr>
              <w:jc w:val="center"/>
              <w:spacing w:after="0"/>
              <w:rPr>
                <w:sz w:val="20"/>
                <w:szCs w:val="20"/>
                <w:color w:val="auto"/>
              </w:rPr>
            </w:pPr>
            <w:r>
              <w:rPr>
                <w:rFonts w:ascii="Calibri" w:cs="Calibri" w:eastAsia="Calibri" w:hAnsi="Calibri"/>
                <w:sz w:val="14"/>
                <w:szCs w:val="14"/>
                <w:color w:val="51555C"/>
                <w:w w:val="97"/>
              </w:rPr>
              <w:t>≥ 2.50 to 1.00</w:t>
            </w:r>
          </w:p>
        </w:tc>
        <w:tc>
          <w:tcPr>
            <w:tcW w:w="3370" w:type="dxa"/>
            <w:vAlign w:val="bottom"/>
          </w:tcPr>
          <w:p>
            <w:pPr>
              <w:jc w:val="center"/>
              <w:spacing w:after="0"/>
              <w:rPr>
                <w:sz w:val="20"/>
                <w:szCs w:val="20"/>
                <w:color w:val="auto"/>
              </w:rPr>
            </w:pPr>
            <w:r>
              <w:rPr>
                <w:rFonts w:ascii="Calibri" w:cs="Calibri" w:eastAsia="Calibri" w:hAnsi="Calibri"/>
                <w:sz w:val="14"/>
                <w:szCs w:val="14"/>
                <w:color w:val="51555C"/>
                <w:w w:val="99"/>
              </w:rPr>
              <w:t>9.20 to 1.00</w:t>
            </w:r>
          </w:p>
        </w:tc>
        <w:tc>
          <w:tcPr>
            <w:tcW w:w="20" w:type="dxa"/>
            <w:vAlign w:val="bottom"/>
          </w:tcPr>
          <w:p>
            <w:pPr>
              <w:spacing w:after="0"/>
              <w:rPr>
                <w:sz w:val="14"/>
                <w:szCs w:val="14"/>
                <w:color w:val="auto"/>
              </w:rPr>
            </w:pPr>
          </w:p>
        </w:tc>
      </w:tr>
      <w:tr>
        <w:trPr>
          <w:trHeight w:val="40"/>
        </w:trPr>
        <w:tc>
          <w:tcPr>
            <w:tcW w:w="5040" w:type="dxa"/>
            <w:vAlign w:val="bottom"/>
            <w:tcBorders>
              <w:bottom w:val="single" w:sz="8" w:color="0CD973"/>
            </w:tcBorders>
          </w:tcPr>
          <w:p>
            <w:pPr>
              <w:spacing w:after="0"/>
              <w:rPr>
                <w:sz w:val="3"/>
                <w:szCs w:val="3"/>
                <w:color w:val="auto"/>
              </w:rPr>
            </w:pPr>
          </w:p>
        </w:tc>
        <w:tc>
          <w:tcPr>
            <w:tcW w:w="2850" w:type="dxa"/>
            <w:vAlign w:val="bottom"/>
            <w:tcBorders>
              <w:bottom w:val="single" w:sz="8" w:color="0CD973"/>
            </w:tcBorders>
          </w:tcPr>
          <w:p>
            <w:pPr>
              <w:spacing w:after="0"/>
              <w:rPr>
                <w:sz w:val="3"/>
                <w:szCs w:val="3"/>
                <w:color w:val="auto"/>
              </w:rPr>
            </w:pPr>
          </w:p>
        </w:tc>
        <w:tc>
          <w:tcPr>
            <w:tcW w:w="3370" w:type="dxa"/>
            <w:vAlign w:val="bottom"/>
            <w:tcBorders>
              <w:bottom w:val="single" w:sz="8" w:color="0CD973"/>
            </w:tcBorders>
          </w:tcPr>
          <w:p>
            <w:pPr>
              <w:spacing w:after="0"/>
              <w:rPr>
                <w:sz w:val="3"/>
                <w:szCs w:val="3"/>
                <w:color w:val="auto"/>
              </w:rPr>
            </w:pPr>
          </w:p>
        </w:tc>
        <w:tc>
          <w:tcPr>
            <w:tcW w:w="20" w:type="dxa"/>
            <w:vAlign w:val="bottom"/>
          </w:tcPr>
          <w:p>
            <w:pPr>
              <w:spacing w:after="0"/>
              <w:rPr>
                <w:sz w:val="3"/>
                <w:szCs w:val="3"/>
                <w:color w:val="auto"/>
              </w:rPr>
            </w:pPr>
          </w:p>
        </w:tc>
      </w:tr>
    </w:tbl>
    <w:p>
      <w:pPr>
        <w:spacing w:after="0" w:line="52" w:lineRule="exact"/>
        <w:rPr>
          <w:sz w:val="20"/>
          <w:szCs w:val="20"/>
          <w:color w:val="auto"/>
        </w:rPr>
      </w:pPr>
    </w:p>
    <w:p>
      <w:pPr>
        <w:ind w:left="260" w:right="20" w:hanging="255"/>
        <w:spacing w:after="0" w:line="234" w:lineRule="auto"/>
        <w:tabs>
          <w:tab w:leader="none" w:pos="258" w:val="left"/>
        </w:tabs>
        <w:numPr>
          <w:ilvl w:val="0"/>
          <w:numId w:val="33"/>
        </w:numPr>
        <w:rPr>
          <w:rFonts w:ascii="Calibri" w:cs="Calibri" w:eastAsia="Calibri" w:hAnsi="Calibri"/>
          <w:sz w:val="11"/>
          <w:szCs w:val="11"/>
          <w:color w:val="51555C"/>
        </w:rPr>
      </w:pPr>
      <w:r>
        <w:rPr>
          <w:rFonts w:ascii="Calibri" w:cs="Calibri" w:eastAsia="Calibri" w:hAnsi="Calibri"/>
          <w:sz w:val="11"/>
          <w:szCs w:val="11"/>
          <w:color w:val="51555C"/>
        </w:rPr>
        <w:t>Under the terms of the 2024 Credit Facilites, the Net Leverage Rato requirement may be increased by up to 0.50 provided we satsfy certain requirements, including a permited business acquisiton, and provided that the maximum Net Leverage Rato shall not exceed 4.25 to 1.00.</w:t>
      </w:r>
    </w:p>
    <w:p>
      <w:pPr>
        <w:spacing w:after="0" w:line="135" w:lineRule="exact"/>
        <w:rPr>
          <w:sz w:val="20"/>
          <w:szCs w:val="20"/>
          <w:color w:val="auto"/>
        </w:rPr>
      </w:pPr>
    </w:p>
    <w:p>
      <w:pPr>
        <w:jc w:val="both"/>
        <w:ind w:right="20"/>
        <w:spacing w:after="0" w:line="237" w:lineRule="auto"/>
        <w:rPr>
          <w:sz w:val="20"/>
          <w:szCs w:val="20"/>
          <w:color w:val="auto"/>
        </w:rPr>
      </w:pPr>
      <w:r>
        <w:rPr>
          <w:rFonts w:ascii="Calibri" w:cs="Calibri" w:eastAsia="Calibri" w:hAnsi="Calibri"/>
          <w:sz w:val="14"/>
          <w:szCs w:val="14"/>
          <w:color w:val="51555C"/>
        </w:rPr>
        <w:t>Under the 2024 Credit Facilites, we also have restrictons on our ability to declare and pay dividends and our ability to repurchase shares of our common stock. In order to pay any cash dividends and/or repurchase shares of stock: (i) no default or event of default shall have occurred and be contnuing under the 2024 Credit Facilites, and (ii) our pro forma net leverage rato, as set forth in the 2024 Credit Facilites, must be 0.25 less than the net leverage rato requirement at the tme of dividend declaraton or share repurchase. At June 30, 2024, we were in compliance with our debt covenants under the 2024 Credit Facilites. See Note 7 to our unaudited, condensed consolidated fnancial statements in this report for additonal informaton regarding the 2024 Credit Facilites.</w:t>
      </w:r>
    </w:p>
    <w:p>
      <w:pPr>
        <w:spacing w:after="0" w:line="128"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51555C"/>
        </w:rPr>
        <w:t>Commitments and Contngencies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320" w:type="dxa"/>
            <w:vAlign w:val="bottom"/>
            <w:shd w:val="clear" w:color="auto" w:fill="004054"/>
          </w:tcPr>
          <w:p>
            <w:pPr>
              <w:spacing w:after="0"/>
              <w:rPr>
                <w:sz w:val="13"/>
                <w:szCs w:val="13"/>
                <w:color w:val="auto"/>
              </w:rPr>
            </w:pPr>
          </w:p>
        </w:tc>
        <w:tc>
          <w:tcPr>
            <w:tcW w:w="480" w:type="dxa"/>
            <w:vAlign w:val="bottom"/>
            <w:shd w:val="clear" w:color="auto" w:fill="004054"/>
          </w:tcPr>
          <w:p>
            <w:pPr>
              <w:spacing w:after="0"/>
              <w:rPr>
                <w:sz w:val="13"/>
                <w:szCs w:val="13"/>
                <w:color w:val="auto"/>
              </w:rPr>
            </w:pPr>
          </w:p>
        </w:tc>
        <w:tc>
          <w:tcPr>
            <w:tcW w:w="840" w:type="dxa"/>
            <w:vAlign w:val="bottom"/>
            <w:shd w:val="clear" w:color="auto" w:fill="004054"/>
          </w:tcPr>
          <w:p>
            <w:pPr>
              <w:spacing w:after="0"/>
              <w:rPr>
                <w:sz w:val="13"/>
                <w:szCs w:val="13"/>
                <w:color w:val="auto"/>
              </w:rPr>
            </w:pPr>
          </w:p>
        </w:tc>
        <w:tc>
          <w:tcPr>
            <w:tcW w:w="100" w:type="dxa"/>
            <w:vAlign w:val="bottom"/>
            <w:shd w:val="clear" w:color="auto" w:fill="004054"/>
          </w:tcPr>
          <w:p>
            <w:pPr>
              <w:spacing w:after="0"/>
              <w:rPr>
                <w:sz w:val="13"/>
                <w:szCs w:val="13"/>
                <w:color w:val="auto"/>
              </w:rPr>
            </w:pPr>
          </w:p>
        </w:tc>
        <w:tc>
          <w:tcPr>
            <w:tcW w:w="1220" w:type="dxa"/>
            <w:vAlign w:val="bottom"/>
            <w:shd w:val="clear" w:color="auto" w:fill="004054"/>
          </w:tcPr>
          <w:p>
            <w:pPr>
              <w:jc w:val="right"/>
              <w:ind w:right="15"/>
              <w:spacing w:after="0"/>
              <w:rPr>
                <w:sz w:val="20"/>
                <w:szCs w:val="20"/>
                <w:color w:val="auto"/>
              </w:rPr>
            </w:pPr>
            <w:r>
              <w:rPr>
                <w:rFonts w:ascii="Calibri" w:cs="Calibri" w:eastAsia="Calibri" w:hAnsi="Calibri"/>
                <w:sz w:val="11"/>
                <w:szCs w:val="11"/>
                <w:b w:val="1"/>
                <w:bCs w:val="1"/>
                <w:color w:val="FFFFFF"/>
              </w:rPr>
              <w:t>Payments due by period</w:t>
            </w:r>
          </w:p>
        </w:tc>
        <w:tc>
          <w:tcPr>
            <w:tcW w:w="460" w:type="dxa"/>
            <w:vAlign w:val="bottom"/>
            <w:shd w:val="clear" w:color="auto" w:fill="004054"/>
          </w:tcPr>
          <w:p>
            <w:pPr>
              <w:spacing w:after="0"/>
              <w:rPr>
                <w:sz w:val="13"/>
                <w:szCs w:val="13"/>
                <w:color w:val="auto"/>
              </w:rPr>
            </w:pPr>
          </w:p>
        </w:tc>
        <w:tc>
          <w:tcPr>
            <w:tcW w:w="860" w:type="dxa"/>
            <w:vAlign w:val="bottom"/>
            <w:shd w:val="clear" w:color="auto" w:fill="004054"/>
          </w:tcPr>
          <w:p>
            <w:pPr>
              <w:spacing w:after="0"/>
              <w:rPr>
                <w:sz w:val="13"/>
                <w:szCs w:val="13"/>
                <w:color w:val="auto"/>
              </w:rPr>
            </w:pPr>
          </w:p>
        </w:tc>
        <w:tc>
          <w:tcPr>
            <w:tcW w:w="20" w:type="dxa"/>
            <w:vAlign w:val="bottom"/>
            <w:shd w:val="clear" w:color="auto" w:fill="004054"/>
          </w:tcPr>
          <w:p>
            <w:pPr>
              <w:spacing w:after="0"/>
              <w:rPr>
                <w:sz w:val="13"/>
                <w:szCs w:val="13"/>
                <w:color w:val="auto"/>
              </w:rPr>
            </w:pPr>
          </w:p>
        </w:tc>
      </w:tr>
      <w:tr>
        <w:trPr>
          <w:trHeight w:val="181"/>
        </w:trPr>
        <w:tc>
          <w:tcPr>
            <w:tcW w:w="7320" w:type="dxa"/>
            <w:vAlign w:val="bottom"/>
            <w:shd w:val="clear" w:color="auto" w:fill="004054"/>
          </w:tcPr>
          <w:p>
            <w:pPr>
              <w:spacing w:after="0"/>
              <w:rPr>
                <w:sz w:val="15"/>
                <w:szCs w:val="15"/>
                <w:color w:val="auto"/>
              </w:rPr>
            </w:pPr>
          </w:p>
        </w:tc>
        <w:tc>
          <w:tcPr>
            <w:tcW w:w="480" w:type="dxa"/>
            <w:vAlign w:val="bottom"/>
            <w:shd w:val="clear" w:color="auto" w:fill="004054"/>
          </w:tcPr>
          <w:p>
            <w:pPr>
              <w:spacing w:after="0"/>
              <w:rPr>
                <w:sz w:val="15"/>
                <w:szCs w:val="15"/>
                <w:color w:val="auto"/>
              </w:rPr>
            </w:pPr>
          </w:p>
        </w:tc>
        <w:tc>
          <w:tcPr>
            <w:tcW w:w="84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Less than</w:t>
            </w:r>
          </w:p>
        </w:tc>
        <w:tc>
          <w:tcPr>
            <w:tcW w:w="100" w:type="dxa"/>
            <w:vAlign w:val="bottom"/>
            <w:shd w:val="clear" w:color="auto" w:fill="004054"/>
          </w:tcPr>
          <w:p>
            <w:pPr>
              <w:spacing w:after="0"/>
              <w:rPr>
                <w:sz w:val="15"/>
                <w:szCs w:val="15"/>
                <w:color w:val="auto"/>
              </w:rPr>
            </w:pPr>
          </w:p>
        </w:tc>
        <w:tc>
          <w:tcPr>
            <w:tcW w:w="122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More than</w:t>
            </w:r>
          </w:p>
        </w:tc>
        <w:tc>
          <w:tcPr>
            <w:tcW w:w="460" w:type="dxa"/>
            <w:vAlign w:val="bottom"/>
            <w:shd w:val="clear" w:color="auto" w:fill="004054"/>
          </w:tcPr>
          <w:p>
            <w:pPr>
              <w:spacing w:after="0"/>
              <w:rPr>
                <w:sz w:val="15"/>
                <w:szCs w:val="15"/>
                <w:color w:val="auto"/>
              </w:rPr>
            </w:pPr>
          </w:p>
        </w:tc>
        <w:tc>
          <w:tcPr>
            <w:tcW w:w="860" w:type="dxa"/>
            <w:vAlign w:val="bottom"/>
            <w:shd w:val="clear" w:color="auto" w:fill="004054"/>
          </w:tcPr>
          <w:p>
            <w:pPr>
              <w:spacing w:after="0"/>
              <w:rPr>
                <w:sz w:val="15"/>
                <w:szCs w:val="15"/>
                <w:color w:val="auto"/>
              </w:rPr>
            </w:pPr>
          </w:p>
        </w:tc>
        <w:tc>
          <w:tcPr>
            <w:tcW w:w="20" w:type="dxa"/>
            <w:vAlign w:val="bottom"/>
            <w:shd w:val="clear" w:color="auto" w:fill="004054"/>
          </w:tcPr>
          <w:p>
            <w:pPr>
              <w:spacing w:after="0"/>
              <w:rPr>
                <w:sz w:val="15"/>
                <w:szCs w:val="15"/>
                <w:color w:val="auto"/>
              </w:rPr>
            </w:pPr>
          </w:p>
        </w:tc>
      </w:tr>
      <w:tr>
        <w:trPr>
          <w:trHeight w:val="195"/>
        </w:trPr>
        <w:tc>
          <w:tcPr>
            <w:tcW w:w="7320" w:type="dxa"/>
            <w:vAlign w:val="bottom"/>
            <w:shd w:val="clear" w:color="auto" w:fill="004054"/>
          </w:tcPr>
          <w:p>
            <w:pPr>
              <w:ind w:left="20"/>
              <w:spacing w:after="0"/>
              <w:rPr>
                <w:sz w:val="20"/>
                <w:szCs w:val="20"/>
                <w:color w:val="auto"/>
              </w:rPr>
            </w:pPr>
            <w:r>
              <w:rPr>
                <w:rFonts w:ascii="Calibri" w:cs="Calibri" w:eastAsia="Calibri" w:hAnsi="Calibri"/>
                <w:sz w:val="11"/>
                <w:szCs w:val="11"/>
                <w:b w:val="1"/>
                <w:bCs w:val="1"/>
                <w:color w:val="FFFFFF"/>
              </w:rPr>
              <w:t>(in millions)</w:t>
            </w:r>
          </w:p>
        </w:tc>
        <w:tc>
          <w:tcPr>
            <w:tcW w:w="480" w:type="dxa"/>
            <w:vAlign w:val="bottom"/>
            <w:shd w:val="clear" w:color="auto" w:fill="004054"/>
          </w:tcPr>
          <w:p>
            <w:pPr>
              <w:spacing w:after="0"/>
              <w:rPr>
                <w:sz w:val="16"/>
                <w:szCs w:val="16"/>
                <w:color w:val="auto"/>
              </w:rPr>
            </w:pPr>
          </w:p>
        </w:tc>
        <w:tc>
          <w:tcPr>
            <w:tcW w:w="84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1 year</w:t>
            </w:r>
          </w:p>
        </w:tc>
        <w:tc>
          <w:tcPr>
            <w:tcW w:w="100" w:type="dxa"/>
            <w:vAlign w:val="bottom"/>
            <w:shd w:val="clear" w:color="auto" w:fill="004054"/>
          </w:tcPr>
          <w:p>
            <w:pPr>
              <w:spacing w:after="0"/>
              <w:rPr>
                <w:sz w:val="16"/>
                <w:szCs w:val="16"/>
                <w:color w:val="auto"/>
              </w:rPr>
            </w:pPr>
          </w:p>
        </w:tc>
        <w:tc>
          <w:tcPr>
            <w:tcW w:w="122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1 year</w:t>
            </w:r>
          </w:p>
        </w:tc>
        <w:tc>
          <w:tcPr>
            <w:tcW w:w="460" w:type="dxa"/>
            <w:vAlign w:val="bottom"/>
            <w:shd w:val="clear" w:color="auto" w:fill="004054"/>
          </w:tcPr>
          <w:p>
            <w:pPr>
              <w:spacing w:after="0"/>
              <w:rPr>
                <w:sz w:val="16"/>
                <w:szCs w:val="16"/>
                <w:color w:val="auto"/>
              </w:rPr>
            </w:pPr>
          </w:p>
        </w:tc>
        <w:tc>
          <w:tcPr>
            <w:tcW w:w="86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Total</w:t>
            </w:r>
            <w:r>
              <w:rPr>
                <w:rFonts w:ascii="Calibri" w:cs="Calibri" w:eastAsia="Calibri" w:hAnsi="Calibri"/>
                <w:sz w:val="14"/>
                <w:szCs w:val="14"/>
                <w:b w:val="1"/>
                <w:bCs w:val="1"/>
                <w:color w:val="FFFFFF"/>
                <w:vertAlign w:val="superscript"/>
              </w:rPr>
              <w:t>(1)</w:t>
            </w:r>
          </w:p>
        </w:tc>
        <w:tc>
          <w:tcPr>
            <w:tcW w:w="20" w:type="dxa"/>
            <w:vAlign w:val="bottom"/>
            <w:shd w:val="clear" w:color="auto" w:fill="004054"/>
          </w:tcPr>
          <w:p>
            <w:pPr>
              <w:spacing w:after="0"/>
              <w:rPr>
                <w:sz w:val="16"/>
                <w:szCs w:val="16"/>
                <w:color w:val="auto"/>
              </w:rPr>
            </w:pPr>
          </w:p>
        </w:tc>
      </w:tr>
      <w:tr>
        <w:trPr>
          <w:trHeight w:val="192"/>
        </w:trPr>
        <w:tc>
          <w:tcPr>
            <w:tcW w:w="732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4"/>
                <w:szCs w:val="14"/>
                <w:b w:val="1"/>
                <w:bCs w:val="1"/>
                <w:color w:val="51555C"/>
              </w:rPr>
              <w:t>Recorded contractual obligatons:</w:t>
            </w:r>
          </w:p>
        </w:tc>
        <w:tc>
          <w:tcPr>
            <w:tcW w:w="480" w:type="dxa"/>
            <w:vAlign w:val="bottom"/>
            <w:tcBorders>
              <w:bottom w:val="single" w:sz="8" w:color="EBFBFF"/>
            </w:tcBorders>
            <w:shd w:val="clear" w:color="auto" w:fill="EBFBFF"/>
          </w:tcPr>
          <w:p>
            <w:pPr>
              <w:spacing w:after="0"/>
              <w:rPr>
                <w:sz w:val="16"/>
                <w:szCs w:val="16"/>
                <w:color w:val="auto"/>
              </w:rPr>
            </w:pPr>
          </w:p>
        </w:tc>
        <w:tc>
          <w:tcPr>
            <w:tcW w:w="840" w:type="dxa"/>
            <w:vAlign w:val="bottom"/>
            <w:tcBorders>
              <w:bottom w:val="single" w:sz="8" w:color="EBFBFF"/>
            </w:tcBorders>
            <w:shd w:val="clear" w:color="auto" w:fill="EBFBFF"/>
          </w:tcPr>
          <w:p>
            <w:pPr>
              <w:spacing w:after="0"/>
              <w:rPr>
                <w:sz w:val="16"/>
                <w:szCs w:val="16"/>
                <w:color w:val="auto"/>
              </w:rPr>
            </w:pPr>
          </w:p>
        </w:tc>
        <w:tc>
          <w:tcPr>
            <w:tcW w:w="100" w:type="dxa"/>
            <w:vAlign w:val="bottom"/>
            <w:tcBorders>
              <w:bottom w:val="single" w:sz="8" w:color="EBFBFF"/>
            </w:tcBorders>
            <w:shd w:val="clear" w:color="auto" w:fill="EBFBFF"/>
          </w:tcPr>
          <w:p>
            <w:pPr>
              <w:spacing w:after="0"/>
              <w:rPr>
                <w:sz w:val="16"/>
                <w:szCs w:val="16"/>
                <w:color w:val="auto"/>
              </w:rPr>
            </w:pPr>
          </w:p>
        </w:tc>
        <w:tc>
          <w:tcPr>
            <w:tcW w:w="1220" w:type="dxa"/>
            <w:vAlign w:val="bottom"/>
            <w:tcBorders>
              <w:bottom w:val="single" w:sz="8" w:color="EBFBFF"/>
            </w:tcBorders>
            <w:shd w:val="clear" w:color="auto" w:fill="EBFBFF"/>
          </w:tcPr>
          <w:p>
            <w:pPr>
              <w:spacing w:after="0"/>
              <w:rPr>
                <w:sz w:val="16"/>
                <w:szCs w:val="16"/>
                <w:color w:val="auto"/>
              </w:rPr>
            </w:pPr>
          </w:p>
        </w:tc>
        <w:tc>
          <w:tcPr>
            <w:tcW w:w="460" w:type="dxa"/>
            <w:vAlign w:val="bottom"/>
            <w:tcBorders>
              <w:bottom w:val="single" w:sz="8" w:color="EBFBFF"/>
            </w:tcBorders>
            <w:shd w:val="clear" w:color="auto" w:fill="EBFBFF"/>
          </w:tcPr>
          <w:p>
            <w:pPr>
              <w:spacing w:after="0"/>
              <w:rPr>
                <w:sz w:val="16"/>
                <w:szCs w:val="16"/>
                <w:color w:val="auto"/>
              </w:rPr>
            </w:pPr>
          </w:p>
        </w:tc>
        <w:tc>
          <w:tcPr>
            <w:tcW w:w="860" w:type="dxa"/>
            <w:vAlign w:val="bottom"/>
            <w:tcBorders>
              <w:bottom w:val="single" w:sz="8" w:color="EBFBFF"/>
            </w:tcBorders>
            <w:shd w:val="clear" w:color="auto" w:fill="EBFBFF"/>
          </w:tcPr>
          <w:p>
            <w:pPr>
              <w:spacing w:after="0"/>
              <w:rPr>
                <w:sz w:val="16"/>
                <w:szCs w:val="16"/>
                <w:color w:val="auto"/>
              </w:rPr>
            </w:pPr>
          </w:p>
        </w:tc>
        <w:tc>
          <w:tcPr>
            <w:tcW w:w="20" w:type="dxa"/>
            <w:vAlign w:val="bottom"/>
          </w:tcPr>
          <w:p>
            <w:pPr>
              <w:spacing w:after="0"/>
              <w:rPr>
                <w:sz w:val="16"/>
                <w:szCs w:val="16"/>
                <w:color w:val="auto"/>
              </w:rPr>
            </w:pPr>
          </w:p>
        </w:tc>
      </w:tr>
      <w:tr>
        <w:trPr>
          <w:trHeight w:val="172"/>
        </w:trPr>
        <w:tc>
          <w:tcPr>
            <w:tcW w:w="7320" w:type="dxa"/>
            <w:vAlign w:val="bottom"/>
          </w:tcPr>
          <w:p>
            <w:pPr>
              <w:ind w:left="100"/>
              <w:spacing w:after="0"/>
              <w:rPr>
                <w:sz w:val="20"/>
                <w:szCs w:val="20"/>
                <w:color w:val="auto"/>
              </w:rPr>
            </w:pPr>
            <w:r>
              <w:rPr>
                <w:rFonts w:ascii="Calibri" w:cs="Calibri" w:eastAsia="Calibri" w:hAnsi="Calibri"/>
                <w:sz w:val="14"/>
                <w:szCs w:val="14"/>
                <w:color w:val="51555C"/>
              </w:rPr>
              <w:t>Debt</w:t>
            </w:r>
          </w:p>
        </w:tc>
        <w:tc>
          <w:tcPr>
            <w:tcW w:w="480" w:type="dxa"/>
            <w:vAlign w:val="bottom"/>
          </w:tcPr>
          <w:p>
            <w:pPr>
              <w:jc w:val="right"/>
              <w:ind w:right="309"/>
              <w:spacing w:after="0"/>
              <w:rPr>
                <w:sz w:val="20"/>
                <w:szCs w:val="20"/>
                <w:color w:val="auto"/>
              </w:rPr>
            </w:pPr>
            <w:r>
              <w:rPr>
                <w:rFonts w:ascii="Calibri" w:cs="Calibri" w:eastAsia="Calibri" w:hAnsi="Calibri"/>
                <w:sz w:val="14"/>
                <w:szCs w:val="14"/>
                <w:color w:val="51555C"/>
              </w:rPr>
              <w:t>$</w:t>
            </w:r>
          </w:p>
        </w:tc>
        <w:tc>
          <w:tcPr>
            <w:tcW w:w="840" w:type="dxa"/>
            <w:vAlign w:val="bottom"/>
          </w:tcPr>
          <w:p>
            <w:pPr>
              <w:jc w:val="right"/>
              <w:spacing w:after="0"/>
              <w:rPr>
                <w:sz w:val="20"/>
                <w:szCs w:val="20"/>
                <w:color w:val="auto"/>
              </w:rPr>
            </w:pPr>
            <w:r>
              <w:rPr>
                <w:rFonts w:ascii="Calibri" w:cs="Calibri" w:eastAsia="Calibri" w:hAnsi="Calibri"/>
                <w:sz w:val="14"/>
                <w:szCs w:val="14"/>
                <w:color w:val="51555C"/>
              </w:rPr>
              <w:t>23.8</w:t>
            </w:r>
          </w:p>
        </w:tc>
        <w:tc>
          <w:tcPr>
            <w:tcW w:w="100" w:type="dxa"/>
            <w:vAlign w:val="bottom"/>
          </w:tcPr>
          <w:p>
            <w:pPr>
              <w:jc w:val="right"/>
              <w:spacing w:after="0"/>
              <w:rPr>
                <w:sz w:val="20"/>
                <w:szCs w:val="20"/>
                <w:color w:val="auto"/>
              </w:rPr>
            </w:pPr>
            <w:r>
              <w:rPr>
                <w:rFonts w:ascii="Calibri" w:cs="Calibri" w:eastAsia="Calibri" w:hAnsi="Calibri"/>
                <w:sz w:val="14"/>
                <w:szCs w:val="14"/>
                <w:color w:val="51555C"/>
                <w:w w:val="83"/>
              </w:rPr>
              <w:t>$</w:t>
            </w:r>
          </w:p>
        </w:tc>
        <w:tc>
          <w:tcPr>
            <w:tcW w:w="1220" w:type="dxa"/>
            <w:vAlign w:val="bottom"/>
          </w:tcPr>
          <w:p>
            <w:pPr>
              <w:jc w:val="right"/>
              <w:spacing w:after="0"/>
              <w:rPr>
                <w:sz w:val="20"/>
                <w:szCs w:val="20"/>
                <w:color w:val="auto"/>
              </w:rPr>
            </w:pPr>
            <w:r>
              <w:rPr>
                <w:rFonts w:ascii="Calibri" w:cs="Calibri" w:eastAsia="Calibri" w:hAnsi="Calibri"/>
                <w:sz w:val="14"/>
                <w:szCs w:val="14"/>
                <w:color w:val="51555C"/>
              </w:rPr>
              <w:t>1,002.3</w:t>
            </w:r>
          </w:p>
        </w:tc>
        <w:tc>
          <w:tcPr>
            <w:tcW w:w="460" w:type="dxa"/>
            <w:vAlign w:val="bottom"/>
          </w:tcPr>
          <w:p>
            <w:pPr>
              <w:jc w:val="right"/>
              <w:ind w:right="309"/>
              <w:spacing w:after="0"/>
              <w:rPr>
                <w:sz w:val="20"/>
                <w:szCs w:val="20"/>
                <w:color w:val="auto"/>
              </w:rPr>
            </w:pPr>
            <w:r>
              <w:rPr>
                <w:rFonts w:ascii="Calibri" w:cs="Calibri" w:eastAsia="Calibri" w:hAnsi="Calibri"/>
                <w:sz w:val="14"/>
                <w:szCs w:val="14"/>
                <w:color w:val="51555C"/>
                <w:w w:val="83"/>
              </w:rPr>
              <w:t>$</w:t>
            </w:r>
          </w:p>
        </w:tc>
        <w:tc>
          <w:tcPr>
            <w:tcW w:w="860" w:type="dxa"/>
            <w:vAlign w:val="bottom"/>
          </w:tcPr>
          <w:p>
            <w:pPr>
              <w:jc w:val="right"/>
              <w:spacing w:after="0"/>
              <w:rPr>
                <w:sz w:val="20"/>
                <w:szCs w:val="20"/>
                <w:color w:val="auto"/>
              </w:rPr>
            </w:pPr>
            <w:r>
              <w:rPr>
                <w:rFonts w:ascii="Calibri" w:cs="Calibri" w:eastAsia="Calibri" w:hAnsi="Calibri"/>
                <w:sz w:val="14"/>
                <w:szCs w:val="14"/>
                <w:color w:val="51555C"/>
              </w:rPr>
              <w:t>1,026.0</w:t>
            </w:r>
          </w:p>
        </w:tc>
        <w:tc>
          <w:tcPr>
            <w:tcW w:w="20" w:type="dxa"/>
            <w:vAlign w:val="bottom"/>
          </w:tcPr>
          <w:p>
            <w:pPr>
              <w:spacing w:after="0"/>
              <w:rPr>
                <w:sz w:val="14"/>
                <w:szCs w:val="14"/>
                <w:color w:val="auto"/>
              </w:rPr>
            </w:pPr>
          </w:p>
        </w:tc>
      </w:tr>
      <w:tr>
        <w:trPr>
          <w:trHeight w:val="40"/>
        </w:trPr>
        <w:tc>
          <w:tcPr>
            <w:tcW w:w="7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92"/>
        </w:trPr>
        <w:tc>
          <w:tcPr>
            <w:tcW w:w="7320" w:type="dxa"/>
            <w:vAlign w:val="bottom"/>
            <w:tcBorders>
              <w:bottom w:val="single" w:sz="8" w:color="EBFBFF"/>
            </w:tcBorders>
            <w:shd w:val="clear" w:color="auto" w:fill="EBFBFF"/>
          </w:tcPr>
          <w:p>
            <w:pPr>
              <w:ind w:left="100"/>
              <w:spacing w:after="0"/>
              <w:rPr>
                <w:sz w:val="20"/>
                <w:szCs w:val="20"/>
                <w:color w:val="auto"/>
              </w:rPr>
            </w:pPr>
            <w:r>
              <w:rPr>
                <w:rFonts w:ascii="Calibri" w:cs="Calibri" w:eastAsia="Calibri" w:hAnsi="Calibri"/>
                <w:sz w:val="14"/>
                <w:szCs w:val="14"/>
                <w:color w:val="51555C"/>
              </w:rPr>
              <w:t>Operatng leases</w:t>
            </w:r>
          </w:p>
        </w:tc>
        <w:tc>
          <w:tcPr>
            <w:tcW w:w="480" w:type="dxa"/>
            <w:vAlign w:val="bottom"/>
            <w:tcBorders>
              <w:bottom w:val="single" w:sz="8" w:color="EBFBFF"/>
            </w:tcBorders>
            <w:shd w:val="clear" w:color="auto" w:fill="EBFBFF"/>
          </w:tcPr>
          <w:p>
            <w:pPr>
              <w:spacing w:after="0"/>
              <w:rPr>
                <w:sz w:val="16"/>
                <w:szCs w:val="16"/>
                <w:color w:val="auto"/>
              </w:rPr>
            </w:pPr>
          </w:p>
        </w:tc>
        <w:tc>
          <w:tcPr>
            <w:tcW w:w="8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6.5</w:t>
            </w:r>
          </w:p>
        </w:tc>
        <w:tc>
          <w:tcPr>
            <w:tcW w:w="100" w:type="dxa"/>
            <w:vAlign w:val="bottom"/>
            <w:tcBorders>
              <w:bottom w:val="single" w:sz="8" w:color="EBFBFF"/>
            </w:tcBorders>
            <w:shd w:val="clear" w:color="auto" w:fill="EBFBFF"/>
          </w:tcPr>
          <w:p>
            <w:pPr>
              <w:spacing w:after="0"/>
              <w:rPr>
                <w:sz w:val="16"/>
                <w:szCs w:val="16"/>
                <w:color w:val="auto"/>
              </w:rPr>
            </w:pPr>
          </w:p>
        </w:tc>
        <w:tc>
          <w:tcPr>
            <w:tcW w:w="12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42.2</w:t>
            </w:r>
          </w:p>
        </w:tc>
        <w:tc>
          <w:tcPr>
            <w:tcW w:w="460" w:type="dxa"/>
            <w:vAlign w:val="bottom"/>
            <w:tcBorders>
              <w:bottom w:val="single" w:sz="8" w:color="EBFBFF"/>
            </w:tcBorders>
            <w:shd w:val="clear" w:color="auto" w:fill="EBFBFF"/>
          </w:tcPr>
          <w:p>
            <w:pPr>
              <w:spacing w:after="0"/>
              <w:rPr>
                <w:sz w:val="16"/>
                <w:szCs w:val="16"/>
                <w:color w:val="auto"/>
              </w:rPr>
            </w:pPr>
          </w:p>
        </w:tc>
        <w:tc>
          <w:tcPr>
            <w:tcW w:w="8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48.7</w:t>
            </w:r>
          </w:p>
        </w:tc>
        <w:tc>
          <w:tcPr>
            <w:tcW w:w="20" w:type="dxa"/>
            <w:vAlign w:val="bottom"/>
          </w:tcPr>
          <w:p>
            <w:pPr>
              <w:spacing w:after="0"/>
              <w:rPr>
                <w:sz w:val="16"/>
                <w:szCs w:val="16"/>
                <w:color w:val="auto"/>
              </w:rPr>
            </w:pPr>
          </w:p>
        </w:tc>
      </w:tr>
      <w:tr>
        <w:trPr>
          <w:trHeight w:val="172"/>
        </w:trPr>
        <w:tc>
          <w:tcPr>
            <w:tcW w:w="7320" w:type="dxa"/>
            <w:vAlign w:val="bottom"/>
          </w:tcPr>
          <w:p>
            <w:pPr>
              <w:ind w:left="20"/>
              <w:spacing w:after="0"/>
              <w:rPr>
                <w:sz w:val="20"/>
                <w:szCs w:val="20"/>
                <w:color w:val="auto"/>
              </w:rPr>
            </w:pPr>
            <w:r>
              <w:rPr>
                <w:rFonts w:ascii="Calibri" w:cs="Calibri" w:eastAsia="Calibri" w:hAnsi="Calibri"/>
                <w:sz w:val="14"/>
                <w:szCs w:val="14"/>
                <w:b w:val="1"/>
                <w:bCs w:val="1"/>
                <w:color w:val="51555C"/>
              </w:rPr>
              <w:t>Unrecorded contractual obligatons:</w:t>
            </w: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40"/>
        </w:trPr>
        <w:tc>
          <w:tcPr>
            <w:tcW w:w="7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92"/>
        </w:trPr>
        <w:tc>
          <w:tcPr>
            <w:tcW w:w="7320" w:type="dxa"/>
            <w:vAlign w:val="bottom"/>
            <w:tcBorders>
              <w:bottom w:val="single" w:sz="8" w:color="EBFBFF"/>
            </w:tcBorders>
            <w:shd w:val="clear" w:color="auto" w:fill="EBFBFF"/>
          </w:tcPr>
          <w:p>
            <w:pPr>
              <w:ind w:left="100"/>
              <w:spacing w:after="0"/>
              <w:rPr>
                <w:sz w:val="20"/>
                <w:szCs w:val="20"/>
                <w:color w:val="auto"/>
              </w:rPr>
            </w:pPr>
            <w:r>
              <w:rPr>
                <w:rFonts w:ascii="Calibri" w:cs="Calibri" w:eastAsia="Calibri" w:hAnsi="Calibri"/>
                <w:sz w:val="14"/>
                <w:szCs w:val="14"/>
                <w:color w:val="51555C"/>
              </w:rPr>
              <w:t>Purchase obligatons</w:t>
            </w:r>
          </w:p>
        </w:tc>
        <w:tc>
          <w:tcPr>
            <w:tcW w:w="480" w:type="dxa"/>
            <w:vAlign w:val="bottom"/>
            <w:tcBorders>
              <w:bottom w:val="single" w:sz="8" w:color="EBFBFF"/>
            </w:tcBorders>
            <w:shd w:val="clear" w:color="auto" w:fill="EBFBFF"/>
          </w:tcPr>
          <w:p>
            <w:pPr>
              <w:spacing w:after="0"/>
              <w:rPr>
                <w:sz w:val="16"/>
                <w:szCs w:val="16"/>
                <w:color w:val="auto"/>
              </w:rPr>
            </w:pPr>
          </w:p>
        </w:tc>
        <w:tc>
          <w:tcPr>
            <w:tcW w:w="8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89.3</w:t>
            </w:r>
          </w:p>
        </w:tc>
        <w:tc>
          <w:tcPr>
            <w:tcW w:w="100" w:type="dxa"/>
            <w:vAlign w:val="bottom"/>
            <w:tcBorders>
              <w:bottom w:val="single" w:sz="8" w:color="EBFBFF"/>
            </w:tcBorders>
            <w:shd w:val="clear" w:color="auto" w:fill="EBFBFF"/>
          </w:tcPr>
          <w:p>
            <w:pPr>
              <w:spacing w:after="0"/>
              <w:rPr>
                <w:sz w:val="16"/>
                <w:szCs w:val="16"/>
                <w:color w:val="auto"/>
              </w:rPr>
            </w:pPr>
          </w:p>
        </w:tc>
        <w:tc>
          <w:tcPr>
            <w:tcW w:w="12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138.7</w:t>
            </w:r>
          </w:p>
        </w:tc>
        <w:tc>
          <w:tcPr>
            <w:tcW w:w="460" w:type="dxa"/>
            <w:vAlign w:val="bottom"/>
            <w:tcBorders>
              <w:bottom w:val="single" w:sz="8" w:color="EBFBFF"/>
            </w:tcBorders>
            <w:shd w:val="clear" w:color="auto" w:fill="EBFBFF"/>
          </w:tcPr>
          <w:p>
            <w:pPr>
              <w:spacing w:after="0"/>
              <w:rPr>
                <w:sz w:val="16"/>
                <w:szCs w:val="16"/>
                <w:color w:val="auto"/>
              </w:rPr>
            </w:pPr>
          </w:p>
        </w:tc>
        <w:tc>
          <w:tcPr>
            <w:tcW w:w="8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228.0</w:t>
            </w:r>
          </w:p>
        </w:tc>
        <w:tc>
          <w:tcPr>
            <w:tcW w:w="20" w:type="dxa"/>
            <w:vAlign w:val="bottom"/>
          </w:tcPr>
          <w:p>
            <w:pPr>
              <w:spacing w:after="0"/>
              <w:rPr>
                <w:sz w:val="16"/>
                <w:szCs w:val="16"/>
                <w:color w:val="auto"/>
              </w:rPr>
            </w:pPr>
          </w:p>
        </w:tc>
      </w:tr>
      <w:tr>
        <w:trPr>
          <w:trHeight w:val="172"/>
        </w:trPr>
        <w:tc>
          <w:tcPr>
            <w:tcW w:w="7320" w:type="dxa"/>
            <w:vAlign w:val="bottom"/>
          </w:tcPr>
          <w:p>
            <w:pPr>
              <w:ind w:left="100"/>
              <w:spacing w:after="0"/>
              <w:rPr>
                <w:sz w:val="20"/>
                <w:szCs w:val="20"/>
                <w:color w:val="auto"/>
              </w:rPr>
            </w:pPr>
            <w:r>
              <w:rPr>
                <w:rFonts w:ascii="Calibri" w:cs="Calibri" w:eastAsia="Calibri" w:hAnsi="Calibri"/>
                <w:sz w:val="14"/>
                <w:szCs w:val="14"/>
                <w:color w:val="51555C"/>
              </w:rPr>
              <w:t>Interest payments on debt</w:t>
            </w:r>
          </w:p>
        </w:tc>
        <w:tc>
          <w:tcPr>
            <w:tcW w:w="4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alibri" w:cs="Calibri" w:eastAsia="Calibri" w:hAnsi="Calibri"/>
                <w:sz w:val="14"/>
                <w:szCs w:val="14"/>
                <w:color w:val="51555C"/>
              </w:rPr>
              <w:t>61.6</w:t>
            </w: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Calibri" w:cs="Calibri" w:eastAsia="Calibri" w:hAnsi="Calibri"/>
                <w:sz w:val="14"/>
                <w:szCs w:val="14"/>
                <w:color w:val="51555C"/>
              </w:rPr>
              <w:t>263.0</w:t>
            </w:r>
          </w:p>
        </w:tc>
        <w:tc>
          <w:tcPr>
            <w:tcW w:w="4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alibri" w:cs="Calibri" w:eastAsia="Calibri" w:hAnsi="Calibri"/>
                <w:sz w:val="14"/>
                <w:szCs w:val="14"/>
                <w:color w:val="51555C"/>
              </w:rPr>
              <w:t>324.5</w:t>
            </w:r>
          </w:p>
        </w:tc>
        <w:tc>
          <w:tcPr>
            <w:tcW w:w="20" w:type="dxa"/>
            <w:vAlign w:val="bottom"/>
          </w:tcPr>
          <w:p>
            <w:pPr>
              <w:spacing w:after="0"/>
              <w:rPr>
                <w:sz w:val="14"/>
                <w:szCs w:val="14"/>
                <w:color w:val="auto"/>
              </w:rPr>
            </w:pPr>
          </w:p>
        </w:tc>
      </w:tr>
      <w:tr>
        <w:trPr>
          <w:trHeight w:val="40"/>
        </w:trPr>
        <w:tc>
          <w:tcPr>
            <w:tcW w:w="7320" w:type="dxa"/>
            <w:vAlign w:val="bottom"/>
            <w:tcBorders>
              <w:bottom w:val="single" w:sz="8" w:color="EBFBFF"/>
            </w:tcBorders>
          </w:tcPr>
          <w:p>
            <w:pPr>
              <w:spacing w:after="0"/>
              <w:rPr>
                <w:sz w:val="3"/>
                <w:szCs w:val="3"/>
                <w:color w:val="auto"/>
              </w:rPr>
            </w:pPr>
          </w:p>
        </w:tc>
        <w:tc>
          <w:tcPr>
            <w:tcW w:w="480" w:type="dxa"/>
            <w:vAlign w:val="bottom"/>
            <w:tcBorders>
              <w:bottom w:val="single" w:sz="8" w:color="51555C"/>
            </w:tcBorders>
          </w:tcPr>
          <w:p>
            <w:pPr>
              <w:spacing w:after="0"/>
              <w:rPr>
                <w:sz w:val="3"/>
                <w:szCs w:val="3"/>
                <w:color w:val="auto"/>
              </w:rPr>
            </w:pPr>
          </w:p>
        </w:tc>
        <w:tc>
          <w:tcPr>
            <w:tcW w:w="840" w:type="dxa"/>
            <w:vAlign w:val="bottom"/>
            <w:tcBorders>
              <w:bottom w:val="single" w:sz="8" w:color="51555C"/>
            </w:tcBorders>
          </w:tcPr>
          <w:p>
            <w:pPr>
              <w:spacing w:after="0"/>
              <w:rPr>
                <w:sz w:val="3"/>
                <w:szCs w:val="3"/>
                <w:color w:val="auto"/>
              </w:rPr>
            </w:pPr>
          </w:p>
        </w:tc>
        <w:tc>
          <w:tcPr>
            <w:tcW w:w="100" w:type="dxa"/>
            <w:vAlign w:val="bottom"/>
            <w:tcBorders>
              <w:bottom w:val="single" w:sz="8" w:color="51555C"/>
            </w:tcBorders>
          </w:tcPr>
          <w:p>
            <w:pPr>
              <w:spacing w:after="0"/>
              <w:rPr>
                <w:sz w:val="3"/>
                <w:szCs w:val="3"/>
                <w:color w:val="auto"/>
              </w:rPr>
            </w:pPr>
          </w:p>
        </w:tc>
        <w:tc>
          <w:tcPr>
            <w:tcW w:w="1220" w:type="dxa"/>
            <w:vAlign w:val="bottom"/>
            <w:tcBorders>
              <w:bottom w:val="single" w:sz="8" w:color="51555C"/>
            </w:tcBorders>
          </w:tcPr>
          <w:p>
            <w:pPr>
              <w:spacing w:after="0"/>
              <w:rPr>
                <w:sz w:val="3"/>
                <w:szCs w:val="3"/>
                <w:color w:val="auto"/>
              </w:rPr>
            </w:pPr>
          </w:p>
        </w:tc>
        <w:tc>
          <w:tcPr>
            <w:tcW w:w="460" w:type="dxa"/>
            <w:vAlign w:val="bottom"/>
            <w:tcBorders>
              <w:bottom w:val="single" w:sz="8" w:color="51555C"/>
            </w:tcBorders>
          </w:tcPr>
          <w:p>
            <w:pPr>
              <w:spacing w:after="0"/>
              <w:rPr>
                <w:sz w:val="3"/>
                <w:szCs w:val="3"/>
                <w:color w:val="auto"/>
              </w:rPr>
            </w:pPr>
          </w:p>
        </w:tc>
        <w:tc>
          <w:tcPr>
            <w:tcW w:w="860" w:type="dxa"/>
            <w:vAlign w:val="bottom"/>
            <w:tcBorders>
              <w:bottom w:val="single" w:sz="8" w:color="51555C"/>
            </w:tcBorders>
          </w:tcPr>
          <w:p>
            <w:pPr>
              <w:spacing w:after="0"/>
              <w:rPr>
                <w:sz w:val="3"/>
                <w:szCs w:val="3"/>
                <w:color w:val="auto"/>
              </w:rPr>
            </w:pPr>
          </w:p>
        </w:tc>
        <w:tc>
          <w:tcPr>
            <w:tcW w:w="20" w:type="dxa"/>
            <w:vAlign w:val="bottom"/>
          </w:tcPr>
          <w:p>
            <w:pPr>
              <w:spacing w:after="0"/>
              <w:rPr>
                <w:sz w:val="3"/>
                <w:szCs w:val="3"/>
                <w:color w:val="auto"/>
              </w:rPr>
            </w:pPr>
          </w:p>
        </w:tc>
      </w:tr>
      <w:tr>
        <w:trPr>
          <w:trHeight w:val="235"/>
        </w:trPr>
        <w:tc>
          <w:tcPr>
            <w:tcW w:w="7320" w:type="dxa"/>
            <w:vAlign w:val="bottom"/>
            <w:tcBorders>
              <w:bottom w:val="single" w:sz="8" w:color="0CD973"/>
            </w:tcBorders>
            <w:shd w:val="clear" w:color="auto" w:fill="EBFBFF"/>
          </w:tcPr>
          <w:p>
            <w:pPr>
              <w:ind w:left="20"/>
              <w:spacing w:after="0"/>
              <w:rPr>
                <w:sz w:val="20"/>
                <w:szCs w:val="20"/>
                <w:color w:val="auto"/>
              </w:rPr>
            </w:pPr>
            <w:r>
              <w:rPr>
                <w:rFonts w:ascii="Calibri" w:cs="Calibri" w:eastAsia="Calibri" w:hAnsi="Calibri"/>
                <w:sz w:val="14"/>
                <w:szCs w:val="14"/>
                <w:b w:val="1"/>
                <w:bCs w:val="1"/>
                <w:color w:val="51555C"/>
              </w:rPr>
              <w:t>Total contractual obligatons</w:t>
            </w:r>
            <w:r>
              <w:rPr>
                <w:rFonts w:ascii="Calibri" w:cs="Calibri" w:eastAsia="Calibri" w:hAnsi="Calibri"/>
                <w:sz w:val="18"/>
                <w:szCs w:val="18"/>
                <w:b w:val="1"/>
                <w:bCs w:val="1"/>
                <w:color w:val="51555C"/>
                <w:vertAlign w:val="superscript"/>
              </w:rPr>
              <w:t>(1)</w:t>
            </w:r>
          </w:p>
        </w:tc>
        <w:tc>
          <w:tcPr>
            <w:tcW w:w="480" w:type="dxa"/>
            <w:vAlign w:val="bottom"/>
            <w:tcBorders>
              <w:bottom w:val="single" w:sz="8" w:color="0CD973"/>
            </w:tcBorders>
            <w:shd w:val="clear" w:color="auto" w:fill="EBFBFF"/>
          </w:tcPr>
          <w:p>
            <w:pPr>
              <w:jc w:val="right"/>
              <w:ind w:right="309"/>
              <w:spacing w:after="0"/>
              <w:rPr>
                <w:sz w:val="20"/>
                <w:szCs w:val="20"/>
                <w:color w:val="auto"/>
              </w:rPr>
            </w:pPr>
            <w:r>
              <w:rPr>
                <w:rFonts w:ascii="Calibri" w:cs="Calibri" w:eastAsia="Calibri" w:hAnsi="Calibri"/>
                <w:sz w:val="14"/>
                <w:szCs w:val="14"/>
                <w:color w:val="51555C"/>
              </w:rPr>
              <w:t>$</w:t>
            </w:r>
          </w:p>
        </w:tc>
        <w:tc>
          <w:tcPr>
            <w:tcW w:w="840" w:type="dxa"/>
            <w:vAlign w:val="bottom"/>
            <w:tcBorders>
              <w:bottom w:val="single" w:sz="8" w:color="0CD973"/>
            </w:tcBorders>
            <w:shd w:val="clear" w:color="auto" w:fill="EBFBFF"/>
          </w:tcPr>
          <w:p>
            <w:pPr>
              <w:jc w:val="right"/>
              <w:spacing w:after="0"/>
              <w:rPr>
                <w:sz w:val="20"/>
                <w:szCs w:val="20"/>
                <w:color w:val="auto"/>
              </w:rPr>
            </w:pPr>
            <w:r>
              <w:rPr>
                <w:rFonts w:ascii="Calibri" w:cs="Calibri" w:eastAsia="Calibri" w:hAnsi="Calibri"/>
                <w:sz w:val="14"/>
                <w:szCs w:val="14"/>
                <w:color w:val="51555C"/>
              </w:rPr>
              <w:t>181.2</w:t>
            </w:r>
          </w:p>
        </w:tc>
        <w:tc>
          <w:tcPr>
            <w:tcW w:w="100" w:type="dxa"/>
            <w:vAlign w:val="bottom"/>
            <w:tcBorders>
              <w:bottom w:val="single" w:sz="8" w:color="0CD973"/>
            </w:tcBorders>
            <w:shd w:val="clear" w:color="auto" w:fill="EBFBFF"/>
          </w:tcPr>
          <w:p>
            <w:pPr>
              <w:jc w:val="right"/>
              <w:spacing w:after="0"/>
              <w:rPr>
                <w:sz w:val="20"/>
                <w:szCs w:val="20"/>
                <w:color w:val="auto"/>
              </w:rPr>
            </w:pPr>
            <w:r>
              <w:rPr>
                <w:rFonts w:ascii="Calibri" w:cs="Calibri" w:eastAsia="Calibri" w:hAnsi="Calibri"/>
                <w:sz w:val="14"/>
                <w:szCs w:val="14"/>
                <w:color w:val="51555C"/>
                <w:w w:val="83"/>
              </w:rPr>
              <w:t>$</w:t>
            </w:r>
          </w:p>
        </w:tc>
        <w:tc>
          <w:tcPr>
            <w:tcW w:w="1220" w:type="dxa"/>
            <w:vAlign w:val="bottom"/>
            <w:tcBorders>
              <w:bottom w:val="single" w:sz="8" w:color="0CD973"/>
            </w:tcBorders>
            <w:shd w:val="clear" w:color="auto" w:fill="EBFBFF"/>
          </w:tcPr>
          <w:p>
            <w:pPr>
              <w:jc w:val="right"/>
              <w:spacing w:after="0"/>
              <w:rPr>
                <w:sz w:val="20"/>
                <w:szCs w:val="20"/>
                <w:color w:val="auto"/>
              </w:rPr>
            </w:pPr>
            <w:r>
              <w:rPr>
                <w:rFonts w:ascii="Calibri" w:cs="Calibri" w:eastAsia="Calibri" w:hAnsi="Calibri"/>
                <w:sz w:val="14"/>
                <w:szCs w:val="14"/>
                <w:color w:val="51555C"/>
              </w:rPr>
              <w:t>1,446.1</w:t>
            </w:r>
          </w:p>
        </w:tc>
        <w:tc>
          <w:tcPr>
            <w:tcW w:w="460" w:type="dxa"/>
            <w:vAlign w:val="bottom"/>
            <w:tcBorders>
              <w:bottom w:val="single" w:sz="8" w:color="0CD973"/>
            </w:tcBorders>
            <w:shd w:val="clear" w:color="auto" w:fill="EBFBFF"/>
          </w:tcPr>
          <w:p>
            <w:pPr>
              <w:jc w:val="right"/>
              <w:ind w:right="309"/>
              <w:spacing w:after="0"/>
              <w:rPr>
                <w:sz w:val="20"/>
                <w:szCs w:val="20"/>
                <w:color w:val="auto"/>
              </w:rPr>
            </w:pPr>
            <w:r>
              <w:rPr>
                <w:rFonts w:ascii="Calibri" w:cs="Calibri" w:eastAsia="Calibri" w:hAnsi="Calibri"/>
                <w:sz w:val="14"/>
                <w:szCs w:val="14"/>
                <w:color w:val="51555C"/>
                <w:w w:val="83"/>
              </w:rPr>
              <w:t>$</w:t>
            </w:r>
          </w:p>
        </w:tc>
        <w:tc>
          <w:tcPr>
            <w:tcW w:w="860" w:type="dxa"/>
            <w:vAlign w:val="bottom"/>
            <w:tcBorders>
              <w:bottom w:val="single" w:sz="8" w:color="0CD973"/>
            </w:tcBorders>
            <w:shd w:val="clear" w:color="auto" w:fill="EBFBFF"/>
          </w:tcPr>
          <w:p>
            <w:pPr>
              <w:jc w:val="right"/>
              <w:spacing w:after="0"/>
              <w:rPr>
                <w:sz w:val="20"/>
                <w:szCs w:val="20"/>
                <w:color w:val="auto"/>
              </w:rPr>
            </w:pPr>
            <w:r>
              <w:rPr>
                <w:rFonts w:ascii="Calibri" w:cs="Calibri" w:eastAsia="Calibri" w:hAnsi="Calibri"/>
                <w:sz w:val="14"/>
                <w:szCs w:val="14"/>
                <w:color w:val="51555C"/>
              </w:rPr>
              <w:t>1,627.3</w:t>
            </w: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4652010</wp:posOffset>
            </wp:positionH>
            <wp:positionV relativeFrom="paragraph">
              <wp:posOffset>-1191895</wp:posOffset>
            </wp:positionV>
            <wp:extent cx="2519680" cy="69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519680" cy="6985"/>
                    </a:xfrm>
                    <a:prstGeom prst="rect">
                      <a:avLst/>
                    </a:prstGeom>
                    <a:noFill/>
                  </pic:spPr>
                </pic:pic>
              </a:graphicData>
            </a:graphic>
          </wp:anchor>
        </w:drawing>
      </w:r>
    </w:p>
    <w:p>
      <w:pPr>
        <w:spacing w:after="0" w:line="32" w:lineRule="exact"/>
        <w:rPr>
          <w:sz w:val="20"/>
          <w:szCs w:val="20"/>
          <w:color w:val="auto"/>
        </w:rPr>
      </w:pPr>
    </w:p>
    <w:p>
      <w:pPr>
        <w:ind w:left="260" w:hanging="255"/>
        <w:spacing w:after="0"/>
        <w:tabs>
          <w:tab w:leader="none" w:pos="260" w:val="left"/>
        </w:tabs>
        <w:numPr>
          <w:ilvl w:val="0"/>
          <w:numId w:val="34"/>
        </w:numPr>
        <w:rPr>
          <w:rFonts w:ascii="Calibri" w:cs="Calibri" w:eastAsia="Calibri" w:hAnsi="Calibri"/>
          <w:sz w:val="11"/>
          <w:szCs w:val="11"/>
          <w:color w:val="51555C"/>
        </w:rPr>
      </w:pPr>
      <w:r>
        <w:rPr>
          <w:rFonts w:ascii="Calibri" w:cs="Calibri" w:eastAsia="Calibri" w:hAnsi="Calibri"/>
          <w:sz w:val="11"/>
          <w:szCs w:val="11"/>
          <w:color w:val="51555C"/>
        </w:rPr>
        <w:t>The individual amounts may not sum to the total due to rounding.</w:t>
      </w:r>
    </w:p>
    <w:p>
      <w:pPr>
        <w:spacing w:after="0" w:line="133" w:lineRule="exact"/>
        <w:rPr>
          <w:sz w:val="20"/>
          <w:szCs w:val="20"/>
          <w:color w:val="auto"/>
        </w:rPr>
      </w:pPr>
    </w:p>
    <w:p>
      <w:pPr>
        <w:spacing w:after="0"/>
        <w:rPr>
          <w:sz w:val="20"/>
          <w:szCs w:val="20"/>
          <w:color w:val="auto"/>
        </w:rPr>
      </w:pPr>
      <w:r>
        <w:rPr>
          <w:rFonts w:ascii="Calibri" w:cs="Calibri" w:eastAsia="Calibri" w:hAnsi="Calibri"/>
          <w:sz w:val="14"/>
          <w:szCs w:val="14"/>
          <w:i w:val="1"/>
          <w:iCs w:val="1"/>
          <w:color w:val="51555C"/>
        </w:rPr>
        <w:t>Debt</w:t>
      </w:r>
    </w:p>
    <w:p>
      <w:pPr>
        <w:spacing w:after="0" w:line="129" w:lineRule="exact"/>
        <w:rPr>
          <w:sz w:val="20"/>
          <w:szCs w:val="20"/>
          <w:color w:val="auto"/>
        </w:rPr>
      </w:pPr>
    </w:p>
    <w:p>
      <w:pPr>
        <w:jc w:val="both"/>
        <w:ind w:right="20"/>
        <w:spacing w:after="0" w:line="237" w:lineRule="auto"/>
        <w:rPr>
          <w:sz w:val="20"/>
          <w:szCs w:val="20"/>
          <w:color w:val="auto"/>
        </w:rPr>
      </w:pPr>
      <w:r>
        <w:rPr>
          <w:rFonts w:ascii="Calibri" w:cs="Calibri" w:eastAsia="Calibri" w:hAnsi="Calibri"/>
          <w:sz w:val="14"/>
          <w:szCs w:val="14"/>
          <w:color w:val="51555C"/>
        </w:rPr>
        <w:t>As of June 30, 2024, we had total remaining principal payments of $1.0 billion. These payments represent principal payments only, under the following assumptons: (i) that the amounts outstanding under the 2024 Credit Facilites, our real estate loans and our other debt at June 30, 2024 will remain outstanding untl maturity, with minimum payments occurring as currently scheduled, and (ii) that there are no assumed future borrowings on the revolving credit loans under the 2024 Credit Facilites for the purposes of determining minimum commitment amounts. See Note 7 to our unaudited, condensed consolidated fnancial statements in this report for more informaton.</w:t>
      </w:r>
    </w:p>
    <w:p>
      <w:pPr>
        <w:spacing w:after="0" w:line="128" w:lineRule="exact"/>
        <w:rPr>
          <w:sz w:val="20"/>
          <w:szCs w:val="20"/>
          <w:color w:val="auto"/>
        </w:rPr>
      </w:pPr>
    </w:p>
    <w:p>
      <w:pPr>
        <w:spacing w:after="0"/>
        <w:rPr>
          <w:sz w:val="20"/>
          <w:szCs w:val="20"/>
          <w:color w:val="auto"/>
        </w:rPr>
      </w:pPr>
      <w:r>
        <w:rPr>
          <w:rFonts w:ascii="Calibri" w:cs="Calibri" w:eastAsia="Calibri" w:hAnsi="Calibri"/>
          <w:sz w:val="14"/>
          <w:szCs w:val="14"/>
          <w:i w:val="1"/>
          <w:iCs w:val="1"/>
          <w:color w:val="51555C"/>
        </w:rPr>
        <w:t>Interest payments on debt</w:t>
      </w:r>
    </w:p>
    <w:p>
      <w:pPr>
        <w:spacing w:after="0" w:line="129" w:lineRule="exact"/>
        <w:rPr>
          <w:sz w:val="20"/>
          <w:szCs w:val="20"/>
          <w:color w:val="auto"/>
        </w:rPr>
      </w:pPr>
    </w:p>
    <w:p>
      <w:pPr>
        <w:jc w:val="both"/>
        <w:ind w:right="20"/>
        <w:spacing w:after="0" w:line="237" w:lineRule="auto"/>
        <w:rPr>
          <w:sz w:val="20"/>
          <w:szCs w:val="20"/>
          <w:color w:val="auto"/>
        </w:rPr>
      </w:pPr>
      <w:r>
        <w:rPr>
          <w:rFonts w:ascii="Calibri" w:cs="Calibri" w:eastAsia="Calibri" w:hAnsi="Calibri"/>
          <w:sz w:val="14"/>
          <w:szCs w:val="14"/>
          <w:color w:val="51555C"/>
        </w:rPr>
        <w:t>In additon to principal payments, as of June 30, 2024, we expect to pay interest expense over the life of our debt obligatons of approximately $324.5 million. These payments represent our estmated future interest payments on debt using our debt balances and the related weighted average efectve interest rates as of June 30, 2024, which includes the efect of interest rate swap agreements. The actual interest expense recognized in our unaudited, condensed consolidated statements of comprehensive income will depend on the amount of debt, the length of tme the debt is outstanding and the interest rate, which could be diferent from our assumptons on our remaining principal payments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6268720</wp:posOffset>
            </wp:positionH>
            <wp:positionV relativeFrom="paragraph">
              <wp:posOffset>188595</wp:posOffset>
            </wp:positionV>
            <wp:extent cx="518795" cy="1346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18795" cy="134620"/>
                    </a:xfrm>
                    <a:prstGeom prst="rect">
                      <a:avLst/>
                    </a:prstGeom>
                    <a:noFill/>
                  </pic:spPr>
                </pic:pic>
              </a:graphicData>
            </a:graphic>
          </wp:anchor>
        </w:drawing>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0400" w:type="dxa"/>
            <w:vAlign w:val="bottom"/>
          </w:tcPr>
          <w:p>
            <w:pPr>
              <w:ind w:left="8160"/>
              <w:spacing w:after="0"/>
              <w:rPr>
                <w:sz w:val="20"/>
                <w:szCs w:val="20"/>
                <w:color w:val="auto"/>
              </w:rPr>
            </w:pPr>
            <w:r>
              <w:rPr>
                <w:rFonts w:ascii="Calibri" w:cs="Calibri" w:eastAsia="Calibri" w:hAnsi="Calibri"/>
                <w:sz w:val="11"/>
                <w:szCs w:val="11"/>
                <w:color w:val="51555C"/>
              </w:rPr>
              <w:t>Second Quarter 2024 Form 10-Q</w:t>
            </w:r>
          </w:p>
        </w:tc>
        <w:tc>
          <w:tcPr>
            <w:tcW w:w="880" w:type="dxa"/>
            <w:vAlign w:val="bottom"/>
          </w:tcPr>
          <w:p>
            <w:pPr>
              <w:jc w:val="right"/>
              <w:spacing w:after="0"/>
              <w:rPr>
                <w:sz w:val="20"/>
                <w:szCs w:val="20"/>
                <w:color w:val="auto"/>
              </w:rPr>
            </w:pPr>
            <w:r>
              <w:rPr>
                <w:rFonts w:ascii="Calibri" w:cs="Calibri" w:eastAsia="Calibri" w:hAnsi="Calibri"/>
                <w:sz w:val="11"/>
                <w:szCs w:val="11"/>
                <w:color w:val="51555C"/>
              </w:rPr>
              <w:t>47</w:t>
            </w:r>
          </w:p>
        </w:tc>
      </w:tr>
      <w:tr>
        <w:trPr>
          <w:trHeight w:val="281"/>
        </w:trPr>
        <w:tc>
          <w:tcPr>
            <w:tcW w:w="104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48" w:name="page49"/>
    <w:bookmarkEnd w:id="48"/>
    <w:p>
      <w:pPr>
        <w:spacing w:after="0"/>
        <w:rPr>
          <w:sz w:val="20"/>
          <w:szCs w:val="20"/>
          <w:color w:val="auto"/>
        </w:rPr>
      </w:pPr>
      <w:r>
        <w:rPr>
          <w:rFonts w:ascii="Calibri" w:cs="Calibri" w:eastAsia="Calibri" w:hAnsi="Calibri"/>
          <w:sz w:val="11"/>
          <w:szCs w:val="11"/>
          <w:u w:val="single" w:color="auto"/>
          <w:color w:val="7A04DD"/>
        </w:rPr>
        <w:t>Table of Contents</w:t>
      </w:r>
    </w:p>
    <w:p>
      <w:pPr>
        <w:spacing w:after="0" w:line="196" w:lineRule="exact"/>
        <w:rPr>
          <w:sz w:val="20"/>
          <w:szCs w:val="20"/>
          <w:color w:val="auto"/>
        </w:rPr>
      </w:pPr>
    </w:p>
    <w:p>
      <w:pPr>
        <w:jc w:val="center"/>
        <w:spacing w:after="0"/>
        <w:rPr>
          <w:sz w:val="20"/>
          <w:szCs w:val="20"/>
          <w:color w:val="auto"/>
        </w:rPr>
      </w:pPr>
      <w:r>
        <w:rPr>
          <w:rFonts w:ascii="Calibri" w:cs="Calibri" w:eastAsia="Calibri" w:hAnsi="Calibri"/>
          <w:sz w:val="14"/>
          <w:szCs w:val="14"/>
          <w:b w:val="1"/>
          <w:bCs w:val="1"/>
          <w:color w:val="51555C"/>
        </w:rPr>
        <w:t>Blackbaud, Inc.</w:t>
      </w:r>
    </w:p>
    <w:p>
      <w:pPr>
        <w:jc w:val="center"/>
        <w:spacing w:after="0" w:line="238" w:lineRule="auto"/>
        <w:rPr>
          <w:sz w:val="20"/>
          <w:szCs w:val="20"/>
          <w:color w:val="auto"/>
        </w:rPr>
      </w:pPr>
      <w:r>
        <w:rPr>
          <w:rFonts w:ascii="Calibri" w:cs="Calibri" w:eastAsia="Calibri" w:hAnsi="Calibri"/>
          <w:sz w:val="14"/>
          <w:szCs w:val="14"/>
          <w:b w:val="1"/>
          <w:bCs w:val="1"/>
          <w:color w:val="51555C"/>
        </w:rPr>
        <w:t>(Unaudited)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Calibri" w:cs="Calibri" w:eastAsia="Calibri" w:hAnsi="Calibri"/>
          <w:sz w:val="14"/>
          <w:szCs w:val="14"/>
          <w:i w:val="1"/>
          <w:iCs w:val="1"/>
          <w:color w:val="51555C"/>
        </w:rPr>
        <w:t>Operatng leases</w:t>
      </w:r>
    </w:p>
    <w:p>
      <w:pPr>
        <w:spacing w:after="0" w:line="129" w:lineRule="exact"/>
        <w:rPr>
          <w:sz w:val="20"/>
          <w:szCs w:val="20"/>
          <w:color w:val="auto"/>
        </w:rPr>
      </w:pPr>
    </w:p>
    <w:p>
      <w:pPr>
        <w:jc w:val="both"/>
        <w:spacing w:after="0" w:line="237" w:lineRule="auto"/>
        <w:rPr>
          <w:sz w:val="20"/>
          <w:szCs w:val="20"/>
          <w:color w:val="auto"/>
        </w:rPr>
      </w:pPr>
      <w:r>
        <w:rPr>
          <w:rFonts w:ascii="Calibri" w:cs="Calibri" w:eastAsia="Calibri" w:hAnsi="Calibri"/>
          <w:sz w:val="14"/>
          <w:szCs w:val="14"/>
          <w:color w:val="51555C"/>
        </w:rPr>
        <w:t>As of June 30, 2024, we had remaining operatng lease payments of $48.7 million. These payments have not been reduced by sublease income, incentve payments, reimbursement of leasehold improvements or the amount representng imputed interest of $7.6 million. Our operatng leases are generally for corporate ofces, subleased ofces and certain equipment and furniture. Given our remote-frst workforce strategy and real estate footprint optmizaton eforts, as discussed above, we do not antcipate entering any new, material operatng leases for ofces for the foreseeable future. See Note 9 to our unaudited, condensed consolidated fnancial statements in this report for more informaton.</w:t>
      </w:r>
    </w:p>
    <w:p>
      <w:pPr>
        <w:spacing w:after="0" w:line="128" w:lineRule="exact"/>
        <w:rPr>
          <w:sz w:val="20"/>
          <w:szCs w:val="20"/>
          <w:color w:val="auto"/>
        </w:rPr>
      </w:pPr>
    </w:p>
    <w:p>
      <w:pPr>
        <w:spacing w:after="0"/>
        <w:rPr>
          <w:sz w:val="20"/>
          <w:szCs w:val="20"/>
          <w:color w:val="auto"/>
        </w:rPr>
      </w:pPr>
      <w:r>
        <w:rPr>
          <w:rFonts w:ascii="Calibri" w:cs="Calibri" w:eastAsia="Calibri" w:hAnsi="Calibri"/>
          <w:sz w:val="14"/>
          <w:szCs w:val="14"/>
          <w:i w:val="1"/>
          <w:iCs w:val="1"/>
          <w:color w:val="51555C"/>
        </w:rPr>
        <w:t>Purchase obligatons</w:t>
      </w:r>
    </w:p>
    <w:p>
      <w:pPr>
        <w:spacing w:after="0" w:line="129" w:lineRule="exact"/>
        <w:rPr>
          <w:sz w:val="20"/>
          <w:szCs w:val="20"/>
          <w:color w:val="auto"/>
        </w:rPr>
      </w:pPr>
    </w:p>
    <w:p>
      <w:pPr>
        <w:jc w:val="both"/>
        <w:spacing w:after="0" w:line="237" w:lineRule="auto"/>
        <w:rPr>
          <w:sz w:val="20"/>
          <w:szCs w:val="20"/>
          <w:color w:val="auto"/>
        </w:rPr>
      </w:pPr>
      <w:r>
        <w:rPr>
          <w:rFonts w:ascii="Calibri" w:cs="Calibri" w:eastAsia="Calibri" w:hAnsi="Calibri"/>
          <w:sz w:val="14"/>
          <w:szCs w:val="14"/>
          <w:color w:val="51555C"/>
        </w:rPr>
        <w:t>As of June 30, 2024, we had remaining purchase obligatons of $228.0 million. These purchase obligatons are for third-party technology used in our solutons and for other services we purchase as part of our normal operatons. In certain cases, these arrangements require a minimum annual purchase commitment by us. Our purchase obligatons are not recorded as liabilites on our unaudited, condensed consolidated balance sheets as of June 30, 2024, as we had not received the related services. See Note 9 to our unaudited, condensed consolidated fnancial statements in this report for more informaton.</w:t>
      </w:r>
    </w:p>
    <w:p>
      <w:pPr>
        <w:spacing w:after="0" w:line="131" w:lineRule="exact"/>
        <w:rPr>
          <w:sz w:val="20"/>
          <w:szCs w:val="20"/>
          <w:color w:val="auto"/>
        </w:rPr>
      </w:pPr>
    </w:p>
    <w:p>
      <w:pPr>
        <w:spacing w:after="0"/>
        <w:rPr>
          <w:sz w:val="20"/>
          <w:szCs w:val="20"/>
          <w:color w:val="auto"/>
        </w:rPr>
      </w:pPr>
      <w:r>
        <w:rPr>
          <w:rFonts w:ascii="Calibri" w:cs="Calibri" w:eastAsia="Calibri" w:hAnsi="Calibri"/>
          <w:sz w:val="13"/>
          <w:szCs w:val="13"/>
          <w:color w:val="51555C"/>
        </w:rPr>
        <w:t>The total liability for uncertain tax positons as of June 30, 2024 was $3.7 million. Our accrued interest and penaltes related to tax positons taken on our tax returns was insignifcant as of June 30, 2024.</w:t>
      </w:r>
    </w:p>
    <w:p>
      <w:pPr>
        <w:spacing w:after="0" w:line="138" w:lineRule="exact"/>
        <w:rPr>
          <w:sz w:val="20"/>
          <w:szCs w:val="20"/>
          <w:color w:val="auto"/>
        </w:rPr>
      </w:pPr>
    </w:p>
    <w:p>
      <w:pPr>
        <w:jc w:val="both"/>
        <w:spacing w:after="0" w:line="237" w:lineRule="auto"/>
        <w:rPr>
          <w:sz w:val="20"/>
          <w:szCs w:val="20"/>
          <w:color w:val="auto"/>
        </w:rPr>
      </w:pPr>
      <w:r>
        <w:rPr>
          <w:rFonts w:ascii="Calibri" w:cs="Calibri" w:eastAsia="Calibri" w:hAnsi="Calibri"/>
          <w:sz w:val="14"/>
          <w:szCs w:val="14"/>
          <w:color w:val="51555C"/>
        </w:rPr>
        <w:t>In connecton with the setlement of the mult-state Atorneys General investgaton, the California Atorney General investgaton and the FTC investgaton relatng to the Security Incident, as discussed in Note 11 to our audited consolidated fnancial statements contained in our Annual Report on Form 10-K fled with the SEC on February 21, 2024, we have agreed to implement and improve certain of our cybersecurity programs and tools through May 2044. The currently antcipated costs in connecton with these eforts are expected to be expensed as incurred.</w:t>
      </w:r>
    </w:p>
    <w:p>
      <w:pPr>
        <w:spacing w:after="0" w:line="205" w:lineRule="exact"/>
        <w:rPr>
          <w:sz w:val="20"/>
          <w:szCs w:val="20"/>
          <w:color w:val="auto"/>
        </w:rPr>
      </w:pPr>
    </w:p>
    <w:p>
      <w:pPr>
        <w:ind w:left="20"/>
        <w:spacing w:after="0"/>
        <w:rPr>
          <w:sz w:val="20"/>
          <w:szCs w:val="20"/>
          <w:color w:val="auto"/>
        </w:rPr>
      </w:pPr>
      <w:r>
        <w:rPr>
          <w:rFonts w:ascii="Calibri" w:cs="Calibri" w:eastAsia="Calibri" w:hAnsi="Calibri"/>
          <w:sz w:val="17"/>
          <w:szCs w:val="17"/>
          <w:b w:val="1"/>
          <w:bCs w:val="1"/>
          <w:color w:val="006880"/>
        </w:rPr>
        <w:t>Foreign Currency Exchange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27305</wp:posOffset>
            </wp:positionV>
            <wp:extent cx="7161530" cy="698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18" w:lineRule="exact"/>
        <w:rPr>
          <w:sz w:val="20"/>
          <w:szCs w:val="20"/>
          <w:color w:val="auto"/>
        </w:rPr>
      </w:pPr>
    </w:p>
    <w:p>
      <w:pPr>
        <w:jc w:val="both"/>
        <w:spacing w:after="0" w:line="238" w:lineRule="auto"/>
        <w:rPr>
          <w:sz w:val="20"/>
          <w:szCs w:val="20"/>
          <w:color w:val="auto"/>
        </w:rPr>
      </w:pPr>
      <w:r>
        <w:rPr>
          <w:rFonts w:ascii="Calibri" w:cs="Calibri" w:eastAsia="Calibri" w:hAnsi="Calibri"/>
          <w:sz w:val="14"/>
          <w:szCs w:val="14"/>
          <w:color w:val="51555C"/>
        </w:rPr>
        <w:t>Approximately 15% of our total revenue for the six months ended June 30, 2024 was generated from operatons outside the U.S. We do not have signifcant operatons in countries in which the economy is considered to be highly infatonary. Our consolidated fnancial statements are denominated in U.S. dollars and, accordingly, changes in the exchange rate between foreign currencies and the U.S. dollar will afect the translaton of our subsidiaries’ fnancial results into U.S. dollars for purposes of reportng our consolidated fnancial results. The accumulated currency translaton adjustment, recorded within accumulated other comprehensive income (loss) as a component of stockholders’ equity, was a loss of $10.7 million as of June 30, 2024 and a loss of $9.8 million as of December 31, 2023. We have entered into foreign currency forward contracts to hedge a porton of the foreign currency exposure that arises on translaton of our investments denominated in Britsh Pounds into U.S. dollars.</w:t>
      </w:r>
    </w:p>
    <w:p>
      <w:pPr>
        <w:spacing w:after="0" w:line="129" w:lineRule="exact"/>
        <w:rPr>
          <w:sz w:val="20"/>
          <w:szCs w:val="20"/>
          <w:color w:val="auto"/>
        </w:rPr>
      </w:pPr>
    </w:p>
    <w:p>
      <w:pPr>
        <w:jc w:val="both"/>
        <w:spacing w:after="0" w:line="238" w:lineRule="auto"/>
        <w:rPr>
          <w:sz w:val="20"/>
          <w:szCs w:val="20"/>
          <w:color w:val="auto"/>
        </w:rPr>
      </w:pPr>
      <w:r>
        <w:rPr>
          <w:rFonts w:ascii="Calibri" w:cs="Calibri" w:eastAsia="Calibri" w:hAnsi="Calibri"/>
          <w:sz w:val="14"/>
          <w:szCs w:val="14"/>
          <w:color w:val="51555C"/>
        </w:rPr>
        <w:t>The vast majority of our contracts are entered into by our U.S. or U.K. enttes. The contracts entered into by the U.S. entty are almost always denominated in U.S. dollars or Canadian dollars, and contracts entered into by our U.K., Australian and Irish subsidiaries are generally denominated in Britsh Pounds, Australian dollars and Euros, respectvely. Historically, as the U.S. dollar weakened, foreign currency translaton resulted in an increase in our revenues and expenses denominated in non-U.S. currencies. Conversely, as the U.S. dollar strengthened, foreign currency translaton resulted in a decrease in our revenue and expenses denominated in non-U.S. currencies. During the six months ended June 30, 2024, foreign translaton resulted in increases in our revenues and expenses denominated in non-U.S. currencies. Though we have exposure to fuctuatons in currency exchange rates, primarily those between the U.S. dollar and both the Britsh Pound and Canadian dollar, the impact has generally not been material to our consolidated results of operatons or fnancial positon. For the six months ended June 30, 2024, the fuctuaton in foreign currency exchange rates increased our total revenue and our income from operatons by $1.1 million and an insignifcant amount, respectvely. We have entered into foreign currency forward contracts to hedge revenues denominated in the Canadian dollar against changes in the exchange rate with the U.S. dollar. We will contnue monitoring such exposure and take acton as appropriate. To determine the impacts on revenue (or income from operatons) from fuctuatons in currency exchange rates, current period revenues (or income from operatons) from enttes reportng in foreign currencies were translated into U.S. dollars using the comparable prior year period's weighted average foreign currency exchange rates. These impacts are non-GAAP fnancial informaton and are not in accordance with, or an alternatve to, informaton prepared in accordance with GAAP.</w:t>
      </w:r>
    </w:p>
    <w:p>
      <w:pPr>
        <w:spacing w:after="0" w:line="267" w:lineRule="exact"/>
        <w:rPr>
          <w:sz w:val="20"/>
          <w:szCs w:val="20"/>
          <w:color w:val="auto"/>
        </w:rPr>
      </w:pPr>
    </w:p>
    <w:p>
      <w:pPr>
        <w:ind w:left="20"/>
        <w:spacing w:after="0"/>
        <w:tabs>
          <w:tab w:leader="none" w:pos="589" w:val="left"/>
        </w:tabs>
        <w:rPr>
          <w:sz w:val="20"/>
          <w:szCs w:val="20"/>
          <w:color w:val="auto"/>
        </w:rPr>
      </w:pPr>
      <w:r>
        <w:rPr>
          <w:rFonts w:ascii="Calibri" w:cs="Calibri" w:eastAsia="Calibri" w:hAnsi="Calibri"/>
          <w:sz w:val="11"/>
          <w:szCs w:val="11"/>
          <w:color w:val="51555C"/>
        </w:rPr>
        <w:t>48</w:t>
      </w:r>
      <w:r>
        <w:rPr>
          <w:sz w:val="20"/>
          <w:szCs w:val="20"/>
          <w:color w:val="auto"/>
        </w:rPr>
        <w:tab/>
      </w:r>
      <w:r>
        <w:rPr>
          <w:sz w:val="1"/>
          <w:szCs w:val="1"/>
          <w:color w:val="auto"/>
        </w:rPr>
        <w:drawing>
          <wp:inline distT="0" distB="0" distL="0" distR="0">
            <wp:extent cx="511810" cy="134620"/>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1810" cy="134620"/>
                    </a:xfrm>
                    <a:prstGeom prst="rect">
                      <a:avLst/>
                    </a:prstGeom>
                    <a:noFill/>
                    <a:ln>
                      <a:noFill/>
                    </a:ln>
                  </pic:spPr>
                </pic:pic>
              </a:graphicData>
            </a:graphic>
          </wp:inline>
        </w:drawing>
      </w:r>
      <w:r>
        <w:rPr>
          <w:rFonts w:ascii="Calibri" w:cs="Calibri" w:eastAsia="Calibri" w:hAnsi="Calibri"/>
          <w:sz w:val="11"/>
          <w:szCs w:val="11"/>
          <w:color w:val="51555C"/>
        </w:rPr>
        <w:t xml:space="preserve">    Second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135255</wp:posOffset>
            </wp:positionV>
            <wp:extent cx="7186930"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49" w:name="page50"/>
    <w:bookmarkEnd w:id="49"/>
    <w:p>
      <w:pPr>
        <w:spacing w:after="0"/>
        <w:rPr>
          <w:sz w:val="20"/>
          <w:szCs w:val="20"/>
          <w:color w:val="auto"/>
        </w:rPr>
      </w:pPr>
      <w:r>
        <w:rPr>
          <w:rFonts w:ascii="Calibri" w:cs="Calibri" w:eastAsia="Calibri" w:hAnsi="Calibri"/>
          <w:sz w:val="11"/>
          <w:szCs w:val="11"/>
          <w:u w:val="single" w:color="auto"/>
          <w:color w:val="7A04DD"/>
        </w:rPr>
        <w:t>Table of Contents</w:t>
      </w:r>
    </w:p>
    <w:p>
      <w:pPr>
        <w:spacing w:after="0" w:line="196" w:lineRule="exact"/>
        <w:rPr>
          <w:sz w:val="20"/>
          <w:szCs w:val="20"/>
          <w:color w:val="auto"/>
        </w:rPr>
      </w:pPr>
    </w:p>
    <w:p>
      <w:pPr>
        <w:jc w:val="center"/>
        <w:spacing w:after="0"/>
        <w:rPr>
          <w:sz w:val="20"/>
          <w:szCs w:val="20"/>
          <w:color w:val="auto"/>
        </w:rPr>
      </w:pPr>
      <w:r>
        <w:rPr>
          <w:rFonts w:ascii="Calibri" w:cs="Calibri" w:eastAsia="Calibri" w:hAnsi="Calibri"/>
          <w:sz w:val="14"/>
          <w:szCs w:val="14"/>
          <w:b w:val="1"/>
          <w:bCs w:val="1"/>
          <w:color w:val="51555C"/>
        </w:rPr>
        <w:t>Blackbaud, Inc.</w:t>
      </w:r>
    </w:p>
    <w:p>
      <w:pPr>
        <w:jc w:val="center"/>
        <w:spacing w:after="0" w:line="238" w:lineRule="auto"/>
        <w:rPr>
          <w:sz w:val="20"/>
          <w:szCs w:val="20"/>
          <w:color w:val="auto"/>
        </w:rPr>
      </w:pPr>
      <w:r>
        <w:rPr>
          <w:rFonts w:ascii="Calibri" w:cs="Calibri" w:eastAsia="Calibri" w:hAnsi="Calibri"/>
          <w:sz w:val="14"/>
          <w:szCs w:val="14"/>
          <w:b w:val="1"/>
          <w:bCs w:val="1"/>
          <w:color w:val="51555C"/>
        </w:rPr>
        <w:t>(Unaudited)</w:t>
      </w:r>
    </w:p>
    <w:p>
      <w:pPr>
        <w:spacing w:after="0" w:line="200" w:lineRule="exact"/>
        <w:rPr>
          <w:sz w:val="20"/>
          <w:szCs w:val="20"/>
          <w:color w:val="auto"/>
        </w:rPr>
      </w:pPr>
    </w:p>
    <w:p>
      <w:pPr>
        <w:spacing w:after="0" w:line="354" w:lineRule="exact"/>
        <w:rPr>
          <w:sz w:val="20"/>
          <w:szCs w:val="20"/>
          <w:color w:val="auto"/>
        </w:rPr>
      </w:pPr>
    </w:p>
    <w:p>
      <w:pPr>
        <w:ind w:left="20"/>
        <w:spacing w:after="0"/>
        <w:rPr>
          <w:sz w:val="20"/>
          <w:szCs w:val="20"/>
          <w:color w:val="auto"/>
        </w:rPr>
      </w:pPr>
      <w:r>
        <w:rPr>
          <w:rFonts w:ascii="Calibri" w:cs="Calibri" w:eastAsia="Calibri" w:hAnsi="Calibri"/>
          <w:sz w:val="17"/>
          <w:szCs w:val="17"/>
          <w:b w:val="1"/>
          <w:bCs w:val="1"/>
          <w:color w:val="006880"/>
        </w:rPr>
        <w:t>Critcal Accountng Policies and Estmates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27305</wp:posOffset>
            </wp:positionV>
            <wp:extent cx="7161530" cy="698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18" w:lineRule="exact"/>
        <w:rPr>
          <w:sz w:val="20"/>
          <w:szCs w:val="20"/>
          <w:color w:val="auto"/>
        </w:rPr>
      </w:pPr>
    </w:p>
    <w:p>
      <w:pPr>
        <w:jc w:val="both"/>
        <w:spacing w:after="0" w:line="237" w:lineRule="auto"/>
        <w:rPr>
          <w:sz w:val="20"/>
          <w:szCs w:val="20"/>
          <w:color w:val="auto"/>
        </w:rPr>
      </w:pPr>
      <w:r>
        <w:rPr>
          <w:rFonts w:ascii="Calibri" w:cs="Calibri" w:eastAsia="Calibri" w:hAnsi="Calibri"/>
          <w:sz w:val="14"/>
          <w:szCs w:val="14"/>
          <w:color w:val="51555C"/>
        </w:rPr>
        <w:t>There have been no signifcant changes in our critcal accountng policies and estmates during the six months ended June 30, 2024 as compared to those disclosed in “Management’s Discussion and Analysis of Financial Conditon and Results of Operatons” included in our Annual Report on Form 10-K for the fscal year ended December 31, 2023.</w:t>
      </w:r>
    </w:p>
    <w:p>
      <w:pPr>
        <w:spacing w:after="0" w:line="204" w:lineRule="exact"/>
        <w:rPr>
          <w:sz w:val="20"/>
          <w:szCs w:val="20"/>
          <w:color w:val="auto"/>
        </w:rPr>
      </w:pPr>
    </w:p>
    <w:p>
      <w:pPr>
        <w:ind w:left="20"/>
        <w:spacing w:after="0"/>
        <w:rPr>
          <w:sz w:val="20"/>
          <w:szCs w:val="20"/>
          <w:color w:val="auto"/>
        </w:rPr>
      </w:pPr>
      <w:r>
        <w:rPr>
          <w:rFonts w:ascii="Calibri" w:cs="Calibri" w:eastAsia="Calibri" w:hAnsi="Calibri"/>
          <w:sz w:val="17"/>
          <w:szCs w:val="17"/>
          <w:b w:val="1"/>
          <w:bCs w:val="1"/>
          <w:color w:val="006880"/>
        </w:rPr>
        <w:t>Recently Issued Accountng Pronouncements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27305</wp:posOffset>
            </wp:positionV>
            <wp:extent cx="7161530" cy="698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7" w:lineRule="exact"/>
        <w:rPr>
          <w:sz w:val="20"/>
          <w:szCs w:val="20"/>
          <w:color w:val="auto"/>
        </w:rPr>
      </w:pPr>
    </w:p>
    <w:p>
      <w:pPr>
        <w:jc w:val="both"/>
        <w:spacing w:after="0" w:line="237" w:lineRule="auto"/>
        <w:rPr>
          <w:sz w:val="20"/>
          <w:szCs w:val="20"/>
          <w:color w:val="auto"/>
        </w:rPr>
      </w:pPr>
      <w:r>
        <w:rPr>
          <w:rFonts w:ascii="Calibri" w:cs="Calibri" w:eastAsia="Calibri" w:hAnsi="Calibri"/>
          <w:sz w:val="14"/>
          <w:szCs w:val="14"/>
          <w:color w:val="51555C"/>
        </w:rPr>
        <w:t>For a discussion of the impact that recently issued accountng pronouncements are expected to have on our fnancial positon and results of operatons when adopted in the future, see Note 2 to our unaudited, condensed consolidated fnancial statements in this report.</w:t>
      </w:r>
    </w:p>
    <w:p>
      <w:pPr>
        <w:spacing w:after="0" w:line="198" w:lineRule="exact"/>
        <w:rPr>
          <w:sz w:val="20"/>
          <w:szCs w:val="20"/>
          <w:color w:val="auto"/>
        </w:rPr>
      </w:pPr>
    </w:p>
    <w:p>
      <w:pPr>
        <w:spacing w:after="0"/>
        <w:rPr>
          <w:sz w:val="20"/>
          <w:szCs w:val="20"/>
          <w:color w:val="auto"/>
        </w:rPr>
      </w:pPr>
      <w:r>
        <w:rPr>
          <w:rFonts w:ascii="Calibri" w:cs="Calibri" w:eastAsia="Calibri" w:hAnsi="Calibri"/>
          <w:sz w:val="23"/>
          <w:szCs w:val="23"/>
          <w:b w:val="1"/>
          <w:bCs w:val="1"/>
          <w:color w:val="004054"/>
        </w:rPr>
        <w:t>ITEM 3. QUANTITATIVE AND QUALITATIVE DISCLOSURES ABOUT MARKET RISK</w:t>
      </w:r>
    </w:p>
    <w:p>
      <w:pPr>
        <w:spacing w:after="0" w:line="136" w:lineRule="exact"/>
        <w:rPr>
          <w:sz w:val="20"/>
          <w:szCs w:val="20"/>
          <w:color w:val="auto"/>
        </w:rPr>
      </w:pPr>
    </w:p>
    <w:p>
      <w:pPr>
        <w:spacing w:after="0"/>
        <w:rPr>
          <w:sz w:val="20"/>
          <w:szCs w:val="20"/>
          <w:color w:val="auto"/>
        </w:rPr>
      </w:pPr>
      <w:r>
        <w:rPr>
          <w:rFonts w:ascii="Calibri" w:cs="Calibri" w:eastAsia="Calibri" w:hAnsi="Calibri"/>
          <w:sz w:val="14"/>
          <w:szCs w:val="14"/>
          <w:color w:val="51555C"/>
        </w:rPr>
        <w:t>We have market rate sensitvity for interest rates and foreign currency exchange rates.</w:t>
      </w:r>
    </w:p>
    <w:p>
      <w:pPr>
        <w:spacing w:after="0" w:line="204" w:lineRule="exact"/>
        <w:rPr>
          <w:sz w:val="20"/>
          <w:szCs w:val="20"/>
          <w:color w:val="auto"/>
        </w:rPr>
      </w:pPr>
    </w:p>
    <w:p>
      <w:pPr>
        <w:ind w:left="20"/>
        <w:spacing w:after="0"/>
        <w:rPr>
          <w:sz w:val="20"/>
          <w:szCs w:val="20"/>
          <w:color w:val="auto"/>
        </w:rPr>
      </w:pPr>
      <w:r>
        <w:rPr>
          <w:rFonts w:ascii="Calibri" w:cs="Calibri" w:eastAsia="Calibri" w:hAnsi="Calibri"/>
          <w:sz w:val="17"/>
          <w:szCs w:val="17"/>
          <w:b w:val="1"/>
          <w:bCs w:val="1"/>
          <w:color w:val="006880"/>
        </w:rPr>
        <w:t>Interest Rate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27305</wp:posOffset>
            </wp:positionV>
            <wp:extent cx="7161530" cy="698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18" w:lineRule="exact"/>
        <w:rPr>
          <w:sz w:val="20"/>
          <w:szCs w:val="20"/>
          <w:color w:val="auto"/>
        </w:rPr>
      </w:pPr>
    </w:p>
    <w:p>
      <w:pPr>
        <w:jc w:val="both"/>
        <w:spacing w:after="0" w:line="237" w:lineRule="auto"/>
        <w:rPr>
          <w:sz w:val="20"/>
          <w:szCs w:val="20"/>
          <w:color w:val="auto"/>
        </w:rPr>
      </w:pPr>
      <w:r>
        <w:rPr>
          <w:rFonts w:ascii="Calibri" w:cs="Calibri" w:eastAsia="Calibri" w:hAnsi="Calibri"/>
          <w:sz w:val="14"/>
          <w:szCs w:val="14"/>
          <w:color w:val="51555C"/>
        </w:rPr>
        <w:t>Our variable rate debt is our primary fnancial instrument with market risk exposure for changing interest rates. We manage our variable rate interest rate risk through a combinaton of short-term and long-term borrowings and the use of derivatve instruments entered into for hedging purposes. Our interest rate exposure includes SOFR rates. Due to the nature of our debt, the materiality of the fair values of the derivatve instruments and the highly liquid, short-term nature and level of our cash and cash equivalents as of June 30, 2024, we believe that the risk of exposure to changing interest rates for those positons is immaterial. There were no signifcant changes in how we manage interest rate risk between December 31, 2023 and June 30, 2024.</w:t>
      </w:r>
    </w:p>
    <w:p>
      <w:pPr>
        <w:spacing w:after="0" w:line="206" w:lineRule="exact"/>
        <w:rPr>
          <w:sz w:val="20"/>
          <w:szCs w:val="20"/>
          <w:color w:val="auto"/>
        </w:rPr>
      </w:pPr>
    </w:p>
    <w:p>
      <w:pPr>
        <w:ind w:left="20"/>
        <w:spacing w:after="0"/>
        <w:rPr>
          <w:sz w:val="20"/>
          <w:szCs w:val="20"/>
          <w:color w:val="auto"/>
        </w:rPr>
      </w:pPr>
      <w:r>
        <w:rPr>
          <w:rFonts w:ascii="Calibri" w:cs="Calibri" w:eastAsia="Calibri" w:hAnsi="Calibri"/>
          <w:sz w:val="17"/>
          <w:szCs w:val="17"/>
          <w:b w:val="1"/>
          <w:bCs w:val="1"/>
          <w:color w:val="006880"/>
        </w:rPr>
        <w:t>Foreign Currency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27305</wp:posOffset>
            </wp:positionV>
            <wp:extent cx="7161530" cy="698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7" w:lineRule="exact"/>
        <w:rPr>
          <w:sz w:val="20"/>
          <w:szCs w:val="20"/>
          <w:color w:val="auto"/>
        </w:rPr>
      </w:pPr>
    </w:p>
    <w:p>
      <w:pPr>
        <w:jc w:val="both"/>
        <w:spacing w:after="0" w:line="237" w:lineRule="auto"/>
        <w:rPr>
          <w:sz w:val="20"/>
          <w:szCs w:val="20"/>
          <w:color w:val="auto"/>
        </w:rPr>
      </w:pPr>
      <w:r>
        <w:rPr>
          <w:rFonts w:ascii="Calibri" w:cs="Calibri" w:eastAsia="Calibri" w:hAnsi="Calibri"/>
          <w:sz w:val="14"/>
          <w:szCs w:val="14"/>
          <w:color w:val="51555C"/>
        </w:rPr>
        <w:t>For a discussion of our exposure to foreign currency exchange rate fuctuatons, see “Management’s Discussion and Analysis of Financial Conditon and Results of Operatons — Foreign Currency Exchange Rates” in this report.</w:t>
      </w:r>
    </w:p>
    <w:p>
      <w:pPr>
        <w:spacing w:after="0" w:line="198" w:lineRule="exact"/>
        <w:rPr>
          <w:sz w:val="20"/>
          <w:szCs w:val="20"/>
          <w:color w:val="auto"/>
        </w:rPr>
      </w:pPr>
    </w:p>
    <w:p>
      <w:pPr>
        <w:spacing w:after="0"/>
        <w:rPr>
          <w:sz w:val="20"/>
          <w:szCs w:val="20"/>
          <w:color w:val="auto"/>
        </w:rPr>
      </w:pPr>
      <w:r>
        <w:rPr>
          <w:rFonts w:ascii="Calibri" w:cs="Calibri" w:eastAsia="Calibri" w:hAnsi="Calibri"/>
          <w:sz w:val="23"/>
          <w:szCs w:val="23"/>
          <w:b w:val="1"/>
          <w:bCs w:val="1"/>
          <w:color w:val="004054"/>
        </w:rPr>
        <w:t>ITEM 4. CONTROLS AND PROCEDURES</w:t>
      </w:r>
    </w:p>
    <w:p>
      <w:pPr>
        <w:spacing w:after="0" w:line="213" w:lineRule="exact"/>
        <w:rPr>
          <w:sz w:val="20"/>
          <w:szCs w:val="20"/>
          <w:color w:val="auto"/>
        </w:rPr>
      </w:pPr>
    </w:p>
    <w:p>
      <w:pPr>
        <w:ind w:left="20"/>
        <w:spacing w:after="0"/>
        <w:rPr>
          <w:sz w:val="20"/>
          <w:szCs w:val="20"/>
          <w:color w:val="auto"/>
        </w:rPr>
      </w:pPr>
      <w:r>
        <w:rPr>
          <w:rFonts w:ascii="Calibri" w:cs="Calibri" w:eastAsia="Calibri" w:hAnsi="Calibri"/>
          <w:sz w:val="17"/>
          <w:szCs w:val="17"/>
          <w:b w:val="1"/>
          <w:bCs w:val="1"/>
          <w:color w:val="006880"/>
        </w:rPr>
        <w:t>Evaluaton of Disclosure 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27305</wp:posOffset>
            </wp:positionV>
            <wp:extent cx="7161530" cy="698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7" w:lineRule="exact"/>
        <w:rPr>
          <w:sz w:val="20"/>
          <w:szCs w:val="20"/>
          <w:color w:val="auto"/>
        </w:rPr>
      </w:pPr>
    </w:p>
    <w:p>
      <w:pPr>
        <w:jc w:val="both"/>
        <w:spacing w:after="0" w:line="237" w:lineRule="auto"/>
        <w:rPr>
          <w:sz w:val="20"/>
          <w:szCs w:val="20"/>
          <w:color w:val="auto"/>
        </w:rPr>
      </w:pPr>
      <w:r>
        <w:rPr>
          <w:rFonts w:ascii="Calibri" w:cs="Calibri" w:eastAsia="Calibri" w:hAnsi="Calibri"/>
          <w:sz w:val="14"/>
          <w:szCs w:val="14"/>
          <w:color w:val="51555C"/>
        </w:rPr>
        <w:t>Disclosure controls and procedures (as defned in Securites Exchange Act Rule 13a-15(e) and 15d-15(e)) are designed only to provide reasonable assurance that they will meet their objectves. As of the end of the period covered by this report, we carried out an evaluaton, under the supervision and with the partcipaton of our management, including our Chief Executve Ofcer (principal executve ofcer) and Chief Financial Ofcer (principal fnancial and accountng ofcer), of the efectveness of our disclosure controls and procedures (as defned in Rule 13a-15(e) and 15d-15(e)) pursuant to Securites Exchange Act Rule 13a-15(b). Based upon that evaluaton, our Chief Executve Ofcer and Chief Financial Ofcer have concluded that our disclosure controls and procedures are efectve to provide the reasonable assurance discussed above.</w:t>
      </w:r>
    </w:p>
    <w:p>
      <w:pPr>
        <w:spacing w:after="0" w:line="207" w:lineRule="exact"/>
        <w:rPr>
          <w:sz w:val="20"/>
          <w:szCs w:val="20"/>
          <w:color w:val="auto"/>
        </w:rPr>
      </w:pPr>
    </w:p>
    <w:p>
      <w:pPr>
        <w:ind w:left="20"/>
        <w:spacing w:after="0"/>
        <w:rPr>
          <w:sz w:val="20"/>
          <w:szCs w:val="20"/>
          <w:color w:val="auto"/>
        </w:rPr>
      </w:pPr>
      <w:r>
        <w:rPr>
          <w:rFonts w:ascii="Calibri" w:cs="Calibri" w:eastAsia="Calibri" w:hAnsi="Calibri"/>
          <w:sz w:val="17"/>
          <w:szCs w:val="17"/>
          <w:b w:val="1"/>
          <w:bCs w:val="1"/>
          <w:color w:val="006880"/>
        </w:rPr>
        <w:t>Changes in Internal Control Over Financial Reportng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27305</wp:posOffset>
            </wp:positionV>
            <wp:extent cx="7161530" cy="698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18" w:lineRule="exact"/>
        <w:rPr>
          <w:sz w:val="20"/>
          <w:szCs w:val="20"/>
          <w:color w:val="auto"/>
        </w:rPr>
      </w:pPr>
    </w:p>
    <w:p>
      <w:pPr>
        <w:jc w:val="both"/>
        <w:spacing w:after="0" w:line="237" w:lineRule="auto"/>
        <w:rPr>
          <w:sz w:val="20"/>
          <w:szCs w:val="20"/>
          <w:color w:val="auto"/>
        </w:rPr>
      </w:pPr>
      <w:r>
        <w:rPr>
          <w:rFonts w:ascii="Calibri" w:cs="Calibri" w:eastAsia="Calibri" w:hAnsi="Calibri"/>
          <w:sz w:val="14"/>
          <w:szCs w:val="14"/>
          <w:color w:val="51555C"/>
        </w:rPr>
        <w:t>No changes in internal control over fnancial reportng occurred during the most recent fscal quarter ended June 30, 2024 with respect to our operatons, which have materially afected, or are reasonably likely to materially afect, our internal control over fnancial reportng.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6268720</wp:posOffset>
            </wp:positionH>
            <wp:positionV relativeFrom="paragraph">
              <wp:posOffset>187325</wp:posOffset>
            </wp:positionV>
            <wp:extent cx="518795" cy="1346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18795" cy="134620"/>
                    </a:xfrm>
                    <a:prstGeom prst="rect">
                      <a:avLst/>
                    </a:prstGeom>
                    <a:noFill/>
                  </pic:spPr>
                </pic:pic>
              </a:graphicData>
            </a:graphic>
          </wp:anchor>
        </w:drawing>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0400" w:type="dxa"/>
            <w:vAlign w:val="bottom"/>
          </w:tcPr>
          <w:p>
            <w:pPr>
              <w:ind w:left="8160"/>
              <w:spacing w:after="0"/>
              <w:rPr>
                <w:sz w:val="20"/>
                <w:szCs w:val="20"/>
                <w:color w:val="auto"/>
              </w:rPr>
            </w:pPr>
            <w:r>
              <w:rPr>
                <w:rFonts w:ascii="Calibri" w:cs="Calibri" w:eastAsia="Calibri" w:hAnsi="Calibri"/>
                <w:sz w:val="11"/>
                <w:szCs w:val="11"/>
                <w:color w:val="51555C"/>
              </w:rPr>
              <w:t>Second Quarter 2024 Form 10-Q</w:t>
            </w:r>
          </w:p>
        </w:tc>
        <w:tc>
          <w:tcPr>
            <w:tcW w:w="880" w:type="dxa"/>
            <w:vAlign w:val="bottom"/>
          </w:tcPr>
          <w:p>
            <w:pPr>
              <w:jc w:val="right"/>
              <w:spacing w:after="0"/>
              <w:rPr>
                <w:sz w:val="20"/>
                <w:szCs w:val="20"/>
                <w:color w:val="auto"/>
              </w:rPr>
            </w:pPr>
            <w:r>
              <w:rPr>
                <w:rFonts w:ascii="Calibri" w:cs="Calibri" w:eastAsia="Calibri" w:hAnsi="Calibri"/>
                <w:sz w:val="11"/>
                <w:szCs w:val="11"/>
                <w:color w:val="51555C"/>
              </w:rPr>
              <w:t>49</w:t>
            </w:r>
          </w:p>
        </w:tc>
      </w:tr>
      <w:tr>
        <w:trPr>
          <w:trHeight w:val="281"/>
        </w:trPr>
        <w:tc>
          <w:tcPr>
            <w:tcW w:w="104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50" w:name="page51"/>
    <w:bookmarkEnd w:id="50"/>
    <w:p>
      <w:pPr>
        <w:spacing w:after="0"/>
        <w:rPr>
          <w:sz w:val="20"/>
          <w:szCs w:val="20"/>
          <w:color w:val="auto"/>
        </w:rPr>
      </w:pPr>
      <w:r>
        <w:rPr>
          <w:rFonts w:ascii="Calibri" w:cs="Calibri" w:eastAsia="Calibri" w:hAnsi="Calibri"/>
          <w:sz w:val="11"/>
          <w:szCs w:val="11"/>
          <w:u w:val="single" w:color="auto"/>
          <w:color w:val="7A04DD"/>
        </w:rPr>
        <w:t>Table of Contents</w:t>
      </w:r>
    </w:p>
    <w:p>
      <w:pPr>
        <w:spacing w:after="0" w:line="196" w:lineRule="exact"/>
        <w:rPr>
          <w:sz w:val="20"/>
          <w:szCs w:val="20"/>
          <w:color w:val="auto"/>
        </w:rPr>
      </w:pPr>
    </w:p>
    <w:p>
      <w:pPr>
        <w:jc w:val="center"/>
        <w:spacing w:after="0"/>
        <w:rPr>
          <w:sz w:val="20"/>
          <w:szCs w:val="20"/>
          <w:color w:val="auto"/>
        </w:rPr>
      </w:pPr>
      <w:r>
        <w:rPr>
          <w:rFonts w:ascii="Calibri" w:cs="Calibri" w:eastAsia="Calibri" w:hAnsi="Calibri"/>
          <w:sz w:val="14"/>
          <w:szCs w:val="14"/>
          <w:b w:val="1"/>
          <w:bCs w:val="1"/>
          <w:color w:val="51555C"/>
        </w:rPr>
        <w:t>Blackbaud, Inc.</w:t>
      </w:r>
    </w:p>
    <w:p>
      <w:pPr>
        <w:spacing w:after="0" w:line="200" w:lineRule="exact"/>
        <w:rPr>
          <w:sz w:val="20"/>
          <w:szCs w:val="20"/>
          <w:color w:val="auto"/>
        </w:rPr>
      </w:pPr>
    </w:p>
    <w:p>
      <w:pPr>
        <w:spacing w:after="0" w:line="344" w:lineRule="exact"/>
        <w:rPr>
          <w:sz w:val="20"/>
          <w:szCs w:val="20"/>
          <w:color w:val="auto"/>
        </w:rPr>
      </w:pPr>
    </w:p>
    <w:p>
      <w:pPr>
        <w:ind w:left="680"/>
        <w:spacing w:after="0"/>
        <w:rPr>
          <w:sz w:val="20"/>
          <w:szCs w:val="20"/>
          <w:color w:val="auto"/>
        </w:rPr>
      </w:pPr>
      <w:r>
        <w:rPr>
          <w:rFonts w:ascii="Calibri" w:cs="Calibri" w:eastAsia="Calibri" w:hAnsi="Calibri"/>
          <w:sz w:val="31"/>
          <w:szCs w:val="31"/>
          <w:b w:val="1"/>
          <w:bCs w:val="1"/>
          <w:color w:val="50535A"/>
        </w:rPr>
        <w:t>PART II.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-222885</wp:posOffset>
            </wp:positionV>
            <wp:extent cx="195580" cy="19558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95580" cy="195580"/>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Calibri" w:cs="Calibri" w:eastAsia="Calibri" w:hAnsi="Calibri"/>
          <w:sz w:val="23"/>
          <w:szCs w:val="23"/>
          <w:b w:val="1"/>
          <w:bCs w:val="1"/>
          <w:color w:val="004054"/>
        </w:rPr>
        <w:t>ITEM 1. LEGAL PROCEEDINGS</w:t>
      </w:r>
    </w:p>
    <w:p>
      <w:pPr>
        <w:spacing w:after="0" w:line="125" w:lineRule="exact"/>
        <w:rPr>
          <w:sz w:val="20"/>
          <w:szCs w:val="20"/>
          <w:color w:val="auto"/>
        </w:rPr>
      </w:pPr>
    </w:p>
    <w:p>
      <w:pPr>
        <w:spacing w:after="0"/>
        <w:rPr>
          <w:sz w:val="20"/>
          <w:szCs w:val="20"/>
          <w:color w:val="auto"/>
        </w:rPr>
      </w:pPr>
      <w:r>
        <w:rPr>
          <w:rFonts w:ascii="Calibri" w:cs="Calibri" w:eastAsia="Calibri" w:hAnsi="Calibri"/>
          <w:sz w:val="14"/>
          <w:szCs w:val="14"/>
          <w:color w:val="51555C"/>
        </w:rPr>
        <w:t>For a discussion of our legal proceedings, see Note 9 to our unaudited, condensed consolidated fnancial statements in this report.</w:t>
      </w:r>
    </w:p>
    <w:p>
      <w:pPr>
        <w:spacing w:after="0" w:line="197" w:lineRule="exact"/>
        <w:rPr>
          <w:sz w:val="20"/>
          <w:szCs w:val="20"/>
          <w:color w:val="auto"/>
        </w:rPr>
      </w:pPr>
    </w:p>
    <w:p>
      <w:pPr>
        <w:spacing w:after="0"/>
        <w:rPr>
          <w:sz w:val="20"/>
          <w:szCs w:val="20"/>
          <w:color w:val="auto"/>
        </w:rPr>
      </w:pPr>
      <w:r>
        <w:rPr>
          <w:rFonts w:ascii="Calibri" w:cs="Calibri" w:eastAsia="Calibri" w:hAnsi="Calibri"/>
          <w:sz w:val="23"/>
          <w:szCs w:val="23"/>
          <w:b w:val="1"/>
          <w:bCs w:val="1"/>
          <w:color w:val="004054"/>
        </w:rPr>
        <w:t>ITEM 1A. RISK FACTORS</w:t>
      </w:r>
    </w:p>
    <w:p>
      <w:pPr>
        <w:spacing w:after="0" w:line="139" w:lineRule="exact"/>
        <w:rPr>
          <w:sz w:val="20"/>
          <w:szCs w:val="20"/>
          <w:color w:val="auto"/>
        </w:rPr>
      </w:pPr>
    </w:p>
    <w:p>
      <w:pPr>
        <w:jc w:val="both"/>
        <w:spacing w:after="0" w:line="237" w:lineRule="auto"/>
        <w:rPr>
          <w:sz w:val="20"/>
          <w:szCs w:val="20"/>
          <w:color w:val="auto"/>
        </w:rPr>
      </w:pPr>
      <w:r>
        <w:rPr>
          <w:rFonts w:ascii="Calibri" w:cs="Calibri" w:eastAsia="Calibri" w:hAnsi="Calibri"/>
          <w:sz w:val="14"/>
          <w:szCs w:val="14"/>
          <w:color w:val="51555C"/>
        </w:rPr>
        <w:t>We are supplementng Item 1A. Risk Factors in our Annual Report on Form 10-K for the year ended December 31, 2023, as fled with the Securites and Exchange Commission on February 21, 2024 (the “Annual Report”). The following risk factors should be read in conjuncton with the risk factors set forth in that Annual Report.</w:t>
      </w:r>
    </w:p>
    <w:p>
      <w:pPr>
        <w:spacing w:after="0" w:line="204" w:lineRule="exact"/>
        <w:rPr>
          <w:sz w:val="20"/>
          <w:szCs w:val="20"/>
          <w:color w:val="auto"/>
        </w:rPr>
      </w:pPr>
    </w:p>
    <w:p>
      <w:pPr>
        <w:ind w:left="20"/>
        <w:spacing w:after="0"/>
        <w:rPr>
          <w:sz w:val="20"/>
          <w:szCs w:val="20"/>
          <w:color w:val="auto"/>
        </w:rPr>
      </w:pPr>
      <w:r>
        <w:rPr>
          <w:rFonts w:ascii="Calibri" w:cs="Calibri" w:eastAsia="Calibri" w:hAnsi="Calibri"/>
          <w:sz w:val="17"/>
          <w:szCs w:val="17"/>
          <w:b w:val="1"/>
          <w:bCs w:val="1"/>
          <w:color w:val="006880"/>
        </w:rPr>
        <w:t>Operatonal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27305</wp:posOffset>
            </wp:positionV>
            <wp:extent cx="7161530" cy="698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Calibri" w:cs="Calibri" w:eastAsia="Calibri" w:hAnsi="Calibri"/>
          <w:sz w:val="14"/>
          <w:szCs w:val="14"/>
          <w:b w:val="1"/>
          <w:bCs w:val="1"/>
          <w:i w:val="1"/>
          <w:iCs w:val="1"/>
          <w:color w:val="51555C"/>
        </w:rPr>
        <w:t>The Security Incident has had, and may contnue to have, numerous adverse efects on our business, results of operatons, fnancial conditon and cash fows.</w:t>
      </w:r>
    </w:p>
    <w:p>
      <w:pPr>
        <w:spacing w:after="0" w:line="129" w:lineRule="exact"/>
        <w:rPr>
          <w:sz w:val="20"/>
          <w:szCs w:val="20"/>
          <w:color w:val="auto"/>
        </w:rPr>
      </w:pPr>
    </w:p>
    <w:p>
      <w:pPr>
        <w:jc w:val="both"/>
        <w:spacing w:after="0" w:line="237" w:lineRule="auto"/>
        <w:rPr>
          <w:sz w:val="20"/>
          <w:szCs w:val="20"/>
          <w:color w:val="auto"/>
        </w:rPr>
      </w:pPr>
      <w:r>
        <w:rPr>
          <w:rFonts w:ascii="Calibri" w:cs="Calibri" w:eastAsia="Calibri" w:hAnsi="Calibri"/>
          <w:sz w:val="14"/>
          <w:szCs w:val="14"/>
          <w:color w:val="51555C"/>
        </w:rPr>
        <w:t>As previously disclosed, on July 16, 2020, we contacted certain customers to inform them about the Security Incident, including that in May 2020 we discovered and stopped a ransomware atack. Prior to our successfully preventng the cybercriminal from blocking our system access and fully encryptng fles, and ultmately expelling them from our system with no signifcant disrupton to our operatons, the cybercriminal removed a copy of a subset of data from our self-hosted environment that afected over 13,000 customers. Based on the nature of the incident, our research and third party (including law enforcement) investgaton we believe that no data went beyond the cybercriminal, was or will be misused, or will be disseminated or otherwise made available publicly. However, our investgaton into the Security Incident remains ongoing and may provide additonal informaton.</w:t>
      </w:r>
    </w:p>
    <w:p>
      <w:pPr>
        <w:spacing w:after="0" w:line="132" w:lineRule="exact"/>
        <w:rPr>
          <w:sz w:val="20"/>
          <w:szCs w:val="20"/>
          <w:color w:val="auto"/>
        </w:rPr>
      </w:pPr>
    </w:p>
    <w:p>
      <w:pPr>
        <w:jc w:val="both"/>
        <w:spacing w:after="0" w:line="238" w:lineRule="auto"/>
        <w:rPr>
          <w:sz w:val="20"/>
          <w:szCs w:val="20"/>
          <w:color w:val="auto"/>
        </w:rPr>
      </w:pPr>
      <w:r>
        <w:rPr>
          <w:rFonts w:ascii="Calibri" w:cs="Calibri" w:eastAsia="Calibri" w:hAnsi="Calibri"/>
          <w:sz w:val="14"/>
          <w:szCs w:val="14"/>
          <w:color w:val="51555C"/>
        </w:rPr>
        <w:t>To date, we have received approximately 260 specifc requests from customers for reimbursement of expenses incurred by them related to the Security Incident, all of which have been fully resolved and closed or are inactve and are considered by us to have been abandoned by the customers. We have also received approximately 400 reservatons of the right to seek expense recovery in the future from customers or their atorneys in the U.S., U.K. and Canada related to the Security Incident, none of which resulted in claims submited to us and are considered by us to have been abandoned by the customers. We have also received notces of proposed claims on behalf of a number of U.K. data subjects, which we are reviewing. In additon, insurance companies representng various customers’ interests through subrogaton claims have contacted us, and certain insurance companies have fled subrogaton claims in court, of which three cases remain actve and unresolved. In additon, presently, we are a defendant in putatve consumer class acton cases in U.S. federal courts (most of which have been consolidated under mult district litgaton to a single federal court) and in Canadian courts alleging harm from the Security Incident. The plaintfs in these cases, who generally purport to represent various classes of individual consttuents of our customers, generally claim to have been harmed by alleged actons and/or omissions by us in connecton with the Security Incident and assert a variety of common law and statutory claims seeking monetary damages, injunctve relief, costs and atorneys’ fees, and other related relief. On May 14, 2024, the Court issued a memorandum opinion and order (1) denying the mult district litgaton plaintfs' moton for class certfcaton because of the plaintfs' failure to meet their burden of proof as to ascertainability, (2) grantng our moton to exclude the mult district litgaton plaintfs' expert on the issue of ascertainability, and (3) denying the mult district litgaton plaintfs' moton to exclude our expert on the issue of ascertainability. Further, the Court denied as moot all other pending motons. On May 28, 2024, the plaintfs fled a petton for permission to appeal under Rule 23(f) of the Federal Rules of Civil Procedure with the Fourth Circuit Court of Appeals (the “Fourth Circuit”) and we subsequently fled an oppositon to such petton. On July 30, 2024, the Fourth Circuit denied the plaintfs' petton. This litgaton remains ongoing. We are subject to pending governmental actons or investgatons by the U.S. Department of Health and Human Services, the Ofce of the Australian Informaton Commissioner and the Ofce of the Privacy Commissioner of Canada. (See Note 9 to our unaudited, condensed consolidated fnancial statements included in this report for a more detailed descripton of the Security Incident and related maters.)</w:t>
      </w:r>
    </w:p>
    <w:p>
      <w:pPr>
        <w:spacing w:after="0" w:line="268" w:lineRule="exact"/>
        <w:rPr>
          <w:sz w:val="20"/>
          <w:szCs w:val="20"/>
          <w:color w:val="auto"/>
        </w:rPr>
      </w:pPr>
    </w:p>
    <w:p>
      <w:pPr>
        <w:ind w:left="20"/>
        <w:spacing w:after="0"/>
        <w:tabs>
          <w:tab w:leader="none" w:pos="589" w:val="left"/>
        </w:tabs>
        <w:rPr>
          <w:sz w:val="20"/>
          <w:szCs w:val="20"/>
          <w:color w:val="auto"/>
        </w:rPr>
      </w:pPr>
      <w:r>
        <w:rPr>
          <w:rFonts w:ascii="Calibri" w:cs="Calibri" w:eastAsia="Calibri" w:hAnsi="Calibri"/>
          <w:sz w:val="11"/>
          <w:szCs w:val="11"/>
          <w:color w:val="51555C"/>
        </w:rPr>
        <w:t>50</w:t>
      </w:r>
      <w:r>
        <w:rPr>
          <w:sz w:val="20"/>
          <w:szCs w:val="20"/>
          <w:color w:val="auto"/>
        </w:rPr>
        <w:tab/>
      </w:r>
      <w:r>
        <w:rPr>
          <w:sz w:val="1"/>
          <w:szCs w:val="1"/>
          <w:color w:val="auto"/>
        </w:rPr>
        <w:drawing>
          <wp:inline distT="0" distB="0" distL="0" distR="0">
            <wp:extent cx="511810" cy="134620"/>
            <wp:effectExtent l="0" t="0" r="0" b="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11810" cy="134620"/>
                    </a:xfrm>
                    <a:prstGeom prst="rect">
                      <a:avLst/>
                    </a:prstGeom>
                    <a:noFill/>
                    <a:ln>
                      <a:noFill/>
                    </a:ln>
                  </pic:spPr>
                </pic:pic>
              </a:graphicData>
            </a:graphic>
          </wp:inline>
        </w:drawing>
      </w:r>
      <w:r>
        <w:rPr>
          <w:rFonts w:ascii="Calibri" w:cs="Calibri" w:eastAsia="Calibri" w:hAnsi="Calibri"/>
          <w:sz w:val="11"/>
          <w:szCs w:val="11"/>
          <w:color w:val="51555C"/>
        </w:rPr>
        <w:t xml:space="preserve">    Second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135255</wp:posOffset>
            </wp:positionV>
            <wp:extent cx="7186930"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51" w:name="page52"/>
    <w:bookmarkEnd w:id="51"/>
    <w:p>
      <w:pPr>
        <w:spacing w:after="0"/>
        <w:rPr>
          <w:sz w:val="20"/>
          <w:szCs w:val="20"/>
          <w:color w:val="auto"/>
        </w:rPr>
      </w:pPr>
      <w:r>
        <w:rPr>
          <w:rFonts w:ascii="Calibri" w:cs="Calibri" w:eastAsia="Calibri" w:hAnsi="Calibri"/>
          <w:sz w:val="11"/>
          <w:szCs w:val="11"/>
          <w:u w:val="single" w:color="auto"/>
          <w:color w:val="7A04DD"/>
        </w:rPr>
        <w:t>Table of Contents</w:t>
      </w:r>
    </w:p>
    <w:p>
      <w:pPr>
        <w:spacing w:after="0" w:line="196" w:lineRule="exact"/>
        <w:rPr>
          <w:sz w:val="20"/>
          <w:szCs w:val="20"/>
          <w:color w:val="auto"/>
        </w:rPr>
      </w:pPr>
    </w:p>
    <w:p>
      <w:pPr>
        <w:jc w:val="center"/>
        <w:spacing w:after="0"/>
        <w:rPr>
          <w:sz w:val="20"/>
          <w:szCs w:val="20"/>
          <w:color w:val="auto"/>
        </w:rPr>
      </w:pPr>
      <w:r>
        <w:rPr>
          <w:rFonts w:ascii="Calibri" w:cs="Calibri" w:eastAsia="Calibri" w:hAnsi="Calibri"/>
          <w:sz w:val="14"/>
          <w:szCs w:val="14"/>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Calibri" w:cs="Calibri" w:eastAsia="Calibri" w:hAnsi="Calibri"/>
          <w:sz w:val="14"/>
          <w:szCs w:val="14"/>
          <w:color w:val="51555C"/>
        </w:rPr>
        <w:t>On March 9, 2023, the Company reached a setlement with the SEC in connecton with the Security Incident that fully resolved the previously disclosed SEC investgaton of the Security Incident.</w:t>
      </w:r>
    </w:p>
    <w:p>
      <w:pPr>
        <w:spacing w:after="0" w:line="129" w:lineRule="exact"/>
        <w:rPr>
          <w:sz w:val="20"/>
          <w:szCs w:val="20"/>
          <w:color w:val="auto"/>
        </w:rPr>
      </w:pPr>
    </w:p>
    <w:p>
      <w:pPr>
        <w:jc w:val="both"/>
        <w:spacing w:after="0" w:line="237" w:lineRule="auto"/>
        <w:rPr>
          <w:sz w:val="20"/>
          <w:szCs w:val="20"/>
          <w:color w:val="auto"/>
        </w:rPr>
      </w:pPr>
      <w:r>
        <w:rPr>
          <w:rFonts w:ascii="Calibri" w:cs="Calibri" w:eastAsia="Calibri" w:hAnsi="Calibri"/>
          <w:sz w:val="14"/>
          <w:szCs w:val="14"/>
          <w:color w:val="51555C"/>
        </w:rPr>
        <w:t>On October 5, 2023, the Company entered into separate, substantally similar Administratve Orders with each of 49 state Atorneys General and the District of Columbia in connecton with the Security Incident which fully resolved the previously disclosed mult-state Civil Investgatve Demand and the separate Civil Investgatve Demand from the Ofce of the Indiana Atorney General relatng to the Security Incident.</w:t>
      </w:r>
    </w:p>
    <w:p>
      <w:pPr>
        <w:spacing w:after="0" w:line="130" w:lineRule="exact"/>
        <w:rPr>
          <w:sz w:val="20"/>
          <w:szCs w:val="20"/>
          <w:color w:val="auto"/>
        </w:rPr>
      </w:pPr>
    </w:p>
    <w:p>
      <w:pPr>
        <w:jc w:val="both"/>
        <w:spacing w:after="0" w:line="237" w:lineRule="auto"/>
        <w:rPr>
          <w:sz w:val="20"/>
          <w:szCs w:val="20"/>
          <w:color w:val="auto"/>
        </w:rPr>
      </w:pPr>
      <w:r>
        <w:rPr>
          <w:rFonts w:ascii="Calibri" w:cs="Calibri" w:eastAsia="Calibri" w:hAnsi="Calibri"/>
          <w:sz w:val="14"/>
          <w:szCs w:val="14"/>
          <w:color w:val="51555C"/>
        </w:rPr>
        <w:t>On May 20, 2024, the U.S. Federal Trade Commission (the "FTC") fnalized an Order (the “FTC Order”) evidencing its setlement with us in connecton with the Security Incident. As part of the FTC Order, we were not fned and were not otherwise required to make any payment. Furthermore, we agreed to the FTC Order without admitng or denying any of the FTC’s allegatons, except as expressly stated otherwise in the FTC Order. The setlement described in the FTC Order fully resolved the FTC investgaton. For more informaton, see the form of proposed order that was furnished as Exhibit 99.2 to our Current Report on Form 8-K fled with the SEC on February 2, 2024 and is identcal in substance to the fnal FTC Order, and in Note 11 to our audited consolidated fnancial statements contained in our Annual Report on Form 10-K fled with the SEC on February 21, 2024.</w:t>
      </w:r>
    </w:p>
    <w:p>
      <w:pPr>
        <w:spacing w:after="0" w:line="132" w:lineRule="exact"/>
        <w:rPr>
          <w:sz w:val="20"/>
          <w:szCs w:val="20"/>
          <w:color w:val="auto"/>
        </w:rPr>
      </w:pPr>
    </w:p>
    <w:p>
      <w:pPr>
        <w:jc w:val="both"/>
        <w:spacing w:after="0" w:line="238" w:lineRule="auto"/>
        <w:rPr>
          <w:sz w:val="20"/>
          <w:szCs w:val="20"/>
          <w:color w:val="auto"/>
        </w:rPr>
      </w:pPr>
      <w:r>
        <w:rPr>
          <w:rFonts w:ascii="Calibri" w:cs="Calibri" w:eastAsia="Calibri" w:hAnsi="Calibri"/>
          <w:sz w:val="14"/>
          <w:szCs w:val="14"/>
          <w:color w:val="51555C"/>
        </w:rPr>
        <w:t>As previously disclosed, on June 13, 2024, we agreed to a Final Judgment and Permanent Injuncton with the Atorney General of the State of California (the "Final Judgment") relatng to the Security Incident. This setlement fully resolved the last remaining U.S. state atorney general investgaton into the Security Incident. Under the terms of the setlement, we agreed to comply with applicable laws; not to make misleading statements related to our data protecton, privacy, security, confdentality, integrity, breach notfcaton requirements, and similar maters; and to implement and improve certain cybersecurity programs and tools. The terms of the setlement with California are generally consistent with those to which we agreed in setling with the other 49 state Atorneys General and the District of Columbia on October 5, 2023, as discussed below. As part of the setlement, we also agreed to pay a total of $6.8 million to the State of California. This amount was fully accrued as a contngent liability in the Company's fnancial statements as of March 31, 2024 and June 30, 2024, and subsequently paid in the third quarter of 2024. By agreeing to the Final Judgment, Blackbaud has denied wrongdoing or liability of any kind. Nothing contained in the Final Judgment is intended to be, and shall not in any event be construed or deemed to be, an admission or concession or evidence of any liability or wrongdoing whatsoever on the part of Blackbaud or any fact or violaton of law, rule, or regulaton. For more informaton, see the Final Judgment and Permanent Injuncton of the State of California, County of San Diego that was furnished as Exhibit 99.1 to our Current Report on Form 8-K fled with the SEC on June 14, 2024.</w:t>
      </w:r>
    </w:p>
    <w:p>
      <w:pPr>
        <w:spacing w:after="0" w:line="130" w:lineRule="exact"/>
        <w:rPr>
          <w:sz w:val="20"/>
          <w:szCs w:val="20"/>
          <w:color w:val="auto"/>
        </w:rPr>
      </w:pPr>
    </w:p>
    <w:p>
      <w:pPr>
        <w:jc w:val="both"/>
        <w:spacing w:after="0" w:line="237" w:lineRule="auto"/>
        <w:rPr>
          <w:sz w:val="20"/>
          <w:szCs w:val="20"/>
          <w:color w:val="auto"/>
        </w:rPr>
      </w:pPr>
      <w:r>
        <w:rPr>
          <w:rFonts w:ascii="Calibri" w:cs="Calibri" w:eastAsia="Calibri" w:hAnsi="Calibri"/>
          <w:sz w:val="14"/>
          <w:szCs w:val="14"/>
          <w:color w:val="51555C"/>
        </w:rPr>
        <w:t>As noted above, the terms of the Final Judgment, FTC Order, the Atorneys General Administratve Orders and our setlement with the SEC require that we implement and maintain certain processes and programs and comply with certain legal requirements related to cybersecurity and data protecton. Any future regulatory investgaton or litgaton setlements may also contain such requirements. Efectvely implementng, monitoring and updatng these requirements is expected to be expensive and tme-consuming over an extended period. Our failure to do so in accordance with the terms of our agreements with FTC, the Atorneys General and with the SEC, and possibly others, could expose us to additonal material liability under the terms of the Administratve Orders, the SEC setlement, or otherwise.</w:t>
      </w:r>
    </w:p>
    <w:p>
      <w:pPr>
        <w:spacing w:after="0" w:line="129" w:lineRule="exact"/>
        <w:rPr>
          <w:sz w:val="20"/>
          <w:szCs w:val="20"/>
          <w:color w:val="auto"/>
        </w:rPr>
      </w:pPr>
    </w:p>
    <w:p>
      <w:pPr>
        <w:spacing w:after="0"/>
        <w:rPr>
          <w:sz w:val="20"/>
          <w:szCs w:val="20"/>
          <w:color w:val="auto"/>
        </w:rPr>
      </w:pPr>
      <w:r>
        <w:rPr>
          <w:rFonts w:ascii="Calibri" w:cs="Calibri" w:eastAsia="Calibri" w:hAnsi="Calibri"/>
          <w:sz w:val="14"/>
          <w:szCs w:val="14"/>
          <w:color w:val="51555C"/>
        </w:rPr>
        <w:t>See Note 9 to our unaudited, condensed consolidated fnancial statements in this report for a more detailed descripton of the Security Incident and related maters.</w:t>
      </w:r>
    </w:p>
    <w:p>
      <w:pPr>
        <w:spacing w:after="0" w:line="129" w:lineRule="exact"/>
        <w:rPr>
          <w:sz w:val="20"/>
          <w:szCs w:val="20"/>
          <w:color w:val="auto"/>
        </w:rPr>
      </w:pPr>
    </w:p>
    <w:p>
      <w:pPr>
        <w:jc w:val="both"/>
        <w:spacing w:after="0" w:line="238" w:lineRule="auto"/>
        <w:rPr>
          <w:sz w:val="20"/>
          <w:szCs w:val="20"/>
          <w:color w:val="auto"/>
        </w:rPr>
      </w:pPr>
      <w:r>
        <w:rPr>
          <w:rFonts w:ascii="Calibri" w:cs="Calibri" w:eastAsia="Calibri" w:hAnsi="Calibri"/>
          <w:sz w:val="14"/>
          <w:szCs w:val="14"/>
          <w:color w:val="51555C"/>
        </w:rPr>
        <w:t>We may be named as a party in additonal lawsuits, other claims may be asserted by or on behalf of our customers or their consttuents, and we may be subject to additonal governmental inquires, requests or investgatons. Responding to and resolving these current and any future lawsuits, claims and/or investgatons could result in material remedial and other expenses that will not be covered by insurance. It is reasonably possible that our estmated or actual losses may change in the near term for those maters and be materially in excess of the amounts accrued. Certain governmental authorites are seeking to impose undertakings, injunctve relief, consent decrees, or other civil or criminal penaltes, which could, among other things, materially increase our data security costs or otherwise require us to alter how we operate our business. Although we intend to defend ourselves vigorously against the claims asserted against us, we cannot predict the potental outcomes, cost and expenses associated with current and any future claims, lawsuits, inquiries and investgatons.</w:t>
      </w:r>
    </w:p>
    <w:p>
      <w:pPr>
        <w:spacing w:after="0" w:line="129" w:lineRule="exact"/>
        <w:rPr>
          <w:sz w:val="20"/>
          <w:szCs w:val="20"/>
          <w:color w:val="auto"/>
        </w:rPr>
      </w:pPr>
    </w:p>
    <w:p>
      <w:pPr>
        <w:jc w:val="both"/>
        <w:spacing w:after="0" w:line="237" w:lineRule="auto"/>
        <w:rPr>
          <w:sz w:val="20"/>
          <w:szCs w:val="20"/>
          <w:color w:val="auto"/>
        </w:rPr>
      </w:pPr>
      <w:r>
        <w:rPr>
          <w:rFonts w:ascii="Calibri" w:cs="Calibri" w:eastAsia="Calibri" w:hAnsi="Calibri"/>
          <w:sz w:val="14"/>
          <w:szCs w:val="14"/>
          <w:color w:val="51555C"/>
        </w:rPr>
        <w:t>In additon, any legislatve or regulatory changes adopted in reacton to the Security Incident or other companies’ data breaches could require us to make modifcatons to the operaton of our business that could have an adverse efect and/or increase or accelerate our compliance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6268720</wp:posOffset>
            </wp:positionH>
            <wp:positionV relativeFrom="paragraph">
              <wp:posOffset>187325</wp:posOffset>
            </wp:positionV>
            <wp:extent cx="518795" cy="1346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18795" cy="134620"/>
                    </a:xfrm>
                    <a:prstGeom prst="rect">
                      <a:avLst/>
                    </a:prstGeom>
                    <a:noFill/>
                  </pic:spPr>
                </pic:pic>
              </a:graphicData>
            </a:graphic>
          </wp:anchor>
        </w:drawing>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0400" w:type="dxa"/>
            <w:vAlign w:val="bottom"/>
          </w:tcPr>
          <w:p>
            <w:pPr>
              <w:ind w:left="8160"/>
              <w:spacing w:after="0"/>
              <w:rPr>
                <w:sz w:val="20"/>
                <w:szCs w:val="20"/>
                <w:color w:val="auto"/>
              </w:rPr>
            </w:pPr>
            <w:r>
              <w:rPr>
                <w:rFonts w:ascii="Calibri" w:cs="Calibri" w:eastAsia="Calibri" w:hAnsi="Calibri"/>
                <w:sz w:val="11"/>
                <w:szCs w:val="11"/>
                <w:color w:val="51555C"/>
              </w:rPr>
              <w:t>Second Quarter 2024 Form 10-Q</w:t>
            </w:r>
          </w:p>
        </w:tc>
        <w:tc>
          <w:tcPr>
            <w:tcW w:w="880" w:type="dxa"/>
            <w:vAlign w:val="bottom"/>
          </w:tcPr>
          <w:p>
            <w:pPr>
              <w:jc w:val="right"/>
              <w:spacing w:after="0"/>
              <w:rPr>
                <w:sz w:val="20"/>
                <w:szCs w:val="20"/>
                <w:color w:val="auto"/>
              </w:rPr>
            </w:pPr>
            <w:r>
              <w:rPr>
                <w:rFonts w:ascii="Calibri" w:cs="Calibri" w:eastAsia="Calibri" w:hAnsi="Calibri"/>
                <w:sz w:val="11"/>
                <w:szCs w:val="11"/>
                <w:color w:val="51555C"/>
              </w:rPr>
              <w:t>51</w:t>
            </w:r>
          </w:p>
        </w:tc>
      </w:tr>
      <w:tr>
        <w:trPr>
          <w:trHeight w:val="281"/>
        </w:trPr>
        <w:tc>
          <w:tcPr>
            <w:tcW w:w="104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52" w:name="page53"/>
    <w:bookmarkEnd w:id="52"/>
    <w:p>
      <w:pPr>
        <w:spacing w:after="0"/>
        <w:rPr>
          <w:sz w:val="20"/>
          <w:szCs w:val="20"/>
          <w:color w:val="auto"/>
        </w:rPr>
      </w:pPr>
      <w:r>
        <w:rPr>
          <w:rFonts w:ascii="Calibri" w:cs="Calibri" w:eastAsia="Calibri" w:hAnsi="Calibri"/>
          <w:sz w:val="11"/>
          <w:szCs w:val="11"/>
          <w:u w:val="single" w:color="auto"/>
          <w:color w:val="7A04DD"/>
        </w:rPr>
        <w:t>Table of Contents</w:t>
      </w:r>
    </w:p>
    <w:p>
      <w:pPr>
        <w:spacing w:after="0" w:line="196" w:lineRule="exact"/>
        <w:rPr>
          <w:sz w:val="20"/>
          <w:szCs w:val="20"/>
          <w:color w:val="auto"/>
        </w:rPr>
      </w:pPr>
    </w:p>
    <w:p>
      <w:pPr>
        <w:jc w:val="center"/>
        <w:spacing w:after="0"/>
        <w:rPr>
          <w:sz w:val="20"/>
          <w:szCs w:val="20"/>
          <w:color w:val="auto"/>
        </w:rPr>
      </w:pPr>
      <w:r>
        <w:rPr>
          <w:rFonts w:ascii="Calibri" w:cs="Calibri" w:eastAsia="Calibri" w:hAnsi="Calibri"/>
          <w:sz w:val="14"/>
          <w:szCs w:val="14"/>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spacing w:after="0" w:line="238" w:lineRule="auto"/>
        <w:rPr>
          <w:sz w:val="20"/>
          <w:szCs w:val="20"/>
          <w:color w:val="auto"/>
        </w:rPr>
      </w:pPr>
      <w:r>
        <w:rPr>
          <w:rFonts w:ascii="Calibri" w:cs="Calibri" w:eastAsia="Calibri" w:hAnsi="Calibri"/>
          <w:sz w:val="14"/>
          <w:szCs w:val="14"/>
          <w:color w:val="51555C"/>
        </w:rPr>
        <w:t>Signifcant management tme and Company resources have been, and are expected to contnue to be, devoted to the Security Incident. For example, for the three and six months ended June 30, 2024, we incurred net pre-tax expenses of $1.8 million and $12.1 million, respectvely, related to the Security Incident, which included $1.8 million and $5.1 million, respectvely, for ongoing legal fees and additonal accruals for loss contngencies of $0.0 million and $7.0 million, respectvely. During the six months ended June 30, 2024, we had cash outlays of $5.8 million related to the Security Incident for ongoing legal fees. For full year 2023, we currently expect pre-tax expenses of approximately $5.0 million to $10.0 million and cash outlays of approximately $8.0 million to $13.0 million for ongoing legal fees related to the Security Incident. Although we carry insurance against certain losses related to the Security Incident, we exceeded the limit of that insurance coverage in the frst quarter of 2022. As a result, we will be responsible for all expenses or other losses (including penaltes, fnes or other judgments) or all types of claims that may arise in connecton with the Security Incident, which could materially and adversely afect our liquidity and results of operatons. (See Note 9 to our unaudited, condensed consolidated fnancial statements in this report.) If any such fnes or penaltes were great enough that we could not pay them through funds generated from operatng actvites and/or cause a default under the 2024 Credit Facilites, we may be forced to renegotate or obtain a waiver under the 2024 Credit Facilites and/or seek additonal debt or equity fnancing. Such renegotaton or fnancing may not be available on acceptable terms, or at all. In these circumstances, if we were unable to obtain sufcient fnancing, we may not be able to meet our obligatons as they come due.</w:t>
      </w:r>
    </w:p>
    <w:p>
      <w:pPr>
        <w:spacing w:after="0" w:line="130" w:lineRule="exact"/>
        <w:rPr>
          <w:sz w:val="20"/>
          <w:szCs w:val="20"/>
          <w:color w:val="auto"/>
        </w:rPr>
      </w:pPr>
    </w:p>
    <w:p>
      <w:pPr>
        <w:jc w:val="both"/>
        <w:spacing w:after="0" w:line="237" w:lineRule="auto"/>
        <w:rPr>
          <w:sz w:val="20"/>
          <w:szCs w:val="20"/>
          <w:color w:val="auto"/>
        </w:rPr>
      </w:pPr>
      <w:r>
        <w:rPr>
          <w:rFonts w:ascii="Calibri" w:cs="Calibri" w:eastAsia="Calibri" w:hAnsi="Calibri"/>
          <w:sz w:val="14"/>
          <w:szCs w:val="14"/>
          <w:color w:val="51555C"/>
        </w:rPr>
        <w:t>In additon, publicity or developments related to the Security Incident could in the future have a range of other adverse efects on our business or prospects, including causing or contributng to loss of customer confdence, reduced customer demand, reduced customer retenton, strategic growth opportunites, and associated retenton and recruitng difcultes, some or all of which could be material.</w:t>
      </w:r>
    </w:p>
    <w:p>
      <w:pPr>
        <w:spacing w:after="0" w:line="129" w:lineRule="exact"/>
        <w:rPr>
          <w:sz w:val="20"/>
          <w:szCs w:val="20"/>
          <w:color w:val="auto"/>
        </w:rPr>
      </w:pPr>
    </w:p>
    <w:p>
      <w:pPr>
        <w:jc w:val="both"/>
        <w:spacing w:after="0" w:line="237" w:lineRule="auto"/>
        <w:rPr>
          <w:sz w:val="20"/>
          <w:szCs w:val="20"/>
          <w:color w:val="auto"/>
        </w:rPr>
      </w:pPr>
      <w:r>
        <w:rPr>
          <w:rFonts w:ascii="Calibri" w:cs="Calibri" w:eastAsia="Calibri" w:hAnsi="Calibri"/>
          <w:sz w:val="14"/>
          <w:szCs w:val="14"/>
          <w:b w:val="1"/>
          <w:bCs w:val="1"/>
          <w:i w:val="1"/>
          <w:iCs w:val="1"/>
          <w:color w:val="51555C"/>
        </w:rPr>
        <w:t>Defects, delays or interruptons in our cloud solutons, hostng services and payment services, including those caused by our vendors, partners or other third partes (such as the CrowdStrike Event described below), could diminish demand for these services and subject us to substantal liability.</w:t>
      </w:r>
    </w:p>
    <w:p>
      <w:pPr>
        <w:spacing w:after="0" w:line="129" w:lineRule="exact"/>
        <w:rPr>
          <w:sz w:val="20"/>
          <w:szCs w:val="20"/>
          <w:color w:val="auto"/>
        </w:rPr>
      </w:pPr>
    </w:p>
    <w:p>
      <w:pPr>
        <w:jc w:val="both"/>
        <w:spacing w:after="0" w:line="238" w:lineRule="auto"/>
        <w:rPr>
          <w:sz w:val="20"/>
          <w:szCs w:val="20"/>
          <w:color w:val="auto"/>
        </w:rPr>
      </w:pPr>
      <w:r>
        <w:rPr>
          <w:rFonts w:ascii="Calibri" w:cs="Calibri" w:eastAsia="Calibri" w:hAnsi="Calibri"/>
          <w:sz w:val="14"/>
          <w:szCs w:val="14"/>
          <w:color w:val="51555C"/>
        </w:rPr>
        <w:t>We utlize data center hostng facilites to provide cloud solutons to a signifcant number of our subscripton customers, hostng services to our on-premise license customers and transactonal payment services. Any damage to, or failure of, these systems or services generally could result in, and have resulted in (as described below), interruptons in service to our customers, notwithstanding any business contnuity or disaster recovery agreements or arrangements that may be in place. Our executve ofces and some of our data centers are located in areas that are vulnerable to the efects of climate change and could be subject to increased interruptons as a result of the severity and increased frequency of extreme weather events such as hurricanes, wildfres, foods, heat waves, or power shortages. Furthermore, because our cloud solutons, hostng service oferings and payment services are complex and incorporate a variety of computer hardware and sofware systems, our services have in the past developed, and may again develop, errors or defects, whether of our own creaton or caused by third partes, that have, and could again, result in unantcipated downtme or other problems for our customers and us. Internet-based services sometmes contain undetected errors when frst introduced or when new versions or enhancements are released. We have from tme to tme found defects in our web-based services and new errors might again be detected in the future. In additon, our customers might use our Internet-based oferings in unantcipated ways that cause a disrupton in service for other customers atemptng to access their data.</w:t>
      </w:r>
    </w:p>
    <w:p>
      <w:pPr>
        <w:spacing w:after="0" w:line="130" w:lineRule="exact"/>
        <w:rPr>
          <w:sz w:val="20"/>
          <w:szCs w:val="20"/>
          <w:color w:val="auto"/>
        </w:rPr>
      </w:pPr>
    </w:p>
    <w:p>
      <w:pPr>
        <w:jc w:val="both"/>
        <w:spacing w:after="0" w:line="237" w:lineRule="auto"/>
        <w:rPr>
          <w:sz w:val="20"/>
          <w:szCs w:val="20"/>
          <w:color w:val="auto"/>
        </w:rPr>
      </w:pPr>
      <w:r>
        <w:rPr>
          <w:rFonts w:ascii="Calibri" w:cs="Calibri" w:eastAsia="Calibri" w:hAnsi="Calibri"/>
          <w:sz w:val="14"/>
          <w:szCs w:val="14"/>
          <w:color w:val="51555C"/>
        </w:rPr>
        <w:t>For example, on July 19, 2024, CrowdStrike Holdings, Inc. (“CrowdStrike”), which provides cybersecurity services to millions of Microsof Windows systems worldwide, including to certain Windows systems operated by Blackbaud, implemented a sofware update to its Falcon sensor sofware that was fawed and caused Falcon to crash, thereby causing widespread crashes of Windows systems into which it was integrated, including certain Windows systems used by us and certain of our customers (the “CrowdStrike Event”). As a result, some of our customers were unable to access certain of our services and solutons, including our payments processing solutons. We are stll evaluatng the actual and potental impact of the CrowdStrike Event on Blackbaud, both directly and indirectly due to the impact on our customers.</w:t>
      </w:r>
    </w:p>
    <w:p>
      <w:pPr>
        <w:spacing w:after="0" w:line="132" w:lineRule="exact"/>
        <w:rPr>
          <w:sz w:val="20"/>
          <w:szCs w:val="20"/>
          <w:color w:val="auto"/>
        </w:rPr>
      </w:pPr>
    </w:p>
    <w:p>
      <w:pPr>
        <w:jc w:val="both"/>
        <w:spacing w:after="0" w:line="237" w:lineRule="auto"/>
        <w:rPr>
          <w:sz w:val="20"/>
          <w:szCs w:val="20"/>
          <w:color w:val="auto"/>
        </w:rPr>
      </w:pPr>
      <w:r>
        <w:rPr>
          <w:rFonts w:ascii="Calibri" w:cs="Calibri" w:eastAsia="Calibri" w:hAnsi="Calibri"/>
          <w:sz w:val="14"/>
          <w:szCs w:val="14"/>
          <w:color w:val="51555C"/>
        </w:rPr>
        <w:t>Because our customers use our services for important aspects of their businesses, any defects, delays or disruptons in service or other performance problems with our services, such as the CrowdStrike Event, could hurt our reputaton, damage our customers' businesses and result in liability for the Company. For example, customers could elect to cancel their service, delay or withhold payment to us, not purchase from us in the future or make claims against us, which could result in an increase in our provision for credit losses, an increase in collecton cycles for accounts receivable, loss of revenue or the expense and risk of litgaton. Any of these could materially harm our business, reputaton, fnancial conditon and results of operatons.</w:t>
      </w:r>
    </w:p>
    <w:p>
      <w:pPr>
        <w:spacing w:after="0" w:line="268" w:lineRule="exact"/>
        <w:rPr>
          <w:sz w:val="20"/>
          <w:szCs w:val="20"/>
          <w:color w:val="auto"/>
        </w:rPr>
      </w:pPr>
    </w:p>
    <w:p>
      <w:pPr>
        <w:ind w:left="20"/>
        <w:spacing w:after="0"/>
        <w:tabs>
          <w:tab w:leader="none" w:pos="589" w:val="left"/>
        </w:tabs>
        <w:rPr>
          <w:sz w:val="20"/>
          <w:szCs w:val="20"/>
          <w:color w:val="auto"/>
        </w:rPr>
      </w:pPr>
      <w:r>
        <w:rPr>
          <w:rFonts w:ascii="Calibri" w:cs="Calibri" w:eastAsia="Calibri" w:hAnsi="Calibri"/>
          <w:sz w:val="11"/>
          <w:szCs w:val="11"/>
          <w:color w:val="51555C"/>
        </w:rPr>
        <w:t>52</w:t>
      </w:r>
      <w:r>
        <w:rPr>
          <w:sz w:val="20"/>
          <w:szCs w:val="20"/>
          <w:color w:val="auto"/>
        </w:rPr>
        <w:tab/>
      </w:r>
      <w:r>
        <w:rPr>
          <w:sz w:val="1"/>
          <w:szCs w:val="1"/>
          <w:color w:val="auto"/>
        </w:rPr>
        <w:drawing>
          <wp:inline distT="0" distB="0" distL="0" distR="0">
            <wp:extent cx="511810" cy="134620"/>
            <wp:effectExtent l="0" t="0" r="0"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11810" cy="134620"/>
                    </a:xfrm>
                    <a:prstGeom prst="rect">
                      <a:avLst/>
                    </a:prstGeom>
                    <a:noFill/>
                    <a:ln>
                      <a:noFill/>
                    </a:ln>
                  </pic:spPr>
                </pic:pic>
              </a:graphicData>
            </a:graphic>
          </wp:inline>
        </w:drawing>
      </w:r>
      <w:r>
        <w:rPr>
          <w:rFonts w:ascii="Calibri" w:cs="Calibri" w:eastAsia="Calibri" w:hAnsi="Calibri"/>
          <w:sz w:val="11"/>
          <w:szCs w:val="11"/>
          <w:color w:val="51555C"/>
        </w:rPr>
        <w:t xml:space="preserve">    Second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135255</wp:posOffset>
            </wp:positionV>
            <wp:extent cx="7186930"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53" w:name="page54"/>
    <w:bookmarkEnd w:id="53"/>
    <w:p>
      <w:pPr>
        <w:spacing w:after="0"/>
        <w:rPr>
          <w:sz w:val="20"/>
          <w:szCs w:val="20"/>
          <w:color w:val="auto"/>
        </w:rPr>
      </w:pPr>
      <w:r>
        <w:rPr>
          <w:rFonts w:ascii="Calibri" w:cs="Calibri" w:eastAsia="Calibri" w:hAnsi="Calibri"/>
          <w:sz w:val="11"/>
          <w:szCs w:val="11"/>
          <w:u w:val="single" w:color="auto"/>
          <w:color w:val="7A04DD"/>
        </w:rPr>
        <w:t>Table of Contents</w:t>
      </w:r>
    </w:p>
    <w:p>
      <w:pPr>
        <w:spacing w:after="0" w:line="196" w:lineRule="exact"/>
        <w:rPr>
          <w:sz w:val="20"/>
          <w:szCs w:val="20"/>
          <w:color w:val="auto"/>
        </w:rPr>
      </w:pPr>
    </w:p>
    <w:p>
      <w:pPr>
        <w:jc w:val="center"/>
        <w:spacing w:after="0"/>
        <w:rPr>
          <w:sz w:val="20"/>
          <w:szCs w:val="20"/>
          <w:color w:val="auto"/>
        </w:rPr>
      </w:pPr>
      <w:r>
        <w:rPr>
          <w:rFonts w:ascii="Calibri" w:cs="Calibri" w:eastAsia="Calibri" w:hAnsi="Calibri"/>
          <w:sz w:val="14"/>
          <w:szCs w:val="14"/>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0"/>
        <w:spacing w:after="0"/>
        <w:rPr>
          <w:sz w:val="20"/>
          <w:szCs w:val="20"/>
          <w:color w:val="auto"/>
        </w:rPr>
      </w:pPr>
      <w:r>
        <w:rPr>
          <w:rFonts w:ascii="Calibri" w:cs="Calibri" w:eastAsia="Calibri" w:hAnsi="Calibri"/>
          <w:sz w:val="17"/>
          <w:szCs w:val="17"/>
          <w:b w:val="1"/>
          <w:bCs w:val="1"/>
          <w:color w:val="006880"/>
        </w:rPr>
        <w:t>Financial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27305</wp:posOffset>
            </wp:positionV>
            <wp:extent cx="7161530" cy="698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18" w:lineRule="exact"/>
        <w:rPr>
          <w:sz w:val="20"/>
          <w:szCs w:val="20"/>
          <w:color w:val="auto"/>
        </w:rPr>
      </w:pPr>
    </w:p>
    <w:p>
      <w:pPr>
        <w:jc w:val="both"/>
        <w:spacing w:after="0" w:line="237" w:lineRule="auto"/>
        <w:rPr>
          <w:sz w:val="20"/>
          <w:szCs w:val="20"/>
          <w:color w:val="auto"/>
        </w:rPr>
      </w:pPr>
      <w:r>
        <w:rPr>
          <w:rFonts w:ascii="Calibri" w:cs="Calibri" w:eastAsia="Calibri" w:hAnsi="Calibri"/>
          <w:sz w:val="14"/>
          <w:szCs w:val="14"/>
          <w:b w:val="1"/>
          <w:bCs w:val="1"/>
          <w:i w:val="1"/>
          <w:iCs w:val="1"/>
          <w:color w:val="51555C"/>
        </w:rPr>
        <w:t>We signifcantly increased our leverage in connecton with acquisiton of EVERFI and stock repurchases, and may increase our leverage in the future in connecton with additonal acquisitons, Security Incident costs or other business purposes, which could adversely impact our business and fnancial performance.</w:t>
      </w:r>
    </w:p>
    <w:p>
      <w:pPr>
        <w:spacing w:after="0" w:line="129" w:lineRule="exact"/>
        <w:rPr>
          <w:sz w:val="20"/>
          <w:szCs w:val="20"/>
          <w:color w:val="auto"/>
        </w:rPr>
      </w:pPr>
    </w:p>
    <w:p>
      <w:pPr>
        <w:jc w:val="both"/>
        <w:spacing w:after="0" w:line="238" w:lineRule="auto"/>
        <w:rPr>
          <w:sz w:val="20"/>
          <w:szCs w:val="20"/>
          <w:color w:val="auto"/>
        </w:rPr>
      </w:pPr>
      <w:r>
        <w:rPr>
          <w:rFonts w:ascii="Calibri" w:cs="Calibri" w:eastAsia="Calibri" w:hAnsi="Calibri"/>
          <w:sz w:val="14"/>
          <w:szCs w:val="14"/>
          <w:color w:val="51555C"/>
        </w:rPr>
        <w:t>We incurred a substantal amount of indebtedness in connecton with acquisitons, including our acquisiton of EVERFI, Inc. (as described in Note 3 in our most recently fled Annual Report on Form 10-K). As a result of this indebtedness and other borrowings, including our borrowings in March 2024 to fund the ASR Transacton, our interest payment obligatons have increased. In additon, we have been named as a party in various lawsuits in connecton with the Security Incident, claims have been asserted by or on behalf of our customers or their consttuents, and we are subject to various governmental inquires, requests or investgatons. Responding to and resolving these current and any future lawsuits, claims and/or investgatons could result in material remedial and other expenses. Although we intend to defend ourselves vigorously against the claims asserted against us, we cannot predict the potental outcomes, cost and expenses associated with current and any future claims, lawsuits, inquiries and investgatons, which could require that we incur additonal indebtedness to fund. (See Note 9 to our unaudited, condensed consolidated fnancial statements in this report for additonal informaton regarding the Security Incident.)</w:t>
      </w:r>
    </w:p>
    <w:p>
      <w:pPr>
        <w:spacing w:after="0" w:line="126" w:lineRule="exact"/>
        <w:rPr>
          <w:sz w:val="20"/>
          <w:szCs w:val="20"/>
          <w:color w:val="auto"/>
        </w:rPr>
      </w:pPr>
    </w:p>
    <w:p>
      <w:pPr>
        <w:spacing w:after="0"/>
        <w:rPr>
          <w:sz w:val="20"/>
          <w:szCs w:val="20"/>
          <w:color w:val="auto"/>
        </w:rPr>
      </w:pPr>
      <w:r>
        <w:rPr>
          <w:rFonts w:ascii="Calibri" w:cs="Calibri" w:eastAsia="Calibri" w:hAnsi="Calibri"/>
          <w:sz w:val="14"/>
          <w:szCs w:val="14"/>
          <w:color w:val="51555C"/>
        </w:rPr>
        <w:t>The degree to which we are leveraged could have adverse efects on our business, including the following:</w:t>
      </w:r>
    </w:p>
    <w:p>
      <w:pPr>
        <w:spacing w:after="0" w:line="44" w:lineRule="exact"/>
        <w:rPr>
          <w:sz w:val="20"/>
          <w:szCs w:val="20"/>
          <w:color w:val="auto"/>
        </w:rPr>
      </w:pPr>
    </w:p>
    <w:p>
      <w:pPr>
        <w:ind w:left="520" w:hanging="260"/>
        <w:spacing w:after="0" w:line="237" w:lineRule="auto"/>
        <w:tabs>
          <w:tab w:leader="none" w:pos="514" w:val="left"/>
        </w:tabs>
        <w:numPr>
          <w:ilvl w:val="0"/>
          <w:numId w:val="35"/>
        </w:numPr>
        <w:rPr>
          <w:rFonts w:ascii="Calibri" w:cs="Calibri" w:eastAsia="Calibri" w:hAnsi="Calibri"/>
          <w:sz w:val="14"/>
          <w:szCs w:val="14"/>
          <w:color w:val="51555C"/>
        </w:rPr>
      </w:pPr>
      <w:r>
        <w:rPr>
          <w:rFonts w:ascii="Calibri" w:cs="Calibri" w:eastAsia="Calibri" w:hAnsi="Calibri"/>
          <w:sz w:val="14"/>
          <w:szCs w:val="14"/>
          <w:color w:val="51555C"/>
        </w:rPr>
        <w:t>Requiring us to dedicate a substantal porton of our cash fow from operatons to payments on our indebtedness, thereby reducing the availability of our cash fow to fund working capital, capital expenditures, acquisitons, dividends, stock repurchases and other general corporate purposes;</w:t>
      </w:r>
    </w:p>
    <w:p>
      <w:pPr>
        <w:spacing w:after="0" w:line="41" w:lineRule="exact"/>
        <w:rPr>
          <w:rFonts w:ascii="Calibri" w:cs="Calibri" w:eastAsia="Calibri" w:hAnsi="Calibri"/>
          <w:sz w:val="14"/>
          <w:szCs w:val="14"/>
          <w:color w:val="51555C"/>
        </w:rPr>
      </w:pPr>
    </w:p>
    <w:p>
      <w:pPr>
        <w:ind w:left="500" w:hanging="240"/>
        <w:spacing w:after="0"/>
        <w:tabs>
          <w:tab w:leader="none" w:pos="500" w:val="left"/>
        </w:tabs>
        <w:numPr>
          <w:ilvl w:val="0"/>
          <w:numId w:val="35"/>
        </w:numPr>
        <w:rPr>
          <w:rFonts w:ascii="Calibri" w:cs="Calibri" w:eastAsia="Calibri" w:hAnsi="Calibri"/>
          <w:sz w:val="14"/>
          <w:szCs w:val="14"/>
          <w:color w:val="51555C"/>
        </w:rPr>
      </w:pPr>
      <w:r>
        <w:rPr>
          <w:rFonts w:ascii="Calibri" w:cs="Calibri" w:eastAsia="Calibri" w:hAnsi="Calibri"/>
          <w:sz w:val="14"/>
          <w:szCs w:val="14"/>
          <w:color w:val="51555C"/>
        </w:rPr>
        <w:t>Increasing the amount of interest we pay, partcularly if interest rates increase;</w:t>
      </w:r>
    </w:p>
    <w:p>
      <w:pPr>
        <w:spacing w:after="0" w:line="41" w:lineRule="exact"/>
        <w:rPr>
          <w:rFonts w:ascii="Calibri" w:cs="Calibri" w:eastAsia="Calibri" w:hAnsi="Calibri"/>
          <w:sz w:val="14"/>
          <w:szCs w:val="14"/>
          <w:color w:val="51555C"/>
        </w:rPr>
      </w:pPr>
    </w:p>
    <w:p>
      <w:pPr>
        <w:ind w:left="500" w:hanging="240"/>
        <w:spacing w:after="0"/>
        <w:tabs>
          <w:tab w:leader="none" w:pos="500" w:val="left"/>
        </w:tabs>
        <w:numPr>
          <w:ilvl w:val="0"/>
          <w:numId w:val="35"/>
        </w:numPr>
        <w:rPr>
          <w:rFonts w:ascii="Calibri" w:cs="Calibri" w:eastAsia="Calibri" w:hAnsi="Calibri"/>
          <w:sz w:val="14"/>
          <w:szCs w:val="14"/>
          <w:color w:val="51555C"/>
        </w:rPr>
      </w:pPr>
      <w:r>
        <w:rPr>
          <w:rFonts w:ascii="Calibri" w:cs="Calibri" w:eastAsia="Calibri" w:hAnsi="Calibri"/>
          <w:sz w:val="14"/>
          <w:szCs w:val="14"/>
          <w:color w:val="51555C"/>
        </w:rPr>
        <w:t>Limitng our fexibility in planning for, or reactng to, changes in our business and the industries in which we operate;</w:t>
      </w:r>
    </w:p>
    <w:p>
      <w:pPr>
        <w:spacing w:after="0" w:line="41" w:lineRule="exact"/>
        <w:rPr>
          <w:rFonts w:ascii="Calibri" w:cs="Calibri" w:eastAsia="Calibri" w:hAnsi="Calibri"/>
          <w:sz w:val="14"/>
          <w:szCs w:val="14"/>
          <w:color w:val="51555C"/>
        </w:rPr>
      </w:pPr>
    </w:p>
    <w:p>
      <w:pPr>
        <w:ind w:left="500" w:hanging="240"/>
        <w:spacing w:after="0"/>
        <w:tabs>
          <w:tab w:leader="none" w:pos="500" w:val="left"/>
        </w:tabs>
        <w:numPr>
          <w:ilvl w:val="0"/>
          <w:numId w:val="35"/>
        </w:numPr>
        <w:rPr>
          <w:rFonts w:ascii="Calibri" w:cs="Calibri" w:eastAsia="Calibri" w:hAnsi="Calibri"/>
          <w:sz w:val="14"/>
          <w:szCs w:val="14"/>
          <w:color w:val="51555C"/>
        </w:rPr>
      </w:pPr>
      <w:r>
        <w:rPr>
          <w:rFonts w:ascii="Calibri" w:cs="Calibri" w:eastAsia="Calibri" w:hAnsi="Calibri"/>
          <w:sz w:val="14"/>
          <w:szCs w:val="14"/>
          <w:color w:val="51555C"/>
        </w:rPr>
        <w:t>Restrictng us from making additonal strategic acquisitons or exploitng business opportunites;</w:t>
      </w:r>
    </w:p>
    <w:p>
      <w:pPr>
        <w:spacing w:after="0" w:line="41" w:lineRule="exact"/>
        <w:rPr>
          <w:rFonts w:ascii="Calibri" w:cs="Calibri" w:eastAsia="Calibri" w:hAnsi="Calibri"/>
          <w:sz w:val="14"/>
          <w:szCs w:val="14"/>
          <w:color w:val="51555C"/>
        </w:rPr>
      </w:pPr>
    </w:p>
    <w:p>
      <w:pPr>
        <w:ind w:left="500" w:hanging="240"/>
        <w:spacing w:after="0"/>
        <w:tabs>
          <w:tab w:leader="none" w:pos="500" w:val="left"/>
        </w:tabs>
        <w:numPr>
          <w:ilvl w:val="0"/>
          <w:numId w:val="35"/>
        </w:numPr>
        <w:rPr>
          <w:rFonts w:ascii="Calibri" w:cs="Calibri" w:eastAsia="Calibri" w:hAnsi="Calibri"/>
          <w:sz w:val="14"/>
          <w:szCs w:val="14"/>
          <w:color w:val="51555C"/>
        </w:rPr>
      </w:pPr>
      <w:r>
        <w:rPr>
          <w:rFonts w:ascii="Calibri" w:cs="Calibri" w:eastAsia="Calibri" w:hAnsi="Calibri"/>
          <w:sz w:val="14"/>
          <w:szCs w:val="14"/>
          <w:color w:val="51555C"/>
        </w:rPr>
        <w:t>Placing us at a compettve disadvantage compared to our compettors that have less debt;</w:t>
      </w:r>
    </w:p>
    <w:p>
      <w:pPr>
        <w:spacing w:after="0" w:line="41" w:lineRule="exact"/>
        <w:rPr>
          <w:rFonts w:ascii="Calibri" w:cs="Calibri" w:eastAsia="Calibri" w:hAnsi="Calibri"/>
          <w:sz w:val="14"/>
          <w:szCs w:val="14"/>
          <w:color w:val="51555C"/>
        </w:rPr>
      </w:pPr>
    </w:p>
    <w:p>
      <w:pPr>
        <w:ind w:left="500" w:hanging="240"/>
        <w:spacing w:after="0"/>
        <w:tabs>
          <w:tab w:leader="none" w:pos="500" w:val="left"/>
        </w:tabs>
        <w:numPr>
          <w:ilvl w:val="0"/>
          <w:numId w:val="35"/>
        </w:numPr>
        <w:rPr>
          <w:rFonts w:ascii="Calibri" w:cs="Calibri" w:eastAsia="Calibri" w:hAnsi="Calibri"/>
          <w:sz w:val="14"/>
          <w:szCs w:val="14"/>
          <w:color w:val="51555C"/>
        </w:rPr>
      </w:pPr>
      <w:r>
        <w:rPr>
          <w:rFonts w:ascii="Calibri" w:cs="Calibri" w:eastAsia="Calibri" w:hAnsi="Calibri"/>
          <w:sz w:val="14"/>
          <w:szCs w:val="14"/>
          <w:color w:val="51555C"/>
        </w:rPr>
        <w:t>Reducing our currently available borrowing capacity or limitng our ability to borrow additonal funds; and</w:t>
      </w:r>
    </w:p>
    <w:p>
      <w:pPr>
        <w:spacing w:after="0" w:line="41" w:lineRule="exact"/>
        <w:rPr>
          <w:rFonts w:ascii="Calibri" w:cs="Calibri" w:eastAsia="Calibri" w:hAnsi="Calibri"/>
          <w:sz w:val="14"/>
          <w:szCs w:val="14"/>
          <w:color w:val="51555C"/>
        </w:rPr>
      </w:pPr>
    </w:p>
    <w:p>
      <w:pPr>
        <w:ind w:left="500" w:hanging="240"/>
        <w:spacing w:after="0"/>
        <w:tabs>
          <w:tab w:leader="none" w:pos="500" w:val="left"/>
        </w:tabs>
        <w:numPr>
          <w:ilvl w:val="0"/>
          <w:numId w:val="35"/>
        </w:numPr>
        <w:rPr>
          <w:rFonts w:ascii="Calibri" w:cs="Calibri" w:eastAsia="Calibri" w:hAnsi="Calibri"/>
          <w:sz w:val="14"/>
          <w:szCs w:val="14"/>
          <w:color w:val="51555C"/>
        </w:rPr>
      </w:pPr>
      <w:r>
        <w:rPr>
          <w:rFonts w:ascii="Calibri" w:cs="Calibri" w:eastAsia="Calibri" w:hAnsi="Calibri"/>
          <w:sz w:val="14"/>
          <w:szCs w:val="14"/>
          <w:color w:val="51555C"/>
        </w:rPr>
        <w:t>Decreasing our ability to compete efectvely or operate successfully under adverse economic and industry conditons.</w:t>
      </w:r>
    </w:p>
    <w:p>
      <w:pPr>
        <w:spacing w:after="0" w:line="129" w:lineRule="exact"/>
        <w:rPr>
          <w:sz w:val="20"/>
          <w:szCs w:val="20"/>
          <w:color w:val="auto"/>
        </w:rPr>
      </w:pPr>
    </w:p>
    <w:p>
      <w:pPr>
        <w:jc w:val="both"/>
        <w:spacing w:after="0" w:line="237" w:lineRule="auto"/>
        <w:rPr>
          <w:sz w:val="20"/>
          <w:szCs w:val="20"/>
          <w:color w:val="auto"/>
        </w:rPr>
      </w:pPr>
      <w:r>
        <w:rPr>
          <w:rFonts w:ascii="Calibri" w:cs="Calibri" w:eastAsia="Calibri" w:hAnsi="Calibri"/>
          <w:sz w:val="14"/>
          <w:szCs w:val="14"/>
          <w:color w:val="51555C"/>
        </w:rPr>
        <w:t>If we incur additonal debt, these risks may intensify. Our ability to meet our debt service obligatons will depend upon our future performance, which will be subject to the fnancial, business and other factors afectng our operatons, many of which are beyond our control.</w:t>
      </w:r>
    </w:p>
    <w:p>
      <w:pPr>
        <w:spacing w:after="0" w:line="129" w:lineRule="exact"/>
        <w:rPr>
          <w:sz w:val="20"/>
          <w:szCs w:val="20"/>
          <w:color w:val="auto"/>
        </w:rPr>
      </w:pPr>
    </w:p>
    <w:p>
      <w:pPr>
        <w:jc w:val="both"/>
        <w:spacing w:after="0" w:line="237" w:lineRule="auto"/>
        <w:rPr>
          <w:sz w:val="20"/>
          <w:szCs w:val="20"/>
          <w:color w:val="auto"/>
        </w:rPr>
      </w:pPr>
      <w:r>
        <w:rPr>
          <w:rFonts w:ascii="Calibri" w:cs="Calibri" w:eastAsia="Calibri" w:hAnsi="Calibri"/>
          <w:sz w:val="14"/>
          <w:szCs w:val="14"/>
          <w:color w:val="51555C"/>
        </w:rPr>
        <w:t>In additon, additonal leverage could impact our ability to meet certain fnancial and other covenants contained in our 2024 Credit Facilites, which increased our total borrowing capacity from $1.1 billion to $1.5 billion. (See Note 7 to our unaudited, condensed consolidated fnancial statements included in this report for a more detailed descripton of our 2024 Credit Facilites.) There can be no assurance that we will be able to remain in compliance with the covenants to which we are now subject or may be subject in the future and, if we fail to do so, that we will be able to obtain waivers from our lenders or amend the covenants.</w:t>
      </w:r>
    </w:p>
    <w:p>
      <w:pPr>
        <w:spacing w:after="0" w:line="131" w:lineRule="exact"/>
        <w:rPr>
          <w:sz w:val="20"/>
          <w:szCs w:val="20"/>
          <w:color w:val="auto"/>
        </w:rPr>
      </w:pPr>
    </w:p>
    <w:p>
      <w:pPr>
        <w:jc w:val="both"/>
        <w:spacing w:after="0" w:line="237" w:lineRule="auto"/>
        <w:rPr>
          <w:sz w:val="20"/>
          <w:szCs w:val="20"/>
          <w:color w:val="auto"/>
        </w:rPr>
      </w:pPr>
      <w:r>
        <w:rPr>
          <w:rFonts w:ascii="Calibri" w:cs="Calibri" w:eastAsia="Calibri" w:hAnsi="Calibri"/>
          <w:sz w:val="14"/>
          <w:szCs w:val="14"/>
          <w:color w:val="51555C"/>
        </w:rPr>
        <w:t>In the event of a default under our 2024 Credit Facilites, we could be required to immediately repay all outstanding borrowings, which we might not be able to do and which would materially negatvely afect our business, operatons and fnancial conditon.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6268720</wp:posOffset>
            </wp:positionH>
            <wp:positionV relativeFrom="paragraph">
              <wp:posOffset>187325</wp:posOffset>
            </wp:positionV>
            <wp:extent cx="518795" cy="13462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18795" cy="134620"/>
                    </a:xfrm>
                    <a:prstGeom prst="rect">
                      <a:avLst/>
                    </a:prstGeom>
                    <a:noFill/>
                  </pic:spPr>
                </pic:pic>
              </a:graphicData>
            </a:graphic>
          </wp:anchor>
        </w:drawing>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0400" w:type="dxa"/>
            <w:vAlign w:val="bottom"/>
          </w:tcPr>
          <w:p>
            <w:pPr>
              <w:ind w:left="8160"/>
              <w:spacing w:after="0"/>
              <w:rPr>
                <w:sz w:val="20"/>
                <w:szCs w:val="20"/>
                <w:color w:val="auto"/>
              </w:rPr>
            </w:pPr>
            <w:r>
              <w:rPr>
                <w:rFonts w:ascii="Calibri" w:cs="Calibri" w:eastAsia="Calibri" w:hAnsi="Calibri"/>
                <w:sz w:val="11"/>
                <w:szCs w:val="11"/>
                <w:color w:val="51555C"/>
              </w:rPr>
              <w:t>Second Quarter 2024 Form 10-Q</w:t>
            </w:r>
          </w:p>
        </w:tc>
        <w:tc>
          <w:tcPr>
            <w:tcW w:w="880" w:type="dxa"/>
            <w:vAlign w:val="bottom"/>
          </w:tcPr>
          <w:p>
            <w:pPr>
              <w:jc w:val="right"/>
              <w:spacing w:after="0"/>
              <w:rPr>
                <w:sz w:val="20"/>
                <w:szCs w:val="20"/>
                <w:color w:val="auto"/>
              </w:rPr>
            </w:pPr>
            <w:r>
              <w:rPr>
                <w:rFonts w:ascii="Calibri" w:cs="Calibri" w:eastAsia="Calibri" w:hAnsi="Calibri"/>
                <w:sz w:val="11"/>
                <w:szCs w:val="11"/>
                <w:color w:val="51555C"/>
              </w:rPr>
              <w:t>53</w:t>
            </w:r>
          </w:p>
        </w:tc>
      </w:tr>
      <w:tr>
        <w:trPr>
          <w:trHeight w:val="281"/>
        </w:trPr>
        <w:tc>
          <w:tcPr>
            <w:tcW w:w="104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54" w:name="page55"/>
    <w:bookmarkEnd w:id="54"/>
    <w:p>
      <w:pPr>
        <w:spacing w:after="0"/>
        <w:rPr>
          <w:sz w:val="20"/>
          <w:szCs w:val="20"/>
          <w:color w:val="auto"/>
        </w:rPr>
      </w:pPr>
      <w:r>
        <w:rPr>
          <w:rFonts w:ascii="Calibri" w:cs="Calibri" w:eastAsia="Calibri" w:hAnsi="Calibri"/>
          <w:sz w:val="11"/>
          <w:szCs w:val="11"/>
          <w:u w:val="single" w:color="auto"/>
          <w:color w:val="7A04DD"/>
        </w:rPr>
        <w:t>Table of Contents</w:t>
      </w:r>
    </w:p>
    <w:p>
      <w:pPr>
        <w:spacing w:after="0" w:line="196" w:lineRule="exact"/>
        <w:rPr>
          <w:sz w:val="20"/>
          <w:szCs w:val="20"/>
          <w:color w:val="auto"/>
        </w:rPr>
      </w:pPr>
    </w:p>
    <w:p>
      <w:pPr>
        <w:jc w:val="center"/>
        <w:ind w:right="20"/>
        <w:spacing w:after="0"/>
        <w:rPr>
          <w:sz w:val="20"/>
          <w:szCs w:val="20"/>
          <w:color w:val="auto"/>
        </w:rPr>
      </w:pPr>
      <w:r>
        <w:rPr>
          <w:rFonts w:ascii="Calibri" w:cs="Calibri" w:eastAsia="Calibri" w:hAnsi="Calibri"/>
          <w:sz w:val="14"/>
          <w:szCs w:val="14"/>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Calibri" w:cs="Calibri" w:eastAsia="Calibri" w:hAnsi="Calibri"/>
          <w:sz w:val="23"/>
          <w:szCs w:val="23"/>
          <w:b w:val="1"/>
          <w:bCs w:val="1"/>
          <w:color w:val="004054"/>
        </w:rPr>
        <w:t>ITEM 2. UNREGISTERED SALES OF EQUITY SECURITIES AND USE OF PROCEEDS</w:t>
      </w:r>
    </w:p>
    <w:p>
      <w:pPr>
        <w:spacing w:after="0" w:line="213" w:lineRule="exact"/>
        <w:rPr>
          <w:sz w:val="20"/>
          <w:szCs w:val="20"/>
          <w:color w:val="auto"/>
        </w:rPr>
      </w:pPr>
    </w:p>
    <w:p>
      <w:pPr>
        <w:ind w:left="20"/>
        <w:spacing w:after="0"/>
        <w:rPr>
          <w:sz w:val="20"/>
          <w:szCs w:val="20"/>
          <w:color w:val="auto"/>
        </w:rPr>
      </w:pPr>
      <w:r>
        <w:rPr>
          <w:rFonts w:ascii="Calibri" w:cs="Calibri" w:eastAsia="Calibri" w:hAnsi="Calibri"/>
          <w:sz w:val="17"/>
          <w:szCs w:val="17"/>
          <w:b w:val="1"/>
          <w:bCs w:val="1"/>
          <w:color w:val="006880"/>
        </w:rPr>
        <w:t>Issuer Purchases of Equity Securites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27305</wp:posOffset>
            </wp:positionV>
            <wp:extent cx="7161530" cy="698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7" w:lineRule="exact"/>
        <w:rPr>
          <w:sz w:val="20"/>
          <w:szCs w:val="20"/>
          <w:color w:val="auto"/>
        </w:rPr>
      </w:pPr>
    </w:p>
    <w:p>
      <w:pPr>
        <w:ind w:right="20"/>
        <w:spacing w:after="0" w:line="237" w:lineRule="auto"/>
        <w:rPr>
          <w:sz w:val="20"/>
          <w:szCs w:val="20"/>
          <w:color w:val="auto"/>
        </w:rPr>
      </w:pPr>
      <w:r>
        <w:rPr>
          <w:rFonts w:ascii="Calibri" w:cs="Calibri" w:eastAsia="Calibri" w:hAnsi="Calibri"/>
          <w:sz w:val="14"/>
          <w:szCs w:val="14"/>
          <w:color w:val="51555C"/>
        </w:rPr>
        <w:t>The following table provides informaton about shares of common stock acquired or repurchased during the three months ended June 30, 2024 under the stock repurchase program then in efect, as well as common stock withheld by us to satsfy the minimum tax obligatons of employees due upon vestng of restricted stock awards and units.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5520" w:type="dxa"/>
            <w:vAlign w:val="bottom"/>
            <w:shd w:val="clear" w:color="auto" w:fill="004054"/>
          </w:tcPr>
          <w:p>
            <w:pPr>
              <w:spacing w:after="0"/>
              <w:rPr>
                <w:sz w:val="12"/>
                <w:szCs w:val="12"/>
                <w:color w:val="auto"/>
              </w:rPr>
            </w:pPr>
          </w:p>
        </w:tc>
        <w:tc>
          <w:tcPr>
            <w:tcW w:w="1380" w:type="dxa"/>
            <w:vAlign w:val="bottom"/>
            <w:shd w:val="clear" w:color="auto" w:fill="004054"/>
          </w:tcPr>
          <w:p>
            <w:pPr>
              <w:spacing w:after="0"/>
              <w:rPr>
                <w:sz w:val="12"/>
                <w:szCs w:val="12"/>
                <w:color w:val="auto"/>
              </w:rPr>
            </w:pPr>
          </w:p>
        </w:tc>
        <w:tc>
          <w:tcPr>
            <w:tcW w:w="80" w:type="dxa"/>
            <w:vAlign w:val="bottom"/>
            <w:shd w:val="clear" w:color="auto" w:fill="004054"/>
          </w:tcPr>
          <w:p>
            <w:pPr>
              <w:spacing w:after="0"/>
              <w:rPr>
                <w:sz w:val="12"/>
                <w:szCs w:val="12"/>
                <w:color w:val="auto"/>
              </w:rPr>
            </w:pPr>
          </w:p>
        </w:tc>
        <w:tc>
          <w:tcPr>
            <w:tcW w:w="540" w:type="dxa"/>
            <w:vAlign w:val="bottom"/>
            <w:shd w:val="clear" w:color="auto" w:fill="004054"/>
          </w:tcPr>
          <w:p>
            <w:pPr>
              <w:spacing w:after="0"/>
              <w:rPr>
                <w:sz w:val="12"/>
                <w:szCs w:val="12"/>
                <w:color w:val="auto"/>
              </w:rPr>
            </w:pPr>
          </w:p>
        </w:tc>
        <w:tc>
          <w:tcPr>
            <w:tcW w:w="840" w:type="dxa"/>
            <w:vAlign w:val="bottom"/>
            <w:shd w:val="clear" w:color="auto" w:fill="004054"/>
          </w:tcPr>
          <w:p>
            <w:pPr>
              <w:spacing w:after="0"/>
              <w:rPr>
                <w:sz w:val="12"/>
                <w:szCs w:val="12"/>
                <w:color w:val="auto"/>
              </w:rPr>
            </w:pPr>
          </w:p>
        </w:tc>
        <w:tc>
          <w:tcPr>
            <w:tcW w:w="100" w:type="dxa"/>
            <w:vAlign w:val="bottom"/>
            <w:shd w:val="clear" w:color="auto" w:fill="004054"/>
          </w:tcPr>
          <w:p>
            <w:pPr>
              <w:spacing w:after="0"/>
              <w:rPr>
                <w:sz w:val="12"/>
                <w:szCs w:val="12"/>
                <w:color w:val="auto"/>
              </w:rPr>
            </w:pPr>
          </w:p>
        </w:tc>
        <w:tc>
          <w:tcPr>
            <w:tcW w:w="1360" w:type="dxa"/>
            <w:vAlign w:val="bottom"/>
            <w:shd w:val="clear" w:color="auto" w:fill="004054"/>
          </w:tcPr>
          <w:p>
            <w:pPr>
              <w:spacing w:after="0"/>
              <w:rPr>
                <w:sz w:val="12"/>
                <w:szCs w:val="12"/>
                <w:color w:val="auto"/>
              </w:rPr>
            </w:pPr>
          </w:p>
        </w:tc>
        <w:tc>
          <w:tcPr>
            <w:tcW w:w="100" w:type="dxa"/>
            <w:vAlign w:val="bottom"/>
            <w:shd w:val="clear" w:color="auto" w:fill="004054"/>
          </w:tcPr>
          <w:p>
            <w:pPr>
              <w:spacing w:after="0"/>
              <w:rPr>
                <w:sz w:val="12"/>
                <w:szCs w:val="12"/>
                <w:color w:val="auto"/>
              </w:rPr>
            </w:pPr>
          </w:p>
        </w:tc>
        <w:tc>
          <w:tcPr>
            <w:tcW w:w="380" w:type="dxa"/>
            <w:vAlign w:val="bottom"/>
            <w:shd w:val="clear" w:color="auto" w:fill="004054"/>
          </w:tcPr>
          <w:p>
            <w:pPr>
              <w:spacing w:after="0"/>
              <w:rPr>
                <w:sz w:val="12"/>
                <w:szCs w:val="12"/>
                <w:color w:val="auto"/>
              </w:rPr>
            </w:pPr>
          </w:p>
        </w:tc>
        <w:tc>
          <w:tcPr>
            <w:tcW w:w="98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Approximate</w:t>
            </w:r>
          </w:p>
        </w:tc>
        <w:tc>
          <w:tcPr>
            <w:tcW w:w="20" w:type="dxa"/>
            <w:vAlign w:val="bottom"/>
            <w:shd w:val="clear" w:color="auto" w:fill="004054"/>
          </w:tcPr>
          <w:p>
            <w:pPr>
              <w:spacing w:after="0"/>
              <w:rPr>
                <w:sz w:val="12"/>
                <w:szCs w:val="12"/>
                <w:color w:val="auto"/>
              </w:rPr>
            </w:pPr>
          </w:p>
        </w:tc>
      </w:tr>
      <w:tr>
        <w:trPr>
          <w:trHeight w:val="135"/>
        </w:trPr>
        <w:tc>
          <w:tcPr>
            <w:tcW w:w="5520" w:type="dxa"/>
            <w:vAlign w:val="bottom"/>
            <w:shd w:val="clear" w:color="auto" w:fill="004054"/>
          </w:tcPr>
          <w:p>
            <w:pPr>
              <w:spacing w:after="0"/>
              <w:rPr>
                <w:sz w:val="11"/>
                <w:szCs w:val="11"/>
                <w:color w:val="auto"/>
              </w:rPr>
            </w:pPr>
          </w:p>
        </w:tc>
        <w:tc>
          <w:tcPr>
            <w:tcW w:w="1380" w:type="dxa"/>
            <w:vAlign w:val="bottom"/>
            <w:shd w:val="clear" w:color="auto" w:fill="004054"/>
          </w:tcPr>
          <w:p>
            <w:pPr>
              <w:spacing w:after="0"/>
              <w:rPr>
                <w:sz w:val="11"/>
                <w:szCs w:val="11"/>
                <w:color w:val="auto"/>
              </w:rPr>
            </w:pPr>
          </w:p>
        </w:tc>
        <w:tc>
          <w:tcPr>
            <w:tcW w:w="80" w:type="dxa"/>
            <w:vAlign w:val="bottom"/>
            <w:shd w:val="clear" w:color="auto" w:fill="004054"/>
          </w:tcPr>
          <w:p>
            <w:pPr>
              <w:spacing w:after="0"/>
              <w:rPr>
                <w:sz w:val="11"/>
                <w:szCs w:val="11"/>
                <w:color w:val="auto"/>
              </w:rPr>
            </w:pPr>
          </w:p>
        </w:tc>
        <w:tc>
          <w:tcPr>
            <w:tcW w:w="540" w:type="dxa"/>
            <w:vAlign w:val="bottom"/>
            <w:shd w:val="clear" w:color="auto" w:fill="004054"/>
          </w:tcPr>
          <w:p>
            <w:pPr>
              <w:spacing w:after="0"/>
              <w:rPr>
                <w:sz w:val="11"/>
                <w:szCs w:val="11"/>
                <w:color w:val="auto"/>
              </w:rPr>
            </w:pPr>
          </w:p>
        </w:tc>
        <w:tc>
          <w:tcPr>
            <w:tcW w:w="840" w:type="dxa"/>
            <w:vAlign w:val="bottom"/>
            <w:shd w:val="clear" w:color="auto" w:fill="004054"/>
          </w:tcPr>
          <w:p>
            <w:pPr>
              <w:spacing w:after="0"/>
              <w:rPr>
                <w:sz w:val="11"/>
                <w:szCs w:val="11"/>
                <w:color w:val="auto"/>
              </w:rPr>
            </w:pPr>
          </w:p>
        </w:tc>
        <w:tc>
          <w:tcPr>
            <w:tcW w:w="100" w:type="dxa"/>
            <w:vAlign w:val="bottom"/>
            <w:shd w:val="clear" w:color="auto" w:fill="004054"/>
          </w:tcPr>
          <w:p>
            <w:pPr>
              <w:spacing w:after="0"/>
              <w:rPr>
                <w:sz w:val="11"/>
                <w:szCs w:val="11"/>
                <w:color w:val="auto"/>
              </w:rPr>
            </w:pPr>
          </w:p>
        </w:tc>
        <w:tc>
          <w:tcPr>
            <w:tcW w:w="136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Total number</w:t>
            </w:r>
          </w:p>
        </w:tc>
        <w:tc>
          <w:tcPr>
            <w:tcW w:w="100" w:type="dxa"/>
            <w:vAlign w:val="bottom"/>
            <w:shd w:val="clear" w:color="auto" w:fill="004054"/>
          </w:tcPr>
          <w:p>
            <w:pPr>
              <w:spacing w:after="0"/>
              <w:rPr>
                <w:sz w:val="11"/>
                <w:szCs w:val="11"/>
                <w:color w:val="auto"/>
              </w:rPr>
            </w:pPr>
          </w:p>
        </w:tc>
        <w:tc>
          <w:tcPr>
            <w:tcW w:w="380" w:type="dxa"/>
            <w:vAlign w:val="bottom"/>
            <w:shd w:val="clear" w:color="auto" w:fill="004054"/>
          </w:tcPr>
          <w:p>
            <w:pPr>
              <w:spacing w:after="0"/>
              <w:rPr>
                <w:sz w:val="11"/>
                <w:szCs w:val="11"/>
                <w:color w:val="auto"/>
              </w:rPr>
            </w:pPr>
          </w:p>
        </w:tc>
        <w:tc>
          <w:tcPr>
            <w:tcW w:w="98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dollar value</w:t>
            </w:r>
          </w:p>
        </w:tc>
        <w:tc>
          <w:tcPr>
            <w:tcW w:w="20" w:type="dxa"/>
            <w:vAlign w:val="bottom"/>
            <w:shd w:val="clear" w:color="auto" w:fill="004054"/>
          </w:tcPr>
          <w:p>
            <w:pPr>
              <w:spacing w:after="0"/>
              <w:rPr>
                <w:sz w:val="11"/>
                <w:szCs w:val="11"/>
                <w:color w:val="auto"/>
              </w:rPr>
            </w:pPr>
          </w:p>
        </w:tc>
      </w:tr>
      <w:tr>
        <w:trPr>
          <w:trHeight w:val="138"/>
        </w:trPr>
        <w:tc>
          <w:tcPr>
            <w:tcW w:w="5520" w:type="dxa"/>
            <w:vAlign w:val="bottom"/>
            <w:shd w:val="clear" w:color="auto" w:fill="004054"/>
          </w:tcPr>
          <w:p>
            <w:pPr>
              <w:spacing w:after="0"/>
              <w:rPr>
                <w:sz w:val="11"/>
                <w:szCs w:val="11"/>
                <w:color w:val="auto"/>
              </w:rPr>
            </w:pPr>
          </w:p>
        </w:tc>
        <w:tc>
          <w:tcPr>
            <w:tcW w:w="1380" w:type="dxa"/>
            <w:vAlign w:val="bottom"/>
            <w:shd w:val="clear" w:color="auto" w:fill="004054"/>
          </w:tcPr>
          <w:p>
            <w:pPr>
              <w:spacing w:after="0"/>
              <w:rPr>
                <w:sz w:val="11"/>
                <w:szCs w:val="11"/>
                <w:color w:val="auto"/>
              </w:rPr>
            </w:pPr>
          </w:p>
        </w:tc>
        <w:tc>
          <w:tcPr>
            <w:tcW w:w="80" w:type="dxa"/>
            <w:vAlign w:val="bottom"/>
            <w:shd w:val="clear" w:color="auto" w:fill="004054"/>
          </w:tcPr>
          <w:p>
            <w:pPr>
              <w:spacing w:after="0"/>
              <w:rPr>
                <w:sz w:val="11"/>
                <w:szCs w:val="11"/>
                <w:color w:val="auto"/>
              </w:rPr>
            </w:pPr>
          </w:p>
        </w:tc>
        <w:tc>
          <w:tcPr>
            <w:tcW w:w="540" w:type="dxa"/>
            <w:vAlign w:val="bottom"/>
            <w:shd w:val="clear" w:color="auto" w:fill="004054"/>
          </w:tcPr>
          <w:p>
            <w:pPr>
              <w:spacing w:after="0"/>
              <w:rPr>
                <w:sz w:val="11"/>
                <w:szCs w:val="11"/>
                <w:color w:val="auto"/>
              </w:rPr>
            </w:pPr>
          </w:p>
        </w:tc>
        <w:tc>
          <w:tcPr>
            <w:tcW w:w="840" w:type="dxa"/>
            <w:vAlign w:val="bottom"/>
            <w:shd w:val="clear" w:color="auto" w:fill="004054"/>
          </w:tcPr>
          <w:p>
            <w:pPr>
              <w:spacing w:after="0"/>
              <w:rPr>
                <w:sz w:val="11"/>
                <w:szCs w:val="11"/>
                <w:color w:val="auto"/>
              </w:rPr>
            </w:pPr>
          </w:p>
        </w:tc>
        <w:tc>
          <w:tcPr>
            <w:tcW w:w="100" w:type="dxa"/>
            <w:vAlign w:val="bottom"/>
            <w:shd w:val="clear" w:color="auto" w:fill="004054"/>
          </w:tcPr>
          <w:p>
            <w:pPr>
              <w:spacing w:after="0"/>
              <w:rPr>
                <w:sz w:val="11"/>
                <w:szCs w:val="11"/>
                <w:color w:val="auto"/>
              </w:rPr>
            </w:pPr>
          </w:p>
        </w:tc>
        <w:tc>
          <w:tcPr>
            <w:tcW w:w="136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of shares</w:t>
            </w:r>
          </w:p>
        </w:tc>
        <w:tc>
          <w:tcPr>
            <w:tcW w:w="100" w:type="dxa"/>
            <w:vAlign w:val="bottom"/>
            <w:shd w:val="clear" w:color="auto" w:fill="004054"/>
          </w:tcPr>
          <w:p>
            <w:pPr>
              <w:spacing w:after="0"/>
              <w:rPr>
                <w:sz w:val="11"/>
                <w:szCs w:val="11"/>
                <w:color w:val="auto"/>
              </w:rPr>
            </w:pPr>
          </w:p>
        </w:tc>
        <w:tc>
          <w:tcPr>
            <w:tcW w:w="380" w:type="dxa"/>
            <w:vAlign w:val="bottom"/>
            <w:shd w:val="clear" w:color="auto" w:fill="004054"/>
          </w:tcPr>
          <w:p>
            <w:pPr>
              <w:spacing w:after="0"/>
              <w:rPr>
                <w:sz w:val="11"/>
                <w:szCs w:val="11"/>
                <w:color w:val="auto"/>
              </w:rPr>
            </w:pPr>
          </w:p>
        </w:tc>
        <w:tc>
          <w:tcPr>
            <w:tcW w:w="98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of shares</w:t>
            </w:r>
          </w:p>
        </w:tc>
        <w:tc>
          <w:tcPr>
            <w:tcW w:w="20" w:type="dxa"/>
            <w:vAlign w:val="bottom"/>
            <w:shd w:val="clear" w:color="auto" w:fill="004054"/>
          </w:tcPr>
          <w:p>
            <w:pPr>
              <w:spacing w:after="0"/>
              <w:rPr>
                <w:sz w:val="11"/>
                <w:szCs w:val="11"/>
                <w:color w:val="auto"/>
              </w:rPr>
            </w:pPr>
          </w:p>
        </w:tc>
      </w:tr>
      <w:tr>
        <w:trPr>
          <w:trHeight w:val="130"/>
        </w:trPr>
        <w:tc>
          <w:tcPr>
            <w:tcW w:w="5520" w:type="dxa"/>
            <w:vAlign w:val="bottom"/>
            <w:shd w:val="clear" w:color="auto" w:fill="004054"/>
          </w:tcPr>
          <w:p>
            <w:pPr>
              <w:spacing w:after="0"/>
              <w:rPr>
                <w:sz w:val="11"/>
                <w:szCs w:val="11"/>
                <w:color w:val="auto"/>
              </w:rPr>
            </w:pPr>
          </w:p>
        </w:tc>
        <w:tc>
          <w:tcPr>
            <w:tcW w:w="1380" w:type="dxa"/>
            <w:vAlign w:val="bottom"/>
            <w:shd w:val="clear" w:color="auto" w:fill="004054"/>
          </w:tcPr>
          <w:p>
            <w:pPr>
              <w:spacing w:after="0"/>
              <w:rPr>
                <w:sz w:val="11"/>
                <w:szCs w:val="11"/>
                <w:color w:val="auto"/>
              </w:rPr>
            </w:pPr>
          </w:p>
        </w:tc>
        <w:tc>
          <w:tcPr>
            <w:tcW w:w="80" w:type="dxa"/>
            <w:vAlign w:val="bottom"/>
            <w:shd w:val="clear" w:color="auto" w:fill="004054"/>
          </w:tcPr>
          <w:p>
            <w:pPr>
              <w:spacing w:after="0"/>
              <w:rPr>
                <w:sz w:val="11"/>
                <w:szCs w:val="11"/>
                <w:color w:val="auto"/>
              </w:rPr>
            </w:pPr>
          </w:p>
        </w:tc>
        <w:tc>
          <w:tcPr>
            <w:tcW w:w="540" w:type="dxa"/>
            <w:vAlign w:val="bottom"/>
            <w:shd w:val="clear" w:color="auto" w:fill="004054"/>
          </w:tcPr>
          <w:p>
            <w:pPr>
              <w:spacing w:after="0"/>
              <w:rPr>
                <w:sz w:val="11"/>
                <w:szCs w:val="11"/>
                <w:color w:val="auto"/>
              </w:rPr>
            </w:pPr>
          </w:p>
        </w:tc>
        <w:tc>
          <w:tcPr>
            <w:tcW w:w="840" w:type="dxa"/>
            <w:vAlign w:val="bottom"/>
            <w:shd w:val="clear" w:color="auto" w:fill="004054"/>
          </w:tcPr>
          <w:p>
            <w:pPr>
              <w:spacing w:after="0"/>
              <w:rPr>
                <w:sz w:val="11"/>
                <w:szCs w:val="11"/>
                <w:color w:val="auto"/>
              </w:rPr>
            </w:pPr>
          </w:p>
        </w:tc>
        <w:tc>
          <w:tcPr>
            <w:tcW w:w="100" w:type="dxa"/>
            <w:vAlign w:val="bottom"/>
            <w:shd w:val="clear" w:color="auto" w:fill="004054"/>
          </w:tcPr>
          <w:p>
            <w:pPr>
              <w:spacing w:after="0"/>
              <w:rPr>
                <w:sz w:val="11"/>
                <w:szCs w:val="11"/>
                <w:color w:val="auto"/>
              </w:rPr>
            </w:pPr>
          </w:p>
        </w:tc>
        <w:tc>
          <w:tcPr>
            <w:tcW w:w="1360" w:type="dxa"/>
            <w:vAlign w:val="bottom"/>
            <w:shd w:val="clear" w:color="auto" w:fill="004054"/>
          </w:tcPr>
          <w:p>
            <w:pPr>
              <w:jc w:val="right"/>
              <w:spacing w:after="0" w:line="131" w:lineRule="exact"/>
              <w:rPr>
                <w:sz w:val="20"/>
                <w:szCs w:val="20"/>
                <w:color w:val="auto"/>
              </w:rPr>
            </w:pPr>
            <w:r>
              <w:rPr>
                <w:rFonts w:ascii="Calibri" w:cs="Calibri" w:eastAsia="Calibri" w:hAnsi="Calibri"/>
                <w:sz w:val="11"/>
                <w:szCs w:val="11"/>
                <w:b w:val="1"/>
                <w:bCs w:val="1"/>
                <w:color w:val="FFFFFF"/>
              </w:rPr>
              <w:t>purchased as</w:t>
            </w:r>
          </w:p>
        </w:tc>
        <w:tc>
          <w:tcPr>
            <w:tcW w:w="100" w:type="dxa"/>
            <w:vAlign w:val="bottom"/>
            <w:shd w:val="clear" w:color="auto" w:fill="004054"/>
          </w:tcPr>
          <w:p>
            <w:pPr>
              <w:spacing w:after="0"/>
              <w:rPr>
                <w:sz w:val="11"/>
                <w:szCs w:val="11"/>
                <w:color w:val="auto"/>
              </w:rPr>
            </w:pPr>
          </w:p>
        </w:tc>
        <w:tc>
          <w:tcPr>
            <w:tcW w:w="380" w:type="dxa"/>
            <w:vAlign w:val="bottom"/>
            <w:shd w:val="clear" w:color="auto" w:fill="004054"/>
          </w:tcPr>
          <w:p>
            <w:pPr>
              <w:spacing w:after="0"/>
              <w:rPr>
                <w:sz w:val="11"/>
                <w:szCs w:val="11"/>
                <w:color w:val="auto"/>
              </w:rPr>
            </w:pPr>
          </w:p>
        </w:tc>
        <w:tc>
          <w:tcPr>
            <w:tcW w:w="980" w:type="dxa"/>
            <w:vAlign w:val="bottom"/>
            <w:shd w:val="clear" w:color="auto" w:fill="004054"/>
          </w:tcPr>
          <w:p>
            <w:pPr>
              <w:jc w:val="right"/>
              <w:spacing w:after="0" w:line="131" w:lineRule="exact"/>
              <w:rPr>
                <w:sz w:val="20"/>
                <w:szCs w:val="20"/>
                <w:color w:val="auto"/>
              </w:rPr>
            </w:pPr>
            <w:r>
              <w:rPr>
                <w:rFonts w:ascii="Calibri" w:cs="Calibri" w:eastAsia="Calibri" w:hAnsi="Calibri"/>
                <w:sz w:val="11"/>
                <w:szCs w:val="11"/>
                <w:b w:val="1"/>
                <w:bCs w:val="1"/>
                <w:color w:val="FFFFFF"/>
              </w:rPr>
              <w:t>that may yet</w:t>
            </w:r>
          </w:p>
        </w:tc>
        <w:tc>
          <w:tcPr>
            <w:tcW w:w="20" w:type="dxa"/>
            <w:vAlign w:val="bottom"/>
            <w:shd w:val="clear" w:color="auto" w:fill="004054"/>
          </w:tcPr>
          <w:p>
            <w:pPr>
              <w:spacing w:after="0"/>
              <w:rPr>
                <w:sz w:val="11"/>
                <w:szCs w:val="11"/>
                <w:color w:val="auto"/>
              </w:rPr>
            </w:pPr>
          </w:p>
        </w:tc>
      </w:tr>
      <w:tr>
        <w:trPr>
          <w:trHeight w:val="138"/>
        </w:trPr>
        <w:tc>
          <w:tcPr>
            <w:tcW w:w="5520" w:type="dxa"/>
            <w:vAlign w:val="bottom"/>
            <w:shd w:val="clear" w:color="auto" w:fill="004054"/>
          </w:tcPr>
          <w:p>
            <w:pPr>
              <w:spacing w:after="0"/>
              <w:rPr>
                <w:sz w:val="11"/>
                <w:szCs w:val="11"/>
                <w:color w:val="auto"/>
              </w:rPr>
            </w:pPr>
          </w:p>
        </w:tc>
        <w:tc>
          <w:tcPr>
            <w:tcW w:w="1380" w:type="dxa"/>
            <w:vAlign w:val="bottom"/>
            <w:shd w:val="clear" w:color="auto" w:fill="004054"/>
          </w:tcPr>
          <w:p>
            <w:pPr>
              <w:spacing w:after="0"/>
              <w:rPr>
                <w:sz w:val="11"/>
                <w:szCs w:val="11"/>
                <w:color w:val="auto"/>
              </w:rPr>
            </w:pPr>
          </w:p>
        </w:tc>
        <w:tc>
          <w:tcPr>
            <w:tcW w:w="80" w:type="dxa"/>
            <w:vAlign w:val="bottom"/>
            <w:shd w:val="clear" w:color="auto" w:fill="004054"/>
          </w:tcPr>
          <w:p>
            <w:pPr>
              <w:spacing w:after="0"/>
              <w:rPr>
                <w:sz w:val="11"/>
                <w:szCs w:val="11"/>
                <w:color w:val="auto"/>
              </w:rPr>
            </w:pPr>
          </w:p>
        </w:tc>
        <w:tc>
          <w:tcPr>
            <w:tcW w:w="540" w:type="dxa"/>
            <w:vAlign w:val="bottom"/>
            <w:shd w:val="clear" w:color="auto" w:fill="004054"/>
          </w:tcPr>
          <w:p>
            <w:pPr>
              <w:spacing w:after="0"/>
              <w:rPr>
                <w:sz w:val="11"/>
                <w:szCs w:val="11"/>
                <w:color w:val="auto"/>
              </w:rPr>
            </w:pPr>
          </w:p>
        </w:tc>
        <w:tc>
          <w:tcPr>
            <w:tcW w:w="84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Average</w:t>
            </w:r>
          </w:p>
        </w:tc>
        <w:tc>
          <w:tcPr>
            <w:tcW w:w="100" w:type="dxa"/>
            <w:vAlign w:val="bottom"/>
            <w:shd w:val="clear" w:color="auto" w:fill="004054"/>
          </w:tcPr>
          <w:p>
            <w:pPr>
              <w:spacing w:after="0"/>
              <w:rPr>
                <w:sz w:val="11"/>
                <w:szCs w:val="11"/>
                <w:color w:val="auto"/>
              </w:rPr>
            </w:pPr>
          </w:p>
        </w:tc>
        <w:tc>
          <w:tcPr>
            <w:tcW w:w="136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part of</w:t>
            </w:r>
          </w:p>
        </w:tc>
        <w:tc>
          <w:tcPr>
            <w:tcW w:w="100" w:type="dxa"/>
            <w:vAlign w:val="bottom"/>
            <w:shd w:val="clear" w:color="auto" w:fill="004054"/>
          </w:tcPr>
          <w:p>
            <w:pPr>
              <w:spacing w:after="0"/>
              <w:rPr>
                <w:sz w:val="11"/>
                <w:szCs w:val="11"/>
                <w:color w:val="auto"/>
              </w:rPr>
            </w:pPr>
          </w:p>
        </w:tc>
        <w:tc>
          <w:tcPr>
            <w:tcW w:w="380" w:type="dxa"/>
            <w:vAlign w:val="bottom"/>
            <w:shd w:val="clear" w:color="auto" w:fill="004054"/>
          </w:tcPr>
          <w:p>
            <w:pPr>
              <w:spacing w:after="0"/>
              <w:rPr>
                <w:sz w:val="11"/>
                <w:szCs w:val="11"/>
                <w:color w:val="auto"/>
              </w:rPr>
            </w:pPr>
          </w:p>
        </w:tc>
        <w:tc>
          <w:tcPr>
            <w:tcW w:w="98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be purchased</w:t>
            </w:r>
          </w:p>
        </w:tc>
        <w:tc>
          <w:tcPr>
            <w:tcW w:w="20" w:type="dxa"/>
            <w:vAlign w:val="bottom"/>
            <w:shd w:val="clear" w:color="auto" w:fill="004054"/>
          </w:tcPr>
          <w:p>
            <w:pPr>
              <w:spacing w:after="0"/>
              <w:rPr>
                <w:sz w:val="11"/>
                <w:szCs w:val="11"/>
                <w:color w:val="auto"/>
              </w:rPr>
            </w:pPr>
          </w:p>
        </w:tc>
      </w:tr>
      <w:tr>
        <w:trPr>
          <w:trHeight w:val="135"/>
        </w:trPr>
        <w:tc>
          <w:tcPr>
            <w:tcW w:w="5520" w:type="dxa"/>
            <w:vAlign w:val="bottom"/>
            <w:shd w:val="clear" w:color="auto" w:fill="004054"/>
          </w:tcPr>
          <w:p>
            <w:pPr>
              <w:spacing w:after="0"/>
              <w:rPr>
                <w:sz w:val="11"/>
                <w:szCs w:val="11"/>
                <w:color w:val="auto"/>
              </w:rPr>
            </w:pPr>
          </w:p>
        </w:tc>
        <w:tc>
          <w:tcPr>
            <w:tcW w:w="138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Total</w:t>
            </w:r>
          </w:p>
        </w:tc>
        <w:tc>
          <w:tcPr>
            <w:tcW w:w="80" w:type="dxa"/>
            <w:vAlign w:val="bottom"/>
            <w:shd w:val="clear" w:color="auto" w:fill="004054"/>
          </w:tcPr>
          <w:p>
            <w:pPr>
              <w:spacing w:after="0"/>
              <w:rPr>
                <w:sz w:val="11"/>
                <w:szCs w:val="11"/>
                <w:color w:val="auto"/>
              </w:rPr>
            </w:pPr>
          </w:p>
        </w:tc>
        <w:tc>
          <w:tcPr>
            <w:tcW w:w="540" w:type="dxa"/>
            <w:vAlign w:val="bottom"/>
            <w:shd w:val="clear" w:color="auto" w:fill="004054"/>
          </w:tcPr>
          <w:p>
            <w:pPr>
              <w:spacing w:after="0"/>
              <w:rPr>
                <w:sz w:val="11"/>
                <w:szCs w:val="11"/>
                <w:color w:val="auto"/>
              </w:rPr>
            </w:pPr>
          </w:p>
        </w:tc>
        <w:tc>
          <w:tcPr>
            <w:tcW w:w="84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price</w:t>
            </w:r>
          </w:p>
        </w:tc>
        <w:tc>
          <w:tcPr>
            <w:tcW w:w="100" w:type="dxa"/>
            <w:vAlign w:val="bottom"/>
            <w:shd w:val="clear" w:color="auto" w:fill="004054"/>
          </w:tcPr>
          <w:p>
            <w:pPr>
              <w:spacing w:after="0"/>
              <w:rPr>
                <w:sz w:val="11"/>
                <w:szCs w:val="11"/>
                <w:color w:val="auto"/>
              </w:rPr>
            </w:pPr>
          </w:p>
        </w:tc>
        <w:tc>
          <w:tcPr>
            <w:tcW w:w="136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publicly</w:t>
            </w:r>
          </w:p>
        </w:tc>
        <w:tc>
          <w:tcPr>
            <w:tcW w:w="100" w:type="dxa"/>
            <w:vAlign w:val="bottom"/>
            <w:shd w:val="clear" w:color="auto" w:fill="004054"/>
          </w:tcPr>
          <w:p>
            <w:pPr>
              <w:spacing w:after="0"/>
              <w:rPr>
                <w:sz w:val="11"/>
                <w:szCs w:val="11"/>
                <w:color w:val="auto"/>
              </w:rPr>
            </w:pPr>
          </w:p>
        </w:tc>
        <w:tc>
          <w:tcPr>
            <w:tcW w:w="380" w:type="dxa"/>
            <w:vAlign w:val="bottom"/>
            <w:shd w:val="clear" w:color="auto" w:fill="004054"/>
          </w:tcPr>
          <w:p>
            <w:pPr>
              <w:spacing w:after="0"/>
              <w:rPr>
                <w:sz w:val="11"/>
                <w:szCs w:val="11"/>
                <w:color w:val="auto"/>
              </w:rPr>
            </w:pPr>
          </w:p>
        </w:tc>
        <w:tc>
          <w:tcPr>
            <w:tcW w:w="98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under the</w:t>
            </w:r>
          </w:p>
        </w:tc>
        <w:tc>
          <w:tcPr>
            <w:tcW w:w="20" w:type="dxa"/>
            <w:vAlign w:val="bottom"/>
            <w:shd w:val="clear" w:color="auto" w:fill="004054"/>
          </w:tcPr>
          <w:p>
            <w:pPr>
              <w:spacing w:after="0"/>
              <w:rPr>
                <w:sz w:val="11"/>
                <w:szCs w:val="11"/>
                <w:color w:val="auto"/>
              </w:rPr>
            </w:pPr>
          </w:p>
        </w:tc>
      </w:tr>
      <w:tr>
        <w:trPr>
          <w:trHeight w:val="138"/>
        </w:trPr>
        <w:tc>
          <w:tcPr>
            <w:tcW w:w="5520" w:type="dxa"/>
            <w:vAlign w:val="bottom"/>
            <w:shd w:val="clear" w:color="auto" w:fill="004054"/>
          </w:tcPr>
          <w:p>
            <w:pPr>
              <w:spacing w:after="0"/>
              <w:rPr>
                <w:sz w:val="11"/>
                <w:szCs w:val="11"/>
                <w:color w:val="auto"/>
              </w:rPr>
            </w:pPr>
          </w:p>
        </w:tc>
        <w:tc>
          <w:tcPr>
            <w:tcW w:w="138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number</w:t>
            </w:r>
          </w:p>
        </w:tc>
        <w:tc>
          <w:tcPr>
            <w:tcW w:w="80" w:type="dxa"/>
            <w:vAlign w:val="bottom"/>
            <w:shd w:val="clear" w:color="auto" w:fill="004054"/>
          </w:tcPr>
          <w:p>
            <w:pPr>
              <w:spacing w:after="0"/>
              <w:rPr>
                <w:sz w:val="11"/>
                <w:szCs w:val="11"/>
                <w:color w:val="auto"/>
              </w:rPr>
            </w:pPr>
          </w:p>
        </w:tc>
        <w:tc>
          <w:tcPr>
            <w:tcW w:w="540" w:type="dxa"/>
            <w:vAlign w:val="bottom"/>
            <w:shd w:val="clear" w:color="auto" w:fill="004054"/>
          </w:tcPr>
          <w:p>
            <w:pPr>
              <w:spacing w:after="0"/>
              <w:rPr>
                <w:sz w:val="11"/>
                <w:szCs w:val="11"/>
                <w:color w:val="auto"/>
              </w:rPr>
            </w:pPr>
          </w:p>
        </w:tc>
        <w:tc>
          <w:tcPr>
            <w:tcW w:w="84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paid</w:t>
            </w:r>
          </w:p>
        </w:tc>
        <w:tc>
          <w:tcPr>
            <w:tcW w:w="100" w:type="dxa"/>
            <w:vAlign w:val="bottom"/>
            <w:shd w:val="clear" w:color="auto" w:fill="004054"/>
          </w:tcPr>
          <w:p>
            <w:pPr>
              <w:spacing w:after="0"/>
              <w:rPr>
                <w:sz w:val="11"/>
                <w:szCs w:val="11"/>
                <w:color w:val="auto"/>
              </w:rPr>
            </w:pPr>
          </w:p>
        </w:tc>
        <w:tc>
          <w:tcPr>
            <w:tcW w:w="136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announced</w:t>
            </w:r>
          </w:p>
        </w:tc>
        <w:tc>
          <w:tcPr>
            <w:tcW w:w="100" w:type="dxa"/>
            <w:vAlign w:val="bottom"/>
            <w:shd w:val="clear" w:color="auto" w:fill="004054"/>
          </w:tcPr>
          <w:p>
            <w:pPr>
              <w:spacing w:after="0"/>
              <w:rPr>
                <w:sz w:val="11"/>
                <w:szCs w:val="11"/>
                <w:color w:val="auto"/>
              </w:rPr>
            </w:pPr>
          </w:p>
        </w:tc>
        <w:tc>
          <w:tcPr>
            <w:tcW w:w="380" w:type="dxa"/>
            <w:vAlign w:val="bottom"/>
            <w:shd w:val="clear" w:color="auto" w:fill="004054"/>
          </w:tcPr>
          <w:p>
            <w:pPr>
              <w:spacing w:after="0"/>
              <w:rPr>
                <w:sz w:val="11"/>
                <w:szCs w:val="11"/>
                <w:color w:val="auto"/>
              </w:rPr>
            </w:pPr>
          </w:p>
        </w:tc>
        <w:tc>
          <w:tcPr>
            <w:tcW w:w="98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plans or</w:t>
            </w:r>
          </w:p>
        </w:tc>
        <w:tc>
          <w:tcPr>
            <w:tcW w:w="20" w:type="dxa"/>
            <w:vAlign w:val="bottom"/>
            <w:shd w:val="clear" w:color="auto" w:fill="004054"/>
          </w:tcPr>
          <w:p>
            <w:pPr>
              <w:spacing w:after="0"/>
              <w:rPr>
                <w:sz w:val="11"/>
                <w:szCs w:val="11"/>
                <w:color w:val="auto"/>
              </w:rPr>
            </w:pPr>
          </w:p>
        </w:tc>
      </w:tr>
      <w:tr>
        <w:trPr>
          <w:trHeight w:val="130"/>
        </w:trPr>
        <w:tc>
          <w:tcPr>
            <w:tcW w:w="5520" w:type="dxa"/>
            <w:vAlign w:val="bottom"/>
            <w:shd w:val="clear" w:color="auto" w:fill="004054"/>
          </w:tcPr>
          <w:p>
            <w:pPr>
              <w:spacing w:after="0"/>
              <w:rPr>
                <w:sz w:val="11"/>
                <w:szCs w:val="11"/>
                <w:color w:val="auto"/>
              </w:rPr>
            </w:pPr>
          </w:p>
        </w:tc>
        <w:tc>
          <w:tcPr>
            <w:tcW w:w="1380" w:type="dxa"/>
            <w:vAlign w:val="bottom"/>
            <w:shd w:val="clear" w:color="auto" w:fill="004054"/>
          </w:tcPr>
          <w:p>
            <w:pPr>
              <w:jc w:val="right"/>
              <w:spacing w:after="0" w:line="131" w:lineRule="exact"/>
              <w:rPr>
                <w:sz w:val="20"/>
                <w:szCs w:val="20"/>
                <w:color w:val="auto"/>
              </w:rPr>
            </w:pPr>
            <w:r>
              <w:rPr>
                <w:rFonts w:ascii="Calibri" w:cs="Calibri" w:eastAsia="Calibri" w:hAnsi="Calibri"/>
                <w:sz w:val="11"/>
                <w:szCs w:val="11"/>
                <w:b w:val="1"/>
                <w:bCs w:val="1"/>
                <w:color w:val="FFFFFF"/>
              </w:rPr>
              <w:t>of shares</w:t>
            </w:r>
          </w:p>
        </w:tc>
        <w:tc>
          <w:tcPr>
            <w:tcW w:w="80" w:type="dxa"/>
            <w:vAlign w:val="bottom"/>
            <w:shd w:val="clear" w:color="auto" w:fill="004054"/>
          </w:tcPr>
          <w:p>
            <w:pPr>
              <w:spacing w:after="0"/>
              <w:rPr>
                <w:sz w:val="11"/>
                <w:szCs w:val="11"/>
                <w:color w:val="auto"/>
              </w:rPr>
            </w:pPr>
          </w:p>
        </w:tc>
        <w:tc>
          <w:tcPr>
            <w:tcW w:w="540" w:type="dxa"/>
            <w:vAlign w:val="bottom"/>
            <w:shd w:val="clear" w:color="auto" w:fill="004054"/>
          </w:tcPr>
          <w:p>
            <w:pPr>
              <w:spacing w:after="0"/>
              <w:rPr>
                <w:sz w:val="11"/>
                <w:szCs w:val="11"/>
                <w:color w:val="auto"/>
              </w:rPr>
            </w:pPr>
          </w:p>
        </w:tc>
        <w:tc>
          <w:tcPr>
            <w:tcW w:w="840" w:type="dxa"/>
            <w:vAlign w:val="bottom"/>
            <w:shd w:val="clear" w:color="auto" w:fill="004054"/>
          </w:tcPr>
          <w:p>
            <w:pPr>
              <w:jc w:val="right"/>
              <w:spacing w:after="0" w:line="131" w:lineRule="exact"/>
              <w:rPr>
                <w:sz w:val="20"/>
                <w:szCs w:val="20"/>
                <w:color w:val="auto"/>
              </w:rPr>
            </w:pPr>
            <w:r>
              <w:rPr>
                <w:rFonts w:ascii="Calibri" w:cs="Calibri" w:eastAsia="Calibri" w:hAnsi="Calibri"/>
                <w:sz w:val="11"/>
                <w:szCs w:val="11"/>
                <w:b w:val="1"/>
                <w:bCs w:val="1"/>
                <w:color w:val="FFFFFF"/>
              </w:rPr>
              <w:t>per</w:t>
            </w:r>
          </w:p>
        </w:tc>
        <w:tc>
          <w:tcPr>
            <w:tcW w:w="100" w:type="dxa"/>
            <w:vAlign w:val="bottom"/>
            <w:shd w:val="clear" w:color="auto" w:fill="004054"/>
          </w:tcPr>
          <w:p>
            <w:pPr>
              <w:spacing w:after="0"/>
              <w:rPr>
                <w:sz w:val="11"/>
                <w:szCs w:val="11"/>
                <w:color w:val="auto"/>
              </w:rPr>
            </w:pPr>
          </w:p>
        </w:tc>
        <w:tc>
          <w:tcPr>
            <w:tcW w:w="1360" w:type="dxa"/>
            <w:vAlign w:val="bottom"/>
            <w:shd w:val="clear" w:color="auto" w:fill="004054"/>
          </w:tcPr>
          <w:p>
            <w:pPr>
              <w:jc w:val="right"/>
              <w:spacing w:after="0" w:line="131" w:lineRule="exact"/>
              <w:rPr>
                <w:sz w:val="20"/>
                <w:szCs w:val="20"/>
                <w:color w:val="auto"/>
              </w:rPr>
            </w:pPr>
            <w:r>
              <w:rPr>
                <w:rFonts w:ascii="Calibri" w:cs="Calibri" w:eastAsia="Calibri" w:hAnsi="Calibri"/>
                <w:sz w:val="11"/>
                <w:szCs w:val="11"/>
                <w:b w:val="1"/>
                <w:bCs w:val="1"/>
                <w:color w:val="FFFFFF"/>
              </w:rPr>
              <w:t>plans or</w:t>
            </w:r>
          </w:p>
        </w:tc>
        <w:tc>
          <w:tcPr>
            <w:tcW w:w="100" w:type="dxa"/>
            <w:vAlign w:val="bottom"/>
            <w:shd w:val="clear" w:color="auto" w:fill="004054"/>
          </w:tcPr>
          <w:p>
            <w:pPr>
              <w:spacing w:after="0"/>
              <w:rPr>
                <w:sz w:val="11"/>
                <w:szCs w:val="11"/>
                <w:color w:val="auto"/>
              </w:rPr>
            </w:pPr>
          </w:p>
        </w:tc>
        <w:tc>
          <w:tcPr>
            <w:tcW w:w="380" w:type="dxa"/>
            <w:vAlign w:val="bottom"/>
            <w:shd w:val="clear" w:color="auto" w:fill="004054"/>
          </w:tcPr>
          <w:p>
            <w:pPr>
              <w:spacing w:after="0"/>
              <w:rPr>
                <w:sz w:val="11"/>
                <w:szCs w:val="11"/>
                <w:color w:val="auto"/>
              </w:rPr>
            </w:pPr>
          </w:p>
        </w:tc>
        <w:tc>
          <w:tcPr>
            <w:tcW w:w="980" w:type="dxa"/>
            <w:vAlign w:val="bottom"/>
            <w:shd w:val="clear" w:color="auto" w:fill="004054"/>
          </w:tcPr>
          <w:p>
            <w:pPr>
              <w:jc w:val="right"/>
              <w:spacing w:after="0" w:line="131" w:lineRule="exact"/>
              <w:rPr>
                <w:sz w:val="20"/>
                <w:szCs w:val="20"/>
                <w:color w:val="auto"/>
              </w:rPr>
            </w:pPr>
            <w:r>
              <w:rPr>
                <w:rFonts w:ascii="Calibri" w:cs="Calibri" w:eastAsia="Calibri" w:hAnsi="Calibri"/>
                <w:sz w:val="11"/>
                <w:szCs w:val="11"/>
                <w:b w:val="1"/>
                <w:bCs w:val="1"/>
                <w:color w:val="FFFFFF"/>
              </w:rPr>
              <w:t>programs</w:t>
            </w:r>
          </w:p>
        </w:tc>
        <w:tc>
          <w:tcPr>
            <w:tcW w:w="20" w:type="dxa"/>
            <w:vAlign w:val="bottom"/>
            <w:shd w:val="clear" w:color="auto" w:fill="004054"/>
          </w:tcPr>
          <w:p>
            <w:pPr>
              <w:spacing w:after="0"/>
              <w:rPr>
                <w:sz w:val="11"/>
                <w:szCs w:val="11"/>
                <w:color w:val="auto"/>
              </w:rPr>
            </w:pPr>
          </w:p>
        </w:tc>
      </w:tr>
      <w:tr>
        <w:trPr>
          <w:trHeight w:val="192"/>
        </w:trPr>
        <w:tc>
          <w:tcPr>
            <w:tcW w:w="5520" w:type="dxa"/>
            <w:vAlign w:val="bottom"/>
            <w:shd w:val="clear" w:color="auto" w:fill="004054"/>
          </w:tcPr>
          <w:p>
            <w:pPr>
              <w:ind w:left="20"/>
              <w:spacing w:after="0"/>
              <w:rPr>
                <w:sz w:val="20"/>
                <w:szCs w:val="20"/>
                <w:color w:val="auto"/>
              </w:rPr>
            </w:pPr>
            <w:r>
              <w:rPr>
                <w:rFonts w:ascii="Calibri" w:cs="Calibri" w:eastAsia="Calibri" w:hAnsi="Calibri"/>
                <w:sz w:val="11"/>
                <w:szCs w:val="11"/>
                <w:b w:val="1"/>
                <w:bCs w:val="1"/>
                <w:color w:val="FFFFFF"/>
              </w:rPr>
              <w:t>Period</w:t>
            </w:r>
          </w:p>
        </w:tc>
        <w:tc>
          <w:tcPr>
            <w:tcW w:w="138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purchased</w:t>
            </w:r>
            <w:r>
              <w:rPr>
                <w:rFonts w:ascii="Calibri" w:cs="Calibri" w:eastAsia="Calibri" w:hAnsi="Calibri"/>
                <w:sz w:val="14"/>
                <w:szCs w:val="14"/>
                <w:b w:val="1"/>
                <w:bCs w:val="1"/>
                <w:color w:val="FFFFFF"/>
                <w:vertAlign w:val="superscript"/>
              </w:rPr>
              <w:t>(1)</w:t>
            </w:r>
          </w:p>
        </w:tc>
        <w:tc>
          <w:tcPr>
            <w:tcW w:w="80" w:type="dxa"/>
            <w:vAlign w:val="bottom"/>
            <w:shd w:val="clear" w:color="auto" w:fill="004054"/>
          </w:tcPr>
          <w:p>
            <w:pPr>
              <w:spacing w:after="0"/>
              <w:rPr>
                <w:sz w:val="16"/>
                <w:szCs w:val="16"/>
                <w:color w:val="auto"/>
              </w:rPr>
            </w:pPr>
          </w:p>
        </w:tc>
        <w:tc>
          <w:tcPr>
            <w:tcW w:w="540" w:type="dxa"/>
            <w:vAlign w:val="bottom"/>
            <w:shd w:val="clear" w:color="auto" w:fill="004054"/>
          </w:tcPr>
          <w:p>
            <w:pPr>
              <w:spacing w:after="0"/>
              <w:rPr>
                <w:sz w:val="16"/>
                <w:szCs w:val="16"/>
                <w:color w:val="auto"/>
              </w:rPr>
            </w:pPr>
          </w:p>
        </w:tc>
        <w:tc>
          <w:tcPr>
            <w:tcW w:w="84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share</w:t>
            </w:r>
          </w:p>
        </w:tc>
        <w:tc>
          <w:tcPr>
            <w:tcW w:w="100" w:type="dxa"/>
            <w:vAlign w:val="bottom"/>
            <w:shd w:val="clear" w:color="auto" w:fill="004054"/>
          </w:tcPr>
          <w:p>
            <w:pPr>
              <w:spacing w:after="0"/>
              <w:rPr>
                <w:sz w:val="16"/>
                <w:szCs w:val="16"/>
                <w:color w:val="auto"/>
              </w:rPr>
            </w:pPr>
          </w:p>
        </w:tc>
        <w:tc>
          <w:tcPr>
            <w:tcW w:w="136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programs</w:t>
            </w:r>
            <w:r>
              <w:rPr>
                <w:rFonts w:ascii="Calibri" w:cs="Calibri" w:eastAsia="Calibri" w:hAnsi="Calibri"/>
                <w:sz w:val="14"/>
                <w:szCs w:val="14"/>
                <w:b w:val="1"/>
                <w:bCs w:val="1"/>
                <w:color w:val="FFFFFF"/>
                <w:vertAlign w:val="superscript"/>
              </w:rPr>
              <w:t>(2)</w:t>
            </w:r>
          </w:p>
        </w:tc>
        <w:tc>
          <w:tcPr>
            <w:tcW w:w="100" w:type="dxa"/>
            <w:vAlign w:val="bottom"/>
            <w:shd w:val="clear" w:color="auto" w:fill="004054"/>
          </w:tcPr>
          <w:p>
            <w:pPr>
              <w:spacing w:after="0"/>
              <w:rPr>
                <w:sz w:val="16"/>
                <w:szCs w:val="16"/>
                <w:color w:val="auto"/>
              </w:rPr>
            </w:pPr>
          </w:p>
        </w:tc>
        <w:tc>
          <w:tcPr>
            <w:tcW w:w="380" w:type="dxa"/>
            <w:vAlign w:val="bottom"/>
            <w:shd w:val="clear" w:color="auto" w:fill="004054"/>
          </w:tcPr>
          <w:p>
            <w:pPr>
              <w:spacing w:after="0"/>
              <w:rPr>
                <w:sz w:val="16"/>
                <w:szCs w:val="16"/>
                <w:color w:val="auto"/>
              </w:rPr>
            </w:pPr>
          </w:p>
        </w:tc>
        <w:tc>
          <w:tcPr>
            <w:tcW w:w="98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(in thousands)</w:t>
            </w:r>
          </w:p>
        </w:tc>
        <w:tc>
          <w:tcPr>
            <w:tcW w:w="20" w:type="dxa"/>
            <w:vAlign w:val="bottom"/>
            <w:shd w:val="clear" w:color="auto" w:fill="004054"/>
          </w:tcPr>
          <w:p>
            <w:pPr>
              <w:spacing w:after="0"/>
              <w:rPr>
                <w:sz w:val="16"/>
                <w:szCs w:val="16"/>
                <w:color w:val="auto"/>
              </w:rPr>
            </w:pPr>
          </w:p>
        </w:tc>
      </w:tr>
      <w:tr>
        <w:trPr>
          <w:trHeight w:val="192"/>
        </w:trPr>
        <w:tc>
          <w:tcPr>
            <w:tcW w:w="552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4"/>
                <w:szCs w:val="14"/>
                <w:color w:val="51555C"/>
              </w:rPr>
              <w:t>Beginning balance, April 1, 2024</w:t>
            </w:r>
          </w:p>
        </w:tc>
        <w:tc>
          <w:tcPr>
            <w:tcW w:w="1380" w:type="dxa"/>
            <w:vAlign w:val="bottom"/>
            <w:tcBorders>
              <w:bottom w:val="single" w:sz="8" w:color="EBFBFF"/>
            </w:tcBorders>
            <w:shd w:val="clear" w:color="auto" w:fill="EBFBFF"/>
          </w:tcPr>
          <w:p>
            <w:pPr>
              <w:spacing w:after="0"/>
              <w:rPr>
                <w:sz w:val="16"/>
                <w:szCs w:val="16"/>
                <w:color w:val="auto"/>
              </w:rPr>
            </w:pPr>
          </w:p>
        </w:tc>
        <w:tc>
          <w:tcPr>
            <w:tcW w:w="80" w:type="dxa"/>
            <w:vAlign w:val="bottom"/>
            <w:tcBorders>
              <w:bottom w:val="single" w:sz="8" w:color="EBFBFF"/>
            </w:tcBorders>
            <w:shd w:val="clear" w:color="auto" w:fill="EBFBFF"/>
          </w:tcPr>
          <w:p>
            <w:pPr>
              <w:spacing w:after="0"/>
              <w:rPr>
                <w:sz w:val="16"/>
                <w:szCs w:val="16"/>
                <w:color w:val="auto"/>
              </w:rPr>
            </w:pPr>
          </w:p>
        </w:tc>
        <w:tc>
          <w:tcPr>
            <w:tcW w:w="540" w:type="dxa"/>
            <w:vAlign w:val="bottom"/>
            <w:tcBorders>
              <w:bottom w:val="single" w:sz="8" w:color="EBFBFF"/>
            </w:tcBorders>
            <w:shd w:val="clear" w:color="auto" w:fill="EBFBFF"/>
          </w:tcPr>
          <w:p>
            <w:pPr>
              <w:spacing w:after="0"/>
              <w:rPr>
                <w:sz w:val="16"/>
                <w:szCs w:val="16"/>
                <w:color w:val="auto"/>
              </w:rPr>
            </w:pPr>
          </w:p>
        </w:tc>
        <w:tc>
          <w:tcPr>
            <w:tcW w:w="840" w:type="dxa"/>
            <w:vAlign w:val="bottom"/>
            <w:tcBorders>
              <w:bottom w:val="single" w:sz="8" w:color="EBFBFF"/>
            </w:tcBorders>
            <w:shd w:val="clear" w:color="auto" w:fill="EBFBFF"/>
          </w:tcPr>
          <w:p>
            <w:pPr>
              <w:spacing w:after="0"/>
              <w:rPr>
                <w:sz w:val="16"/>
                <w:szCs w:val="16"/>
                <w:color w:val="auto"/>
              </w:rPr>
            </w:pPr>
          </w:p>
        </w:tc>
        <w:tc>
          <w:tcPr>
            <w:tcW w:w="100" w:type="dxa"/>
            <w:vAlign w:val="bottom"/>
            <w:tcBorders>
              <w:bottom w:val="single" w:sz="8" w:color="EBFBFF"/>
            </w:tcBorders>
            <w:shd w:val="clear" w:color="auto" w:fill="EBFBFF"/>
          </w:tcPr>
          <w:p>
            <w:pPr>
              <w:spacing w:after="0"/>
              <w:rPr>
                <w:sz w:val="16"/>
                <w:szCs w:val="16"/>
                <w:color w:val="auto"/>
              </w:rPr>
            </w:pPr>
          </w:p>
        </w:tc>
        <w:tc>
          <w:tcPr>
            <w:tcW w:w="1360" w:type="dxa"/>
            <w:vAlign w:val="bottom"/>
            <w:tcBorders>
              <w:bottom w:val="single" w:sz="8" w:color="EBFBFF"/>
            </w:tcBorders>
            <w:shd w:val="clear" w:color="auto" w:fill="EBFBFF"/>
          </w:tcPr>
          <w:p>
            <w:pPr>
              <w:spacing w:after="0"/>
              <w:rPr>
                <w:sz w:val="16"/>
                <w:szCs w:val="16"/>
                <w:color w:val="auto"/>
              </w:rPr>
            </w:pPr>
          </w:p>
        </w:tc>
        <w:tc>
          <w:tcPr>
            <w:tcW w:w="100" w:type="dxa"/>
            <w:vAlign w:val="bottom"/>
            <w:tcBorders>
              <w:bottom w:val="single" w:sz="8" w:color="EBFBFF"/>
            </w:tcBorders>
            <w:shd w:val="clear" w:color="auto" w:fill="EBFBFF"/>
          </w:tcPr>
          <w:p>
            <w:pPr>
              <w:spacing w:after="0"/>
              <w:rPr>
                <w:sz w:val="16"/>
                <w:szCs w:val="16"/>
                <w:color w:val="auto"/>
              </w:rPr>
            </w:pPr>
          </w:p>
        </w:tc>
        <w:tc>
          <w:tcPr>
            <w:tcW w:w="380" w:type="dxa"/>
            <w:vAlign w:val="bottom"/>
            <w:tcBorders>
              <w:bottom w:val="single" w:sz="8" w:color="EBFBFF"/>
            </w:tcBorders>
            <w:shd w:val="clear" w:color="auto" w:fill="EBFBFF"/>
          </w:tcPr>
          <w:p>
            <w:pPr>
              <w:jc w:val="right"/>
              <w:ind w:right="229"/>
              <w:spacing w:after="0"/>
              <w:rPr>
                <w:sz w:val="20"/>
                <w:szCs w:val="20"/>
                <w:color w:val="auto"/>
              </w:rPr>
            </w:pPr>
            <w:r>
              <w:rPr>
                <w:rFonts w:ascii="Calibri" w:cs="Calibri" w:eastAsia="Calibri" w:hAnsi="Calibri"/>
                <w:sz w:val="14"/>
                <w:szCs w:val="14"/>
                <w:color w:val="51555C"/>
                <w:w w:val="83"/>
              </w:rPr>
              <w:t>$</w:t>
            </w:r>
          </w:p>
        </w:tc>
        <w:tc>
          <w:tcPr>
            <w:tcW w:w="9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259,716</w:t>
            </w:r>
          </w:p>
        </w:tc>
        <w:tc>
          <w:tcPr>
            <w:tcW w:w="20" w:type="dxa"/>
            <w:vAlign w:val="bottom"/>
          </w:tcPr>
          <w:p>
            <w:pPr>
              <w:spacing w:after="0"/>
              <w:rPr>
                <w:sz w:val="16"/>
                <w:szCs w:val="16"/>
                <w:color w:val="auto"/>
              </w:rPr>
            </w:pPr>
          </w:p>
        </w:tc>
      </w:tr>
      <w:tr>
        <w:trPr>
          <w:trHeight w:val="172"/>
        </w:trPr>
        <w:tc>
          <w:tcPr>
            <w:tcW w:w="5520" w:type="dxa"/>
            <w:vAlign w:val="bottom"/>
          </w:tcPr>
          <w:p>
            <w:pPr>
              <w:ind w:left="20"/>
              <w:spacing w:after="0"/>
              <w:rPr>
                <w:sz w:val="20"/>
                <w:szCs w:val="20"/>
                <w:color w:val="auto"/>
              </w:rPr>
            </w:pPr>
            <w:r>
              <w:rPr>
                <w:rFonts w:ascii="Calibri" w:cs="Calibri" w:eastAsia="Calibri" w:hAnsi="Calibri"/>
                <w:sz w:val="14"/>
                <w:szCs w:val="14"/>
                <w:color w:val="51555C"/>
              </w:rPr>
              <w:t>April 1, 2024 through April 30, 2024</w:t>
            </w:r>
          </w:p>
        </w:tc>
        <w:tc>
          <w:tcPr>
            <w:tcW w:w="1460" w:type="dxa"/>
            <w:vAlign w:val="bottom"/>
            <w:gridSpan w:val="2"/>
          </w:tcPr>
          <w:p>
            <w:pPr>
              <w:jc w:val="right"/>
              <w:ind w:right="140"/>
              <w:spacing w:after="0"/>
              <w:rPr>
                <w:sz w:val="20"/>
                <w:szCs w:val="20"/>
                <w:color w:val="auto"/>
              </w:rPr>
            </w:pPr>
            <w:r>
              <w:rPr>
                <w:rFonts w:ascii="Calibri" w:cs="Calibri" w:eastAsia="Calibri" w:hAnsi="Calibri"/>
                <w:sz w:val="14"/>
                <w:szCs w:val="14"/>
                <w:color w:val="51555C"/>
              </w:rPr>
              <w:t>—</w:t>
            </w:r>
          </w:p>
        </w:tc>
        <w:tc>
          <w:tcPr>
            <w:tcW w:w="540" w:type="dxa"/>
            <w:vAlign w:val="bottom"/>
          </w:tcPr>
          <w:p>
            <w:pPr>
              <w:jc w:val="right"/>
              <w:ind w:right="369"/>
              <w:spacing w:after="0"/>
              <w:rPr>
                <w:sz w:val="20"/>
                <w:szCs w:val="20"/>
                <w:color w:val="auto"/>
              </w:rPr>
            </w:pPr>
            <w:r>
              <w:rPr>
                <w:rFonts w:ascii="Calibri" w:cs="Calibri" w:eastAsia="Calibri" w:hAnsi="Calibri"/>
                <w:sz w:val="14"/>
                <w:szCs w:val="14"/>
                <w:color w:val="51555C"/>
              </w:rPr>
              <w:t>$</w:t>
            </w:r>
          </w:p>
        </w:tc>
        <w:tc>
          <w:tcPr>
            <w:tcW w:w="940" w:type="dxa"/>
            <w:vAlign w:val="bottom"/>
            <w:gridSpan w:val="2"/>
          </w:tcPr>
          <w:p>
            <w:pPr>
              <w:jc w:val="right"/>
              <w:ind w:right="160"/>
              <w:spacing w:after="0"/>
              <w:rPr>
                <w:sz w:val="20"/>
                <w:szCs w:val="20"/>
                <w:color w:val="auto"/>
              </w:rPr>
            </w:pPr>
            <w:r>
              <w:rPr>
                <w:rFonts w:ascii="Calibri" w:cs="Calibri" w:eastAsia="Calibri" w:hAnsi="Calibri"/>
                <w:sz w:val="14"/>
                <w:szCs w:val="14"/>
                <w:color w:val="51555C"/>
              </w:rPr>
              <w:t>—</w:t>
            </w:r>
          </w:p>
        </w:tc>
        <w:tc>
          <w:tcPr>
            <w:tcW w:w="1460" w:type="dxa"/>
            <w:vAlign w:val="bottom"/>
            <w:gridSpan w:val="2"/>
          </w:tcPr>
          <w:p>
            <w:pPr>
              <w:ind w:left="1180"/>
              <w:spacing w:after="0"/>
              <w:rPr>
                <w:sz w:val="20"/>
                <w:szCs w:val="20"/>
                <w:color w:val="auto"/>
              </w:rPr>
            </w:pPr>
            <w:r>
              <w:rPr>
                <w:rFonts w:ascii="Calibri" w:cs="Calibri" w:eastAsia="Calibri" w:hAnsi="Calibri"/>
                <w:sz w:val="14"/>
                <w:szCs w:val="14"/>
                <w:color w:val="51555C"/>
              </w:rPr>
              <w:t>—</w:t>
            </w:r>
          </w:p>
        </w:tc>
        <w:tc>
          <w:tcPr>
            <w:tcW w:w="3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alibri" w:cs="Calibri" w:eastAsia="Calibri" w:hAnsi="Calibri"/>
                <w:sz w:val="14"/>
                <w:szCs w:val="14"/>
                <w:color w:val="51555C"/>
              </w:rPr>
              <w:t>259,716</w:t>
            </w:r>
          </w:p>
        </w:tc>
        <w:tc>
          <w:tcPr>
            <w:tcW w:w="20" w:type="dxa"/>
            <w:vAlign w:val="bottom"/>
          </w:tcPr>
          <w:p>
            <w:pPr>
              <w:spacing w:after="0"/>
              <w:rPr>
                <w:sz w:val="14"/>
                <w:szCs w:val="14"/>
                <w:color w:val="auto"/>
              </w:rPr>
            </w:pPr>
          </w:p>
        </w:tc>
      </w:tr>
      <w:tr>
        <w:trPr>
          <w:trHeight w:val="40"/>
        </w:trPr>
        <w:tc>
          <w:tcPr>
            <w:tcW w:w="55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92"/>
        </w:trPr>
        <w:tc>
          <w:tcPr>
            <w:tcW w:w="552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4"/>
                <w:szCs w:val="14"/>
                <w:color w:val="51555C"/>
              </w:rPr>
              <w:t>May 1, 2024 through May 31, 2024</w:t>
            </w:r>
          </w:p>
        </w:tc>
        <w:tc>
          <w:tcPr>
            <w:tcW w:w="13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22,273</w:t>
            </w:r>
          </w:p>
        </w:tc>
        <w:tc>
          <w:tcPr>
            <w:tcW w:w="80" w:type="dxa"/>
            <w:vAlign w:val="bottom"/>
            <w:tcBorders>
              <w:bottom w:val="single" w:sz="8" w:color="EBFBFF"/>
            </w:tcBorders>
            <w:shd w:val="clear" w:color="auto" w:fill="EBFBFF"/>
          </w:tcPr>
          <w:p>
            <w:pPr>
              <w:spacing w:after="0"/>
              <w:rPr>
                <w:sz w:val="16"/>
                <w:szCs w:val="16"/>
                <w:color w:val="auto"/>
              </w:rPr>
            </w:pPr>
          </w:p>
        </w:tc>
        <w:tc>
          <w:tcPr>
            <w:tcW w:w="540" w:type="dxa"/>
            <w:vAlign w:val="bottom"/>
            <w:tcBorders>
              <w:bottom w:val="single" w:sz="8" w:color="EBFBFF"/>
            </w:tcBorders>
            <w:shd w:val="clear" w:color="auto" w:fill="EBFBFF"/>
          </w:tcPr>
          <w:p>
            <w:pPr>
              <w:spacing w:after="0"/>
              <w:rPr>
                <w:sz w:val="16"/>
                <w:szCs w:val="16"/>
                <w:color w:val="auto"/>
              </w:rPr>
            </w:pPr>
          </w:p>
        </w:tc>
        <w:tc>
          <w:tcPr>
            <w:tcW w:w="8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79.05</w:t>
            </w:r>
          </w:p>
        </w:tc>
        <w:tc>
          <w:tcPr>
            <w:tcW w:w="100" w:type="dxa"/>
            <w:vAlign w:val="bottom"/>
            <w:tcBorders>
              <w:bottom w:val="single" w:sz="8" w:color="EBFBFF"/>
            </w:tcBorders>
            <w:shd w:val="clear" w:color="auto" w:fill="EBFBFF"/>
          </w:tcPr>
          <w:p>
            <w:pPr>
              <w:spacing w:after="0"/>
              <w:rPr>
                <w:sz w:val="16"/>
                <w:szCs w:val="16"/>
                <w:color w:val="auto"/>
              </w:rPr>
            </w:pPr>
          </w:p>
        </w:tc>
        <w:tc>
          <w:tcPr>
            <w:tcW w:w="1460" w:type="dxa"/>
            <w:vAlign w:val="bottom"/>
            <w:tcBorders>
              <w:bottom w:val="single" w:sz="8" w:color="EBFBFF"/>
            </w:tcBorders>
            <w:gridSpan w:val="2"/>
            <w:shd w:val="clear" w:color="auto" w:fill="EBFBFF"/>
          </w:tcPr>
          <w:p>
            <w:pPr>
              <w:ind w:left="1180"/>
              <w:spacing w:after="0"/>
              <w:rPr>
                <w:sz w:val="20"/>
                <w:szCs w:val="20"/>
                <w:color w:val="auto"/>
              </w:rPr>
            </w:pPr>
            <w:r>
              <w:rPr>
                <w:rFonts w:ascii="Calibri" w:cs="Calibri" w:eastAsia="Calibri" w:hAnsi="Calibri"/>
                <w:sz w:val="14"/>
                <w:szCs w:val="14"/>
                <w:color w:val="51555C"/>
              </w:rPr>
              <w:t>—</w:t>
            </w:r>
          </w:p>
        </w:tc>
        <w:tc>
          <w:tcPr>
            <w:tcW w:w="380" w:type="dxa"/>
            <w:vAlign w:val="bottom"/>
            <w:tcBorders>
              <w:bottom w:val="single" w:sz="8" w:color="EBFBFF"/>
            </w:tcBorders>
            <w:shd w:val="clear" w:color="auto" w:fill="EBFBFF"/>
          </w:tcPr>
          <w:p>
            <w:pPr>
              <w:spacing w:after="0"/>
              <w:rPr>
                <w:sz w:val="16"/>
                <w:szCs w:val="16"/>
                <w:color w:val="auto"/>
              </w:rPr>
            </w:pPr>
          </w:p>
        </w:tc>
        <w:tc>
          <w:tcPr>
            <w:tcW w:w="9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259,716</w:t>
            </w:r>
          </w:p>
        </w:tc>
        <w:tc>
          <w:tcPr>
            <w:tcW w:w="20" w:type="dxa"/>
            <w:vAlign w:val="bottom"/>
          </w:tcPr>
          <w:p>
            <w:pPr>
              <w:spacing w:after="0"/>
              <w:rPr>
                <w:sz w:val="16"/>
                <w:szCs w:val="16"/>
                <w:color w:val="auto"/>
              </w:rPr>
            </w:pPr>
          </w:p>
        </w:tc>
      </w:tr>
      <w:tr>
        <w:trPr>
          <w:trHeight w:val="172"/>
        </w:trPr>
        <w:tc>
          <w:tcPr>
            <w:tcW w:w="5520" w:type="dxa"/>
            <w:vAlign w:val="bottom"/>
          </w:tcPr>
          <w:p>
            <w:pPr>
              <w:ind w:left="20"/>
              <w:spacing w:after="0"/>
              <w:rPr>
                <w:sz w:val="20"/>
                <w:szCs w:val="20"/>
                <w:color w:val="auto"/>
              </w:rPr>
            </w:pPr>
            <w:r>
              <w:rPr>
                <w:rFonts w:ascii="Calibri" w:cs="Calibri" w:eastAsia="Calibri" w:hAnsi="Calibri"/>
                <w:sz w:val="14"/>
                <w:szCs w:val="14"/>
                <w:color w:val="51555C"/>
              </w:rPr>
              <w:t>June 1, 2024 through June 30, 2024</w:t>
            </w:r>
          </w:p>
        </w:tc>
        <w:tc>
          <w:tcPr>
            <w:tcW w:w="1460" w:type="dxa"/>
            <w:vAlign w:val="bottom"/>
            <w:gridSpan w:val="2"/>
          </w:tcPr>
          <w:p>
            <w:pPr>
              <w:jc w:val="right"/>
              <w:ind w:right="140"/>
              <w:spacing w:after="0"/>
              <w:rPr>
                <w:sz w:val="20"/>
                <w:szCs w:val="20"/>
                <w:color w:val="auto"/>
              </w:rPr>
            </w:pPr>
            <w:r>
              <w:rPr>
                <w:rFonts w:ascii="Calibri" w:cs="Calibri" w:eastAsia="Calibri" w:hAnsi="Calibri"/>
                <w:sz w:val="14"/>
                <w:szCs w:val="14"/>
                <w:color w:val="51555C"/>
              </w:rPr>
              <w:t>—</w:t>
            </w:r>
          </w:p>
        </w:tc>
        <w:tc>
          <w:tcPr>
            <w:tcW w:w="54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Calibri" w:cs="Calibri" w:eastAsia="Calibri" w:hAnsi="Calibri"/>
                <w:sz w:val="14"/>
                <w:szCs w:val="14"/>
                <w:color w:val="51555C"/>
              </w:rPr>
              <w:t>—</w:t>
            </w:r>
          </w:p>
        </w:tc>
        <w:tc>
          <w:tcPr>
            <w:tcW w:w="1460" w:type="dxa"/>
            <w:vAlign w:val="bottom"/>
            <w:gridSpan w:val="2"/>
          </w:tcPr>
          <w:p>
            <w:pPr>
              <w:ind w:left="1180"/>
              <w:spacing w:after="0"/>
              <w:rPr>
                <w:sz w:val="20"/>
                <w:szCs w:val="20"/>
                <w:color w:val="auto"/>
              </w:rPr>
            </w:pPr>
            <w:r>
              <w:rPr>
                <w:rFonts w:ascii="Calibri" w:cs="Calibri" w:eastAsia="Calibri" w:hAnsi="Calibri"/>
                <w:sz w:val="14"/>
                <w:szCs w:val="14"/>
                <w:color w:val="51555C"/>
              </w:rPr>
              <w:t>—</w:t>
            </w:r>
          </w:p>
        </w:tc>
        <w:tc>
          <w:tcPr>
            <w:tcW w:w="3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alibri" w:cs="Calibri" w:eastAsia="Calibri" w:hAnsi="Calibri"/>
                <w:sz w:val="14"/>
                <w:szCs w:val="14"/>
                <w:color w:val="51555C"/>
              </w:rPr>
              <w:t>259,716</w:t>
            </w:r>
          </w:p>
        </w:tc>
        <w:tc>
          <w:tcPr>
            <w:tcW w:w="20" w:type="dxa"/>
            <w:vAlign w:val="bottom"/>
          </w:tcPr>
          <w:p>
            <w:pPr>
              <w:spacing w:after="0"/>
              <w:rPr>
                <w:sz w:val="14"/>
                <w:szCs w:val="14"/>
                <w:color w:val="auto"/>
              </w:rPr>
            </w:pPr>
          </w:p>
        </w:tc>
      </w:tr>
      <w:tr>
        <w:trPr>
          <w:trHeight w:val="40"/>
        </w:trPr>
        <w:tc>
          <w:tcPr>
            <w:tcW w:w="5520" w:type="dxa"/>
            <w:vAlign w:val="bottom"/>
            <w:tcBorders>
              <w:bottom w:val="single" w:sz="8" w:color="EBFBFF"/>
            </w:tcBorders>
          </w:tcPr>
          <w:p>
            <w:pPr>
              <w:spacing w:after="0"/>
              <w:rPr>
                <w:sz w:val="3"/>
                <w:szCs w:val="3"/>
                <w:color w:val="auto"/>
              </w:rPr>
            </w:pPr>
          </w:p>
        </w:tc>
        <w:tc>
          <w:tcPr>
            <w:tcW w:w="1380" w:type="dxa"/>
            <w:vAlign w:val="bottom"/>
            <w:tcBorders>
              <w:bottom w:val="single" w:sz="8" w:color="51555C"/>
            </w:tcBorders>
          </w:tcPr>
          <w:p>
            <w:pPr>
              <w:spacing w:after="0"/>
              <w:rPr>
                <w:sz w:val="3"/>
                <w:szCs w:val="3"/>
                <w:color w:val="auto"/>
              </w:rPr>
            </w:pPr>
          </w:p>
        </w:tc>
        <w:tc>
          <w:tcPr>
            <w:tcW w:w="80" w:type="dxa"/>
            <w:vAlign w:val="bottom"/>
            <w:tcBorders>
              <w:bottom w:val="single" w:sz="8" w:color="EBFBFF"/>
            </w:tcBorders>
          </w:tcPr>
          <w:p>
            <w:pPr>
              <w:spacing w:after="0"/>
              <w:rPr>
                <w:sz w:val="3"/>
                <w:szCs w:val="3"/>
                <w:color w:val="auto"/>
              </w:rPr>
            </w:pPr>
          </w:p>
        </w:tc>
        <w:tc>
          <w:tcPr>
            <w:tcW w:w="540" w:type="dxa"/>
            <w:vAlign w:val="bottom"/>
            <w:tcBorders>
              <w:bottom w:val="single" w:sz="8" w:color="51555C"/>
            </w:tcBorders>
          </w:tcPr>
          <w:p>
            <w:pPr>
              <w:spacing w:after="0"/>
              <w:rPr>
                <w:sz w:val="3"/>
                <w:szCs w:val="3"/>
                <w:color w:val="auto"/>
              </w:rPr>
            </w:pPr>
          </w:p>
        </w:tc>
        <w:tc>
          <w:tcPr>
            <w:tcW w:w="840" w:type="dxa"/>
            <w:vAlign w:val="bottom"/>
            <w:tcBorders>
              <w:bottom w:val="single" w:sz="8" w:color="51555C"/>
            </w:tcBorders>
          </w:tcPr>
          <w:p>
            <w:pPr>
              <w:spacing w:after="0"/>
              <w:rPr>
                <w:sz w:val="3"/>
                <w:szCs w:val="3"/>
                <w:color w:val="auto"/>
              </w:rPr>
            </w:pPr>
          </w:p>
        </w:tc>
        <w:tc>
          <w:tcPr>
            <w:tcW w:w="100" w:type="dxa"/>
            <w:vAlign w:val="bottom"/>
            <w:tcBorders>
              <w:bottom w:val="single" w:sz="8" w:color="EBFBFF"/>
            </w:tcBorders>
          </w:tcPr>
          <w:p>
            <w:pPr>
              <w:spacing w:after="0"/>
              <w:rPr>
                <w:sz w:val="3"/>
                <w:szCs w:val="3"/>
                <w:color w:val="auto"/>
              </w:rPr>
            </w:pPr>
          </w:p>
        </w:tc>
        <w:tc>
          <w:tcPr>
            <w:tcW w:w="1360" w:type="dxa"/>
            <w:vAlign w:val="bottom"/>
            <w:tcBorders>
              <w:bottom w:val="single" w:sz="8" w:color="51555C"/>
            </w:tcBorders>
          </w:tcPr>
          <w:p>
            <w:pPr>
              <w:spacing w:after="0"/>
              <w:rPr>
                <w:sz w:val="3"/>
                <w:szCs w:val="3"/>
                <w:color w:val="auto"/>
              </w:rPr>
            </w:pPr>
          </w:p>
        </w:tc>
        <w:tc>
          <w:tcPr>
            <w:tcW w:w="100" w:type="dxa"/>
            <w:vAlign w:val="bottom"/>
            <w:tcBorders>
              <w:bottom w:val="single" w:sz="8" w:color="EBFBFF"/>
            </w:tcBorders>
          </w:tcPr>
          <w:p>
            <w:pPr>
              <w:spacing w:after="0"/>
              <w:rPr>
                <w:sz w:val="3"/>
                <w:szCs w:val="3"/>
                <w:color w:val="auto"/>
              </w:rPr>
            </w:pPr>
          </w:p>
        </w:tc>
        <w:tc>
          <w:tcPr>
            <w:tcW w:w="380" w:type="dxa"/>
            <w:vAlign w:val="bottom"/>
            <w:tcBorders>
              <w:bottom w:val="single" w:sz="8" w:color="51555C"/>
            </w:tcBorders>
          </w:tcPr>
          <w:p>
            <w:pPr>
              <w:spacing w:after="0"/>
              <w:rPr>
                <w:sz w:val="3"/>
                <w:szCs w:val="3"/>
                <w:color w:val="auto"/>
              </w:rPr>
            </w:pPr>
          </w:p>
        </w:tc>
        <w:tc>
          <w:tcPr>
            <w:tcW w:w="980" w:type="dxa"/>
            <w:vAlign w:val="bottom"/>
            <w:tcBorders>
              <w:bottom w:val="single" w:sz="8" w:color="51555C"/>
            </w:tcBorders>
          </w:tcPr>
          <w:p>
            <w:pPr>
              <w:spacing w:after="0"/>
              <w:rPr>
                <w:sz w:val="3"/>
                <w:szCs w:val="3"/>
                <w:color w:val="auto"/>
              </w:rPr>
            </w:pPr>
          </w:p>
        </w:tc>
        <w:tc>
          <w:tcPr>
            <w:tcW w:w="20" w:type="dxa"/>
            <w:vAlign w:val="bottom"/>
          </w:tcPr>
          <w:p>
            <w:pPr>
              <w:spacing w:after="0"/>
              <w:rPr>
                <w:sz w:val="3"/>
                <w:szCs w:val="3"/>
                <w:color w:val="auto"/>
              </w:rPr>
            </w:pPr>
          </w:p>
        </w:tc>
      </w:tr>
      <w:tr>
        <w:trPr>
          <w:trHeight w:val="183"/>
        </w:trPr>
        <w:tc>
          <w:tcPr>
            <w:tcW w:w="5520" w:type="dxa"/>
            <w:vAlign w:val="bottom"/>
            <w:tcBorders>
              <w:bottom w:val="single" w:sz="8" w:color="EBFBFF"/>
            </w:tcBorders>
            <w:shd w:val="clear" w:color="auto" w:fill="EBFBFF"/>
          </w:tcPr>
          <w:p>
            <w:pPr>
              <w:ind w:left="20"/>
              <w:spacing w:after="0" w:line="152" w:lineRule="exact"/>
              <w:rPr>
                <w:sz w:val="20"/>
                <w:szCs w:val="20"/>
                <w:color w:val="auto"/>
              </w:rPr>
            </w:pPr>
            <w:r>
              <w:rPr>
                <w:rFonts w:ascii="Calibri" w:cs="Calibri" w:eastAsia="Calibri" w:hAnsi="Calibri"/>
                <w:sz w:val="14"/>
                <w:szCs w:val="14"/>
                <w:b w:val="1"/>
                <w:bCs w:val="1"/>
                <w:color w:val="51555C"/>
              </w:rPr>
              <w:t>Total</w:t>
            </w:r>
          </w:p>
        </w:tc>
        <w:tc>
          <w:tcPr>
            <w:tcW w:w="1380" w:type="dxa"/>
            <w:vAlign w:val="bottom"/>
            <w:tcBorders>
              <w:bottom w:val="single" w:sz="8" w:color="EBFBFF"/>
            </w:tcBorders>
            <w:shd w:val="clear" w:color="auto" w:fill="EBFBFF"/>
          </w:tcPr>
          <w:p>
            <w:pPr>
              <w:jc w:val="right"/>
              <w:spacing w:after="0" w:line="163" w:lineRule="exact"/>
              <w:rPr>
                <w:sz w:val="20"/>
                <w:szCs w:val="20"/>
                <w:color w:val="auto"/>
              </w:rPr>
            </w:pPr>
            <w:r>
              <w:rPr>
                <w:rFonts w:ascii="Calibri" w:cs="Calibri" w:eastAsia="Calibri" w:hAnsi="Calibri"/>
                <w:sz w:val="14"/>
                <w:szCs w:val="14"/>
                <w:color w:val="51555C"/>
              </w:rPr>
              <w:t>22,273</w:t>
            </w:r>
          </w:p>
        </w:tc>
        <w:tc>
          <w:tcPr>
            <w:tcW w:w="80" w:type="dxa"/>
            <w:vAlign w:val="bottom"/>
            <w:tcBorders>
              <w:bottom w:val="single" w:sz="8" w:color="EBFBFF"/>
            </w:tcBorders>
            <w:shd w:val="clear" w:color="auto" w:fill="EBFBFF"/>
          </w:tcPr>
          <w:p>
            <w:pPr>
              <w:spacing w:after="0"/>
              <w:rPr>
                <w:sz w:val="15"/>
                <w:szCs w:val="15"/>
                <w:color w:val="auto"/>
              </w:rPr>
            </w:pPr>
          </w:p>
        </w:tc>
        <w:tc>
          <w:tcPr>
            <w:tcW w:w="540" w:type="dxa"/>
            <w:vAlign w:val="bottom"/>
            <w:tcBorders>
              <w:bottom w:val="single" w:sz="8" w:color="EBFBFF"/>
            </w:tcBorders>
            <w:shd w:val="clear" w:color="auto" w:fill="EBFBFF"/>
          </w:tcPr>
          <w:p>
            <w:pPr>
              <w:jc w:val="right"/>
              <w:ind w:right="369"/>
              <w:spacing w:after="0" w:line="163" w:lineRule="exact"/>
              <w:rPr>
                <w:sz w:val="20"/>
                <w:szCs w:val="20"/>
                <w:color w:val="auto"/>
              </w:rPr>
            </w:pPr>
            <w:r>
              <w:rPr>
                <w:rFonts w:ascii="Calibri" w:cs="Calibri" w:eastAsia="Calibri" w:hAnsi="Calibri"/>
                <w:sz w:val="14"/>
                <w:szCs w:val="14"/>
                <w:color w:val="51555C"/>
              </w:rPr>
              <w:t>$</w:t>
            </w:r>
          </w:p>
        </w:tc>
        <w:tc>
          <w:tcPr>
            <w:tcW w:w="840" w:type="dxa"/>
            <w:vAlign w:val="bottom"/>
            <w:tcBorders>
              <w:bottom w:val="single" w:sz="8" w:color="EBFBFF"/>
            </w:tcBorders>
            <w:shd w:val="clear" w:color="auto" w:fill="EBFBFF"/>
          </w:tcPr>
          <w:p>
            <w:pPr>
              <w:jc w:val="right"/>
              <w:spacing w:after="0" w:line="163" w:lineRule="exact"/>
              <w:rPr>
                <w:sz w:val="20"/>
                <w:szCs w:val="20"/>
                <w:color w:val="auto"/>
              </w:rPr>
            </w:pPr>
            <w:r>
              <w:rPr>
                <w:rFonts w:ascii="Calibri" w:cs="Calibri" w:eastAsia="Calibri" w:hAnsi="Calibri"/>
                <w:sz w:val="14"/>
                <w:szCs w:val="14"/>
                <w:color w:val="51555C"/>
              </w:rPr>
              <w:t>79.05</w:t>
            </w:r>
          </w:p>
        </w:tc>
        <w:tc>
          <w:tcPr>
            <w:tcW w:w="100" w:type="dxa"/>
            <w:vAlign w:val="bottom"/>
            <w:tcBorders>
              <w:bottom w:val="single" w:sz="8" w:color="EBFBFF"/>
            </w:tcBorders>
            <w:shd w:val="clear" w:color="auto" w:fill="EBFBFF"/>
          </w:tcPr>
          <w:p>
            <w:pPr>
              <w:spacing w:after="0"/>
              <w:rPr>
                <w:sz w:val="15"/>
                <w:szCs w:val="15"/>
                <w:color w:val="auto"/>
              </w:rPr>
            </w:pPr>
          </w:p>
        </w:tc>
        <w:tc>
          <w:tcPr>
            <w:tcW w:w="1460" w:type="dxa"/>
            <w:vAlign w:val="bottom"/>
            <w:tcBorders>
              <w:bottom w:val="single" w:sz="8" w:color="EBFBFF"/>
            </w:tcBorders>
            <w:gridSpan w:val="2"/>
            <w:shd w:val="clear" w:color="auto" w:fill="EBFBFF"/>
          </w:tcPr>
          <w:p>
            <w:pPr>
              <w:ind w:left="1180"/>
              <w:spacing w:after="0" w:line="163" w:lineRule="exact"/>
              <w:rPr>
                <w:sz w:val="20"/>
                <w:szCs w:val="20"/>
                <w:color w:val="auto"/>
              </w:rPr>
            </w:pPr>
            <w:r>
              <w:rPr>
                <w:rFonts w:ascii="Calibri" w:cs="Calibri" w:eastAsia="Calibri" w:hAnsi="Calibri"/>
                <w:sz w:val="14"/>
                <w:szCs w:val="14"/>
                <w:color w:val="51555C"/>
              </w:rPr>
              <w:t>—</w:t>
            </w:r>
          </w:p>
        </w:tc>
        <w:tc>
          <w:tcPr>
            <w:tcW w:w="380" w:type="dxa"/>
            <w:vAlign w:val="bottom"/>
            <w:tcBorders>
              <w:bottom w:val="single" w:sz="8" w:color="EBFBFF"/>
            </w:tcBorders>
            <w:shd w:val="clear" w:color="auto" w:fill="EBFBFF"/>
          </w:tcPr>
          <w:p>
            <w:pPr>
              <w:jc w:val="right"/>
              <w:ind w:right="229"/>
              <w:spacing w:after="0" w:line="163" w:lineRule="exact"/>
              <w:rPr>
                <w:sz w:val="20"/>
                <w:szCs w:val="20"/>
                <w:color w:val="auto"/>
              </w:rPr>
            </w:pPr>
            <w:r>
              <w:rPr>
                <w:rFonts w:ascii="Calibri" w:cs="Calibri" w:eastAsia="Calibri" w:hAnsi="Calibri"/>
                <w:sz w:val="14"/>
                <w:szCs w:val="14"/>
                <w:color w:val="51555C"/>
                <w:w w:val="83"/>
              </w:rPr>
              <w:t>$</w:t>
            </w:r>
          </w:p>
        </w:tc>
        <w:tc>
          <w:tcPr>
            <w:tcW w:w="980" w:type="dxa"/>
            <w:vAlign w:val="bottom"/>
            <w:tcBorders>
              <w:bottom w:val="single" w:sz="8" w:color="EBFBFF"/>
            </w:tcBorders>
            <w:shd w:val="clear" w:color="auto" w:fill="EBFBFF"/>
          </w:tcPr>
          <w:p>
            <w:pPr>
              <w:jc w:val="right"/>
              <w:spacing w:after="0" w:line="163" w:lineRule="exact"/>
              <w:rPr>
                <w:sz w:val="20"/>
                <w:szCs w:val="20"/>
                <w:color w:val="auto"/>
              </w:rPr>
            </w:pPr>
            <w:r>
              <w:rPr>
                <w:rFonts w:ascii="Calibri" w:cs="Calibri" w:eastAsia="Calibri" w:hAnsi="Calibri"/>
                <w:sz w:val="14"/>
                <w:szCs w:val="14"/>
                <w:color w:val="51555C"/>
              </w:rPr>
              <w:t>259,716</w:t>
            </w:r>
          </w:p>
        </w:tc>
        <w:tc>
          <w:tcPr>
            <w:tcW w:w="20" w:type="dxa"/>
            <w:vAlign w:val="bottom"/>
          </w:tcPr>
          <w:p>
            <w:pPr>
              <w:spacing w:after="0"/>
              <w:rPr>
                <w:sz w:val="15"/>
                <w:szCs w:val="15"/>
                <w:color w:val="auto"/>
              </w:rPr>
            </w:pPr>
          </w:p>
        </w:tc>
      </w:tr>
      <w:tr>
        <w:trPr>
          <w:trHeight w:val="20"/>
        </w:trPr>
        <w:tc>
          <w:tcPr>
            <w:tcW w:w="5520" w:type="dxa"/>
            <w:vAlign w:val="bottom"/>
            <w:shd w:val="clear" w:color="auto" w:fill="0CD973"/>
          </w:tcPr>
          <w:p>
            <w:pPr>
              <w:spacing w:after="0" w:line="20" w:lineRule="exact"/>
              <w:rPr>
                <w:sz w:val="1"/>
                <w:szCs w:val="1"/>
                <w:color w:val="auto"/>
              </w:rPr>
            </w:pPr>
          </w:p>
        </w:tc>
        <w:tc>
          <w:tcPr>
            <w:tcW w:w="1380" w:type="dxa"/>
            <w:vAlign w:val="bottom"/>
            <w:shd w:val="clear" w:color="auto" w:fill="0CD973"/>
          </w:tcPr>
          <w:p>
            <w:pPr>
              <w:spacing w:after="0" w:line="20" w:lineRule="exact"/>
              <w:rPr>
                <w:sz w:val="1"/>
                <w:szCs w:val="1"/>
                <w:color w:val="auto"/>
              </w:rPr>
            </w:pPr>
          </w:p>
        </w:tc>
        <w:tc>
          <w:tcPr>
            <w:tcW w:w="80" w:type="dxa"/>
            <w:vAlign w:val="bottom"/>
            <w:shd w:val="clear" w:color="auto" w:fill="0CD973"/>
          </w:tcPr>
          <w:p>
            <w:pPr>
              <w:spacing w:after="0" w:line="20" w:lineRule="exact"/>
              <w:rPr>
                <w:sz w:val="1"/>
                <w:szCs w:val="1"/>
                <w:color w:val="auto"/>
              </w:rPr>
            </w:pPr>
          </w:p>
        </w:tc>
        <w:tc>
          <w:tcPr>
            <w:tcW w:w="540" w:type="dxa"/>
            <w:vAlign w:val="bottom"/>
            <w:shd w:val="clear" w:color="auto" w:fill="0CD973"/>
          </w:tcPr>
          <w:p>
            <w:pPr>
              <w:spacing w:after="0" w:line="20" w:lineRule="exact"/>
              <w:rPr>
                <w:sz w:val="1"/>
                <w:szCs w:val="1"/>
                <w:color w:val="auto"/>
              </w:rPr>
            </w:pPr>
          </w:p>
        </w:tc>
        <w:tc>
          <w:tcPr>
            <w:tcW w:w="840" w:type="dxa"/>
            <w:vAlign w:val="bottom"/>
            <w:shd w:val="clear" w:color="auto" w:fill="0CD973"/>
          </w:tcPr>
          <w:p>
            <w:pPr>
              <w:spacing w:after="0" w:line="20" w:lineRule="exact"/>
              <w:rPr>
                <w:sz w:val="1"/>
                <w:szCs w:val="1"/>
                <w:color w:val="auto"/>
              </w:rPr>
            </w:pPr>
          </w:p>
        </w:tc>
        <w:tc>
          <w:tcPr>
            <w:tcW w:w="100" w:type="dxa"/>
            <w:vAlign w:val="bottom"/>
            <w:shd w:val="clear" w:color="auto" w:fill="0CD973"/>
          </w:tcPr>
          <w:p>
            <w:pPr>
              <w:spacing w:after="0" w:line="20" w:lineRule="exact"/>
              <w:rPr>
                <w:sz w:val="1"/>
                <w:szCs w:val="1"/>
                <w:color w:val="auto"/>
              </w:rPr>
            </w:pPr>
          </w:p>
        </w:tc>
        <w:tc>
          <w:tcPr>
            <w:tcW w:w="1360" w:type="dxa"/>
            <w:vAlign w:val="bottom"/>
            <w:shd w:val="clear" w:color="auto" w:fill="0CD973"/>
          </w:tcPr>
          <w:p>
            <w:pPr>
              <w:spacing w:after="0" w:line="20" w:lineRule="exact"/>
              <w:rPr>
                <w:sz w:val="1"/>
                <w:szCs w:val="1"/>
                <w:color w:val="auto"/>
              </w:rPr>
            </w:pPr>
          </w:p>
        </w:tc>
        <w:tc>
          <w:tcPr>
            <w:tcW w:w="100" w:type="dxa"/>
            <w:vAlign w:val="bottom"/>
            <w:shd w:val="clear" w:color="auto" w:fill="0CD973"/>
          </w:tcPr>
          <w:p>
            <w:pPr>
              <w:spacing w:after="0" w:line="20" w:lineRule="exact"/>
              <w:rPr>
                <w:sz w:val="1"/>
                <w:szCs w:val="1"/>
                <w:color w:val="auto"/>
              </w:rPr>
            </w:pPr>
          </w:p>
        </w:tc>
        <w:tc>
          <w:tcPr>
            <w:tcW w:w="380" w:type="dxa"/>
            <w:vAlign w:val="bottom"/>
            <w:shd w:val="clear" w:color="auto" w:fill="0CD973"/>
          </w:tcPr>
          <w:p>
            <w:pPr>
              <w:spacing w:after="0" w:line="20" w:lineRule="exact"/>
              <w:rPr>
                <w:sz w:val="1"/>
                <w:szCs w:val="1"/>
                <w:color w:val="auto"/>
              </w:rPr>
            </w:pPr>
          </w:p>
        </w:tc>
        <w:tc>
          <w:tcPr>
            <w:tcW w:w="98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52" w:lineRule="exact"/>
        <w:rPr>
          <w:sz w:val="20"/>
          <w:szCs w:val="20"/>
          <w:color w:val="auto"/>
        </w:rPr>
      </w:pPr>
    </w:p>
    <w:p>
      <w:pPr>
        <w:ind w:left="260" w:right="20" w:hanging="255"/>
        <w:spacing w:after="0" w:line="246" w:lineRule="auto"/>
        <w:tabs>
          <w:tab w:leader="none" w:pos="258" w:val="left"/>
        </w:tabs>
        <w:numPr>
          <w:ilvl w:val="0"/>
          <w:numId w:val="36"/>
        </w:numPr>
        <w:rPr>
          <w:rFonts w:ascii="Calibri" w:cs="Calibri" w:eastAsia="Calibri" w:hAnsi="Calibri"/>
          <w:sz w:val="11"/>
          <w:szCs w:val="11"/>
          <w:color w:val="51555C"/>
        </w:rPr>
      </w:pPr>
      <w:r>
        <w:rPr>
          <w:rFonts w:ascii="Calibri" w:cs="Calibri" w:eastAsia="Calibri" w:hAnsi="Calibri"/>
          <w:sz w:val="11"/>
          <w:szCs w:val="11"/>
          <w:color w:val="51555C"/>
        </w:rPr>
        <w:t>Includes 22,273 shares in May withheld by us to satsfy the minimum tax obligatons of employees due upon vestng of restricted stock awards and units. The level of this acquisiton actvity varies from period to period based upon the tming of award grants and vestng.</w:t>
      </w:r>
    </w:p>
    <w:p>
      <w:pPr>
        <w:ind w:left="260" w:right="20" w:hanging="255"/>
        <w:spacing w:after="0" w:line="234" w:lineRule="auto"/>
        <w:tabs>
          <w:tab w:leader="none" w:pos="258" w:val="left"/>
        </w:tabs>
        <w:numPr>
          <w:ilvl w:val="0"/>
          <w:numId w:val="36"/>
        </w:numPr>
        <w:rPr>
          <w:rFonts w:ascii="Calibri" w:cs="Calibri" w:eastAsia="Calibri" w:hAnsi="Calibri"/>
          <w:sz w:val="11"/>
          <w:szCs w:val="11"/>
          <w:color w:val="51555C"/>
        </w:rPr>
      </w:pPr>
      <w:r>
        <w:rPr>
          <w:rFonts w:ascii="Calibri" w:cs="Calibri" w:eastAsia="Calibri" w:hAnsi="Calibri"/>
          <w:sz w:val="11"/>
          <w:szCs w:val="11"/>
          <w:color w:val="51555C"/>
        </w:rPr>
        <w:t>In January 2024, our Board of Directors reauthorized, expanded and replenished our stock repurchase program to authorize us to purchase up to $500.0 million of our outstanding shares of common stock. On July 16, 2024, our Board of Directors reauthorized, expanded and replenished our stock repurchase program by raising the total capacity under the program from $500.0 million to $800.0 million available for repurchases. The program does not have an expiraton date.</w:t>
      </w:r>
    </w:p>
    <w:p>
      <w:pPr>
        <w:spacing w:after="0" w:line="272" w:lineRule="exact"/>
        <w:rPr>
          <w:sz w:val="20"/>
          <w:szCs w:val="20"/>
          <w:color w:val="auto"/>
        </w:rPr>
      </w:pPr>
    </w:p>
    <w:p>
      <w:pPr>
        <w:ind w:left="20"/>
        <w:spacing w:after="0"/>
        <w:tabs>
          <w:tab w:leader="none" w:pos="589" w:val="left"/>
        </w:tabs>
        <w:rPr>
          <w:sz w:val="20"/>
          <w:szCs w:val="20"/>
          <w:color w:val="auto"/>
        </w:rPr>
      </w:pPr>
      <w:r>
        <w:rPr>
          <w:rFonts w:ascii="Calibri" w:cs="Calibri" w:eastAsia="Calibri" w:hAnsi="Calibri"/>
          <w:sz w:val="11"/>
          <w:szCs w:val="11"/>
          <w:color w:val="51555C"/>
        </w:rPr>
        <w:t>54</w:t>
      </w:r>
      <w:r>
        <w:rPr>
          <w:sz w:val="20"/>
          <w:szCs w:val="20"/>
          <w:color w:val="auto"/>
        </w:rPr>
        <w:tab/>
      </w:r>
      <w:r>
        <w:rPr>
          <w:sz w:val="1"/>
          <w:szCs w:val="1"/>
          <w:color w:val="auto"/>
        </w:rPr>
        <w:drawing>
          <wp:inline distT="0" distB="0" distL="0" distR="0">
            <wp:extent cx="511810" cy="134620"/>
            <wp:effectExtent l="0" t="0" r="0" b="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11810" cy="134620"/>
                    </a:xfrm>
                    <a:prstGeom prst="rect">
                      <a:avLst/>
                    </a:prstGeom>
                    <a:noFill/>
                    <a:ln>
                      <a:noFill/>
                    </a:ln>
                  </pic:spPr>
                </pic:pic>
              </a:graphicData>
            </a:graphic>
          </wp:inline>
        </w:drawing>
      </w:r>
      <w:r>
        <w:rPr>
          <w:rFonts w:ascii="Calibri" w:cs="Calibri" w:eastAsia="Calibri" w:hAnsi="Calibri"/>
          <w:sz w:val="11"/>
          <w:szCs w:val="11"/>
          <w:color w:val="51555C"/>
        </w:rPr>
        <w:t xml:space="preserve">    Second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135255</wp:posOffset>
            </wp:positionV>
            <wp:extent cx="7186930"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55" w:name="page56"/>
    <w:bookmarkEnd w:id="55"/>
    <w:p>
      <w:pPr>
        <w:spacing w:after="0"/>
        <w:rPr>
          <w:sz w:val="20"/>
          <w:szCs w:val="20"/>
          <w:color w:val="auto"/>
        </w:rPr>
      </w:pPr>
      <w:r>
        <w:rPr>
          <w:rFonts w:ascii="Calibri" w:cs="Calibri" w:eastAsia="Calibri" w:hAnsi="Calibri"/>
          <w:sz w:val="11"/>
          <w:szCs w:val="11"/>
          <w:u w:val="single" w:color="auto"/>
          <w:color w:val="7A04DD"/>
        </w:rPr>
        <w:t>Table of Contents</w:t>
      </w:r>
    </w:p>
    <w:p>
      <w:pPr>
        <w:spacing w:after="0" w:line="196" w:lineRule="exact"/>
        <w:rPr>
          <w:sz w:val="20"/>
          <w:szCs w:val="20"/>
          <w:color w:val="auto"/>
        </w:rPr>
      </w:pPr>
    </w:p>
    <w:p>
      <w:pPr>
        <w:jc w:val="center"/>
        <w:ind w:right="20"/>
        <w:spacing w:after="0"/>
        <w:rPr>
          <w:sz w:val="20"/>
          <w:szCs w:val="20"/>
          <w:color w:val="auto"/>
        </w:rPr>
      </w:pPr>
      <w:r>
        <w:rPr>
          <w:rFonts w:ascii="Calibri" w:cs="Calibri" w:eastAsia="Calibri" w:hAnsi="Calibri"/>
          <w:sz w:val="14"/>
          <w:szCs w:val="14"/>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Calibri" w:cs="Calibri" w:eastAsia="Calibri" w:hAnsi="Calibri"/>
          <w:sz w:val="23"/>
          <w:szCs w:val="23"/>
          <w:b w:val="1"/>
          <w:bCs w:val="1"/>
          <w:color w:val="004054"/>
        </w:rPr>
        <w:t>ITEM 5. OTHER INFORMATION</w:t>
      </w:r>
    </w:p>
    <w:p>
      <w:pPr>
        <w:spacing w:after="0" w:line="213" w:lineRule="exact"/>
        <w:rPr>
          <w:sz w:val="20"/>
          <w:szCs w:val="20"/>
          <w:color w:val="auto"/>
        </w:rPr>
      </w:pPr>
    </w:p>
    <w:p>
      <w:pPr>
        <w:ind w:left="20"/>
        <w:spacing w:after="0"/>
        <w:rPr>
          <w:sz w:val="20"/>
          <w:szCs w:val="20"/>
          <w:color w:val="auto"/>
        </w:rPr>
      </w:pPr>
      <w:r>
        <w:rPr>
          <w:rFonts w:ascii="Calibri" w:cs="Calibri" w:eastAsia="Calibri" w:hAnsi="Calibri"/>
          <w:sz w:val="17"/>
          <w:szCs w:val="17"/>
          <w:b w:val="1"/>
          <w:bCs w:val="1"/>
          <w:color w:val="006880"/>
        </w:rPr>
        <w:t>Trading Arrangements Adopted or Terminated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27305</wp:posOffset>
            </wp:positionV>
            <wp:extent cx="7161530" cy="698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Calibri" w:cs="Calibri" w:eastAsia="Calibri" w:hAnsi="Calibri"/>
          <w:sz w:val="14"/>
          <w:szCs w:val="14"/>
          <w:color w:val="51555C"/>
        </w:rPr>
        <w:t>The following table provides informaton about trading arrangements adopted or terminated by certain of our ofcers and directors during the three months ended June 30, 2024.</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480" w:type="dxa"/>
            <w:vAlign w:val="bottom"/>
            <w:shd w:val="clear" w:color="auto" w:fill="004054"/>
          </w:tcPr>
          <w:p>
            <w:pPr>
              <w:spacing w:after="0"/>
              <w:rPr>
                <w:sz w:val="14"/>
                <w:szCs w:val="14"/>
                <w:color w:val="auto"/>
              </w:rPr>
            </w:pPr>
          </w:p>
        </w:tc>
        <w:tc>
          <w:tcPr>
            <w:tcW w:w="1550" w:type="dxa"/>
            <w:vAlign w:val="bottom"/>
            <w:shd w:val="clear" w:color="auto" w:fill="004054"/>
          </w:tcPr>
          <w:p>
            <w:pPr>
              <w:spacing w:after="0"/>
              <w:rPr>
                <w:sz w:val="14"/>
                <w:szCs w:val="14"/>
                <w:color w:val="auto"/>
              </w:rPr>
            </w:pPr>
          </w:p>
        </w:tc>
        <w:tc>
          <w:tcPr>
            <w:tcW w:w="990" w:type="dxa"/>
            <w:vAlign w:val="bottom"/>
            <w:shd w:val="clear" w:color="auto" w:fill="004054"/>
          </w:tcPr>
          <w:p>
            <w:pPr>
              <w:spacing w:after="0"/>
              <w:rPr>
                <w:sz w:val="14"/>
                <w:szCs w:val="14"/>
                <w:color w:val="auto"/>
              </w:rPr>
            </w:pPr>
          </w:p>
        </w:tc>
        <w:tc>
          <w:tcPr>
            <w:tcW w:w="980" w:type="dxa"/>
            <w:vAlign w:val="bottom"/>
            <w:shd w:val="clear" w:color="auto" w:fill="004054"/>
          </w:tcPr>
          <w:p>
            <w:pPr>
              <w:spacing w:after="0"/>
              <w:rPr>
                <w:sz w:val="14"/>
                <w:szCs w:val="14"/>
                <w:color w:val="auto"/>
              </w:rPr>
            </w:pPr>
          </w:p>
        </w:tc>
        <w:tc>
          <w:tcPr>
            <w:tcW w:w="990" w:type="dxa"/>
            <w:vAlign w:val="bottom"/>
            <w:shd w:val="clear" w:color="auto" w:fill="004054"/>
          </w:tcPr>
          <w:p>
            <w:pPr>
              <w:spacing w:after="0"/>
              <w:rPr>
                <w:sz w:val="14"/>
                <w:szCs w:val="14"/>
                <w:color w:val="auto"/>
              </w:rPr>
            </w:pPr>
          </w:p>
        </w:tc>
        <w:tc>
          <w:tcPr>
            <w:tcW w:w="870" w:type="dxa"/>
            <w:vAlign w:val="bottom"/>
            <w:shd w:val="clear" w:color="auto" w:fill="004054"/>
          </w:tcPr>
          <w:p>
            <w:pPr>
              <w:spacing w:after="0"/>
              <w:rPr>
                <w:sz w:val="14"/>
                <w:szCs w:val="14"/>
                <w:color w:val="auto"/>
              </w:rPr>
            </w:pPr>
          </w:p>
        </w:tc>
        <w:tc>
          <w:tcPr>
            <w:tcW w:w="1310" w:type="dxa"/>
            <w:vAlign w:val="bottom"/>
            <w:gridSpan w:val="2"/>
            <w:vMerge w:val="restart"/>
            <w:shd w:val="clear" w:color="auto" w:fill="004054"/>
          </w:tcPr>
          <w:p>
            <w:pPr>
              <w:ind w:left="120"/>
              <w:spacing w:after="0"/>
              <w:rPr>
                <w:sz w:val="20"/>
                <w:szCs w:val="20"/>
                <w:color w:val="auto"/>
              </w:rPr>
            </w:pPr>
            <w:r>
              <w:rPr>
                <w:rFonts w:ascii="Calibri" w:cs="Calibri" w:eastAsia="Calibri" w:hAnsi="Calibri"/>
                <w:sz w:val="11"/>
                <w:szCs w:val="11"/>
                <w:b w:val="1"/>
                <w:bCs w:val="1"/>
                <w:color w:val="FFFFFF"/>
              </w:rPr>
              <w:t>Trading arrangement</w:t>
            </w:r>
            <w:r>
              <w:rPr>
                <w:rFonts w:ascii="Calibri" w:cs="Calibri" w:eastAsia="Calibri" w:hAnsi="Calibri"/>
                <w:sz w:val="14"/>
                <w:szCs w:val="14"/>
                <w:b w:val="1"/>
                <w:bCs w:val="1"/>
                <w:color w:val="FFFFFF"/>
                <w:vertAlign w:val="superscript"/>
              </w:rPr>
              <w:t>(1)</w:t>
            </w:r>
          </w:p>
        </w:tc>
        <w:tc>
          <w:tcPr>
            <w:tcW w:w="113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Aggregate</w:t>
            </w:r>
          </w:p>
        </w:tc>
        <w:tc>
          <w:tcPr>
            <w:tcW w:w="0" w:type="dxa"/>
            <w:vAlign w:val="bottom"/>
          </w:tcPr>
          <w:p>
            <w:pPr>
              <w:spacing w:after="0"/>
              <w:rPr>
                <w:sz w:val="1"/>
                <w:szCs w:val="1"/>
                <w:color w:val="auto"/>
              </w:rPr>
            </w:pPr>
          </w:p>
        </w:tc>
      </w:tr>
      <w:tr>
        <w:trPr>
          <w:trHeight w:val="110"/>
        </w:trPr>
        <w:tc>
          <w:tcPr>
            <w:tcW w:w="3480" w:type="dxa"/>
            <w:vAlign w:val="bottom"/>
            <w:shd w:val="clear" w:color="auto" w:fill="004054"/>
          </w:tcPr>
          <w:p>
            <w:pPr>
              <w:spacing w:after="0"/>
              <w:rPr>
                <w:sz w:val="9"/>
                <w:szCs w:val="9"/>
                <w:color w:val="auto"/>
              </w:rPr>
            </w:pPr>
          </w:p>
        </w:tc>
        <w:tc>
          <w:tcPr>
            <w:tcW w:w="1550" w:type="dxa"/>
            <w:vAlign w:val="bottom"/>
            <w:shd w:val="clear" w:color="auto" w:fill="004054"/>
          </w:tcPr>
          <w:p>
            <w:pPr>
              <w:spacing w:after="0"/>
              <w:rPr>
                <w:sz w:val="9"/>
                <w:szCs w:val="9"/>
                <w:color w:val="auto"/>
              </w:rPr>
            </w:pPr>
          </w:p>
        </w:tc>
        <w:tc>
          <w:tcPr>
            <w:tcW w:w="990" w:type="dxa"/>
            <w:vAlign w:val="bottom"/>
            <w:shd w:val="clear" w:color="auto" w:fill="004054"/>
          </w:tcPr>
          <w:p>
            <w:pPr>
              <w:spacing w:after="0"/>
              <w:rPr>
                <w:sz w:val="9"/>
                <w:szCs w:val="9"/>
                <w:color w:val="auto"/>
              </w:rPr>
            </w:pPr>
          </w:p>
        </w:tc>
        <w:tc>
          <w:tcPr>
            <w:tcW w:w="980" w:type="dxa"/>
            <w:vAlign w:val="bottom"/>
            <w:shd w:val="clear" w:color="auto" w:fill="004054"/>
          </w:tcPr>
          <w:p>
            <w:pPr>
              <w:spacing w:after="0"/>
              <w:rPr>
                <w:sz w:val="9"/>
                <w:szCs w:val="9"/>
                <w:color w:val="auto"/>
              </w:rPr>
            </w:pPr>
          </w:p>
        </w:tc>
        <w:tc>
          <w:tcPr>
            <w:tcW w:w="990" w:type="dxa"/>
            <w:vAlign w:val="bottom"/>
            <w:shd w:val="clear" w:color="auto" w:fill="004054"/>
          </w:tcPr>
          <w:p>
            <w:pPr>
              <w:spacing w:after="0"/>
              <w:rPr>
                <w:sz w:val="9"/>
                <w:szCs w:val="9"/>
                <w:color w:val="auto"/>
              </w:rPr>
            </w:pPr>
          </w:p>
        </w:tc>
        <w:tc>
          <w:tcPr>
            <w:tcW w:w="870" w:type="dxa"/>
            <w:vAlign w:val="bottom"/>
            <w:shd w:val="clear" w:color="auto" w:fill="004054"/>
          </w:tcPr>
          <w:p>
            <w:pPr>
              <w:spacing w:after="0"/>
              <w:rPr>
                <w:sz w:val="9"/>
                <w:szCs w:val="9"/>
                <w:color w:val="auto"/>
              </w:rPr>
            </w:pPr>
          </w:p>
        </w:tc>
        <w:tc>
          <w:tcPr>
            <w:tcW w:w="1310" w:type="dxa"/>
            <w:vAlign w:val="bottom"/>
            <w:gridSpan w:val="2"/>
            <w:vMerge w:val="continue"/>
            <w:shd w:val="clear" w:color="auto" w:fill="004054"/>
          </w:tcPr>
          <w:p>
            <w:pPr>
              <w:spacing w:after="0"/>
              <w:rPr>
                <w:sz w:val="9"/>
                <w:szCs w:val="9"/>
                <w:color w:val="auto"/>
              </w:rPr>
            </w:pPr>
          </w:p>
        </w:tc>
        <w:tc>
          <w:tcPr>
            <w:tcW w:w="1130" w:type="dxa"/>
            <w:vAlign w:val="bottom"/>
            <w:vMerge w:val="restart"/>
            <w:shd w:val="clear" w:color="auto" w:fill="004054"/>
          </w:tcPr>
          <w:p>
            <w:pPr>
              <w:jc w:val="right"/>
              <w:spacing w:after="0" w:line="131" w:lineRule="exact"/>
              <w:rPr>
                <w:sz w:val="20"/>
                <w:szCs w:val="20"/>
                <w:color w:val="auto"/>
              </w:rPr>
            </w:pPr>
            <w:r>
              <w:rPr>
                <w:rFonts w:ascii="Calibri" w:cs="Calibri" w:eastAsia="Calibri" w:hAnsi="Calibri"/>
                <w:sz w:val="11"/>
                <w:szCs w:val="11"/>
                <w:b w:val="1"/>
                <w:bCs w:val="1"/>
                <w:color w:val="FFFFFF"/>
              </w:rPr>
              <w:t>number of</w:t>
            </w:r>
          </w:p>
        </w:tc>
        <w:tc>
          <w:tcPr>
            <w:tcW w:w="0" w:type="dxa"/>
            <w:vAlign w:val="bottom"/>
          </w:tcPr>
          <w:p>
            <w:pPr>
              <w:spacing w:after="0"/>
              <w:rPr>
                <w:sz w:val="1"/>
                <w:szCs w:val="1"/>
                <w:color w:val="auto"/>
              </w:rPr>
            </w:pPr>
          </w:p>
        </w:tc>
      </w:tr>
      <w:tr>
        <w:trPr>
          <w:trHeight w:val="21"/>
        </w:trPr>
        <w:tc>
          <w:tcPr>
            <w:tcW w:w="3480" w:type="dxa"/>
            <w:vAlign w:val="bottom"/>
            <w:shd w:val="clear" w:color="auto" w:fill="004054"/>
          </w:tcPr>
          <w:p>
            <w:pPr>
              <w:spacing w:after="0" w:line="20" w:lineRule="exact"/>
              <w:rPr>
                <w:sz w:val="1"/>
                <w:szCs w:val="1"/>
                <w:color w:val="auto"/>
              </w:rPr>
            </w:pPr>
          </w:p>
        </w:tc>
        <w:tc>
          <w:tcPr>
            <w:tcW w:w="1550" w:type="dxa"/>
            <w:vAlign w:val="bottom"/>
            <w:shd w:val="clear" w:color="auto" w:fill="004054"/>
          </w:tcPr>
          <w:p>
            <w:pPr>
              <w:spacing w:after="0" w:line="20" w:lineRule="exact"/>
              <w:rPr>
                <w:sz w:val="1"/>
                <w:szCs w:val="1"/>
                <w:color w:val="auto"/>
              </w:rPr>
            </w:pPr>
          </w:p>
        </w:tc>
        <w:tc>
          <w:tcPr>
            <w:tcW w:w="990" w:type="dxa"/>
            <w:vAlign w:val="bottom"/>
            <w:shd w:val="clear" w:color="auto" w:fill="004054"/>
          </w:tcPr>
          <w:p>
            <w:pPr>
              <w:spacing w:after="0" w:line="20" w:lineRule="exact"/>
              <w:rPr>
                <w:sz w:val="1"/>
                <w:szCs w:val="1"/>
                <w:color w:val="auto"/>
              </w:rPr>
            </w:pPr>
          </w:p>
        </w:tc>
        <w:tc>
          <w:tcPr>
            <w:tcW w:w="980" w:type="dxa"/>
            <w:vAlign w:val="bottom"/>
            <w:shd w:val="clear" w:color="auto" w:fill="004054"/>
          </w:tcPr>
          <w:p>
            <w:pPr>
              <w:spacing w:after="0" w:line="20" w:lineRule="exact"/>
              <w:rPr>
                <w:sz w:val="1"/>
                <w:szCs w:val="1"/>
                <w:color w:val="auto"/>
              </w:rPr>
            </w:pPr>
          </w:p>
        </w:tc>
        <w:tc>
          <w:tcPr>
            <w:tcW w:w="990" w:type="dxa"/>
            <w:vAlign w:val="bottom"/>
            <w:shd w:val="clear" w:color="auto" w:fill="004054"/>
          </w:tcPr>
          <w:p>
            <w:pPr>
              <w:spacing w:after="0" w:line="20" w:lineRule="exact"/>
              <w:rPr>
                <w:sz w:val="1"/>
                <w:szCs w:val="1"/>
                <w:color w:val="auto"/>
              </w:rPr>
            </w:pPr>
          </w:p>
        </w:tc>
        <w:tc>
          <w:tcPr>
            <w:tcW w:w="870" w:type="dxa"/>
            <w:vAlign w:val="bottom"/>
            <w:shd w:val="clear" w:color="auto" w:fill="004054"/>
          </w:tcPr>
          <w:p>
            <w:pPr>
              <w:spacing w:after="0" w:line="20" w:lineRule="exact"/>
              <w:rPr>
                <w:sz w:val="1"/>
                <w:szCs w:val="1"/>
                <w:color w:val="auto"/>
              </w:rPr>
            </w:pPr>
          </w:p>
        </w:tc>
        <w:tc>
          <w:tcPr>
            <w:tcW w:w="660" w:type="dxa"/>
            <w:vAlign w:val="bottom"/>
            <w:shd w:val="clear" w:color="auto" w:fill="004054"/>
          </w:tcPr>
          <w:p>
            <w:pPr>
              <w:spacing w:after="0" w:line="20" w:lineRule="exact"/>
              <w:rPr>
                <w:sz w:val="1"/>
                <w:szCs w:val="1"/>
                <w:color w:val="auto"/>
              </w:rPr>
            </w:pPr>
          </w:p>
        </w:tc>
        <w:tc>
          <w:tcPr>
            <w:tcW w:w="650" w:type="dxa"/>
            <w:vAlign w:val="bottom"/>
            <w:shd w:val="clear" w:color="auto" w:fill="004054"/>
          </w:tcPr>
          <w:p>
            <w:pPr>
              <w:spacing w:after="0" w:line="20" w:lineRule="exact"/>
              <w:rPr>
                <w:sz w:val="1"/>
                <w:szCs w:val="1"/>
                <w:color w:val="auto"/>
              </w:rPr>
            </w:pPr>
          </w:p>
        </w:tc>
        <w:tc>
          <w:tcPr>
            <w:tcW w:w="1130" w:type="dxa"/>
            <w:vAlign w:val="bottom"/>
            <w:vMerge w:val="continue"/>
            <w:shd w:val="clear" w:color="auto" w:fill="00405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3480" w:type="dxa"/>
            <w:vAlign w:val="bottom"/>
            <w:shd w:val="clear" w:color="auto" w:fill="004054"/>
          </w:tcPr>
          <w:p>
            <w:pPr>
              <w:spacing w:after="0"/>
              <w:rPr>
                <w:sz w:val="12"/>
                <w:szCs w:val="12"/>
                <w:color w:val="auto"/>
              </w:rPr>
            </w:pPr>
          </w:p>
        </w:tc>
        <w:tc>
          <w:tcPr>
            <w:tcW w:w="1550" w:type="dxa"/>
            <w:vAlign w:val="bottom"/>
            <w:shd w:val="clear" w:color="auto" w:fill="004054"/>
          </w:tcPr>
          <w:p>
            <w:pPr>
              <w:spacing w:after="0"/>
              <w:rPr>
                <w:sz w:val="12"/>
                <w:szCs w:val="12"/>
                <w:color w:val="auto"/>
              </w:rPr>
            </w:pPr>
          </w:p>
        </w:tc>
        <w:tc>
          <w:tcPr>
            <w:tcW w:w="990" w:type="dxa"/>
            <w:vAlign w:val="bottom"/>
            <w:shd w:val="clear" w:color="auto" w:fill="004054"/>
          </w:tcPr>
          <w:p>
            <w:pPr>
              <w:spacing w:after="0"/>
              <w:rPr>
                <w:sz w:val="12"/>
                <w:szCs w:val="12"/>
                <w:color w:val="auto"/>
              </w:rPr>
            </w:pPr>
          </w:p>
        </w:tc>
        <w:tc>
          <w:tcPr>
            <w:tcW w:w="980" w:type="dxa"/>
            <w:vAlign w:val="bottom"/>
            <w:shd w:val="clear" w:color="auto" w:fill="004054"/>
          </w:tcPr>
          <w:p>
            <w:pPr>
              <w:jc w:val="center"/>
              <w:spacing w:after="0"/>
              <w:rPr>
                <w:sz w:val="20"/>
                <w:szCs w:val="20"/>
                <w:color w:val="auto"/>
              </w:rPr>
            </w:pPr>
            <w:r>
              <w:rPr>
                <w:rFonts w:ascii="Calibri" w:cs="Calibri" w:eastAsia="Calibri" w:hAnsi="Calibri"/>
                <w:sz w:val="11"/>
                <w:szCs w:val="11"/>
                <w:b w:val="1"/>
                <w:bCs w:val="1"/>
                <w:color w:val="FFFFFF"/>
              </w:rPr>
              <w:t>Plan</w:t>
            </w:r>
          </w:p>
        </w:tc>
        <w:tc>
          <w:tcPr>
            <w:tcW w:w="990" w:type="dxa"/>
            <w:vAlign w:val="bottom"/>
            <w:shd w:val="clear" w:color="auto" w:fill="004054"/>
          </w:tcPr>
          <w:p>
            <w:pPr>
              <w:ind w:left="400"/>
              <w:spacing w:after="0"/>
              <w:rPr>
                <w:sz w:val="20"/>
                <w:szCs w:val="20"/>
                <w:color w:val="auto"/>
              </w:rPr>
            </w:pPr>
            <w:r>
              <w:rPr>
                <w:rFonts w:ascii="Calibri" w:cs="Calibri" w:eastAsia="Calibri" w:hAnsi="Calibri"/>
                <w:sz w:val="11"/>
                <w:szCs w:val="11"/>
                <w:b w:val="1"/>
                <w:bCs w:val="1"/>
                <w:color w:val="FFFFFF"/>
              </w:rPr>
              <w:t>Plan</w:t>
            </w:r>
          </w:p>
        </w:tc>
        <w:tc>
          <w:tcPr>
            <w:tcW w:w="870" w:type="dxa"/>
            <w:vAlign w:val="bottom"/>
            <w:shd w:val="clear" w:color="auto" w:fill="004054"/>
          </w:tcPr>
          <w:p>
            <w:pPr>
              <w:jc w:val="center"/>
              <w:spacing w:after="0"/>
              <w:rPr>
                <w:sz w:val="20"/>
                <w:szCs w:val="20"/>
                <w:color w:val="auto"/>
              </w:rPr>
            </w:pPr>
            <w:r>
              <w:rPr>
                <w:rFonts w:ascii="Calibri" w:cs="Calibri" w:eastAsia="Calibri" w:hAnsi="Calibri"/>
                <w:sz w:val="11"/>
                <w:szCs w:val="11"/>
                <w:b w:val="1"/>
                <w:bCs w:val="1"/>
                <w:color w:val="FFFFFF"/>
              </w:rPr>
              <w:t>Plan</w:t>
            </w:r>
          </w:p>
        </w:tc>
        <w:tc>
          <w:tcPr>
            <w:tcW w:w="660" w:type="dxa"/>
            <w:vAlign w:val="bottom"/>
            <w:shd w:val="clear" w:color="auto" w:fill="004054"/>
          </w:tcPr>
          <w:p>
            <w:pPr>
              <w:spacing w:after="0"/>
              <w:rPr>
                <w:sz w:val="12"/>
                <w:szCs w:val="12"/>
                <w:color w:val="auto"/>
              </w:rPr>
            </w:pPr>
          </w:p>
        </w:tc>
        <w:tc>
          <w:tcPr>
            <w:tcW w:w="650" w:type="dxa"/>
            <w:vAlign w:val="bottom"/>
            <w:vMerge w:val="restart"/>
            <w:shd w:val="clear" w:color="auto" w:fill="004054"/>
          </w:tcPr>
          <w:p>
            <w:pPr>
              <w:jc w:val="center"/>
              <w:spacing w:after="0"/>
              <w:rPr>
                <w:sz w:val="20"/>
                <w:szCs w:val="20"/>
                <w:color w:val="auto"/>
              </w:rPr>
            </w:pPr>
            <w:r>
              <w:rPr>
                <w:rFonts w:ascii="Calibri" w:cs="Calibri" w:eastAsia="Calibri" w:hAnsi="Calibri"/>
                <w:sz w:val="11"/>
                <w:szCs w:val="11"/>
                <w:b w:val="1"/>
                <w:bCs w:val="1"/>
                <w:color w:val="FFFFFF"/>
              </w:rPr>
              <w:t>Non-Rule</w:t>
            </w:r>
          </w:p>
        </w:tc>
        <w:tc>
          <w:tcPr>
            <w:tcW w:w="113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securites to</w:t>
            </w:r>
          </w:p>
        </w:tc>
        <w:tc>
          <w:tcPr>
            <w:tcW w:w="0" w:type="dxa"/>
            <w:vAlign w:val="bottom"/>
          </w:tcPr>
          <w:p>
            <w:pPr>
              <w:spacing w:after="0"/>
              <w:rPr>
                <w:sz w:val="1"/>
                <w:szCs w:val="1"/>
                <w:color w:val="auto"/>
              </w:rPr>
            </w:pPr>
          </w:p>
        </w:tc>
      </w:tr>
      <w:tr>
        <w:trPr>
          <w:trHeight w:val="130"/>
        </w:trPr>
        <w:tc>
          <w:tcPr>
            <w:tcW w:w="3480" w:type="dxa"/>
            <w:vAlign w:val="bottom"/>
            <w:shd w:val="clear" w:color="auto" w:fill="004054"/>
          </w:tcPr>
          <w:p>
            <w:pPr>
              <w:spacing w:after="0"/>
              <w:rPr>
                <w:sz w:val="11"/>
                <w:szCs w:val="11"/>
                <w:color w:val="auto"/>
              </w:rPr>
            </w:pPr>
          </w:p>
        </w:tc>
        <w:tc>
          <w:tcPr>
            <w:tcW w:w="1550" w:type="dxa"/>
            <w:vAlign w:val="bottom"/>
            <w:shd w:val="clear" w:color="auto" w:fill="004054"/>
          </w:tcPr>
          <w:p>
            <w:pPr>
              <w:spacing w:after="0"/>
              <w:rPr>
                <w:sz w:val="11"/>
                <w:szCs w:val="11"/>
                <w:color w:val="auto"/>
              </w:rPr>
            </w:pPr>
          </w:p>
        </w:tc>
        <w:tc>
          <w:tcPr>
            <w:tcW w:w="990" w:type="dxa"/>
            <w:vAlign w:val="bottom"/>
            <w:shd w:val="clear" w:color="auto" w:fill="004054"/>
          </w:tcPr>
          <w:p>
            <w:pPr>
              <w:spacing w:after="0"/>
              <w:rPr>
                <w:sz w:val="11"/>
                <w:szCs w:val="11"/>
                <w:color w:val="auto"/>
              </w:rPr>
            </w:pPr>
          </w:p>
        </w:tc>
        <w:tc>
          <w:tcPr>
            <w:tcW w:w="980" w:type="dxa"/>
            <w:vAlign w:val="bottom"/>
            <w:shd w:val="clear" w:color="auto" w:fill="004054"/>
          </w:tcPr>
          <w:p>
            <w:pPr>
              <w:jc w:val="center"/>
              <w:spacing w:after="0" w:line="131" w:lineRule="exact"/>
              <w:rPr>
                <w:sz w:val="20"/>
                <w:szCs w:val="20"/>
                <w:color w:val="auto"/>
              </w:rPr>
            </w:pPr>
            <w:r>
              <w:rPr>
                <w:rFonts w:ascii="Calibri" w:cs="Calibri" w:eastAsia="Calibri" w:hAnsi="Calibri"/>
                <w:sz w:val="11"/>
                <w:szCs w:val="11"/>
                <w:b w:val="1"/>
                <w:bCs w:val="1"/>
                <w:color w:val="FFFFFF"/>
              </w:rPr>
              <w:t>efectve</w:t>
            </w:r>
          </w:p>
        </w:tc>
        <w:tc>
          <w:tcPr>
            <w:tcW w:w="990" w:type="dxa"/>
            <w:vAlign w:val="bottom"/>
            <w:shd w:val="clear" w:color="auto" w:fill="004054"/>
          </w:tcPr>
          <w:p>
            <w:pPr>
              <w:ind w:left="400"/>
              <w:spacing w:after="0" w:line="131" w:lineRule="exact"/>
              <w:rPr>
                <w:sz w:val="20"/>
                <w:szCs w:val="20"/>
                <w:color w:val="auto"/>
              </w:rPr>
            </w:pPr>
            <w:r>
              <w:rPr>
                <w:rFonts w:ascii="Calibri" w:cs="Calibri" w:eastAsia="Calibri" w:hAnsi="Calibri"/>
                <w:sz w:val="11"/>
                <w:szCs w:val="11"/>
                <w:b w:val="1"/>
                <w:bCs w:val="1"/>
                <w:color w:val="FFFFFF"/>
              </w:rPr>
              <w:t>end</w:t>
            </w:r>
          </w:p>
        </w:tc>
        <w:tc>
          <w:tcPr>
            <w:tcW w:w="870" w:type="dxa"/>
            <w:vAlign w:val="bottom"/>
            <w:shd w:val="clear" w:color="auto" w:fill="004054"/>
          </w:tcPr>
          <w:p>
            <w:pPr>
              <w:jc w:val="center"/>
              <w:spacing w:after="0" w:line="131" w:lineRule="exact"/>
              <w:rPr>
                <w:sz w:val="20"/>
                <w:szCs w:val="20"/>
                <w:color w:val="auto"/>
              </w:rPr>
            </w:pPr>
            <w:r>
              <w:rPr>
                <w:rFonts w:ascii="Calibri" w:cs="Calibri" w:eastAsia="Calibri" w:hAnsi="Calibri"/>
                <w:sz w:val="11"/>
                <w:szCs w:val="11"/>
                <w:b w:val="1"/>
                <w:bCs w:val="1"/>
                <w:color w:val="FFFFFF"/>
              </w:rPr>
              <w:t>duraton</w:t>
            </w:r>
          </w:p>
        </w:tc>
        <w:tc>
          <w:tcPr>
            <w:tcW w:w="660" w:type="dxa"/>
            <w:vAlign w:val="bottom"/>
            <w:shd w:val="clear" w:color="auto" w:fill="004054"/>
          </w:tcPr>
          <w:p>
            <w:pPr>
              <w:spacing w:after="0"/>
              <w:rPr>
                <w:sz w:val="11"/>
                <w:szCs w:val="11"/>
                <w:color w:val="auto"/>
              </w:rPr>
            </w:pPr>
          </w:p>
        </w:tc>
        <w:tc>
          <w:tcPr>
            <w:tcW w:w="650" w:type="dxa"/>
            <w:vAlign w:val="bottom"/>
            <w:vMerge w:val="continue"/>
            <w:shd w:val="clear" w:color="auto" w:fill="004054"/>
          </w:tcPr>
          <w:p>
            <w:pPr>
              <w:spacing w:after="0"/>
              <w:rPr>
                <w:sz w:val="11"/>
                <w:szCs w:val="11"/>
                <w:color w:val="auto"/>
              </w:rPr>
            </w:pPr>
          </w:p>
        </w:tc>
        <w:tc>
          <w:tcPr>
            <w:tcW w:w="1130" w:type="dxa"/>
            <w:vAlign w:val="bottom"/>
            <w:shd w:val="clear" w:color="auto" w:fill="004054"/>
          </w:tcPr>
          <w:p>
            <w:pPr>
              <w:jc w:val="right"/>
              <w:spacing w:after="0" w:line="131" w:lineRule="exact"/>
              <w:rPr>
                <w:sz w:val="20"/>
                <w:szCs w:val="20"/>
                <w:color w:val="auto"/>
              </w:rPr>
            </w:pPr>
            <w:r>
              <w:rPr>
                <w:rFonts w:ascii="Calibri" w:cs="Calibri" w:eastAsia="Calibri" w:hAnsi="Calibri"/>
                <w:sz w:val="11"/>
                <w:szCs w:val="11"/>
                <w:b w:val="1"/>
                <w:bCs w:val="1"/>
                <w:color w:val="FFFFFF"/>
              </w:rPr>
              <w:t>be sold</w:t>
            </w:r>
          </w:p>
        </w:tc>
        <w:tc>
          <w:tcPr>
            <w:tcW w:w="0" w:type="dxa"/>
            <w:vAlign w:val="bottom"/>
          </w:tcPr>
          <w:p>
            <w:pPr>
              <w:spacing w:after="0"/>
              <w:rPr>
                <w:sz w:val="1"/>
                <w:szCs w:val="1"/>
                <w:color w:val="auto"/>
              </w:rPr>
            </w:pPr>
          </w:p>
        </w:tc>
      </w:tr>
      <w:tr>
        <w:trPr>
          <w:trHeight w:val="145"/>
        </w:trPr>
        <w:tc>
          <w:tcPr>
            <w:tcW w:w="3480" w:type="dxa"/>
            <w:vAlign w:val="bottom"/>
            <w:shd w:val="clear" w:color="auto" w:fill="004054"/>
          </w:tcPr>
          <w:p>
            <w:pPr>
              <w:ind w:left="20"/>
              <w:spacing w:after="0"/>
              <w:rPr>
                <w:sz w:val="20"/>
                <w:szCs w:val="20"/>
                <w:color w:val="auto"/>
              </w:rPr>
            </w:pPr>
            <w:r>
              <w:rPr>
                <w:rFonts w:ascii="Calibri" w:cs="Calibri" w:eastAsia="Calibri" w:hAnsi="Calibri"/>
                <w:sz w:val="11"/>
                <w:szCs w:val="11"/>
                <w:b w:val="1"/>
                <w:bCs w:val="1"/>
                <w:color w:val="FFFFFF"/>
              </w:rPr>
              <w:t>Name and Title</w:t>
            </w:r>
          </w:p>
        </w:tc>
        <w:tc>
          <w:tcPr>
            <w:tcW w:w="1550" w:type="dxa"/>
            <w:vAlign w:val="bottom"/>
            <w:shd w:val="clear" w:color="auto" w:fill="004054"/>
          </w:tcPr>
          <w:p>
            <w:pPr>
              <w:ind w:left="620"/>
              <w:spacing w:after="0"/>
              <w:rPr>
                <w:sz w:val="20"/>
                <w:szCs w:val="20"/>
                <w:color w:val="auto"/>
              </w:rPr>
            </w:pPr>
            <w:r>
              <w:rPr>
                <w:rFonts w:ascii="Calibri" w:cs="Calibri" w:eastAsia="Calibri" w:hAnsi="Calibri"/>
                <w:sz w:val="11"/>
                <w:szCs w:val="11"/>
                <w:b w:val="1"/>
                <w:bCs w:val="1"/>
                <w:color w:val="FFFFFF"/>
              </w:rPr>
              <w:t>Acton</w:t>
            </w:r>
          </w:p>
        </w:tc>
        <w:tc>
          <w:tcPr>
            <w:tcW w:w="990" w:type="dxa"/>
            <w:vAlign w:val="bottom"/>
            <w:shd w:val="clear" w:color="auto" w:fill="004054"/>
          </w:tcPr>
          <w:p>
            <w:pPr>
              <w:ind w:left="150"/>
              <w:spacing w:after="0"/>
              <w:rPr>
                <w:sz w:val="20"/>
                <w:szCs w:val="20"/>
                <w:color w:val="auto"/>
              </w:rPr>
            </w:pPr>
            <w:r>
              <w:rPr>
                <w:rFonts w:ascii="Calibri" w:cs="Calibri" w:eastAsia="Calibri" w:hAnsi="Calibri"/>
                <w:sz w:val="11"/>
                <w:szCs w:val="11"/>
                <w:b w:val="1"/>
                <w:bCs w:val="1"/>
                <w:color w:val="FFFFFF"/>
              </w:rPr>
              <w:t>Date of Acton</w:t>
            </w:r>
          </w:p>
        </w:tc>
        <w:tc>
          <w:tcPr>
            <w:tcW w:w="980" w:type="dxa"/>
            <w:vAlign w:val="bottom"/>
            <w:shd w:val="clear" w:color="auto" w:fill="004054"/>
          </w:tcPr>
          <w:p>
            <w:pPr>
              <w:jc w:val="center"/>
              <w:spacing w:after="0"/>
              <w:rPr>
                <w:sz w:val="20"/>
                <w:szCs w:val="20"/>
                <w:color w:val="auto"/>
              </w:rPr>
            </w:pPr>
            <w:r>
              <w:rPr>
                <w:rFonts w:ascii="Calibri" w:cs="Calibri" w:eastAsia="Calibri" w:hAnsi="Calibri"/>
                <w:sz w:val="11"/>
                <w:szCs w:val="11"/>
                <w:b w:val="1"/>
                <w:bCs w:val="1"/>
                <w:color w:val="FFFFFF"/>
              </w:rPr>
              <w:t>date</w:t>
            </w:r>
          </w:p>
        </w:tc>
        <w:tc>
          <w:tcPr>
            <w:tcW w:w="990" w:type="dxa"/>
            <w:vAlign w:val="bottom"/>
            <w:shd w:val="clear" w:color="auto" w:fill="004054"/>
          </w:tcPr>
          <w:p>
            <w:pPr>
              <w:ind w:left="400"/>
              <w:spacing w:after="0"/>
              <w:rPr>
                <w:sz w:val="20"/>
                <w:szCs w:val="20"/>
                <w:color w:val="auto"/>
              </w:rPr>
            </w:pPr>
            <w:r>
              <w:rPr>
                <w:rFonts w:ascii="Calibri" w:cs="Calibri" w:eastAsia="Calibri" w:hAnsi="Calibri"/>
                <w:sz w:val="11"/>
                <w:szCs w:val="11"/>
                <w:b w:val="1"/>
                <w:bCs w:val="1"/>
                <w:color w:val="FFFFFF"/>
              </w:rPr>
              <w:t>date</w:t>
            </w:r>
          </w:p>
        </w:tc>
        <w:tc>
          <w:tcPr>
            <w:tcW w:w="870" w:type="dxa"/>
            <w:vAlign w:val="bottom"/>
            <w:shd w:val="clear" w:color="auto" w:fill="004054"/>
          </w:tcPr>
          <w:p>
            <w:pPr>
              <w:jc w:val="center"/>
              <w:spacing w:after="0"/>
              <w:rPr>
                <w:sz w:val="20"/>
                <w:szCs w:val="20"/>
                <w:color w:val="auto"/>
              </w:rPr>
            </w:pPr>
            <w:r>
              <w:rPr>
                <w:rFonts w:ascii="Calibri" w:cs="Calibri" w:eastAsia="Calibri" w:hAnsi="Calibri"/>
                <w:sz w:val="11"/>
                <w:szCs w:val="11"/>
                <w:b w:val="1"/>
                <w:bCs w:val="1"/>
                <w:color w:val="FFFFFF"/>
              </w:rPr>
              <w:t>(months)</w:t>
            </w:r>
          </w:p>
        </w:tc>
        <w:tc>
          <w:tcPr>
            <w:tcW w:w="660" w:type="dxa"/>
            <w:vAlign w:val="bottom"/>
            <w:shd w:val="clear" w:color="auto" w:fill="004054"/>
          </w:tcPr>
          <w:p>
            <w:pPr>
              <w:ind w:left="40"/>
              <w:spacing w:after="0"/>
              <w:rPr>
                <w:sz w:val="20"/>
                <w:szCs w:val="20"/>
                <w:color w:val="auto"/>
              </w:rPr>
            </w:pPr>
            <w:r>
              <w:rPr>
                <w:rFonts w:ascii="Calibri" w:cs="Calibri" w:eastAsia="Calibri" w:hAnsi="Calibri"/>
                <w:sz w:val="11"/>
                <w:szCs w:val="11"/>
                <w:b w:val="1"/>
                <w:bCs w:val="1"/>
                <w:color w:val="FFFFFF"/>
              </w:rPr>
              <w:t>Rule 10b5-1</w:t>
            </w:r>
          </w:p>
        </w:tc>
        <w:tc>
          <w:tcPr>
            <w:tcW w:w="650" w:type="dxa"/>
            <w:vAlign w:val="bottom"/>
            <w:shd w:val="clear" w:color="auto" w:fill="004054"/>
          </w:tcPr>
          <w:p>
            <w:pPr>
              <w:jc w:val="center"/>
              <w:spacing w:after="0"/>
              <w:rPr>
                <w:sz w:val="20"/>
                <w:szCs w:val="20"/>
                <w:color w:val="auto"/>
              </w:rPr>
            </w:pPr>
            <w:r>
              <w:rPr>
                <w:rFonts w:ascii="Calibri" w:cs="Calibri" w:eastAsia="Calibri" w:hAnsi="Calibri"/>
                <w:sz w:val="11"/>
                <w:szCs w:val="11"/>
                <w:b w:val="1"/>
                <w:bCs w:val="1"/>
                <w:color w:val="FFFFFF"/>
              </w:rPr>
              <w:t>10b5-1</w:t>
            </w:r>
          </w:p>
        </w:tc>
        <w:tc>
          <w:tcPr>
            <w:tcW w:w="1130" w:type="dxa"/>
            <w:vAlign w:val="bottom"/>
            <w:shd w:val="clear" w:color="auto" w:fill="004054"/>
          </w:tcPr>
          <w:p>
            <w:pPr>
              <w:jc w:val="right"/>
              <w:spacing w:after="0"/>
              <w:rPr>
                <w:sz w:val="20"/>
                <w:szCs w:val="20"/>
                <w:color w:val="auto"/>
              </w:rPr>
            </w:pPr>
            <w:r>
              <w:rPr>
                <w:rFonts w:ascii="Calibri" w:cs="Calibri" w:eastAsia="Calibri" w:hAnsi="Calibri"/>
                <w:sz w:val="11"/>
                <w:szCs w:val="11"/>
                <w:b w:val="1"/>
                <w:bCs w:val="1"/>
                <w:color w:val="FFFFFF"/>
              </w:rPr>
              <w:t>under plan</w:t>
            </w:r>
          </w:p>
        </w:tc>
        <w:tc>
          <w:tcPr>
            <w:tcW w:w="0" w:type="dxa"/>
            <w:vAlign w:val="bottom"/>
          </w:tcPr>
          <w:p>
            <w:pPr>
              <w:spacing w:after="0"/>
              <w:rPr>
                <w:sz w:val="1"/>
                <w:szCs w:val="1"/>
                <w:color w:val="auto"/>
              </w:rPr>
            </w:pPr>
          </w:p>
        </w:tc>
      </w:tr>
      <w:tr>
        <w:trPr>
          <w:trHeight w:val="46"/>
        </w:trPr>
        <w:tc>
          <w:tcPr>
            <w:tcW w:w="3480" w:type="dxa"/>
            <w:vAlign w:val="bottom"/>
            <w:shd w:val="clear" w:color="auto" w:fill="004054"/>
          </w:tcPr>
          <w:p>
            <w:pPr>
              <w:spacing w:after="0"/>
              <w:rPr>
                <w:sz w:val="4"/>
                <w:szCs w:val="4"/>
                <w:color w:val="auto"/>
              </w:rPr>
            </w:pPr>
          </w:p>
        </w:tc>
        <w:tc>
          <w:tcPr>
            <w:tcW w:w="1550" w:type="dxa"/>
            <w:vAlign w:val="bottom"/>
            <w:shd w:val="clear" w:color="auto" w:fill="004054"/>
          </w:tcPr>
          <w:p>
            <w:pPr>
              <w:spacing w:after="0"/>
              <w:rPr>
                <w:sz w:val="4"/>
                <w:szCs w:val="4"/>
                <w:color w:val="auto"/>
              </w:rPr>
            </w:pPr>
          </w:p>
        </w:tc>
        <w:tc>
          <w:tcPr>
            <w:tcW w:w="990" w:type="dxa"/>
            <w:vAlign w:val="bottom"/>
            <w:shd w:val="clear" w:color="auto" w:fill="004054"/>
          </w:tcPr>
          <w:p>
            <w:pPr>
              <w:spacing w:after="0"/>
              <w:rPr>
                <w:sz w:val="4"/>
                <w:szCs w:val="4"/>
                <w:color w:val="auto"/>
              </w:rPr>
            </w:pPr>
          </w:p>
        </w:tc>
        <w:tc>
          <w:tcPr>
            <w:tcW w:w="980" w:type="dxa"/>
            <w:vAlign w:val="bottom"/>
            <w:shd w:val="clear" w:color="auto" w:fill="004054"/>
          </w:tcPr>
          <w:p>
            <w:pPr>
              <w:spacing w:after="0"/>
              <w:rPr>
                <w:sz w:val="4"/>
                <w:szCs w:val="4"/>
                <w:color w:val="auto"/>
              </w:rPr>
            </w:pPr>
          </w:p>
        </w:tc>
        <w:tc>
          <w:tcPr>
            <w:tcW w:w="990" w:type="dxa"/>
            <w:vAlign w:val="bottom"/>
            <w:shd w:val="clear" w:color="auto" w:fill="004054"/>
          </w:tcPr>
          <w:p>
            <w:pPr>
              <w:spacing w:after="0"/>
              <w:rPr>
                <w:sz w:val="4"/>
                <w:szCs w:val="4"/>
                <w:color w:val="auto"/>
              </w:rPr>
            </w:pPr>
          </w:p>
        </w:tc>
        <w:tc>
          <w:tcPr>
            <w:tcW w:w="870" w:type="dxa"/>
            <w:vAlign w:val="bottom"/>
            <w:shd w:val="clear" w:color="auto" w:fill="004054"/>
          </w:tcPr>
          <w:p>
            <w:pPr>
              <w:spacing w:after="0"/>
              <w:rPr>
                <w:sz w:val="4"/>
                <w:szCs w:val="4"/>
                <w:color w:val="auto"/>
              </w:rPr>
            </w:pPr>
          </w:p>
        </w:tc>
        <w:tc>
          <w:tcPr>
            <w:tcW w:w="660" w:type="dxa"/>
            <w:vAlign w:val="bottom"/>
            <w:shd w:val="clear" w:color="auto" w:fill="004054"/>
          </w:tcPr>
          <w:p>
            <w:pPr>
              <w:spacing w:after="0"/>
              <w:rPr>
                <w:sz w:val="4"/>
                <w:szCs w:val="4"/>
                <w:color w:val="auto"/>
              </w:rPr>
            </w:pPr>
          </w:p>
        </w:tc>
        <w:tc>
          <w:tcPr>
            <w:tcW w:w="650" w:type="dxa"/>
            <w:vAlign w:val="bottom"/>
            <w:shd w:val="clear" w:color="auto" w:fill="004054"/>
          </w:tcPr>
          <w:p>
            <w:pPr>
              <w:spacing w:after="0"/>
              <w:rPr>
                <w:sz w:val="4"/>
                <w:szCs w:val="4"/>
                <w:color w:val="auto"/>
              </w:rPr>
            </w:pPr>
          </w:p>
        </w:tc>
        <w:tc>
          <w:tcPr>
            <w:tcW w:w="1130" w:type="dxa"/>
            <w:vAlign w:val="bottom"/>
            <w:shd w:val="clear" w:color="auto" w:fill="004054"/>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7161530" cy="28321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61530" cy="283210"/>
                    </a:xfrm>
                    <a:prstGeom prst="rect">
                      <a:avLst/>
                    </a:prstGeom>
                    <a:noFill/>
                  </pic:spPr>
                </pic:pic>
              </a:graphicData>
            </a:graphic>
          </wp:anchor>
        </w:drawing>
        <w:drawing>
          <wp:anchor simplePos="0" relativeHeight="251657728" behindDoc="1" locked="0" layoutInCell="0" allowOverlap="1">
            <wp:simplePos x="0" y="0"/>
            <wp:positionH relativeFrom="column">
              <wp:posOffset>5621655</wp:posOffset>
            </wp:positionH>
            <wp:positionV relativeFrom="paragraph">
              <wp:posOffset>-295910</wp:posOffset>
            </wp:positionV>
            <wp:extent cx="842010" cy="698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42010" cy="6985"/>
                    </a:xfrm>
                    <a:prstGeom prst="rect">
                      <a:avLst/>
                    </a:prstGeom>
                    <a:noFill/>
                  </pic:spPr>
                </pic:pic>
              </a:graphicData>
            </a:graphic>
          </wp:anchor>
        </w:drawing>
      </w:r>
    </w:p>
    <w:p>
      <w:pPr>
        <w:spacing w:after="0" w:line="23"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3440" w:type="dxa"/>
            <w:vAlign w:val="bottom"/>
          </w:tcPr>
          <w:p>
            <w:pPr>
              <w:spacing w:after="0"/>
              <w:rPr>
                <w:sz w:val="20"/>
                <w:szCs w:val="20"/>
                <w:color w:val="auto"/>
              </w:rPr>
            </w:pPr>
            <w:r>
              <w:rPr>
                <w:rFonts w:ascii="Calibri" w:cs="Calibri" w:eastAsia="Calibri" w:hAnsi="Calibri"/>
                <w:sz w:val="14"/>
                <w:szCs w:val="14"/>
                <w:b w:val="1"/>
                <w:bCs w:val="1"/>
                <w:color w:val="51555C"/>
              </w:rPr>
              <w:t>Michael P. Gianoni</w:t>
            </w:r>
          </w:p>
        </w:tc>
        <w:tc>
          <w:tcPr>
            <w:tcW w:w="1480" w:type="dxa"/>
            <w:vAlign w:val="bottom"/>
            <w:vMerge w:val="restart"/>
          </w:tcPr>
          <w:p>
            <w:pPr>
              <w:jc w:val="center"/>
              <w:ind w:left="29"/>
              <w:spacing w:after="0"/>
              <w:rPr>
                <w:sz w:val="20"/>
                <w:szCs w:val="20"/>
                <w:color w:val="auto"/>
              </w:rPr>
            </w:pPr>
            <w:r>
              <w:rPr>
                <w:rFonts w:ascii="Calibri" w:cs="Calibri" w:eastAsia="Calibri" w:hAnsi="Calibri"/>
                <w:sz w:val="14"/>
                <w:szCs w:val="14"/>
                <w:color w:val="51555C"/>
                <w:w w:val="99"/>
              </w:rPr>
              <w:t>Terminaton</w:t>
            </w:r>
          </w:p>
        </w:tc>
        <w:tc>
          <w:tcPr>
            <w:tcW w:w="1080" w:type="dxa"/>
            <w:vAlign w:val="bottom"/>
            <w:vMerge w:val="restart"/>
          </w:tcPr>
          <w:p>
            <w:pPr>
              <w:jc w:val="right"/>
              <w:ind w:right="209"/>
              <w:spacing w:after="0"/>
              <w:rPr>
                <w:sz w:val="20"/>
                <w:szCs w:val="20"/>
                <w:color w:val="auto"/>
              </w:rPr>
            </w:pPr>
            <w:r>
              <w:rPr>
                <w:rFonts w:ascii="Calibri" w:cs="Calibri" w:eastAsia="Calibri" w:hAnsi="Calibri"/>
                <w:sz w:val="14"/>
                <w:szCs w:val="14"/>
                <w:color w:val="51555C"/>
              </w:rPr>
              <w:t>4/10/24</w:t>
            </w:r>
          </w:p>
        </w:tc>
        <w:tc>
          <w:tcPr>
            <w:tcW w:w="980" w:type="dxa"/>
            <w:vAlign w:val="bottom"/>
            <w:vMerge w:val="restart"/>
          </w:tcPr>
          <w:p>
            <w:pPr>
              <w:jc w:val="right"/>
              <w:ind w:right="189"/>
              <w:spacing w:after="0"/>
              <w:rPr>
                <w:sz w:val="20"/>
                <w:szCs w:val="20"/>
                <w:color w:val="auto"/>
              </w:rPr>
            </w:pPr>
            <w:r>
              <w:rPr>
                <w:rFonts w:ascii="Calibri" w:cs="Calibri" w:eastAsia="Calibri" w:hAnsi="Calibri"/>
                <w:sz w:val="14"/>
                <w:szCs w:val="14"/>
                <w:color w:val="51555C"/>
              </w:rPr>
              <w:t>2/26/24</w:t>
            </w:r>
          </w:p>
        </w:tc>
        <w:tc>
          <w:tcPr>
            <w:tcW w:w="1040" w:type="dxa"/>
            <w:vAlign w:val="bottom"/>
            <w:vMerge w:val="restart"/>
          </w:tcPr>
          <w:p>
            <w:pPr>
              <w:jc w:val="right"/>
              <w:ind w:right="249"/>
              <w:spacing w:after="0"/>
              <w:rPr>
                <w:sz w:val="20"/>
                <w:szCs w:val="20"/>
                <w:color w:val="auto"/>
              </w:rPr>
            </w:pPr>
            <w:r>
              <w:rPr>
                <w:rFonts w:ascii="Calibri" w:cs="Calibri" w:eastAsia="Calibri" w:hAnsi="Calibri"/>
                <w:sz w:val="14"/>
                <w:szCs w:val="14"/>
                <w:color w:val="51555C"/>
              </w:rPr>
              <w:t>8/09/24</w:t>
            </w:r>
          </w:p>
        </w:tc>
        <w:tc>
          <w:tcPr>
            <w:tcW w:w="780" w:type="dxa"/>
            <w:vAlign w:val="bottom"/>
            <w:vMerge w:val="restart"/>
          </w:tcPr>
          <w:p>
            <w:pPr>
              <w:ind w:left="300"/>
              <w:spacing w:after="0"/>
              <w:rPr>
                <w:sz w:val="20"/>
                <w:szCs w:val="20"/>
                <w:color w:val="auto"/>
              </w:rPr>
            </w:pPr>
            <w:r>
              <w:rPr>
                <w:rFonts w:ascii="Calibri" w:cs="Calibri" w:eastAsia="Calibri" w:hAnsi="Calibri"/>
                <w:sz w:val="14"/>
                <w:szCs w:val="14"/>
                <w:color w:val="51555C"/>
              </w:rPr>
              <w:t>Six</w:t>
            </w:r>
          </w:p>
        </w:tc>
        <w:tc>
          <w:tcPr>
            <w:tcW w:w="1240" w:type="dxa"/>
            <w:vAlign w:val="bottom"/>
            <w:vMerge w:val="restart"/>
          </w:tcPr>
          <w:p>
            <w:pPr>
              <w:ind w:left="320"/>
              <w:spacing w:after="0"/>
              <w:rPr>
                <w:sz w:val="20"/>
                <w:szCs w:val="20"/>
                <w:color w:val="auto"/>
              </w:rPr>
            </w:pPr>
            <w:r>
              <w:rPr>
                <w:rFonts w:ascii="Calibri" w:cs="Calibri" w:eastAsia="Calibri" w:hAnsi="Calibri"/>
                <w:sz w:val="14"/>
                <w:szCs w:val="14"/>
                <w:color w:val="51555C"/>
              </w:rPr>
              <w:t>X</w:t>
            </w:r>
          </w:p>
        </w:tc>
        <w:tc>
          <w:tcPr>
            <w:tcW w:w="1220" w:type="dxa"/>
            <w:vAlign w:val="bottom"/>
            <w:vMerge w:val="restart"/>
          </w:tcPr>
          <w:p>
            <w:pPr>
              <w:jc w:val="right"/>
              <w:spacing w:after="0"/>
              <w:rPr>
                <w:sz w:val="20"/>
                <w:szCs w:val="20"/>
                <w:color w:val="auto"/>
              </w:rPr>
            </w:pPr>
            <w:r>
              <w:rPr>
                <w:rFonts w:ascii="Calibri" w:cs="Calibri" w:eastAsia="Calibri" w:hAnsi="Calibri"/>
                <w:sz w:val="14"/>
                <w:szCs w:val="14"/>
                <w:color w:val="51555C"/>
              </w:rPr>
              <w:t>50,000</w:t>
            </w:r>
          </w:p>
        </w:tc>
        <w:tc>
          <w:tcPr>
            <w:tcW w:w="0" w:type="dxa"/>
            <w:vAlign w:val="bottom"/>
          </w:tcPr>
          <w:p>
            <w:pPr>
              <w:spacing w:after="0"/>
              <w:rPr>
                <w:sz w:val="1"/>
                <w:szCs w:val="1"/>
                <w:color w:val="auto"/>
              </w:rPr>
            </w:pPr>
          </w:p>
        </w:tc>
      </w:tr>
      <w:tr>
        <w:trPr>
          <w:trHeight w:val="64"/>
        </w:trPr>
        <w:tc>
          <w:tcPr>
            <w:tcW w:w="3440" w:type="dxa"/>
            <w:vAlign w:val="bottom"/>
            <w:vMerge w:val="restart"/>
          </w:tcPr>
          <w:p>
            <w:pPr>
              <w:spacing w:after="0"/>
              <w:rPr>
                <w:sz w:val="20"/>
                <w:szCs w:val="20"/>
                <w:color w:val="auto"/>
              </w:rPr>
            </w:pPr>
            <w:r>
              <w:rPr>
                <w:rFonts w:ascii="Calibri" w:cs="Calibri" w:eastAsia="Calibri" w:hAnsi="Calibri"/>
                <w:sz w:val="11"/>
                <w:szCs w:val="11"/>
                <w:color w:val="51555C"/>
              </w:rPr>
              <w:t>Chief Executve Ofcer, President and Vice Chairman of the Board</w:t>
            </w:r>
          </w:p>
        </w:tc>
        <w:tc>
          <w:tcPr>
            <w:tcW w:w="14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240" w:type="dxa"/>
            <w:vAlign w:val="bottom"/>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1"/>
        </w:trPr>
        <w:tc>
          <w:tcPr>
            <w:tcW w:w="3440" w:type="dxa"/>
            <w:vAlign w:val="bottom"/>
            <w:vMerge w:val="continue"/>
          </w:tcPr>
          <w:p>
            <w:pPr>
              <w:spacing w:after="0"/>
              <w:rPr>
                <w:sz w:val="9"/>
                <w:szCs w:val="9"/>
                <w:color w:val="auto"/>
              </w:rPr>
            </w:pPr>
          </w:p>
        </w:tc>
        <w:tc>
          <w:tcPr>
            <w:tcW w:w="14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1"/>
        </w:trPr>
        <w:tc>
          <w:tcPr>
            <w:tcW w:w="3440" w:type="dxa"/>
            <w:vAlign w:val="bottom"/>
          </w:tcPr>
          <w:p>
            <w:pPr>
              <w:spacing w:after="0"/>
              <w:rPr>
                <w:sz w:val="20"/>
                <w:szCs w:val="20"/>
                <w:color w:val="auto"/>
              </w:rPr>
            </w:pPr>
            <w:r>
              <w:rPr>
                <w:rFonts w:ascii="Calibri" w:cs="Calibri" w:eastAsia="Calibri" w:hAnsi="Calibri"/>
                <w:sz w:val="14"/>
                <w:szCs w:val="14"/>
                <w:b w:val="1"/>
                <w:bCs w:val="1"/>
                <w:color w:val="51555C"/>
              </w:rPr>
              <w:t>Kevin R. McDearis</w:t>
            </w:r>
          </w:p>
        </w:tc>
        <w:tc>
          <w:tcPr>
            <w:tcW w:w="1480" w:type="dxa"/>
            <w:vAlign w:val="bottom"/>
            <w:vMerge w:val="restart"/>
          </w:tcPr>
          <w:p>
            <w:pPr>
              <w:jc w:val="center"/>
              <w:ind w:left="29"/>
              <w:spacing w:after="0"/>
              <w:rPr>
                <w:sz w:val="20"/>
                <w:szCs w:val="20"/>
                <w:color w:val="auto"/>
              </w:rPr>
            </w:pPr>
            <w:r>
              <w:rPr>
                <w:rFonts w:ascii="Calibri" w:cs="Calibri" w:eastAsia="Calibri" w:hAnsi="Calibri"/>
                <w:sz w:val="14"/>
                <w:szCs w:val="14"/>
                <w:color w:val="51555C"/>
              </w:rPr>
              <w:t>Adopton</w:t>
            </w:r>
          </w:p>
        </w:tc>
        <w:tc>
          <w:tcPr>
            <w:tcW w:w="1080" w:type="dxa"/>
            <w:vAlign w:val="bottom"/>
            <w:vMerge w:val="restart"/>
          </w:tcPr>
          <w:p>
            <w:pPr>
              <w:jc w:val="right"/>
              <w:ind w:right="209"/>
              <w:spacing w:after="0"/>
              <w:rPr>
                <w:sz w:val="20"/>
                <w:szCs w:val="20"/>
                <w:color w:val="auto"/>
              </w:rPr>
            </w:pPr>
            <w:r>
              <w:rPr>
                <w:rFonts w:ascii="Calibri" w:cs="Calibri" w:eastAsia="Calibri" w:hAnsi="Calibri"/>
                <w:sz w:val="14"/>
                <w:szCs w:val="14"/>
                <w:color w:val="51555C"/>
              </w:rPr>
              <w:t>5/24/24</w:t>
            </w:r>
          </w:p>
        </w:tc>
        <w:tc>
          <w:tcPr>
            <w:tcW w:w="980" w:type="dxa"/>
            <w:vAlign w:val="bottom"/>
            <w:vMerge w:val="restart"/>
          </w:tcPr>
          <w:p>
            <w:pPr>
              <w:jc w:val="right"/>
              <w:ind w:right="189"/>
              <w:spacing w:after="0"/>
              <w:rPr>
                <w:sz w:val="20"/>
                <w:szCs w:val="20"/>
                <w:color w:val="auto"/>
              </w:rPr>
            </w:pPr>
            <w:r>
              <w:rPr>
                <w:rFonts w:ascii="Calibri" w:cs="Calibri" w:eastAsia="Calibri" w:hAnsi="Calibri"/>
                <w:sz w:val="14"/>
                <w:szCs w:val="14"/>
                <w:color w:val="51555C"/>
              </w:rPr>
              <w:t>8/30/24</w:t>
            </w:r>
          </w:p>
        </w:tc>
        <w:tc>
          <w:tcPr>
            <w:tcW w:w="1040" w:type="dxa"/>
            <w:vAlign w:val="bottom"/>
            <w:vMerge w:val="restart"/>
          </w:tcPr>
          <w:p>
            <w:pPr>
              <w:jc w:val="right"/>
              <w:ind w:right="249"/>
              <w:spacing w:after="0"/>
              <w:rPr>
                <w:sz w:val="20"/>
                <w:szCs w:val="20"/>
                <w:color w:val="auto"/>
              </w:rPr>
            </w:pPr>
            <w:r>
              <w:rPr>
                <w:rFonts w:ascii="Calibri" w:cs="Calibri" w:eastAsia="Calibri" w:hAnsi="Calibri"/>
                <w:sz w:val="14"/>
                <w:szCs w:val="14"/>
                <w:color w:val="51555C"/>
              </w:rPr>
              <w:t>2/28/25</w:t>
            </w:r>
          </w:p>
        </w:tc>
        <w:tc>
          <w:tcPr>
            <w:tcW w:w="780" w:type="dxa"/>
            <w:vAlign w:val="bottom"/>
            <w:vMerge w:val="restart"/>
          </w:tcPr>
          <w:p>
            <w:pPr>
              <w:ind w:left="300"/>
              <w:spacing w:after="0"/>
              <w:rPr>
                <w:sz w:val="20"/>
                <w:szCs w:val="20"/>
                <w:color w:val="auto"/>
              </w:rPr>
            </w:pPr>
            <w:r>
              <w:rPr>
                <w:rFonts w:ascii="Calibri" w:cs="Calibri" w:eastAsia="Calibri" w:hAnsi="Calibri"/>
                <w:sz w:val="14"/>
                <w:szCs w:val="14"/>
                <w:color w:val="51555C"/>
              </w:rPr>
              <w:t>Six</w:t>
            </w:r>
          </w:p>
        </w:tc>
        <w:tc>
          <w:tcPr>
            <w:tcW w:w="1240" w:type="dxa"/>
            <w:vAlign w:val="bottom"/>
            <w:vMerge w:val="restart"/>
          </w:tcPr>
          <w:p>
            <w:pPr>
              <w:ind w:left="320"/>
              <w:spacing w:after="0"/>
              <w:rPr>
                <w:sz w:val="20"/>
                <w:szCs w:val="20"/>
                <w:color w:val="auto"/>
              </w:rPr>
            </w:pPr>
            <w:r>
              <w:rPr>
                <w:rFonts w:ascii="Calibri" w:cs="Calibri" w:eastAsia="Calibri" w:hAnsi="Calibri"/>
                <w:sz w:val="14"/>
                <w:szCs w:val="14"/>
                <w:color w:val="51555C"/>
              </w:rPr>
              <w:t>X</w:t>
            </w:r>
          </w:p>
        </w:tc>
        <w:tc>
          <w:tcPr>
            <w:tcW w:w="1220" w:type="dxa"/>
            <w:vAlign w:val="bottom"/>
            <w:vMerge w:val="restart"/>
          </w:tcPr>
          <w:p>
            <w:pPr>
              <w:jc w:val="right"/>
              <w:spacing w:after="0"/>
              <w:rPr>
                <w:sz w:val="20"/>
                <w:szCs w:val="20"/>
                <w:color w:val="auto"/>
              </w:rPr>
            </w:pPr>
            <w:r>
              <w:rPr>
                <w:rFonts w:ascii="Calibri" w:cs="Calibri" w:eastAsia="Calibri" w:hAnsi="Calibri"/>
                <w:sz w:val="14"/>
                <w:szCs w:val="14"/>
                <w:color w:val="51555C"/>
              </w:rPr>
              <w:t>28,195</w:t>
            </w:r>
          </w:p>
        </w:tc>
        <w:tc>
          <w:tcPr>
            <w:tcW w:w="0" w:type="dxa"/>
            <w:vAlign w:val="bottom"/>
          </w:tcPr>
          <w:p>
            <w:pPr>
              <w:spacing w:after="0"/>
              <w:rPr>
                <w:sz w:val="1"/>
                <w:szCs w:val="1"/>
                <w:color w:val="auto"/>
              </w:rPr>
            </w:pPr>
          </w:p>
        </w:tc>
      </w:tr>
      <w:tr>
        <w:trPr>
          <w:trHeight w:val="62"/>
        </w:trPr>
        <w:tc>
          <w:tcPr>
            <w:tcW w:w="344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240" w:type="dxa"/>
            <w:vAlign w:val="bottom"/>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ind w:left="20"/>
        <w:spacing w:after="0" w:line="201" w:lineRule="auto"/>
        <w:rPr>
          <w:sz w:val="20"/>
          <w:szCs w:val="20"/>
          <w:color w:val="auto"/>
        </w:rPr>
      </w:pPr>
      <w:r>
        <w:rPr>
          <w:rFonts w:ascii="Calibri" w:cs="Calibri" w:eastAsia="Calibri" w:hAnsi="Calibri"/>
          <w:sz w:val="11"/>
          <w:szCs w:val="11"/>
          <w:color w:val="51555C"/>
        </w:rPr>
        <w:t>Executve Vice President and Chief Technology Ofcer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29845</wp:posOffset>
            </wp:positionV>
            <wp:extent cx="7161530" cy="698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79" w:lineRule="exact"/>
        <w:rPr>
          <w:sz w:val="20"/>
          <w:szCs w:val="20"/>
          <w:color w:val="auto"/>
        </w:rPr>
      </w:pPr>
    </w:p>
    <w:p>
      <w:pPr>
        <w:jc w:val="both"/>
        <w:ind w:left="260" w:right="20" w:hanging="255"/>
        <w:spacing w:after="0" w:line="242" w:lineRule="auto"/>
        <w:tabs>
          <w:tab w:leader="none" w:pos="258" w:val="left"/>
        </w:tabs>
        <w:numPr>
          <w:ilvl w:val="0"/>
          <w:numId w:val="37"/>
        </w:numPr>
        <w:rPr>
          <w:rFonts w:ascii="Calibri" w:cs="Calibri" w:eastAsia="Calibri" w:hAnsi="Calibri"/>
          <w:sz w:val="11"/>
          <w:szCs w:val="11"/>
          <w:color w:val="51555C"/>
        </w:rPr>
      </w:pPr>
      <w:r>
        <w:rPr>
          <w:rFonts w:ascii="Calibri" w:cs="Calibri" w:eastAsia="Calibri" w:hAnsi="Calibri"/>
          <w:sz w:val="11"/>
          <w:szCs w:val="11"/>
          <w:color w:val="51555C"/>
        </w:rPr>
        <w:t>An SEC "Rule 10b5-1(c) trading arrangement" is a trading arrangement made by a person through entering into a binding contract, verbal instructon or adopton of a writen plan prior to becoming aware of material non-public informaton. The contract, instructon or writen plan must specify the amount, price and date of securites to be sold; include the means for determining the amount, price and date of the sale or sales; and not permit the person to have subsequent infuence over the sale or sales. The compliant plan must be entered into and operated in good faith, include a specifed cooling of period, be certfed by an authorized ofcer and is restricted from having multple or overlapping plans. A non-compliant trading arrangement, or a "non-Rule 10b5-1 trading arrangement," is a trading arrangement that has similar requirements to a Rule 10b5-1(c) trading arrangement except that it must be in writen form and does not require a cooling of period or certfcaton of an authorized ofcer and there is no restricton from having multple or overlapping plans.</w:t>
      </w:r>
    </w:p>
    <w:p>
      <w:pPr>
        <w:spacing w:after="0" w:line="131" w:lineRule="exact"/>
        <w:rPr>
          <w:sz w:val="20"/>
          <w:szCs w:val="20"/>
          <w:color w:val="auto"/>
        </w:rPr>
      </w:pPr>
    </w:p>
    <w:p>
      <w:pPr>
        <w:spacing w:after="0"/>
        <w:rPr>
          <w:sz w:val="20"/>
          <w:szCs w:val="20"/>
          <w:color w:val="auto"/>
        </w:rPr>
      </w:pPr>
      <w:r>
        <w:rPr>
          <w:rFonts w:ascii="Calibri" w:cs="Calibri" w:eastAsia="Calibri" w:hAnsi="Calibri"/>
          <w:sz w:val="14"/>
          <w:szCs w:val="14"/>
          <w:color w:val="51555C"/>
        </w:rPr>
        <w:t>None of our ofcers or directors adopted or terminated a non-Rule 10b5-1 trading arrangement during the three months ended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6268720</wp:posOffset>
            </wp:positionH>
            <wp:positionV relativeFrom="paragraph">
              <wp:posOffset>187325</wp:posOffset>
            </wp:positionV>
            <wp:extent cx="518795" cy="13462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18795" cy="134620"/>
                    </a:xfrm>
                    <a:prstGeom prst="rect">
                      <a:avLst/>
                    </a:prstGeom>
                    <a:noFill/>
                  </pic:spPr>
                </pic:pic>
              </a:graphicData>
            </a:graphic>
          </wp:anchor>
        </w:drawing>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0400" w:type="dxa"/>
            <w:vAlign w:val="bottom"/>
          </w:tcPr>
          <w:p>
            <w:pPr>
              <w:ind w:left="8160"/>
              <w:spacing w:after="0"/>
              <w:rPr>
                <w:sz w:val="20"/>
                <w:szCs w:val="20"/>
                <w:color w:val="auto"/>
              </w:rPr>
            </w:pPr>
            <w:r>
              <w:rPr>
                <w:rFonts w:ascii="Calibri" w:cs="Calibri" w:eastAsia="Calibri" w:hAnsi="Calibri"/>
                <w:sz w:val="11"/>
                <w:szCs w:val="11"/>
                <w:color w:val="51555C"/>
              </w:rPr>
              <w:t>Second Quarter 2024 Form 10-Q</w:t>
            </w:r>
          </w:p>
        </w:tc>
        <w:tc>
          <w:tcPr>
            <w:tcW w:w="880" w:type="dxa"/>
            <w:vAlign w:val="bottom"/>
          </w:tcPr>
          <w:p>
            <w:pPr>
              <w:jc w:val="right"/>
              <w:spacing w:after="0"/>
              <w:rPr>
                <w:sz w:val="20"/>
                <w:szCs w:val="20"/>
                <w:color w:val="auto"/>
              </w:rPr>
            </w:pPr>
            <w:r>
              <w:rPr>
                <w:rFonts w:ascii="Calibri" w:cs="Calibri" w:eastAsia="Calibri" w:hAnsi="Calibri"/>
                <w:sz w:val="11"/>
                <w:szCs w:val="11"/>
                <w:color w:val="51555C"/>
              </w:rPr>
              <w:t>55</w:t>
            </w:r>
          </w:p>
        </w:tc>
      </w:tr>
      <w:tr>
        <w:trPr>
          <w:trHeight w:val="281"/>
        </w:trPr>
        <w:tc>
          <w:tcPr>
            <w:tcW w:w="104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56" w:name="page57"/>
    <w:bookmarkEnd w:id="56"/>
    <w:p>
      <w:pPr>
        <w:spacing w:after="0"/>
        <w:rPr>
          <w:sz w:val="20"/>
          <w:szCs w:val="20"/>
          <w:color w:val="auto"/>
        </w:rPr>
      </w:pPr>
      <w:r>
        <w:rPr>
          <w:rFonts w:ascii="Calibri" w:cs="Calibri" w:eastAsia="Calibri" w:hAnsi="Calibri"/>
          <w:sz w:val="11"/>
          <w:szCs w:val="11"/>
          <w:u w:val="single" w:color="auto"/>
          <w:color w:val="7A04DD"/>
        </w:rPr>
        <w:t>Table of Contents</w:t>
      </w:r>
    </w:p>
    <w:p>
      <w:pPr>
        <w:spacing w:after="0" w:line="196" w:lineRule="exact"/>
        <w:rPr>
          <w:sz w:val="20"/>
          <w:szCs w:val="20"/>
          <w:color w:val="auto"/>
        </w:rPr>
      </w:pPr>
    </w:p>
    <w:p>
      <w:pPr>
        <w:jc w:val="center"/>
        <w:ind w:right="20"/>
        <w:spacing w:after="0"/>
        <w:rPr>
          <w:sz w:val="20"/>
          <w:szCs w:val="20"/>
          <w:color w:val="auto"/>
        </w:rPr>
      </w:pPr>
      <w:r>
        <w:rPr>
          <w:rFonts w:ascii="Calibri" w:cs="Calibri" w:eastAsia="Calibri" w:hAnsi="Calibri"/>
          <w:sz w:val="14"/>
          <w:szCs w:val="14"/>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Calibri" w:cs="Calibri" w:eastAsia="Calibri" w:hAnsi="Calibri"/>
          <w:sz w:val="23"/>
          <w:szCs w:val="23"/>
          <w:b w:val="1"/>
          <w:bCs w:val="1"/>
          <w:color w:val="004054"/>
        </w:rPr>
        <w:t>ITEM 6. EXHIBITS</w:t>
      </w:r>
    </w:p>
    <w:p>
      <w:pPr>
        <w:spacing w:after="0" w:line="136" w:lineRule="exact"/>
        <w:rPr>
          <w:sz w:val="20"/>
          <w:szCs w:val="20"/>
          <w:color w:val="auto"/>
        </w:rPr>
      </w:pPr>
    </w:p>
    <w:p>
      <w:pPr>
        <w:spacing w:after="0"/>
        <w:rPr>
          <w:sz w:val="20"/>
          <w:szCs w:val="20"/>
          <w:color w:val="auto"/>
        </w:rPr>
      </w:pPr>
      <w:r>
        <w:rPr>
          <w:rFonts w:ascii="Calibri" w:cs="Calibri" w:eastAsia="Calibri" w:hAnsi="Calibri"/>
          <w:sz w:val="14"/>
          <w:szCs w:val="14"/>
          <w:color w:val="51555C"/>
        </w:rPr>
        <w:t>The exhibits listed below are fled or incorporated by reference as part of this Quarterly Report on Form 10-Q:</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175" w:type="dxa"/>
            <w:vAlign w:val="bottom"/>
            <w:shd w:val="clear" w:color="auto" w:fill="004054"/>
          </w:tcPr>
          <w:p>
            <w:pPr>
              <w:spacing w:after="0"/>
              <w:rPr>
                <w:sz w:val="13"/>
                <w:szCs w:val="13"/>
                <w:color w:val="auto"/>
              </w:rPr>
            </w:pPr>
          </w:p>
        </w:tc>
        <w:tc>
          <w:tcPr>
            <w:tcW w:w="5475" w:type="dxa"/>
            <w:vAlign w:val="bottom"/>
            <w:shd w:val="clear" w:color="auto" w:fill="004054"/>
          </w:tcPr>
          <w:p>
            <w:pPr>
              <w:spacing w:after="0"/>
              <w:rPr>
                <w:sz w:val="13"/>
                <w:szCs w:val="13"/>
                <w:color w:val="auto"/>
              </w:rPr>
            </w:pPr>
          </w:p>
        </w:tc>
        <w:tc>
          <w:tcPr>
            <w:tcW w:w="965" w:type="dxa"/>
            <w:vAlign w:val="bottom"/>
            <w:shd w:val="clear" w:color="auto" w:fill="004054"/>
          </w:tcPr>
          <w:p>
            <w:pPr>
              <w:spacing w:after="0"/>
              <w:rPr>
                <w:sz w:val="13"/>
                <w:szCs w:val="13"/>
                <w:color w:val="auto"/>
              </w:rPr>
            </w:pPr>
          </w:p>
        </w:tc>
        <w:tc>
          <w:tcPr>
            <w:tcW w:w="1103" w:type="dxa"/>
            <w:vAlign w:val="bottom"/>
            <w:shd w:val="clear" w:color="auto" w:fill="004054"/>
          </w:tcPr>
          <w:p>
            <w:pPr>
              <w:spacing w:after="0"/>
              <w:rPr>
                <w:sz w:val="13"/>
                <w:szCs w:val="13"/>
                <w:color w:val="auto"/>
              </w:rPr>
            </w:pPr>
          </w:p>
        </w:tc>
        <w:tc>
          <w:tcPr>
            <w:tcW w:w="1323" w:type="dxa"/>
            <w:vAlign w:val="bottom"/>
            <w:shd w:val="clear" w:color="auto" w:fill="004054"/>
          </w:tcPr>
          <w:p>
            <w:pPr>
              <w:ind w:left="103"/>
              <w:spacing w:after="0"/>
              <w:rPr>
                <w:sz w:val="20"/>
                <w:szCs w:val="20"/>
                <w:color w:val="auto"/>
              </w:rPr>
            </w:pPr>
            <w:r>
              <w:rPr>
                <w:rFonts w:ascii="Calibri" w:cs="Calibri" w:eastAsia="Calibri" w:hAnsi="Calibri"/>
                <w:sz w:val="11"/>
                <w:szCs w:val="11"/>
                <w:b w:val="1"/>
                <w:bCs w:val="1"/>
                <w:color w:val="FFFFFF"/>
              </w:rPr>
              <w:t>Filed In</w:t>
            </w:r>
          </w:p>
        </w:tc>
        <w:tc>
          <w:tcPr>
            <w:tcW w:w="1260" w:type="dxa"/>
            <w:vAlign w:val="bottom"/>
            <w:shd w:val="clear" w:color="auto" w:fill="004054"/>
          </w:tcPr>
          <w:p>
            <w:pPr>
              <w:spacing w:after="0"/>
              <w:rPr>
                <w:sz w:val="13"/>
                <w:szCs w:val="13"/>
                <w:color w:val="auto"/>
              </w:rPr>
            </w:pPr>
          </w:p>
        </w:tc>
      </w:tr>
      <w:tr>
        <w:trPr>
          <w:trHeight w:val="173"/>
        </w:trPr>
        <w:tc>
          <w:tcPr>
            <w:tcW w:w="1175" w:type="dxa"/>
            <w:vAlign w:val="bottom"/>
            <w:shd w:val="clear" w:color="auto" w:fill="004054"/>
          </w:tcPr>
          <w:p>
            <w:pPr>
              <w:jc w:val="right"/>
              <w:ind w:right="38"/>
              <w:spacing w:after="0"/>
              <w:rPr>
                <w:sz w:val="20"/>
                <w:szCs w:val="20"/>
                <w:color w:val="auto"/>
              </w:rPr>
            </w:pPr>
            <w:r>
              <w:rPr>
                <w:rFonts w:ascii="Calibri" w:cs="Calibri" w:eastAsia="Calibri" w:hAnsi="Calibri"/>
                <w:sz w:val="11"/>
                <w:szCs w:val="11"/>
                <w:b w:val="1"/>
                <w:bCs w:val="1"/>
                <w:color w:val="FFFFFF"/>
              </w:rPr>
              <w:t>Exhibit</w:t>
            </w:r>
          </w:p>
        </w:tc>
        <w:tc>
          <w:tcPr>
            <w:tcW w:w="5475" w:type="dxa"/>
            <w:vAlign w:val="bottom"/>
            <w:shd w:val="clear" w:color="auto" w:fill="004054"/>
          </w:tcPr>
          <w:p>
            <w:pPr>
              <w:spacing w:after="0"/>
              <w:rPr>
                <w:sz w:val="15"/>
                <w:szCs w:val="15"/>
                <w:color w:val="auto"/>
              </w:rPr>
            </w:pPr>
          </w:p>
        </w:tc>
        <w:tc>
          <w:tcPr>
            <w:tcW w:w="965" w:type="dxa"/>
            <w:vAlign w:val="bottom"/>
            <w:shd w:val="clear" w:color="auto" w:fill="004054"/>
          </w:tcPr>
          <w:p>
            <w:pPr>
              <w:spacing w:after="0"/>
              <w:rPr>
                <w:sz w:val="15"/>
                <w:szCs w:val="15"/>
                <w:color w:val="auto"/>
              </w:rPr>
            </w:pPr>
          </w:p>
        </w:tc>
        <w:tc>
          <w:tcPr>
            <w:tcW w:w="1103" w:type="dxa"/>
            <w:vAlign w:val="bottom"/>
            <w:shd w:val="clear" w:color="auto" w:fill="004054"/>
          </w:tcPr>
          <w:p>
            <w:pPr>
              <w:spacing w:after="0"/>
              <w:rPr>
                <w:sz w:val="15"/>
                <w:szCs w:val="15"/>
                <w:color w:val="auto"/>
              </w:rPr>
            </w:pPr>
          </w:p>
        </w:tc>
        <w:tc>
          <w:tcPr>
            <w:tcW w:w="1323" w:type="dxa"/>
            <w:vAlign w:val="bottom"/>
            <w:shd w:val="clear" w:color="auto" w:fill="004054"/>
          </w:tcPr>
          <w:p>
            <w:pPr>
              <w:spacing w:after="0"/>
              <w:rPr>
                <w:sz w:val="15"/>
                <w:szCs w:val="15"/>
                <w:color w:val="auto"/>
              </w:rPr>
            </w:pPr>
          </w:p>
        </w:tc>
        <w:tc>
          <w:tcPr>
            <w:tcW w:w="1260" w:type="dxa"/>
            <w:vAlign w:val="bottom"/>
            <w:shd w:val="clear" w:color="auto" w:fill="004054"/>
          </w:tcPr>
          <w:p>
            <w:pPr>
              <w:spacing w:after="0"/>
              <w:rPr>
                <w:sz w:val="15"/>
                <w:szCs w:val="15"/>
                <w:color w:val="auto"/>
              </w:rPr>
            </w:pPr>
          </w:p>
        </w:tc>
      </w:tr>
      <w:tr>
        <w:trPr>
          <w:trHeight w:val="145"/>
        </w:trPr>
        <w:tc>
          <w:tcPr>
            <w:tcW w:w="1175" w:type="dxa"/>
            <w:vAlign w:val="bottom"/>
            <w:shd w:val="clear" w:color="auto" w:fill="004054"/>
          </w:tcPr>
          <w:p>
            <w:pPr>
              <w:jc w:val="right"/>
              <w:ind w:right="38"/>
              <w:spacing w:after="0"/>
              <w:rPr>
                <w:sz w:val="20"/>
                <w:szCs w:val="20"/>
                <w:color w:val="auto"/>
              </w:rPr>
            </w:pPr>
            <w:r>
              <w:rPr>
                <w:rFonts w:ascii="Calibri" w:cs="Calibri" w:eastAsia="Calibri" w:hAnsi="Calibri"/>
                <w:sz w:val="11"/>
                <w:szCs w:val="11"/>
                <w:b w:val="1"/>
                <w:bCs w:val="1"/>
                <w:color w:val="FFFFFF"/>
              </w:rPr>
              <w:t>Number</w:t>
            </w:r>
          </w:p>
        </w:tc>
        <w:tc>
          <w:tcPr>
            <w:tcW w:w="5475" w:type="dxa"/>
            <w:vAlign w:val="bottom"/>
            <w:shd w:val="clear" w:color="auto" w:fill="004054"/>
          </w:tcPr>
          <w:p>
            <w:pPr>
              <w:ind w:left="2125"/>
              <w:spacing w:after="0"/>
              <w:rPr>
                <w:sz w:val="20"/>
                <w:szCs w:val="20"/>
                <w:color w:val="auto"/>
              </w:rPr>
            </w:pPr>
            <w:r>
              <w:rPr>
                <w:rFonts w:ascii="Calibri" w:cs="Calibri" w:eastAsia="Calibri" w:hAnsi="Calibri"/>
                <w:sz w:val="11"/>
                <w:szCs w:val="11"/>
                <w:b w:val="1"/>
                <w:bCs w:val="1"/>
                <w:color w:val="FFFFFF"/>
              </w:rPr>
              <w:t>Descripton of Document</w:t>
            </w:r>
          </w:p>
        </w:tc>
        <w:tc>
          <w:tcPr>
            <w:tcW w:w="965" w:type="dxa"/>
            <w:vAlign w:val="bottom"/>
            <w:shd w:val="clear" w:color="auto" w:fill="004054"/>
          </w:tcPr>
          <w:p>
            <w:pPr>
              <w:ind w:left="110"/>
              <w:spacing w:after="0"/>
              <w:rPr>
                <w:sz w:val="20"/>
                <w:szCs w:val="20"/>
                <w:color w:val="auto"/>
              </w:rPr>
            </w:pPr>
            <w:r>
              <w:rPr>
                <w:rFonts w:ascii="Calibri" w:cs="Calibri" w:eastAsia="Calibri" w:hAnsi="Calibri"/>
                <w:sz w:val="11"/>
                <w:szCs w:val="11"/>
                <w:b w:val="1"/>
                <w:bCs w:val="1"/>
                <w:color w:val="FFFFFF"/>
              </w:rPr>
              <w:t>Filed Herewith</w:t>
            </w:r>
          </w:p>
        </w:tc>
        <w:tc>
          <w:tcPr>
            <w:tcW w:w="1103" w:type="dxa"/>
            <w:vAlign w:val="bottom"/>
            <w:shd w:val="clear" w:color="auto" w:fill="004054"/>
          </w:tcPr>
          <w:p>
            <w:pPr>
              <w:ind w:left="405"/>
              <w:spacing w:after="0"/>
              <w:rPr>
                <w:sz w:val="20"/>
                <w:szCs w:val="20"/>
                <w:color w:val="auto"/>
              </w:rPr>
            </w:pPr>
            <w:r>
              <w:rPr>
                <w:rFonts w:ascii="Calibri" w:cs="Calibri" w:eastAsia="Calibri" w:hAnsi="Calibri"/>
                <w:sz w:val="11"/>
                <w:szCs w:val="11"/>
                <w:b w:val="1"/>
                <w:bCs w:val="1"/>
                <w:color w:val="FFFFFF"/>
              </w:rPr>
              <w:t>Form</w:t>
            </w:r>
          </w:p>
        </w:tc>
        <w:tc>
          <w:tcPr>
            <w:tcW w:w="1323" w:type="dxa"/>
            <w:vAlign w:val="bottom"/>
            <w:shd w:val="clear" w:color="auto" w:fill="004054"/>
          </w:tcPr>
          <w:p>
            <w:pPr>
              <w:ind w:left="263"/>
              <w:spacing w:after="0"/>
              <w:rPr>
                <w:sz w:val="20"/>
                <w:szCs w:val="20"/>
                <w:color w:val="auto"/>
              </w:rPr>
            </w:pPr>
            <w:r>
              <w:rPr>
                <w:rFonts w:ascii="Calibri" w:cs="Calibri" w:eastAsia="Calibri" w:hAnsi="Calibri"/>
                <w:sz w:val="11"/>
                <w:szCs w:val="11"/>
                <w:b w:val="1"/>
                <w:bCs w:val="1"/>
                <w:color w:val="FFFFFF"/>
              </w:rPr>
              <w:t>Exhibit Number</w:t>
            </w:r>
          </w:p>
        </w:tc>
        <w:tc>
          <w:tcPr>
            <w:tcW w:w="1260" w:type="dxa"/>
            <w:vAlign w:val="bottom"/>
            <w:shd w:val="clear" w:color="auto" w:fill="004054"/>
          </w:tcPr>
          <w:p>
            <w:pPr>
              <w:ind w:left="380"/>
              <w:spacing w:after="0"/>
              <w:rPr>
                <w:sz w:val="20"/>
                <w:szCs w:val="20"/>
                <w:color w:val="auto"/>
              </w:rPr>
            </w:pPr>
            <w:r>
              <w:rPr>
                <w:rFonts w:ascii="Calibri" w:cs="Calibri" w:eastAsia="Calibri" w:hAnsi="Calibri"/>
                <w:sz w:val="11"/>
                <w:szCs w:val="11"/>
                <w:b w:val="1"/>
                <w:bCs w:val="1"/>
                <w:color w:val="FFFFFF"/>
              </w:rPr>
              <w:t>Filing Date</w:t>
            </w:r>
          </w:p>
        </w:tc>
      </w:tr>
      <w:tr>
        <w:trPr>
          <w:trHeight w:val="57"/>
        </w:trPr>
        <w:tc>
          <w:tcPr>
            <w:tcW w:w="1175" w:type="dxa"/>
            <w:vAlign w:val="bottom"/>
            <w:shd w:val="clear" w:color="auto" w:fill="004054"/>
          </w:tcPr>
          <w:p>
            <w:pPr>
              <w:spacing w:after="0"/>
              <w:rPr>
                <w:sz w:val="4"/>
                <w:szCs w:val="4"/>
                <w:color w:val="auto"/>
              </w:rPr>
            </w:pPr>
          </w:p>
        </w:tc>
        <w:tc>
          <w:tcPr>
            <w:tcW w:w="5475" w:type="dxa"/>
            <w:vAlign w:val="bottom"/>
            <w:shd w:val="clear" w:color="auto" w:fill="004054"/>
          </w:tcPr>
          <w:p>
            <w:pPr>
              <w:spacing w:after="0"/>
              <w:rPr>
                <w:sz w:val="4"/>
                <w:szCs w:val="4"/>
                <w:color w:val="auto"/>
              </w:rPr>
            </w:pPr>
          </w:p>
        </w:tc>
        <w:tc>
          <w:tcPr>
            <w:tcW w:w="965" w:type="dxa"/>
            <w:vAlign w:val="bottom"/>
            <w:shd w:val="clear" w:color="auto" w:fill="004054"/>
          </w:tcPr>
          <w:p>
            <w:pPr>
              <w:spacing w:after="0"/>
              <w:rPr>
                <w:sz w:val="4"/>
                <w:szCs w:val="4"/>
                <w:color w:val="auto"/>
              </w:rPr>
            </w:pPr>
          </w:p>
        </w:tc>
        <w:tc>
          <w:tcPr>
            <w:tcW w:w="1103" w:type="dxa"/>
            <w:vAlign w:val="bottom"/>
            <w:shd w:val="clear" w:color="auto" w:fill="004054"/>
          </w:tcPr>
          <w:p>
            <w:pPr>
              <w:spacing w:after="0"/>
              <w:rPr>
                <w:sz w:val="4"/>
                <w:szCs w:val="4"/>
                <w:color w:val="auto"/>
              </w:rPr>
            </w:pPr>
          </w:p>
        </w:tc>
        <w:tc>
          <w:tcPr>
            <w:tcW w:w="1323" w:type="dxa"/>
            <w:vAlign w:val="bottom"/>
            <w:shd w:val="clear" w:color="auto" w:fill="004054"/>
          </w:tcPr>
          <w:p>
            <w:pPr>
              <w:spacing w:after="0"/>
              <w:rPr>
                <w:sz w:val="4"/>
                <w:szCs w:val="4"/>
                <w:color w:val="auto"/>
              </w:rPr>
            </w:pPr>
          </w:p>
        </w:tc>
        <w:tc>
          <w:tcPr>
            <w:tcW w:w="1260" w:type="dxa"/>
            <w:vAlign w:val="bottom"/>
            <w:shd w:val="clear" w:color="auto" w:fill="004054"/>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7161530" cy="16827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61530" cy="168275"/>
                    </a:xfrm>
                    <a:prstGeom prst="rect">
                      <a:avLst/>
                    </a:prstGeom>
                    <a:noFill/>
                  </pic:spPr>
                </pic:pic>
              </a:graphicData>
            </a:graphic>
          </wp:anchor>
        </w:drawing>
        <w:drawing>
          <wp:anchor simplePos="0" relativeHeight="251657728" behindDoc="1" locked="0" layoutInCell="0" allowOverlap="1">
            <wp:simplePos x="0" y="0"/>
            <wp:positionH relativeFrom="column">
              <wp:posOffset>4234180</wp:posOffset>
            </wp:positionH>
            <wp:positionV relativeFrom="paragraph">
              <wp:posOffset>-215265</wp:posOffset>
            </wp:positionV>
            <wp:extent cx="2937510" cy="698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937510" cy="6985"/>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p>
      <w:pPr>
        <w:spacing w:after="0" w:line="20" w:lineRule="exact"/>
        <w:rPr>
          <w:sz w:val="20"/>
          <w:szCs w:val="20"/>
          <w:color w:val="auto"/>
        </w:rPr>
      </w:pPr>
    </w:p>
    <w:tbl>
      <w:tblPr>
        <w:tblLayout w:type="fixed"/>
        <w:tblInd w:w="620" w:type="dxa"/>
        <w:tblCellMar>
          <w:top w:w="0" w:type="dxa"/>
          <w:left w:w="0" w:type="dxa"/>
          <w:bottom w:w="0" w:type="dxa"/>
          <w:right w:w="0" w:type="dxa"/>
        </w:tblCellMar>
      </w:tblPr>
      <w:tr>
        <w:trPr>
          <w:trHeight w:val="171"/>
        </w:trPr>
        <w:tc>
          <w:tcPr>
            <w:tcW w:w="280" w:type="dxa"/>
            <w:vAlign w:val="bottom"/>
            <w:gridSpan w:val="3"/>
          </w:tcPr>
          <w:p>
            <w:pPr>
              <w:spacing w:after="0"/>
              <w:rPr>
                <w:sz w:val="14"/>
                <w:szCs w:val="14"/>
                <w:color w:val="auto"/>
              </w:rPr>
            </w:pPr>
          </w:p>
        </w:tc>
        <w:tc>
          <w:tcPr>
            <w:tcW w:w="180" w:type="dxa"/>
            <w:vAlign w:val="bottom"/>
          </w:tcPr>
          <w:p>
            <w:pPr>
              <w:jc w:val="right"/>
              <w:spacing w:after="0"/>
              <w:rPr>
                <w:rFonts w:ascii="Calibri" w:cs="Calibri" w:eastAsia="Calibri" w:hAnsi="Calibri"/>
                <w:sz w:val="14"/>
                <w:szCs w:val="14"/>
                <w:color w:val="7A04DD"/>
                <w:w w:val="89"/>
              </w:rPr>
            </w:pPr>
            <w:hyperlink r:id="rId258">
              <w:r>
                <w:rPr>
                  <w:rFonts w:ascii="Calibri" w:cs="Calibri" w:eastAsia="Calibri" w:hAnsi="Calibri"/>
                  <w:sz w:val="14"/>
                  <w:szCs w:val="14"/>
                  <w:color w:val="7A04DD"/>
                  <w:w w:val="89"/>
                </w:rPr>
                <w:t>3.</w:t>
              </w:r>
              <w:r>
                <w:rPr>
                  <w:rFonts w:ascii="Calibri" w:cs="Calibri" w:eastAsia="Calibri" w:hAnsi="Calibri"/>
                  <w:sz w:val="14"/>
                  <w:szCs w:val="14"/>
                  <w:u w:val="single" w:color="auto"/>
                  <w:color w:val="7A04DD"/>
                  <w:w w:val="89"/>
                </w:rPr>
                <w:t>1</w:t>
              </w:r>
            </w:hyperlink>
          </w:p>
        </w:tc>
        <w:tc>
          <w:tcPr>
            <w:tcW w:w="120" w:type="dxa"/>
            <w:vAlign w:val="bottom"/>
          </w:tcPr>
          <w:p>
            <w:pPr>
              <w:spacing w:after="0"/>
              <w:rPr>
                <w:sz w:val="14"/>
                <w:szCs w:val="14"/>
                <w:color w:val="auto"/>
              </w:rPr>
            </w:pPr>
          </w:p>
        </w:tc>
        <w:tc>
          <w:tcPr>
            <w:tcW w:w="5360" w:type="dxa"/>
            <w:vAlign w:val="bottom"/>
            <w:gridSpan w:val="11"/>
          </w:tcPr>
          <w:p>
            <w:pPr>
              <w:spacing w:after="0"/>
              <w:rPr>
                <w:rFonts w:ascii="Calibri" w:cs="Calibri" w:eastAsia="Calibri" w:hAnsi="Calibri"/>
                <w:sz w:val="14"/>
                <w:szCs w:val="14"/>
                <w:color w:val="7A04DD"/>
              </w:rPr>
            </w:pPr>
            <w:hyperlink r:id="rId258">
              <w:r>
                <w:rPr>
                  <w:rFonts w:ascii="Calibri" w:cs="Calibri" w:eastAsia="Calibri" w:hAnsi="Calibri"/>
                  <w:sz w:val="14"/>
                  <w:szCs w:val="14"/>
                  <w:color w:val="7A04DD"/>
                </w:rPr>
                <w:t>Amended and Restated Certfcate of Incorporaton of Blackbaud, Inc.</w:t>
              </w:r>
            </w:hyperlink>
          </w:p>
        </w:tc>
      </w:tr>
      <w:tr>
        <w:trPr>
          <w:trHeight w:val="20"/>
        </w:trPr>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7A04DD"/>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7A04DD"/>
          </w:tcPr>
          <w:p>
            <w:pPr>
              <w:spacing w:after="0" w:line="20" w:lineRule="exact"/>
              <w:rPr>
                <w:sz w:val="1"/>
                <w:szCs w:val="1"/>
                <w:color w:val="auto"/>
              </w:rPr>
            </w:pPr>
          </w:p>
        </w:tc>
        <w:tc>
          <w:tcPr>
            <w:tcW w:w="2300" w:type="dxa"/>
            <w:vAlign w:val="bottom"/>
            <w:shd w:val="clear" w:color="auto" w:fill="7A04DD"/>
          </w:tcPr>
          <w:p>
            <w:pPr>
              <w:spacing w:after="0" w:line="20" w:lineRule="exact"/>
              <w:rPr>
                <w:sz w:val="1"/>
                <w:szCs w:val="1"/>
                <w:color w:val="auto"/>
              </w:rPr>
            </w:pPr>
          </w:p>
        </w:tc>
        <w:tc>
          <w:tcPr>
            <w:tcW w:w="1260" w:type="dxa"/>
            <w:vAlign w:val="bottom"/>
            <w:shd w:val="clear" w:color="auto" w:fill="7A04DD"/>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5"/>
        </w:trPr>
        <w:tc>
          <w:tcPr>
            <w:tcW w:w="180" w:type="dxa"/>
            <w:vAlign w:val="bottom"/>
          </w:tcPr>
          <w:p>
            <w:pPr>
              <w:spacing w:after="0"/>
              <w:rPr>
                <w:sz w:val="20"/>
                <w:szCs w:val="20"/>
                <w:color w:val="auto"/>
              </w:rPr>
            </w:pPr>
          </w:p>
        </w:tc>
        <w:tc>
          <w:tcPr>
            <w:tcW w:w="280" w:type="dxa"/>
            <w:vAlign w:val="bottom"/>
            <w:tcBorders>
              <w:bottom w:val="single" w:sz="8" w:color="7A04DD"/>
            </w:tcBorders>
            <w:gridSpan w:val="3"/>
          </w:tcPr>
          <w:p>
            <w:pPr>
              <w:jc w:val="right"/>
              <w:spacing w:after="0"/>
              <w:rPr>
                <w:sz w:val="20"/>
                <w:szCs w:val="20"/>
                <w:color w:val="auto"/>
              </w:rPr>
            </w:pPr>
            <w:r>
              <w:rPr>
                <w:rFonts w:ascii="Calibri" w:cs="Calibri" w:eastAsia="Calibri" w:hAnsi="Calibri"/>
                <w:sz w:val="14"/>
                <w:szCs w:val="14"/>
                <w:color w:val="7A04DD"/>
                <w:w w:val="91"/>
              </w:rPr>
              <w:t>3.</w:t>
            </w:r>
            <w:r>
              <w:rPr>
                <w:rFonts w:ascii="Calibri" w:cs="Calibri" w:eastAsia="Calibri" w:hAnsi="Calibri"/>
                <w:sz w:val="14"/>
                <w:szCs w:val="14"/>
                <w:u w:val="single" w:color="auto"/>
                <w:color w:val="7A04DD"/>
                <w:w w:val="91"/>
              </w:rPr>
              <w:t>1.1</w:t>
            </w:r>
          </w:p>
        </w:tc>
        <w:tc>
          <w:tcPr>
            <w:tcW w:w="120" w:type="dxa"/>
            <w:vAlign w:val="bottom"/>
          </w:tcPr>
          <w:p>
            <w:pPr>
              <w:spacing w:after="0"/>
              <w:rPr>
                <w:sz w:val="20"/>
                <w:szCs w:val="20"/>
                <w:color w:val="auto"/>
              </w:rPr>
            </w:pPr>
          </w:p>
        </w:tc>
        <w:tc>
          <w:tcPr>
            <w:tcW w:w="4980" w:type="dxa"/>
            <w:vAlign w:val="bottom"/>
            <w:tcBorders>
              <w:bottom w:val="single" w:sz="8" w:color="7A04DD"/>
            </w:tcBorders>
            <w:gridSpan w:val="6"/>
          </w:tcPr>
          <w:p>
            <w:pPr>
              <w:spacing w:after="0"/>
              <w:rPr>
                <w:sz w:val="20"/>
                <w:szCs w:val="20"/>
                <w:color w:val="auto"/>
              </w:rPr>
            </w:pPr>
            <w:r>
              <w:rPr>
                <w:rFonts w:ascii="Calibri" w:cs="Calibri" w:eastAsia="Calibri" w:hAnsi="Calibri"/>
                <w:sz w:val="14"/>
                <w:szCs w:val="14"/>
                <w:color w:val="7A04DD"/>
                <w:w w:val="99"/>
              </w:rPr>
              <w:t>Amendment to the Amended and Restated Certfcate of Incorporaton of Blackbaud, Inc.</w:t>
            </w:r>
          </w:p>
        </w:tc>
        <w:tc>
          <w:tcPr>
            <w:tcW w:w="380" w:type="dxa"/>
            <w:vAlign w:val="bottom"/>
            <w:gridSpan w:val="5"/>
          </w:tcPr>
          <w:p>
            <w:pPr>
              <w:spacing w:after="0"/>
              <w:rPr>
                <w:sz w:val="20"/>
                <w:szCs w:val="20"/>
                <w:color w:val="auto"/>
              </w:rPr>
            </w:pPr>
          </w:p>
        </w:tc>
      </w:tr>
      <w:tr>
        <w:trPr>
          <w:trHeight w:val="235"/>
        </w:trPr>
        <w:tc>
          <w:tcPr>
            <w:tcW w:w="460" w:type="dxa"/>
            <w:vAlign w:val="bottom"/>
            <w:gridSpan w:val="4"/>
          </w:tcPr>
          <w:p>
            <w:pPr>
              <w:jc w:val="right"/>
              <w:spacing w:after="0"/>
              <w:rPr>
                <w:rFonts w:ascii="Calibri" w:cs="Calibri" w:eastAsia="Calibri" w:hAnsi="Calibri"/>
                <w:sz w:val="14"/>
                <w:szCs w:val="14"/>
                <w:color w:val="7A04DD"/>
              </w:rPr>
            </w:pPr>
            <w:hyperlink r:id="rId259">
              <w:r>
                <w:rPr>
                  <w:rFonts w:ascii="Calibri" w:cs="Calibri" w:eastAsia="Calibri" w:hAnsi="Calibri"/>
                  <w:sz w:val="14"/>
                  <w:szCs w:val="14"/>
                  <w:color w:val="7A04DD"/>
                </w:rPr>
                <w:t>10.</w:t>
              </w:r>
              <w:r>
                <w:rPr>
                  <w:rFonts w:ascii="Calibri" w:cs="Calibri" w:eastAsia="Calibri" w:hAnsi="Calibri"/>
                  <w:sz w:val="14"/>
                  <w:szCs w:val="14"/>
                  <w:u w:val="single" w:color="auto"/>
                  <w:color w:val="7A04DD"/>
                </w:rPr>
                <w:t>1</w:t>
              </w:r>
            </w:hyperlink>
          </w:p>
        </w:tc>
        <w:tc>
          <w:tcPr>
            <w:tcW w:w="120" w:type="dxa"/>
            <w:vAlign w:val="bottom"/>
          </w:tcPr>
          <w:p>
            <w:pPr>
              <w:spacing w:after="0"/>
              <w:rPr>
                <w:sz w:val="20"/>
                <w:szCs w:val="20"/>
                <w:color w:val="auto"/>
              </w:rPr>
            </w:pPr>
          </w:p>
        </w:tc>
        <w:tc>
          <w:tcPr>
            <w:tcW w:w="5360" w:type="dxa"/>
            <w:vAlign w:val="bottom"/>
            <w:gridSpan w:val="11"/>
          </w:tcPr>
          <w:p>
            <w:pPr>
              <w:spacing w:after="0"/>
              <w:rPr>
                <w:rFonts w:ascii="Calibri" w:cs="Calibri" w:eastAsia="Calibri" w:hAnsi="Calibri"/>
                <w:sz w:val="14"/>
                <w:szCs w:val="14"/>
                <w:color w:val="7A04DD"/>
              </w:rPr>
            </w:pPr>
            <w:hyperlink r:id="rId259">
              <w:r>
                <w:rPr>
                  <w:rFonts w:ascii="Calibri" w:cs="Calibri" w:eastAsia="Calibri" w:hAnsi="Calibri"/>
                  <w:sz w:val="14"/>
                  <w:szCs w:val="14"/>
                  <w:color w:val="7A04DD"/>
                </w:rPr>
                <w:t>Amended and Restated Blackbaud, Inc. 2016 Equity and Incentve Compensaton Plan.</w:t>
              </w:r>
            </w:hyperlink>
          </w:p>
        </w:tc>
      </w:tr>
      <w:tr>
        <w:trPr>
          <w:trHeight w:val="20"/>
        </w:trPr>
        <w:tc>
          <w:tcPr>
            <w:tcW w:w="220" w:type="dxa"/>
            <w:vAlign w:val="bottom"/>
            <w:gridSpan w:val="2"/>
          </w:tcPr>
          <w:p>
            <w:pPr>
              <w:spacing w:after="0" w:line="20" w:lineRule="exact"/>
              <w:rPr>
                <w:sz w:val="1"/>
                <w:szCs w:val="1"/>
                <w:color w:val="auto"/>
              </w:rPr>
            </w:pPr>
          </w:p>
        </w:tc>
        <w:tc>
          <w:tcPr>
            <w:tcW w:w="240" w:type="dxa"/>
            <w:vAlign w:val="bottom"/>
            <w:gridSpan w:val="2"/>
            <w:shd w:val="clear" w:color="auto" w:fill="7A04DD"/>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7A04DD"/>
          </w:tcPr>
          <w:p>
            <w:pPr>
              <w:spacing w:after="0" w:line="20" w:lineRule="exact"/>
              <w:rPr>
                <w:sz w:val="1"/>
                <w:szCs w:val="1"/>
                <w:color w:val="auto"/>
              </w:rPr>
            </w:pPr>
          </w:p>
        </w:tc>
        <w:tc>
          <w:tcPr>
            <w:tcW w:w="2300" w:type="dxa"/>
            <w:vAlign w:val="bottom"/>
            <w:shd w:val="clear" w:color="auto" w:fill="7A04DD"/>
          </w:tcPr>
          <w:p>
            <w:pPr>
              <w:spacing w:after="0" w:line="20" w:lineRule="exact"/>
              <w:rPr>
                <w:sz w:val="1"/>
                <w:szCs w:val="1"/>
                <w:color w:val="auto"/>
              </w:rPr>
            </w:pPr>
          </w:p>
        </w:tc>
        <w:tc>
          <w:tcPr>
            <w:tcW w:w="1920" w:type="dxa"/>
            <w:vAlign w:val="bottom"/>
            <w:gridSpan w:val="2"/>
            <w:shd w:val="clear" w:color="auto" w:fill="7A04DD"/>
          </w:tcPr>
          <w:p>
            <w:pPr>
              <w:spacing w:after="0" w:line="20" w:lineRule="exact"/>
              <w:rPr>
                <w:sz w:val="1"/>
                <w:szCs w:val="1"/>
                <w:color w:val="auto"/>
              </w:rPr>
            </w:pPr>
          </w:p>
        </w:tc>
        <w:tc>
          <w:tcPr>
            <w:tcW w:w="280" w:type="dxa"/>
            <w:vAlign w:val="bottom"/>
            <w:shd w:val="clear" w:color="auto" w:fill="7A04DD"/>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5"/>
        </w:trPr>
        <w:tc>
          <w:tcPr>
            <w:tcW w:w="460" w:type="dxa"/>
            <w:vAlign w:val="bottom"/>
            <w:gridSpan w:val="4"/>
          </w:tcPr>
          <w:p>
            <w:pPr>
              <w:jc w:val="right"/>
              <w:spacing w:after="0"/>
              <w:rPr>
                <w:rFonts w:ascii="Calibri" w:cs="Calibri" w:eastAsia="Calibri" w:hAnsi="Calibri"/>
                <w:sz w:val="14"/>
                <w:szCs w:val="14"/>
                <w:color w:val="7A04DD"/>
              </w:rPr>
            </w:pPr>
            <w:hyperlink r:id="rId260">
              <w:r>
                <w:rPr>
                  <w:rFonts w:ascii="Calibri" w:cs="Calibri" w:eastAsia="Calibri" w:hAnsi="Calibri"/>
                  <w:sz w:val="14"/>
                  <w:szCs w:val="14"/>
                  <w:color w:val="7A04DD"/>
                </w:rPr>
                <w:t>10.</w:t>
              </w:r>
              <w:r>
                <w:rPr>
                  <w:rFonts w:ascii="Calibri" w:cs="Calibri" w:eastAsia="Calibri" w:hAnsi="Calibri"/>
                  <w:sz w:val="14"/>
                  <w:szCs w:val="14"/>
                  <w:u w:val="single" w:color="auto"/>
                  <w:color w:val="7A04DD"/>
                </w:rPr>
                <w:t>2</w:t>
              </w:r>
            </w:hyperlink>
          </w:p>
        </w:tc>
        <w:tc>
          <w:tcPr>
            <w:tcW w:w="120" w:type="dxa"/>
            <w:vAlign w:val="bottom"/>
          </w:tcPr>
          <w:p>
            <w:pPr>
              <w:spacing w:after="0"/>
              <w:rPr>
                <w:sz w:val="20"/>
                <w:szCs w:val="20"/>
                <w:color w:val="auto"/>
              </w:rPr>
            </w:pPr>
          </w:p>
        </w:tc>
        <w:tc>
          <w:tcPr>
            <w:tcW w:w="5360" w:type="dxa"/>
            <w:vAlign w:val="bottom"/>
            <w:gridSpan w:val="11"/>
          </w:tcPr>
          <w:p>
            <w:pPr>
              <w:spacing w:after="0"/>
              <w:rPr>
                <w:rFonts w:ascii="Calibri" w:cs="Calibri" w:eastAsia="Calibri" w:hAnsi="Calibri"/>
                <w:sz w:val="14"/>
                <w:szCs w:val="14"/>
                <w:color w:val="7A04DD"/>
              </w:rPr>
            </w:pPr>
            <w:hyperlink r:id="rId260">
              <w:r>
                <w:rPr>
                  <w:rFonts w:ascii="Calibri" w:cs="Calibri" w:eastAsia="Calibri" w:hAnsi="Calibri"/>
                  <w:sz w:val="14"/>
                  <w:szCs w:val="14"/>
                  <w:color w:val="7A04DD"/>
                </w:rPr>
                <w:t>Third Amendment to Credit Agreement, dated as of April 30, 2024, by and among Blackbaud,</w:t>
              </w:r>
            </w:hyperlink>
          </w:p>
        </w:tc>
      </w:tr>
      <w:tr>
        <w:trPr>
          <w:trHeight w:val="150"/>
        </w:trPr>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top w:val="single" w:sz="8" w:color="7A04DD"/>
            </w:tcBorders>
          </w:tcPr>
          <w:p>
            <w:pPr>
              <w:spacing w:after="0"/>
              <w:rPr>
                <w:sz w:val="13"/>
                <w:szCs w:val="13"/>
                <w:color w:val="auto"/>
              </w:rPr>
            </w:pPr>
          </w:p>
        </w:tc>
        <w:tc>
          <w:tcPr>
            <w:tcW w:w="180" w:type="dxa"/>
            <w:vAlign w:val="bottom"/>
            <w:tcBorders>
              <w:top w:val="single" w:sz="8" w:color="7A04DD"/>
            </w:tcBorders>
          </w:tcPr>
          <w:p>
            <w:pPr>
              <w:spacing w:after="0"/>
              <w:rPr>
                <w:sz w:val="13"/>
                <w:szCs w:val="13"/>
                <w:color w:val="auto"/>
              </w:rPr>
            </w:pPr>
          </w:p>
        </w:tc>
        <w:tc>
          <w:tcPr>
            <w:tcW w:w="120" w:type="dxa"/>
            <w:vAlign w:val="bottom"/>
          </w:tcPr>
          <w:p>
            <w:pPr>
              <w:spacing w:after="0"/>
              <w:rPr>
                <w:sz w:val="13"/>
                <w:szCs w:val="13"/>
                <w:color w:val="auto"/>
              </w:rPr>
            </w:pPr>
          </w:p>
        </w:tc>
        <w:tc>
          <w:tcPr>
            <w:tcW w:w="5200" w:type="dxa"/>
            <w:vAlign w:val="bottom"/>
            <w:tcBorders>
              <w:top w:val="single" w:sz="8" w:color="7A04DD"/>
            </w:tcBorders>
            <w:gridSpan w:val="8"/>
          </w:tcPr>
          <w:p>
            <w:pPr>
              <w:spacing w:after="0" w:line="150" w:lineRule="exact"/>
              <w:rPr>
                <w:rFonts w:ascii="Calibri" w:cs="Calibri" w:eastAsia="Calibri" w:hAnsi="Calibri"/>
                <w:sz w:val="14"/>
                <w:szCs w:val="14"/>
                <w:color w:val="7A04DD"/>
              </w:rPr>
            </w:pPr>
            <w:hyperlink r:id="rId260">
              <w:r>
                <w:rPr>
                  <w:rFonts w:ascii="Calibri" w:cs="Calibri" w:eastAsia="Calibri" w:hAnsi="Calibri"/>
                  <w:sz w:val="14"/>
                  <w:szCs w:val="14"/>
                  <w:color w:val="7A04DD"/>
                </w:rPr>
                <w:t>Inc., the lenders party thereto and Bank of America N.A., as administratve agent.</w:t>
              </w:r>
            </w:hyperlink>
          </w:p>
        </w:tc>
        <w:tc>
          <w:tcPr>
            <w:tcW w:w="160" w:type="dxa"/>
            <w:vAlign w:val="bottom"/>
            <w:gridSpan w:val="3"/>
          </w:tcPr>
          <w:p>
            <w:pPr>
              <w:spacing w:after="0"/>
              <w:rPr>
                <w:sz w:val="13"/>
                <w:szCs w:val="13"/>
                <w:color w:val="auto"/>
              </w:rPr>
            </w:pPr>
          </w:p>
        </w:tc>
      </w:tr>
      <w:tr>
        <w:trPr>
          <w:trHeight w:val="20"/>
        </w:trPr>
        <w:tc>
          <w:tcPr>
            <w:tcW w:w="4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7A04DD"/>
          </w:tcPr>
          <w:p>
            <w:pPr>
              <w:spacing w:after="0" w:line="20" w:lineRule="exact"/>
              <w:rPr>
                <w:sz w:val="1"/>
                <w:szCs w:val="1"/>
                <w:color w:val="auto"/>
              </w:rPr>
            </w:pPr>
          </w:p>
        </w:tc>
        <w:tc>
          <w:tcPr>
            <w:tcW w:w="2300" w:type="dxa"/>
            <w:vAlign w:val="bottom"/>
            <w:shd w:val="clear" w:color="auto" w:fill="7A04DD"/>
          </w:tcPr>
          <w:p>
            <w:pPr>
              <w:spacing w:after="0" w:line="20" w:lineRule="exact"/>
              <w:rPr>
                <w:sz w:val="1"/>
                <w:szCs w:val="1"/>
                <w:color w:val="auto"/>
              </w:rPr>
            </w:pPr>
          </w:p>
        </w:tc>
        <w:tc>
          <w:tcPr>
            <w:tcW w:w="1920" w:type="dxa"/>
            <w:vAlign w:val="bottom"/>
            <w:gridSpan w:val="2"/>
            <w:shd w:val="clear" w:color="auto" w:fill="7A04DD"/>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5"/>
        </w:trPr>
        <w:tc>
          <w:tcPr>
            <w:tcW w:w="460" w:type="dxa"/>
            <w:vAlign w:val="bottom"/>
            <w:gridSpan w:val="4"/>
          </w:tcPr>
          <w:p>
            <w:pPr>
              <w:jc w:val="right"/>
              <w:spacing w:after="0"/>
              <w:rPr>
                <w:sz w:val="20"/>
                <w:szCs w:val="20"/>
                <w:color w:val="auto"/>
              </w:rPr>
            </w:pPr>
            <w:r>
              <w:rPr>
                <w:rFonts w:ascii="Calibri" w:cs="Calibri" w:eastAsia="Calibri" w:hAnsi="Calibri"/>
                <w:sz w:val="14"/>
                <w:szCs w:val="14"/>
                <w:color w:val="7A04DD"/>
              </w:rPr>
              <w:t>31.</w:t>
            </w:r>
            <w:r>
              <w:rPr>
                <w:rFonts w:ascii="Calibri" w:cs="Calibri" w:eastAsia="Calibri" w:hAnsi="Calibri"/>
                <w:sz w:val="14"/>
                <w:szCs w:val="14"/>
                <w:u w:val="single" w:color="auto"/>
                <w:color w:val="7A04DD"/>
              </w:rPr>
              <w:t>1</w:t>
            </w:r>
          </w:p>
        </w:tc>
        <w:tc>
          <w:tcPr>
            <w:tcW w:w="120" w:type="dxa"/>
            <w:vAlign w:val="bottom"/>
          </w:tcPr>
          <w:p>
            <w:pPr>
              <w:spacing w:after="0"/>
              <w:rPr>
                <w:sz w:val="20"/>
                <w:szCs w:val="20"/>
                <w:color w:val="auto"/>
              </w:rPr>
            </w:pPr>
          </w:p>
        </w:tc>
        <w:tc>
          <w:tcPr>
            <w:tcW w:w="5360" w:type="dxa"/>
            <w:vAlign w:val="bottom"/>
            <w:gridSpan w:val="11"/>
          </w:tcPr>
          <w:p>
            <w:pPr>
              <w:spacing w:after="0"/>
              <w:rPr>
                <w:sz w:val="20"/>
                <w:szCs w:val="20"/>
                <w:color w:val="auto"/>
              </w:rPr>
            </w:pPr>
            <w:r>
              <w:rPr>
                <w:rFonts w:ascii="Calibri" w:cs="Calibri" w:eastAsia="Calibri" w:hAnsi="Calibri"/>
                <w:sz w:val="14"/>
                <w:szCs w:val="14"/>
                <w:color w:val="7A04DD"/>
              </w:rPr>
              <w:t>Certfcaton by the Chief Executve Ofcer pursuant to Secton 302 of the Sarbanes-Oxley Act of</w:t>
            </w:r>
          </w:p>
        </w:tc>
      </w:tr>
      <w:tr>
        <w:trPr>
          <w:trHeight w:val="150"/>
        </w:trPr>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top w:val="single" w:sz="8" w:color="7A04DD"/>
            </w:tcBorders>
          </w:tcPr>
          <w:p>
            <w:pPr>
              <w:spacing w:after="0"/>
              <w:rPr>
                <w:sz w:val="13"/>
                <w:szCs w:val="13"/>
                <w:color w:val="auto"/>
              </w:rPr>
            </w:pPr>
          </w:p>
        </w:tc>
        <w:tc>
          <w:tcPr>
            <w:tcW w:w="180" w:type="dxa"/>
            <w:vAlign w:val="bottom"/>
            <w:tcBorders>
              <w:top w:val="single" w:sz="8" w:color="7A04DD"/>
            </w:tcBorders>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top w:val="single" w:sz="8" w:color="7A04DD"/>
              <w:bottom w:val="single" w:sz="8" w:color="7A04DD"/>
            </w:tcBorders>
          </w:tcPr>
          <w:p>
            <w:pPr>
              <w:spacing w:after="0" w:line="150" w:lineRule="exact"/>
              <w:rPr>
                <w:sz w:val="20"/>
                <w:szCs w:val="20"/>
                <w:color w:val="auto"/>
              </w:rPr>
            </w:pPr>
            <w:r>
              <w:rPr>
                <w:rFonts w:ascii="Calibri" w:cs="Calibri" w:eastAsia="Calibri" w:hAnsi="Calibri"/>
                <w:sz w:val="14"/>
                <w:szCs w:val="14"/>
                <w:color w:val="7A04DD"/>
                <w:w w:val="93"/>
              </w:rPr>
              <w:t>2002.</w:t>
            </w:r>
          </w:p>
        </w:tc>
        <w:tc>
          <w:tcPr>
            <w:tcW w:w="2300" w:type="dxa"/>
            <w:vAlign w:val="bottom"/>
            <w:tcBorders>
              <w:top w:val="single" w:sz="8" w:color="7A04DD"/>
            </w:tcBorders>
          </w:tcPr>
          <w:p>
            <w:pPr>
              <w:spacing w:after="0"/>
              <w:rPr>
                <w:sz w:val="13"/>
                <w:szCs w:val="13"/>
                <w:color w:val="auto"/>
              </w:rPr>
            </w:pPr>
          </w:p>
        </w:tc>
        <w:tc>
          <w:tcPr>
            <w:tcW w:w="1260" w:type="dxa"/>
            <w:vAlign w:val="bottom"/>
            <w:tcBorders>
              <w:top w:val="single" w:sz="8" w:color="7A04DD"/>
            </w:tcBorders>
          </w:tcPr>
          <w:p>
            <w:pPr>
              <w:spacing w:after="0"/>
              <w:rPr>
                <w:sz w:val="13"/>
                <w:szCs w:val="13"/>
                <w:color w:val="auto"/>
              </w:rPr>
            </w:pPr>
          </w:p>
        </w:tc>
        <w:tc>
          <w:tcPr>
            <w:tcW w:w="660" w:type="dxa"/>
            <w:vAlign w:val="bottom"/>
            <w:tcBorders>
              <w:top w:val="single" w:sz="8" w:color="7A04DD"/>
            </w:tcBorders>
          </w:tcPr>
          <w:p>
            <w:pPr>
              <w:spacing w:after="0"/>
              <w:rPr>
                <w:sz w:val="13"/>
                <w:szCs w:val="13"/>
                <w:color w:val="auto"/>
              </w:rPr>
            </w:pPr>
          </w:p>
        </w:tc>
        <w:tc>
          <w:tcPr>
            <w:tcW w:w="280" w:type="dxa"/>
            <w:vAlign w:val="bottom"/>
            <w:tcBorders>
              <w:top w:val="single" w:sz="8" w:color="7A04DD"/>
            </w:tcBorders>
          </w:tcPr>
          <w:p>
            <w:pPr>
              <w:spacing w:after="0"/>
              <w:rPr>
                <w:sz w:val="13"/>
                <w:szCs w:val="13"/>
                <w:color w:val="auto"/>
              </w:rPr>
            </w:pPr>
          </w:p>
        </w:tc>
        <w:tc>
          <w:tcPr>
            <w:tcW w:w="160" w:type="dxa"/>
            <w:vAlign w:val="bottom"/>
            <w:tcBorders>
              <w:top w:val="single" w:sz="8" w:color="7A04DD"/>
            </w:tcBorders>
          </w:tcPr>
          <w:p>
            <w:pPr>
              <w:spacing w:after="0"/>
              <w:rPr>
                <w:sz w:val="13"/>
                <w:szCs w:val="13"/>
                <w:color w:val="auto"/>
              </w:rPr>
            </w:pPr>
          </w:p>
        </w:tc>
        <w:tc>
          <w:tcPr>
            <w:tcW w:w="200" w:type="dxa"/>
            <w:vAlign w:val="bottom"/>
            <w:tcBorders>
              <w:top w:val="single" w:sz="8" w:color="7A04DD"/>
            </w:tcBorders>
          </w:tcPr>
          <w:p>
            <w:pPr>
              <w:spacing w:after="0"/>
              <w:rPr>
                <w:sz w:val="13"/>
                <w:szCs w:val="13"/>
                <w:color w:val="auto"/>
              </w:rPr>
            </w:pPr>
          </w:p>
        </w:tc>
        <w:tc>
          <w:tcPr>
            <w:tcW w:w="20" w:type="dxa"/>
            <w:vAlign w:val="bottom"/>
            <w:tcBorders>
              <w:top w:val="single" w:sz="8" w:color="7A04DD"/>
            </w:tcBorders>
          </w:tcPr>
          <w:p>
            <w:pPr>
              <w:spacing w:after="0"/>
              <w:rPr>
                <w:sz w:val="13"/>
                <w:szCs w:val="13"/>
                <w:color w:val="auto"/>
              </w:rPr>
            </w:pPr>
          </w:p>
        </w:tc>
        <w:tc>
          <w:tcPr>
            <w:tcW w:w="20" w:type="dxa"/>
            <w:vAlign w:val="bottom"/>
            <w:tcBorders>
              <w:top w:val="single" w:sz="8" w:color="7A04DD"/>
            </w:tcBorders>
          </w:tcPr>
          <w:p>
            <w:pPr>
              <w:spacing w:after="0"/>
              <w:rPr>
                <w:sz w:val="13"/>
                <w:szCs w:val="13"/>
                <w:color w:val="auto"/>
              </w:rPr>
            </w:pPr>
          </w:p>
        </w:tc>
        <w:tc>
          <w:tcPr>
            <w:tcW w:w="100" w:type="dxa"/>
            <w:vAlign w:val="bottom"/>
            <w:tcBorders>
              <w:top w:val="single" w:sz="8" w:color="7A04DD"/>
            </w:tcBorders>
          </w:tcPr>
          <w:p>
            <w:pPr>
              <w:spacing w:after="0"/>
              <w:rPr>
                <w:sz w:val="13"/>
                <w:szCs w:val="13"/>
                <w:color w:val="auto"/>
              </w:rPr>
            </w:pPr>
          </w:p>
        </w:tc>
        <w:tc>
          <w:tcPr>
            <w:tcW w:w="40" w:type="dxa"/>
            <w:vAlign w:val="bottom"/>
            <w:tcBorders>
              <w:top w:val="single" w:sz="8" w:color="7A04DD"/>
            </w:tcBorders>
          </w:tcPr>
          <w:p>
            <w:pPr>
              <w:spacing w:after="0"/>
              <w:rPr>
                <w:sz w:val="13"/>
                <w:szCs w:val="13"/>
                <w:color w:val="auto"/>
              </w:rPr>
            </w:pPr>
          </w:p>
        </w:tc>
      </w:tr>
      <w:tr>
        <w:trPr>
          <w:trHeight w:val="235"/>
        </w:trPr>
        <w:tc>
          <w:tcPr>
            <w:tcW w:w="460" w:type="dxa"/>
            <w:vAlign w:val="bottom"/>
            <w:gridSpan w:val="4"/>
          </w:tcPr>
          <w:p>
            <w:pPr>
              <w:jc w:val="right"/>
              <w:spacing w:after="0"/>
              <w:rPr>
                <w:sz w:val="20"/>
                <w:szCs w:val="20"/>
                <w:color w:val="auto"/>
              </w:rPr>
            </w:pPr>
            <w:r>
              <w:rPr>
                <w:rFonts w:ascii="Calibri" w:cs="Calibri" w:eastAsia="Calibri" w:hAnsi="Calibri"/>
                <w:sz w:val="14"/>
                <w:szCs w:val="14"/>
                <w:color w:val="7A04DD"/>
              </w:rPr>
              <w:t>31.</w:t>
            </w:r>
            <w:r>
              <w:rPr>
                <w:rFonts w:ascii="Calibri" w:cs="Calibri" w:eastAsia="Calibri" w:hAnsi="Calibri"/>
                <w:sz w:val="14"/>
                <w:szCs w:val="14"/>
                <w:u w:val="single" w:color="auto"/>
                <w:color w:val="7A04DD"/>
              </w:rPr>
              <w:t>2</w:t>
            </w:r>
          </w:p>
        </w:tc>
        <w:tc>
          <w:tcPr>
            <w:tcW w:w="120" w:type="dxa"/>
            <w:vAlign w:val="bottom"/>
          </w:tcPr>
          <w:p>
            <w:pPr>
              <w:spacing w:after="0"/>
              <w:rPr>
                <w:sz w:val="20"/>
                <w:szCs w:val="20"/>
                <w:color w:val="auto"/>
              </w:rPr>
            </w:pPr>
          </w:p>
        </w:tc>
        <w:tc>
          <w:tcPr>
            <w:tcW w:w="5360" w:type="dxa"/>
            <w:vAlign w:val="bottom"/>
            <w:gridSpan w:val="11"/>
          </w:tcPr>
          <w:p>
            <w:pPr>
              <w:spacing w:after="0"/>
              <w:rPr>
                <w:sz w:val="20"/>
                <w:szCs w:val="20"/>
                <w:color w:val="auto"/>
              </w:rPr>
            </w:pPr>
            <w:r>
              <w:rPr>
                <w:rFonts w:ascii="Calibri" w:cs="Calibri" w:eastAsia="Calibri" w:hAnsi="Calibri"/>
                <w:sz w:val="14"/>
                <w:szCs w:val="14"/>
                <w:color w:val="7A04DD"/>
              </w:rPr>
              <w:t>Certfcaton by the Chief Financial Ofcer pursuant to Secton 302 of the Sarbanes-Oxley Act of</w:t>
            </w:r>
          </w:p>
        </w:tc>
      </w:tr>
      <w:tr>
        <w:trPr>
          <w:trHeight w:val="150"/>
        </w:trPr>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top w:val="single" w:sz="8" w:color="7A04DD"/>
            </w:tcBorders>
          </w:tcPr>
          <w:p>
            <w:pPr>
              <w:spacing w:after="0"/>
              <w:rPr>
                <w:sz w:val="13"/>
                <w:szCs w:val="13"/>
                <w:color w:val="auto"/>
              </w:rPr>
            </w:pPr>
          </w:p>
        </w:tc>
        <w:tc>
          <w:tcPr>
            <w:tcW w:w="180" w:type="dxa"/>
            <w:vAlign w:val="bottom"/>
            <w:tcBorders>
              <w:top w:val="single" w:sz="8" w:color="7A04DD"/>
            </w:tcBorders>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top w:val="single" w:sz="8" w:color="7A04DD"/>
              <w:bottom w:val="single" w:sz="8" w:color="7A04DD"/>
            </w:tcBorders>
          </w:tcPr>
          <w:p>
            <w:pPr>
              <w:spacing w:after="0" w:line="150" w:lineRule="exact"/>
              <w:rPr>
                <w:sz w:val="20"/>
                <w:szCs w:val="20"/>
                <w:color w:val="auto"/>
              </w:rPr>
            </w:pPr>
            <w:r>
              <w:rPr>
                <w:rFonts w:ascii="Calibri" w:cs="Calibri" w:eastAsia="Calibri" w:hAnsi="Calibri"/>
                <w:sz w:val="14"/>
                <w:szCs w:val="14"/>
                <w:color w:val="7A04DD"/>
                <w:w w:val="93"/>
              </w:rPr>
              <w:t>2002.</w:t>
            </w:r>
          </w:p>
        </w:tc>
        <w:tc>
          <w:tcPr>
            <w:tcW w:w="2300" w:type="dxa"/>
            <w:vAlign w:val="bottom"/>
            <w:tcBorders>
              <w:top w:val="single" w:sz="8" w:color="7A04DD"/>
            </w:tcBorders>
          </w:tcPr>
          <w:p>
            <w:pPr>
              <w:spacing w:after="0"/>
              <w:rPr>
                <w:sz w:val="13"/>
                <w:szCs w:val="13"/>
                <w:color w:val="auto"/>
              </w:rPr>
            </w:pPr>
          </w:p>
        </w:tc>
        <w:tc>
          <w:tcPr>
            <w:tcW w:w="1260" w:type="dxa"/>
            <w:vAlign w:val="bottom"/>
            <w:tcBorders>
              <w:top w:val="single" w:sz="8" w:color="7A04DD"/>
            </w:tcBorders>
          </w:tcPr>
          <w:p>
            <w:pPr>
              <w:spacing w:after="0"/>
              <w:rPr>
                <w:sz w:val="13"/>
                <w:szCs w:val="13"/>
                <w:color w:val="auto"/>
              </w:rPr>
            </w:pPr>
          </w:p>
        </w:tc>
        <w:tc>
          <w:tcPr>
            <w:tcW w:w="660" w:type="dxa"/>
            <w:vAlign w:val="bottom"/>
            <w:tcBorders>
              <w:top w:val="single" w:sz="8" w:color="7A04DD"/>
            </w:tcBorders>
          </w:tcPr>
          <w:p>
            <w:pPr>
              <w:spacing w:after="0"/>
              <w:rPr>
                <w:sz w:val="13"/>
                <w:szCs w:val="13"/>
                <w:color w:val="auto"/>
              </w:rPr>
            </w:pPr>
          </w:p>
        </w:tc>
        <w:tc>
          <w:tcPr>
            <w:tcW w:w="280" w:type="dxa"/>
            <w:vAlign w:val="bottom"/>
            <w:tcBorders>
              <w:top w:val="single" w:sz="8" w:color="7A04DD"/>
            </w:tcBorders>
          </w:tcPr>
          <w:p>
            <w:pPr>
              <w:spacing w:after="0"/>
              <w:rPr>
                <w:sz w:val="13"/>
                <w:szCs w:val="13"/>
                <w:color w:val="auto"/>
              </w:rPr>
            </w:pPr>
          </w:p>
        </w:tc>
        <w:tc>
          <w:tcPr>
            <w:tcW w:w="160" w:type="dxa"/>
            <w:vAlign w:val="bottom"/>
            <w:tcBorders>
              <w:top w:val="single" w:sz="8" w:color="7A04DD"/>
            </w:tcBorders>
          </w:tcPr>
          <w:p>
            <w:pPr>
              <w:spacing w:after="0"/>
              <w:rPr>
                <w:sz w:val="13"/>
                <w:szCs w:val="13"/>
                <w:color w:val="auto"/>
              </w:rPr>
            </w:pPr>
          </w:p>
        </w:tc>
        <w:tc>
          <w:tcPr>
            <w:tcW w:w="200" w:type="dxa"/>
            <w:vAlign w:val="bottom"/>
            <w:tcBorders>
              <w:top w:val="single" w:sz="8" w:color="7A04DD"/>
            </w:tcBorders>
          </w:tcPr>
          <w:p>
            <w:pPr>
              <w:spacing w:after="0"/>
              <w:rPr>
                <w:sz w:val="13"/>
                <w:szCs w:val="13"/>
                <w:color w:val="auto"/>
              </w:rPr>
            </w:pPr>
          </w:p>
        </w:tc>
        <w:tc>
          <w:tcPr>
            <w:tcW w:w="20" w:type="dxa"/>
            <w:vAlign w:val="bottom"/>
            <w:tcBorders>
              <w:top w:val="single" w:sz="8" w:color="7A04DD"/>
            </w:tcBorders>
          </w:tcPr>
          <w:p>
            <w:pPr>
              <w:spacing w:after="0"/>
              <w:rPr>
                <w:sz w:val="13"/>
                <w:szCs w:val="13"/>
                <w:color w:val="auto"/>
              </w:rPr>
            </w:pPr>
          </w:p>
        </w:tc>
        <w:tc>
          <w:tcPr>
            <w:tcW w:w="20" w:type="dxa"/>
            <w:vAlign w:val="bottom"/>
            <w:tcBorders>
              <w:top w:val="single" w:sz="8" w:color="7A04DD"/>
            </w:tcBorders>
          </w:tcPr>
          <w:p>
            <w:pPr>
              <w:spacing w:after="0"/>
              <w:rPr>
                <w:sz w:val="13"/>
                <w:szCs w:val="13"/>
                <w:color w:val="auto"/>
              </w:rPr>
            </w:pPr>
          </w:p>
        </w:tc>
        <w:tc>
          <w:tcPr>
            <w:tcW w:w="100" w:type="dxa"/>
            <w:vAlign w:val="bottom"/>
            <w:tcBorders>
              <w:top w:val="single" w:sz="8" w:color="7A04DD"/>
            </w:tcBorders>
          </w:tcPr>
          <w:p>
            <w:pPr>
              <w:spacing w:after="0"/>
              <w:rPr>
                <w:sz w:val="13"/>
                <w:szCs w:val="13"/>
                <w:color w:val="auto"/>
              </w:rPr>
            </w:pPr>
          </w:p>
        </w:tc>
        <w:tc>
          <w:tcPr>
            <w:tcW w:w="40" w:type="dxa"/>
            <w:vAlign w:val="bottom"/>
          </w:tcPr>
          <w:p>
            <w:pPr>
              <w:spacing w:after="0"/>
              <w:rPr>
                <w:sz w:val="13"/>
                <w:szCs w:val="13"/>
                <w:color w:val="auto"/>
              </w:rPr>
            </w:pPr>
          </w:p>
        </w:tc>
      </w:tr>
      <w:tr>
        <w:trPr>
          <w:trHeight w:val="235"/>
        </w:trPr>
        <w:tc>
          <w:tcPr>
            <w:tcW w:w="460" w:type="dxa"/>
            <w:vAlign w:val="bottom"/>
            <w:gridSpan w:val="4"/>
          </w:tcPr>
          <w:p>
            <w:pPr>
              <w:jc w:val="right"/>
              <w:spacing w:after="0"/>
              <w:rPr>
                <w:sz w:val="20"/>
                <w:szCs w:val="20"/>
                <w:color w:val="auto"/>
              </w:rPr>
            </w:pPr>
            <w:r>
              <w:rPr>
                <w:rFonts w:ascii="Calibri" w:cs="Calibri" w:eastAsia="Calibri" w:hAnsi="Calibri"/>
                <w:sz w:val="14"/>
                <w:szCs w:val="14"/>
                <w:color w:val="7A04DD"/>
              </w:rPr>
              <w:t>32.</w:t>
            </w:r>
            <w:r>
              <w:rPr>
                <w:rFonts w:ascii="Calibri" w:cs="Calibri" w:eastAsia="Calibri" w:hAnsi="Calibri"/>
                <w:sz w:val="14"/>
                <w:szCs w:val="14"/>
                <w:u w:val="single" w:color="auto"/>
                <w:color w:val="7A04DD"/>
              </w:rPr>
              <w:t>1</w:t>
            </w:r>
          </w:p>
        </w:tc>
        <w:tc>
          <w:tcPr>
            <w:tcW w:w="120" w:type="dxa"/>
            <w:vAlign w:val="bottom"/>
          </w:tcPr>
          <w:p>
            <w:pPr>
              <w:spacing w:after="0"/>
              <w:rPr>
                <w:sz w:val="20"/>
                <w:szCs w:val="20"/>
                <w:color w:val="auto"/>
              </w:rPr>
            </w:pPr>
          </w:p>
        </w:tc>
        <w:tc>
          <w:tcPr>
            <w:tcW w:w="5360" w:type="dxa"/>
            <w:vAlign w:val="bottom"/>
            <w:gridSpan w:val="11"/>
          </w:tcPr>
          <w:p>
            <w:pPr>
              <w:spacing w:after="0"/>
              <w:rPr>
                <w:sz w:val="20"/>
                <w:szCs w:val="20"/>
                <w:color w:val="auto"/>
              </w:rPr>
            </w:pPr>
            <w:r>
              <w:rPr>
                <w:rFonts w:ascii="Calibri" w:cs="Calibri" w:eastAsia="Calibri" w:hAnsi="Calibri"/>
                <w:sz w:val="14"/>
                <w:szCs w:val="14"/>
                <w:color w:val="7A04DD"/>
              </w:rPr>
              <w:t>Certfcaton by the Chief Executve Ofcer pursuant to 18 U.S.C. 1350 as adopted pursuant to</w:t>
            </w:r>
          </w:p>
        </w:tc>
      </w:tr>
      <w:tr>
        <w:trPr>
          <w:trHeight w:val="150"/>
        </w:trPr>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top w:val="single" w:sz="8" w:color="7A04DD"/>
            </w:tcBorders>
          </w:tcPr>
          <w:p>
            <w:pPr>
              <w:spacing w:after="0"/>
              <w:rPr>
                <w:sz w:val="13"/>
                <w:szCs w:val="13"/>
                <w:color w:val="auto"/>
              </w:rPr>
            </w:pPr>
          </w:p>
        </w:tc>
        <w:tc>
          <w:tcPr>
            <w:tcW w:w="180" w:type="dxa"/>
            <w:vAlign w:val="bottom"/>
            <w:tcBorders>
              <w:top w:val="single" w:sz="8" w:color="7A04DD"/>
            </w:tcBorders>
          </w:tcPr>
          <w:p>
            <w:pPr>
              <w:spacing w:after="0"/>
              <w:rPr>
                <w:sz w:val="13"/>
                <w:szCs w:val="13"/>
                <w:color w:val="auto"/>
              </w:rPr>
            </w:pPr>
          </w:p>
        </w:tc>
        <w:tc>
          <w:tcPr>
            <w:tcW w:w="120" w:type="dxa"/>
            <w:vAlign w:val="bottom"/>
          </w:tcPr>
          <w:p>
            <w:pPr>
              <w:spacing w:after="0"/>
              <w:rPr>
                <w:sz w:val="13"/>
                <w:szCs w:val="13"/>
                <w:color w:val="auto"/>
              </w:rPr>
            </w:pPr>
          </w:p>
        </w:tc>
        <w:tc>
          <w:tcPr>
            <w:tcW w:w="5220" w:type="dxa"/>
            <w:vAlign w:val="bottom"/>
            <w:tcBorders>
              <w:top w:val="single" w:sz="8" w:color="7A04DD"/>
            </w:tcBorders>
            <w:gridSpan w:val="9"/>
          </w:tcPr>
          <w:p>
            <w:pPr>
              <w:spacing w:after="0" w:line="150" w:lineRule="exact"/>
              <w:rPr>
                <w:sz w:val="20"/>
                <w:szCs w:val="20"/>
                <w:color w:val="auto"/>
              </w:rPr>
            </w:pPr>
            <w:r>
              <w:rPr>
                <w:rFonts w:ascii="Calibri" w:cs="Calibri" w:eastAsia="Calibri" w:hAnsi="Calibri"/>
                <w:sz w:val="14"/>
                <w:szCs w:val="14"/>
                <w:color w:val="7A04DD"/>
              </w:rPr>
              <w:t>Secton 906 of the Sarbanes-Oxley Act of 2002.</w:t>
            </w:r>
          </w:p>
        </w:tc>
        <w:tc>
          <w:tcPr>
            <w:tcW w:w="140" w:type="dxa"/>
            <w:vAlign w:val="bottom"/>
            <w:gridSpan w:val="2"/>
          </w:tcPr>
          <w:p>
            <w:pPr>
              <w:spacing w:after="0"/>
              <w:rPr>
                <w:sz w:val="13"/>
                <w:szCs w:val="13"/>
                <w:color w:val="auto"/>
              </w:rPr>
            </w:pPr>
          </w:p>
        </w:tc>
      </w:tr>
      <w:tr>
        <w:trPr>
          <w:trHeight w:val="20"/>
        </w:trPr>
        <w:tc>
          <w:tcPr>
            <w:tcW w:w="4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20" w:type="dxa"/>
            <w:vAlign w:val="bottom"/>
            <w:gridSpan w:val="2"/>
            <w:shd w:val="clear" w:color="auto" w:fill="7A04DD"/>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r>
      <w:tr>
        <w:trPr>
          <w:trHeight w:val="235"/>
        </w:trPr>
        <w:tc>
          <w:tcPr>
            <w:tcW w:w="460" w:type="dxa"/>
            <w:vAlign w:val="bottom"/>
            <w:gridSpan w:val="4"/>
          </w:tcPr>
          <w:p>
            <w:pPr>
              <w:jc w:val="right"/>
              <w:spacing w:after="0"/>
              <w:rPr>
                <w:sz w:val="20"/>
                <w:szCs w:val="20"/>
                <w:color w:val="auto"/>
              </w:rPr>
            </w:pPr>
            <w:r>
              <w:rPr>
                <w:rFonts w:ascii="Calibri" w:cs="Calibri" w:eastAsia="Calibri" w:hAnsi="Calibri"/>
                <w:sz w:val="14"/>
                <w:szCs w:val="14"/>
                <w:color w:val="7A04DD"/>
              </w:rPr>
              <w:t>32.</w:t>
            </w:r>
            <w:r>
              <w:rPr>
                <w:rFonts w:ascii="Calibri" w:cs="Calibri" w:eastAsia="Calibri" w:hAnsi="Calibri"/>
                <w:sz w:val="14"/>
                <w:szCs w:val="14"/>
                <w:u w:val="single" w:color="auto"/>
                <w:color w:val="7A04DD"/>
              </w:rPr>
              <w:t>2</w:t>
            </w:r>
          </w:p>
        </w:tc>
        <w:tc>
          <w:tcPr>
            <w:tcW w:w="120" w:type="dxa"/>
            <w:vAlign w:val="bottom"/>
          </w:tcPr>
          <w:p>
            <w:pPr>
              <w:spacing w:after="0"/>
              <w:rPr>
                <w:sz w:val="20"/>
                <w:szCs w:val="20"/>
                <w:color w:val="auto"/>
              </w:rPr>
            </w:pPr>
          </w:p>
        </w:tc>
        <w:tc>
          <w:tcPr>
            <w:tcW w:w="5360" w:type="dxa"/>
            <w:vAlign w:val="bottom"/>
            <w:gridSpan w:val="11"/>
          </w:tcPr>
          <w:p>
            <w:pPr>
              <w:spacing w:after="0"/>
              <w:rPr>
                <w:sz w:val="20"/>
                <w:szCs w:val="20"/>
                <w:color w:val="auto"/>
              </w:rPr>
            </w:pPr>
            <w:r>
              <w:rPr>
                <w:rFonts w:ascii="Calibri" w:cs="Calibri" w:eastAsia="Calibri" w:hAnsi="Calibri"/>
                <w:sz w:val="14"/>
                <w:szCs w:val="14"/>
                <w:color w:val="7A04DD"/>
              </w:rPr>
              <w:t>Certfcaton by the Chief Financial Ofcer pursuant to 18 U.S.C. 1350 as adopted pursuant to</w:t>
            </w:r>
          </w:p>
        </w:tc>
      </w:tr>
      <w:tr>
        <w:trPr>
          <w:trHeight w:val="150"/>
        </w:trPr>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top w:val="single" w:sz="8" w:color="7A04DD"/>
            </w:tcBorders>
          </w:tcPr>
          <w:p>
            <w:pPr>
              <w:spacing w:after="0"/>
              <w:rPr>
                <w:sz w:val="13"/>
                <w:szCs w:val="13"/>
                <w:color w:val="auto"/>
              </w:rPr>
            </w:pPr>
          </w:p>
        </w:tc>
        <w:tc>
          <w:tcPr>
            <w:tcW w:w="180" w:type="dxa"/>
            <w:vAlign w:val="bottom"/>
            <w:tcBorders>
              <w:top w:val="single" w:sz="8" w:color="7A04DD"/>
            </w:tcBorders>
          </w:tcPr>
          <w:p>
            <w:pPr>
              <w:spacing w:after="0"/>
              <w:rPr>
                <w:sz w:val="13"/>
                <w:szCs w:val="13"/>
                <w:color w:val="auto"/>
              </w:rPr>
            </w:pPr>
          </w:p>
        </w:tc>
        <w:tc>
          <w:tcPr>
            <w:tcW w:w="120" w:type="dxa"/>
            <w:vAlign w:val="bottom"/>
          </w:tcPr>
          <w:p>
            <w:pPr>
              <w:spacing w:after="0"/>
              <w:rPr>
                <w:sz w:val="13"/>
                <w:szCs w:val="13"/>
                <w:color w:val="auto"/>
              </w:rPr>
            </w:pPr>
          </w:p>
        </w:tc>
        <w:tc>
          <w:tcPr>
            <w:tcW w:w="5180" w:type="dxa"/>
            <w:vAlign w:val="bottom"/>
            <w:tcBorders>
              <w:top w:val="single" w:sz="8" w:color="7A04DD"/>
            </w:tcBorders>
            <w:gridSpan w:val="7"/>
          </w:tcPr>
          <w:p>
            <w:pPr>
              <w:spacing w:after="0" w:line="150" w:lineRule="exact"/>
              <w:rPr>
                <w:sz w:val="20"/>
                <w:szCs w:val="20"/>
                <w:color w:val="auto"/>
              </w:rPr>
            </w:pPr>
            <w:r>
              <w:rPr>
                <w:rFonts w:ascii="Calibri" w:cs="Calibri" w:eastAsia="Calibri" w:hAnsi="Calibri"/>
                <w:sz w:val="14"/>
                <w:szCs w:val="14"/>
                <w:color w:val="7A04DD"/>
              </w:rPr>
              <w:t>Secton 906 of the Sarbanes-Oxley Act of 2002.</w:t>
            </w:r>
          </w:p>
        </w:tc>
        <w:tc>
          <w:tcPr>
            <w:tcW w:w="180" w:type="dxa"/>
            <w:vAlign w:val="bottom"/>
            <w:gridSpan w:val="4"/>
          </w:tcPr>
          <w:p>
            <w:pPr>
              <w:spacing w:after="0"/>
              <w:rPr>
                <w:sz w:val="13"/>
                <w:szCs w:val="13"/>
                <w:color w:val="auto"/>
              </w:rPr>
            </w:pPr>
          </w:p>
        </w:tc>
      </w:tr>
      <w:tr>
        <w:trPr>
          <w:trHeight w:val="20"/>
        </w:trPr>
        <w:tc>
          <w:tcPr>
            <w:tcW w:w="580" w:type="dxa"/>
            <w:vAlign w:val="bottom"/>
            <w:gridSpan w:val="5"/>
          </w:tcPr>
          <w:p>
            <w:pPr>
              <w:spacing w:after="0" w:line="20" w:lineRule="exact"/>
              <w:rPr>
                <w:sz w:val="1"/>
                <w:szCs w:val="1"/>
                <w:color w:val="auto"/>
              </w:rPr>
            </w:pPr>
          </w:p>
        </w:tc>
        <w:tc>
          <w:tcPr>
            <w:tcW w:w="2620" w:type="dxa"/>
            <w:vAlign w:val="bottom"/>
            <w:gridSpan w:val="2"/>
            <w:shd w:val="clear" w:color="auto" w:fill="7A04DD"/>
          </w:tcPr>
          <w:p>
            <w:pPr>
              <w:spacing w:after="0" w:line="20" w:lineRule="exact"/>
              <w:rPr>
                <w:sz w:val="1"/>
                <w:szCs w:val="1"/>
                <w:color w:val="auto"/>
              </w:rPr>
            </w:pPr>
          </w:p>
        </w:tc>
        <w:tc>
          <w:tcPr>
            <w:tcW w:w="2740" w:type="dxa"/>
            <w:vAlign w:val="bottom"/>
            <w:gridSpan w:val="9"/>
          </w:tcPr>
          <w:p>
            <w:pPr>
              <w:spacing w:after="0" w:line="20" w:lineRule="exact"/>
              <w:rPr>
                <w:sz w:val="1"/>
                <w:szCs w:val="1"/>
                <w:color w:val="auto"/>
              </w:rPr>
            </w:pPr>
          </w:p>
        </w:tc>
      </w:tr>
      <w:tr>
        <w:trPr>
          <w:trHeight w:val="216"/>
        </w:trPr>
        <w:tc>
          <w:tcPr>
            <w:tcW w:w="580" w:type="dxa"/>
            <w:vAlign w:val="bottom"/>
            <w:gridSpan w:val="5"/>
          </w:tcPr>
          <w:p>
            <w:pPr>
              <w:jc w:val="right"/>
              <w:ind w:right="120"/>
              <w:spacing w:after="0"/>
              <w:rPr>
                <w:sz w:val="20"/>
                <w:szCs w:val="20"/>
                <w:color w:val="auto"/>
              </w:rPr>
            </w:pPr>
            <w:r>
              <w:rPr>
                <w:rFonts w:ascii="Calibri" w:cs="Calibri" w:eastAsia="Calibri" w:hAnsi="Calibri"/>
                <w:sz w:val="14"/>
                <w:szCs w:val="14"/>
                <w:color w:val="51555C"/>
              </w:rPr>
              <w:t>101.INS</w:t>
            </w:r>
          </w:p>
        </w:tc>
        <w:tc>
          <w:tcPr>
            <w:tcW w:w="5360" w:type="dxa"/>
            <w:vAlign w:val="bottom"/>
            <w:gridSpan w:val="11"/>
          </w:tcPr>
          <w:p>
            <w:pPr>
              <w:spacing w:after="0"/>
              <w:rPr>
                <w:sz w:val="20"/>
                <w:szCs w:val="20"/>
                <w:color w:val="auto"/>
              </w:rPr>
            </w:pPr>
            <w:r>
              <w:rPr>
                <w:rFonts w:ascii="Calibri" w:cs="Calibri" w:eastAsia="Calibri" w:hAnsi="Calibri"/>
                <w:sz w:val="14"/>
                <w:szCs w:val="14"/>
                <w:color w:val="51555C"/>
                <w:w w:val="98"/>
              </w:rPr>
              <w:t>Inline XBRL Instance Document - the Instance Document does not appear in the interactve data</w:t>
            </w:r>
          </w:p>
        </w:tc>
      </w:tr>
      <w:tr>
        <w:trPr>
          <w:trHeight w:val="170"/>
        </w:trPr>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360" w:type="dxa"/>
            <w:vAlign w:val="bottom"/>
            <w:gridSpan w:val="11"/>
          </w:tcPr>
          <w:p>
            <w:pPr>
              <w:spacing w:after="0" w:line="170" w:lineRule="exact"/>
              <w:rPr>
                <w:sz w:val="20"/>
                <w:szCs w:val="20"/>
                <w:color w:val="auto"/>
              </w:rPr>
            </w:pPr>
            <w:r>
              <w:rPr>
                <w:rFonts w:ascii="Calibri" w:cs="Calibri" w:eastAsia="Calibri" w:hAnsi="Calibri"/>
                <w:sz w:val="14"/>
                <w:szCs w:val="14"/>
                <w:color w:val="51555C"/>
              </w:rPr>
              <w:t>fle because its XBRL tags are embedded within the Inline XBRL Document.</w:t>
            </w:r>
          </w:p>
        </w:tc>
      </w:tr>
      <w:tr>
        <w:trPr>
          <w:trHeight w:val="212"/>
        </w:trPr>
        <w:tc>
          <w:tcPr>
            <w:tcW w:w="580" w:type="dxa"/>
            <w:vAlign w:val="bottom"/>
            <w:gridSpan w:val="5"/>
          </w:tcPr>
          <w:p>
            <w:pPr>
              <w:jc w:val="right"/>
              <w:ind w:right="120"/>
              <w:spacing w:after="0"/>
              <w:rPr>
                <w:sz w:val="20"/>
                <w:szCs w:val="20"/>
                <w:color w:val="auto"/>
              </w:rPr>
            </w:pPr>
            <w:r>
              <w:rPr>
                <w:rFonts w:ascii="Calibri" w:cs="Calibri" w:eastAsia="Calibri" w:hAnsi="Calibri"/>
                <w:sz w:val="14"/>
                <w:szCs w:val="14"/>
                <w:color w:val="51555C"/>
                <w:w w:val="92"/>
              </w:rPr>
              <w:t>101.SCH</w:t>
            </w:r>
          </w:p>
        </w:tc>
        <w:tc>
          <w:tcPr>
            <w:tcW w:w="5360" w:type="dxa"/>
            <w:vAlign w:val="bottom"/>
            <w:gridSpan w:val="11"/>
          </w:tcPr>
          <w:p>
            <w:pPr>
              <w:spacing w:after="0"/>
              <w:rPr>
                <w:sz w:val="20"/>
                <w:szCs w:val="20"/>
                <w:color w:val="auto"/>
              </w:rPr>
            </w:pPr>
            <w:r>
              <w:rPr>
                <w:rFonts w:ascii="Calibri" w:cs="Calibri" w:eastAsia="Calibri" w:hAnsi="Calibri"/>
                <w:sz w:val="14"/>
                <w:szCs w:val="14"/>
                <w:color w:val="51555C"/>
              </w:rPr>
              <w:t>Inline XBRL Taxonomy Extension Schema Document.</w:t>
            </w:r>
          </w:p>
        </w:tc>
      </w:tr>
      <w:tr>
        <w:trPr>
          <w:trHeight w:val="212"/>
        </w:trPr>
        <w:tc>
          <w:tcPr>
            <w:tcW w:w="580" w:type="dxa"/>
            <w:vAlign w:val="bottom"/>
            <w:gridSpan w:val="5"/>
          </w:tcPr>
          <w:p>
            <w:pPr>
              <w:jc w:val="right"/>
              <w:ind w:right="120"/>
              <w:spacing w:after="0"/>
              <w:rPr>
                <w:sz w:val="20"/>
                <w:szCs w:val="20"/>
                <w:color w:val="auto"/>
              </w:rPr>
            </w:pPr>
            <w:r>
              <w:rPr>
                <w:rFonts w:ascii="Calibri" w:cs="Calibri" w:eastAsia="Calibri" w:hAnsi="Calibri"/>
                <w:sz w:val="14"/>
                <w:szCs w:val="14"/>
                <w:color w:val="51555C"/>
                <w:w w:val="94"/>
              </w:rPr>
              <w:t>101.CAL</w:t>
            </w:r>
          </w:p>
        </w:tc>
        <w:tc>
          <w:tcPr>
            <w:tcW w:w="5360" w:type="dxa"/>
            <w:vAlign w:val="bottom"/>
            <w:gridSpan w:val="11"/>
          </w:tcPr>
          <w:p>
            <w:pPr>
              <w:spacing w:after="0"/>
              <w:rPr>
                <w:sz w:val="20"/>
                <w:szCs w:val="20"/>
                <w:color w:val="auto"/>
              </w:rPr>
            </w:pPr>
            <w:r>
              <w:rPr>
                <w:rFonts w:ascii="Calibri" w:cs="Calibri" w:eastAsia="Calibri" w:hAnsi="Calibri"/>
                <w:sz w:val="14"/>
                <w:szCs w:val="14"/>
                <w:color w:val="51555C"/>
              </w:rPr>
              <w:t>Inline XBRL Taxonomy Extension Calculaton Linkbase Document.</w:t>
            </w:r>
          </w:p>
        </w:tc>
      </w:tr>
      <w:tr>
        <w:trPr>
          <w:trHeight w:val="212"/>
        </w:trPr>
        <w:tc>
          <w:tcPr>
            <w:tcW w:w="580" w:type="dxa"/>
            <w:vAlign w:val="bottom"/>
            <w:gridSpan w:val="5"/>
          </w:tcPr>
          <w:p>
            <w:pPr>
              <w:jc w:val="right"/>
              <w:ind w:right="120"/>
              <w:spacing w:after="0"/>
              <w:rPr>
                <w:sz w:val="20"/>
                <w:szCs w:val="20"/>
                <w:color w:val="auto"/>
              </w:rPr>
            </w:pPr>
            <w:r>
              <w:rPr>
                <w:rFonts w:ascii="Calibri" w:cs="Calibri" w:eastAsia="Calibri" w:hAnsi="Calibri"/>
                <w:sz w:val="14"/>
                <w:szCs w:val="14"/>
                <w:color w:val="51555C"/>
                <w:w w:val="94"/>
              </w:rPr>
              <w:t>101.DEF</w:t>
            </w:r>
          </w:p>
        </w:tc>
        <w:tc>
          <w:tcPr>
            <w:tcW w:w="5360" w:type="dxa"/>
            <w:vAlign w:val="bottom"/>
            <w:gridSpan w:val="11"/>
          </w:tcPr>
          <w:p>
            <w:pPr>
              <w:spacing w:after="0"/>
              <w:rPr>
                <w:sz w:val="20"/>
                <w:szCs w:val="20"/>
                <w:color w:val="auto"/>
              </w:rPr>
            </w:pPr>
            <w:r>
              <w:rPr>
                <w:rFonts w:ascii="Calibri" w:cs="Calibri" w:eastAsia="Calibri" w:hAnsi="Calibri"/>
                <w:sz w:val="14"/>
                <w:szCs w:val="14"/>
                <w:color w:val="51555C"/>
              </w:rPr>
              <w:t>Inline XBRL Taxonomy Extension Defniton Linkbase Document.</w:t>
            </w:r>
          </w:p>
        </w:tc>
      </w:tr>
      <w:tr>
        <w:trPr>
          <w:trHeight w:val="212"/>
        </w:trPr>
        <w:tc>
          <w:tcPr>
            <w:tcW w:w="580" w:type="dxa"/>
            <w:vAlign w:val="bottom"/>
            <w:gridSpan w:val="5"/>
          </w:tcPr>
          <w:p>
            <w:pPr>
              <w:jc w:val="right"/>
              <w:ind w:right="120"/>
              <w:spacing w:after="0"/>
              <w:rPr>
                <w:sz w:val="20"/>
                <w:szCs w:val="20"/>
                <w:color w:val="auto"/>
              </w:rPr>
            </w:pPr>
            <w:r>
              <w:rPr>
                <w:rFonts w:ascii="Calibri" w:cs="Calibri" w:eastAsia="Calibri" w:hAnsi="Calibri"/>
                <w:sz w:val="14"/>
                <w:szCs w:val="14"/>
                <w:color w:val="51555C"/>
                <w:w w:val="94"/>
              </w:rPr>
              <w:t>101.LAB</w:t>
            </w:r>
          </w:p>
        </w:tc>
        <w:tc>
          <w:tcPr>
            <w:tcW w:w="5360" w:type="dxa"/>
            <w:vAlign w:val="bottom"/>
            <w:gridSpan w:val="11"/>
          </w:tcPr>
          <w:p>
            <w:pPr>
              <w:spacing w:after="0"/>
              <w:rPr>
                <w:sz w:val="20"/>
                <w:szCs w:val="20"/>
                <w:color w:val="auto"/>
              </w:rPr>
            </w:pPr>
            <w:r>
              <w:rPr>
                <w:rFonts w:ascii="Calibri" w:cs="Calibri" w:eastAsia="Calibri" w:hAnsi="Calibri"/>
                <w:sz w:val="14"/>
                <w:szCs w:val="14"/>
                <w:color w:val="51555C"/>
              </w:rPr>
              <w:t>Inline XBRL Taxonomy Extension Label Linkbase Document.</w:t>
            </w:r>
          </w:p>
        </w:tc>
      </w:tr>
      <w:tr>
        <w:trPr>
          <w:trHeight w:val="212"/>
        </w:trPr>
        <w:tc>
          <w:tcPr>
            <w:tcW w:w="580" w:type="dxa"/>
            <w:vAlign w:val="bottom"/>
            <w:gridSpan w:val="5"/>
          </w:tcPr>
          <w:p>
            <w:pPr>
              <w:jc w:val="right"/>
              <w:ind w:right="120"/>
              <w:spacing w:after="0"/>
              <w:rPr>
                <w:sz w:val="20"/>
                <w:szCs w:val="20"/>
                <w:color w:val="auto"/>
              </w:rPr>
            </w:pPr>
            <w:r>
              <w:rPr>
                <w:rFonts w:ascii="Calibri" w:cs="Calibri" w:eastAsia="Calibri" w:hAnsi="Calibri"/>
                <w:sz w:val="14"/>
                <w:szCs w:val="14"/>
                <w:color w:val="51555C"/>
                <w:w w:val="94"/>
              </w:rPr>
              <w:t>101.PRE</w:t>
            </w:r>
          </w:p>
        </w:tc>
        <w:tc>
          <w:tcPr>
            <w:tcW w:w="5360" w:type="dxa"/>
            <w:vAlign w:val="bottom"/>
            <w:gridSpan w:val="11"/>
          </w:tcPr>
          <w:p>
            <w:pPr>
              <w:spacing w:after="0"/>
              <w:rPr>
                <w:sz w:val="20"/>
                <w:szCs w:val="20"/>
                <w:color w:val="auto"/>
              </w:rPr>
            </w:pPr>
            <w:r>
              <w:rPr>
                <w:rFonts w:ascii="Calibri" w:cs="Calibri" w:eastAsia="Calibri" w:hAnsi="Calibri"/>
                <w:sz w:val="14"/>
                <w:szCs w:val="14"/>
                <w:color w:val="51555C"/>
              </w:rPr>
              <w:t>Inline XBRL Taxonomy Extension Presentaton Linkbase Document.</w:t>
            </w:r>
          </w:p>
        </w:tc>
      </w:tr>
      <w:tr>
        <w:trPr>
          <w:trHeight w:val="212"/>
        </w:trPr>
        <w:tc>
          <w:tcPr>
            <w:tcW w:w="460" w:type="dxa"/>
            <w:vAlign w:val="bottom"/>
            <w:gridSpan w:val="4"/>
          </w:tcPr>
          <w:p>
            <w:pPr>
              <w:jc w:val="right"/>
              <w:spacing w:after="0"/>
              <w:rPr>
                <w:sz w:val="20"/>
                <w:szCs w:val="20"/>
                <w:color w:val="auto"/>
              </w:rPr>
            </w:pPr>
            <w:r>
              <w:rPr>
                <w:rFonts w:ascii="Calibri" w:cs="Calibri" w:eastAsia="Calibri" w:hAnsi="Calibri"/>
                <w:sz w:val="14"/>
                <w:szCs w:val="14"/>
                <w:color w:val="51555C"/>
              </w:rPr>
              <w:t>104</w:t>
            </w:r>
          </w:p>
        </w:tc>
        <w:tc>
          <w:tcPr>
            <w:tcW w:w="120" w:type="dxa"/>
            <w:vAlign w:val="bottom"/>
          </w:tcPr>
          <w:p>
            <w:pPr>
              <w:spacing w:after="0"/>
              <w:rPr>
                <w:sz w:val="18"/>
                <w:szCs w:val="18"/>
                <w:color w:val="auto"/>
              </w:rPr>
            </w:pPr>
          </w:p>
        </w:tc>
        <w:tc>
          <w:tcPr>
            <w:tcW w:w="5360" w:type="dxa"/>
            <w:vAlign w:val="bottom"/>
            <w:gridSpan w:val="11"/>
          </w:tcPr>
          <w:p>
            <w:pPr>
              <w:spacing w:after="0"/>
              <w:rPr>
                <w:sz w:val="20"/>
                <w:szCs w:val="20"/>
                <w:color w:val="auto"/>
              </w:rPr>
            </w:pPr>
            <w:r>
              <w:rPr>
                <w:rFonts w:ascii="Calibri" w:cs="Calibri" w:eastAsia="Calibri" w:hAnsi="Calibri"/>
                <w:sz w:val="14"/>
                <w:szCs w:val="14"/>
                <w:color w:val="51555C"/>
              </w:rPr>
              <w:t>Cover Page Interactve Data File (formated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-2533650</wp:posOffset>
            </wp:positionV>
            <wp:extent cx="7161530" cy="16192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1">
                      <a:extLst>
                        <a:ext uri="{28A0092B-C50C-407E-A947-70E740481C1C}"/>
                      </a:extLst>
                    </a:blip>
                    <a:srcRect/>
                    <a:stretch>
                      <a:fillRect/>
                    </a:stretch>
                  </pic:blipFill>
                  <pic:spPr bwMode="auto">
                    <a:xfrm>
                      <a:off x="0" y="0"/>
                      <a:ext cx="7161530" cy="16192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-2102485</wp:posOffset>
            </wp:positionV>
            <wp:extent cx="7161530" cy="2692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2">
                      <a:extLst>
                        <a:ext uri="{28A0092B-C50C-407E-A947-70E740481C1C}"/>
                      </a:extLst>
                    </a:blip>
                    <a:srcRect/>
                    <a:stretch>
                      <a:fillRect/>
                    </a:stretch>
                  </pic:blipFill>
                  <pic:spPr bwMode="auto">
                    <a:xfrm>
                      <a:off x="0" y="0"/>
                      <a:ext cx="7161530" cy="26924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-1564005</wp:posOffset>
            </wp:positionV>
            <wp:extent cx="7161530" cy="2692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3">
                      <a:extLst>
                        <a:ext uri="{28A0092B-C50C-407E-A947-70E740481C1C}"/>
                      </a:extLst>
                    </a:blip>
                    <a:srcRect/>
                    <a:stretch>
                      <a:fillRect/>
                    </a:stretch>
                  </pic:blipFill>
                  <pic:spPr bwMode="auto">
                    <a:xfrm>
                      <a:off x="0" y="0"/>
                      <a:ext cx="7161530" cy="26924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-1024890</wp:posOffset>
            </wp:positionV>
            <wp:extent cx="7161530" cy="24257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4">
                      <a:extLst>
                        <a:ext uri="{28A0092B-C50C-407E-A947-70E740481C1C}"/>
                      </a:extLst>
                    </a:blip>
                    <a:srcRect/>
                    <a:stretch>
                      <a:fillRect/>
                    </a:stretch>
                  </pic:blipFill>
                  <pic:spPr bwMode="auto">
                    <a:xfrm>
                      <a:off x="0" y="0"/>
                      <a:ext cx="7161530" cy="24257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-647700</wp:posOffset>
            </wp:positionV>
            <wp:extent cx="7161530" cy="13462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5">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-377825</wp:posOffset>
            </wp:positionV>
            <wp:extent cx="7161530" cy="13462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6">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-108585</wp:posOffset>
            </wp:positionV>
            <wp:extent cx="7161530" cy="14160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7">
                      <a:extLst>
                        <a:ext uri="{28A0092B-C50C-407E-A947-70E740481C1C}"/>
                      </a:extLst>
                    </a:blip>
                    <a:srcRect/>
                    <a:stretch>
                      <a:fillRect/>
                    </a:stretch>
                  </pic:blipFill>
                  <pic:spPr bwMode="auto">
                    <a:xfrm>
                      <a:off x="0" y="0"/>
                      <a:ext cx="7161530" cy="1416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1640" w:type="dxa"/>
            <w:vAlign w:val="bottom"/>
          </w:tcPr>
          <w:p>
            <w:pPr>
              <w:jc w:val="center"/>
              <w:ind w:left="449"/>
              <w:spacing w:after="0"/>
              <w:rPr>
                <w:sz w:val="20"/>
                <w:szCs w:val="20"/>
                <w:color w:val="auto"/>
              </w:rPr>
            </w:pPr>
            <w:r>
              <w:rPr>
                <w:rFonts w:ascii="Calibri" w:cs="Calibri" w:eastAsia="Calibri" w:hAnsi="Calibri"/>
                <w:sz w:val="14"/>
                <w:szCs w:val="14"/>
                <w:color w:val="51555C"/>
              </w:rPr>
              <w:t>DEF 14A</w:t>
            </w:r>
          </w:p>
        </w:tc>
        <w:tc>
          <w:tcPr>
            <w:tcW w:w="1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alibri" w:cs="Calibri" w:eastAsia="Calibri" w:hAnsi="Calibri"/>
                <w:sz w:val="14"/>
                <w:szCs w:val="14"/>
                <w:color w:val="51555C"/>
              </w:rPr>
              <w:t>4/30/2009</w:t>
            </w:r>
          </w:p>
        </w:tc>
      </w:tr>
      <w:tr>
        <w:trPr>
          <w:trHeight w:val="255"/>
        </w:trPr>
        <w:tc>
          <w:tcPr>
            <w:tcW w:w="1640" w:type="dxa"/>
            <w:vAlign w:val="bottom"/>
          </w:tcPr>
          <w:p>
            <w:pPr>
              <w:spacing w:after="0"/>
              <w:rPr>
                <w:sz w:val="20"/>
                <w:szCs w:val="20"/>
                <w:color w:val="auto"/>
              </w:rPr>
            </w:pPr>
            <w:r>
              <w:rPr>
                <w:rFonts w:ascii="Calibri" w:cs="Calibri" w:eastAsia="Calibri" w:hAnsi="Calibri"/>
                <w:sz w:val="14"/>
                <w:szCs w:val="14"/>
                <w:color w:val="51555C"/>
              </w:rPr>
              <w:t>X</w:t>
            </w:r>
          </w:p>
        </w:tc>
        <w:tc>
          <w:tcPr>
            <w:tcW w:w="13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55"/>
        </w:trPr>
        <w:tc>
          <w:tcPr>
            <w:tcW w:w="1640" w:type="dxa"/>
            <w:vAlign w:val="bottom"/>
          </w:tcPr>
          <w:p>
            <w:pPr>
              <w:jc w:val="center"/>
              <w:ind w:left="449"/>
              <w:spacing w:after="0"/>
              <w:rPr>
                <w:sz w:val="20"/>
                <w:szCs w:val="20"/>
                <w:color w:val="auto"/>
              </w:rPr>
            </w:pPr>
            <w:r>
              <w:rPr>
                <w:rFonts w:ascii="Calibri" w:cs="Calibri" w:eastAsia="Calibri" w:hAnsi="Calibri"/>
                <w:sz w:val="14"/>
                <w:szCs w:val="14"/>
                <w:color w:val="51555C"/>
              </w:rPr>
              <w:t>DEF 14A</w:t>
            </w:r>
          </w:p>
        </w:tc>
        <w:tc>
          <w:tcPr>
            <w:tcW w:w="1300" w:type="dxa"/>
            <w:vAlign w:val="bottom"/>
          </w:tcPr>
          <w:p>
            <w:pPr>
              <w:jc w:val="center"/>
              <w:spacing w:after="0"/>
              <w:rPr>
                <w:sz w:val="20"/>
                <w:szCs w:val="20"/>
                <w:color w:val="auto"/>
              </w:rPr>
            </w:pPr>
            <w:r>
              <w:rPr>
                <w:rFonts w:ascii="Calibri" w:cs="Calibri" w:eastAsia="Calibri" w:hAnsi="Calibri"/>
                <w:sz w:val="14"/>
                <w:szCs w:val="14"/>
                <w:color w:val="51555C"/>
                <w:w w:val="99"/>
              </w:rPr>
              <w:t>Appendix B</w:t>
            </w:r>
          </w:p>
        </w:tc>
        <w:tc>
          <w:tcPr>
            <w:tcW w:w="960" w:type="dxa"/>
            <w:vAlign w:val="bottom"/>
          </w:tcPr>
          <w:p>
            <w:pPr>
              <w:jc w:val="right"/>
              <w:spacing w:after="0"/>
              <w:rPr>
                <w:sz w:val="20"/>
                <w:szCs w:val="20"/>
                <w:color w:val="auto"/>
              </w:rPr>
            </w:pPr>
            <w:r>
              <w:rPr>
                <w:rFonts w:ascii="Calibri" w:cs="Calibri" w:eastAsia="Calibri" w:hAnsi="Calibri"/>
                <w:sz w:val="14"/>
                <w:szCs w:val="14"/>
                <w:color w:val="51555C"/>
              </w:rPr>
              <w:t>4/23/2024</w:t>
            </w:r>
          </w:p>
        </w:tc>
      </w:tr>
      <w:tr>
        <w:trPr>
          <w:trHeight w:val="255"/>
        </w:trPr>
        <w:tc>
          <w:tcPr>
            <w:tcW w:w="1640" w:type="dxa"/>
            <w:vAlign w:val="bottom"/>
          </w:tcPr>
          <w:p>
            <w:pPr>
              <w:jc w:val="center"/>
              <w:ind w:left="449"/>
              <w:spacing w:after="0"/>
              <w:rPr>
                <w:sz w:val="20"/>
                <w:szCs w:val="20"/>
                <w:color w:val="auto"/>
              </w:rPr>
            </w:pPr>
            <w:r>
              <w:rPr>
                <w:rFonts w:ascii="Calibri" w:cs="Calibri" w:eastAsia="Calibri" w:hAnsi="Calibri"/>
                <w:sz w:val="14"/>
                <w:szCs w:val="14"/>
                <w:color w:val="51555C"/>
              </w:rPr>
              <w:t>10-Q</w:t>
            </w:r>
          </w:p>
        </w:tc>
        <w:tc>
          <w:tcPr>
            <w:tcW w:w="1300" w:type="dxa"/>
            <w:vAlign w:val="bottom"/>
          </w:tcPr>
          <w:p>
            <w:pPr>
              <w:jc w:val="right"/>
              <w:ind w:right="469"/>
              <w:spacing w:after="0"/>
              <w:rPr>
                <w:sz w:val="20"/>
                <w:szCs w:val="20"/>
                <w:color w:val="auto"/>
              </w:rPr>
            </w:pPr>
            <w:r>
              <w:rPr>
                <w:rFonts w:ascii="Calibri" w:cs="Calibri" w:eastAsia="Calibri" w:hAnsi="Calibri"/>
                <w:sz w:val="14"/>
                <w:szCs w:val="14"/>
                <w:color w:val="51555C"/>
              </w:rPr>
              <w:t>10.1</w:t>
            </w:r>
          </w:p>
        </w:tc>
        <w:tc>
          <w:tcPr>
            <w:tcW w:w="960" w:type="dxa"/>
            <w:vAlign w:val="bottom"/>
          </w:tcPr>
          <w:p>
            <w:pPr>
              <w:jc w:val="right"/>
              <w:spacing w:after="0"/>
              <w:rPr>
                <w:sz w:val="20"/>
                <w:szCs w:val="20"/>
                <w:color w:val="auto"/>
              </w:rPr>
            </w:pPr>
            <w:r>
              <w:rPr>
                <w:rFonts w:ascii="Calibri" w:cs="Calibri" w:eastAsia="Calibri" w:hAnsi="Calibri"/>
                <w:sz w:val="14"/>
                <w:szCs w:val="14"/>
                <w:color w:val="51555C"/>
              </w:rPr>
              <w:t>5/01/2024</w:t>
            </w:r>
          </w:p>
        </w:tc>
      </w:tr>
    </w:tbl>
    <w:p>
      <w:pPr>
        <w:spacing w:after="0" w:line="253" w:lineRule="exact"/>
        <w:rPr>
          <w:sz w:val="20"/>
          <w:szCs w:val="20"/>
          <w:color w:val="auto"/>
        </w:rPr>
      </w:pPr>
    </w:p>
    <w:p>
      <w:pPr>
        <w:spacing w:after="0"/>
        <w:rPr>
          <w:sz w:val="20"/>
          <w:szCs w:val="20"/>
          <w:color w:val="auto"/>
        </w:rPr>
      </w:pPr>
      <w:r>
        <w:rPr>
          <w:rFonts w:ascii="Calibri" w:cs="Calibri" w:eastAsia="Calibri" w:hAnsi="Calibri"/>
          <w:sz w:val="14"/>
          <w:szCs w:val="14"/>
          <w:color w:val="51555C"/>
        </w:rPr>
        <w:t>X</w:t>
      </w:r>
    </w:p>
    <w:p>
      <w:pPr>
        <w:spacing w:after="0" w:line="253" w:lineRule="exact"/>
        <w:rPr>
          <w:sz w:val="20"/>
          <w:szCs w:val="20"/>
          <w:color w:val="auto"/>
        </w:rPr>
      </w:pPr>
    </w:p>
    <w:p>
      <w:pPr>
        <w:spacing w:after="0"/>
        <w:rPr>
          <w:sz w:val="20"/>
          <w:szCs w:val="20"/>
          <w:color w:val="auto"/>
        </w:rPr>
      </w:pPr>
      <w:r>
        <w:rPr>
          <w:rFonts w:ascii="Calibri" w:cs="Calibri" w:eastAsia="Calibri" w:hAnsi="Calibri"/>
          <w:sz w:val="14"/>
          <w:szCs w:val="14"/>
          <w:color w:val="51555C"/>
        </w:rPr>
        <w:t>X</w:t>
      </w:r>
    </w:p>
    <w:p>
      <w:pPr>
        <w:spacing w:after="0" w:line="253" w:lineRule="exact"/>
        <w:rPr>
          <w:sz w:val="20"/>
          <w:szCs w:val="20"/>
          <w:color w:val="auto"/>
        </w:rPr>
      </w:pPr>
    </w:p>
    <w:p>
      <w:pPr>
        <w:spacing w:after="0"/>
        <w:rPr>
          <w:sz w:val="20"/>
          <w:szCs w:val="20"/>
          <w:color w:val="auto"/>
        </w:rPr>
      </w:pPr>
      <w:r>
        <w:rPr>
          <w:rFonts w:ascii="Calibri" w:cs="Calibri" w:eastAsia="Calibri" w:hAnsi="Calibri"/>
          <w:sz w:val="14"/>
          <w:szCs w:val="14"/>
          <w:color w:val="51555C"/>
        </w:rPr>
        <w:t>X</w:t>
      </w:r>
    </w:p>
    <w:p>
      <w:pPr>
        <w:spacing w:after="0" w:line="253" w:lineRule="exact"/>
        <w:rPr>
          <w:sz w:val="20"/>
          <w:szCs w:val="20"/>
          <w:color w:val="auto"/>
        </w:rPr>
      </w:pPr>
    </w:p>
    <w:p>
      <w:pPr>
        <w:spacing w:after="0"/>
        <w:rPr>
          <w:sz w:val="20"/>
          <w:szCs w:val="20"/>
          <w:color w:val="auto"/>
        </w:rPr>
      </w:pPr>
      <w:r>
        <w:rPr>
          <w:rFonts w:ascii="Calibri" w:cs="Calibri" w:eastAsia="Calibri" w:hAnsi="Calibri"/>
          <w:sz w:val="14"/>
          <w:szCs w:val="14"/>
          <w:color w:val="51555C"/>
        </w:rPr>
        <w:t>X</w:t>
      </w:r>
    </w:p>
    <w:p>
      <w:pPr>
        <w:spacing w:after="0" w:line="253" w:lineRule="exact"/>
        <w:rPr>
          <w:sz w:val="20"/>
          <w:szCs w:val="20"/>
          <w:color w:val="auto"/>
        </w:rPr>
      </w:pPr>
    </w:p>
    <w:p>
      <w:pPr>
        <w:spacing w:after="0"/>
        <w:rPr>
          <w:sz w:val="20"/>
          <w:szCs w:val="20"/>
          <w:color w:val="auto"/>
        </w:rPr>
      </w:pPr>
      <w:r>
        <w:rPr>
          <w:rFonts w:ascii="Calibri" w:cs="Calibri" w:eastAsia="Calibri" w:hAnsi="Calibri"/>
          <w:sz w:val="14"/>
          <w:szCs w:val="14"/>
          <w:color w:val="51555C"/>
        </w:rPr>
        <w:t>X</w:t>
      </w:r>
    </w:p>
    <w:p>
      <w:pPr>
        <w:spacing w:after="0" w:line="211" w:lineRule="exact"/>
        <w:rPr>
          <w:sz w:val="20"/>
          <w:szCs w:val="20"/>
          <w:color w:val="auto"/>
        </w:rPr>
      </w:pPr>
    </w:p>
    <w:p>
      <w:pPr>
        <w:spacing w:after="0"/>
        <w:rPr>
          <w:sz w:val="20"/>
          <w:szCs w:val="20"/>
          <w:color w:val="auto"/>
        </w:rPr>
      </w:pPr>
      <w:r>
        <w:rPr>
          <w:rFonts w:ascii="Calibri" w:cs="Calibri" w:eastAsia="Calibri" w:hAnsi="Calibri"/>
          <w:sz w:val="14"/>
          <w:szCs w:val="14"/>
          <w:color w:val="51555C"/>
        </w:rPr>
        <w:t>X</w:t>
      </w:r>
    </w:p>
    <w:p>
      <w:pPr>
        <w:spacing w:after="0" w:line="41" w:lineRule="exact"/>
        <w:rPr>
          <w:sz w:val="20"/>
          <w:szCs w:val="20"/>
          <w:color w:val="auto"/>
        </w:rPr>
      </w:pPr>
    </w:p>
    <w:p>
      <w:pPr>
        <w:spacing w:after="0"/>
        <w:rPr>
          <w:sz w:val="20"/>
          <w:szCs w:val="20"/>
          <w:color w:val="auto"/>
        </w:rPr>
      </w:pPr>
      <w:r>
        <w:rPr>
          <w:rFonts w:ascii="Calibri" w:cs="Calibri" w:eastAsia="Calibri" w:hAnsi="Calibri"/>
          <w:sz w:val="14"/>
          <w:szCs w:val="14"/>
          <w:color w:val="51555C"/>
        </w:rPr>
        <w:t>X</w:t>
      </w:r>
    </w:p>
    <w:p>
      <w:pPr>
        <w:spacing w:after="0" w:line="41" w:lineRule="exact"/>
        <w:rPr>
          <w:sz w:val="20"/>
          <w:szCs w:val="20"/>
          <w:color w:val="auto"/>
        </w:rPr>
      </w:pPr>
    </w:p>
    <w:p>
      <w:pPr>
        <w:spacing w:after="0"/>
        <w:rPr>
          <w:sz w:val="20"/>
          <w:szCs w:val="20"/>
          <w:color w:val="auto"/>
        </w:rPr>
      </w:pPr>
      <w:r>
        <w:rPr>
          <w:rFonts w:ascii="Calibri" w:cs="Calibri" w:eastAsia="Calibri" w:hAnsi="Calibri"/>
          <w:sz w:val="14"/>
          <w:szCs w:val="14"/>
          <w:color w:val="51555C"/>
        </w:rPr>
        <w:t>X</w:t>
      </w:r>
    </w:p>
    <w:p>
      <w:pPr>
        <w:spacing w:after="0" w:line="41" w:lineRule="exact"/>
        <w:rPr>
          <w:sz w:val="20"/>
          <w:szCs w:val="20"/>
          <w:color w:val="auto"/>
        </w:rPr>
      </w:pPr>
    </w:p>
    <w:p>
      <w:pPr>
        <w:spacing w:after="0"/>
        <w:rPr>
          <w:sz w:val="20"/>
          <w:szCs w:val="20"/>
          <w:color w:val="auto"/>
        </w:rPr>
      </w:pPr>
      <w:r>
        <w:rPr>
          <w:rFonts w:ascii="Calibri" w:cs="Calibri" w:eastAsia="Calibri" w:hAnsi="Calibri"/>
          <w:sz w:val="14"/>
          <w:szCs w:val="14"/>
          <w:color w:val="51555C"/>
        </w:rPr>
        <w:t>X</w:t>
      </w:r>
    </w:p>
    <w:p>
      <w:pPr>
        <w:spacing w:after="0" w:line="41" w:lineRule="exact"/>
        <w:rPr>
          <w:sz w:val="20"/>
          <w:szCs w:val="20"/>
          <w:color w:val="auto"/>
        </w:rPr>
      </w:pPr>
    </w:p>
    <w:p>
      <w:pPr>
        <w:spacing w:after="0"/>
        <w:rPr>
          <w:sz w:val="20"/>
          <w:szCs w:val="20"/>
          <w:color w:val="auto"/>
        </w:rPr>
      </w:pPr>
      <w:r>
        <w:rPr>
          <w:rFonts w:ascii="Calibri" w:cs="Calibri" w:eastAsia="Calibri" w:hAnsi="Calibri"/>
          <w:sz w:val="14"/>
          <w:szCs w:val="14"/>
          <w:color w:val="51555C"/>
        </w:rPr>
        <w:t>X</w:t>
      </w:r>
    </w:p>
    <w:p>
      <w:pPr>
        <w:spacing w:after="0" w:line="41" w:lineRule="exact"/>
        <w:rPr>
          <w:sz w:val="20"/>
          <w:szCs w:val="20"/>
          <w:color w:val="auto"/>
        </w:rPr>
      </w:pPr>
    </w:p>
    <w:p>
      <w:pPr>
        <w:spacing w:after="0"/>
        <w:rPr>
          <w:sz w:val="20"/>
          <w:szCs w:val="20"/>
          <w:color w:val="auto"/>
        </w:rPr>
      </w:pPr>
      <w:r>
        <w:rPr>
          <w:rFonts w:ascii="Calibri" w:cs="Calibri" w:eastAsia="Calibri" w:hAnsi="Calibri"/>
          <w:sz w:val="14"/>
          <w:szCs w:val="14"/>
          <w:color w:val="51555C"/>
        </w:rPr>
        <w:t>X</w:t>
      </w:r>
    </w:p>
    <w:p>
      <w:pPr>
        <w:spacing w:after="0" w:line="200" w:lineRule="exact"/>
        <w:rPr>
          <w:sz w:val="20"/>
          <w:szCs w:val="20"/>
          <w:color w:val="auto"/>
        </w:rPr>
      </w:pPr>
    </w:p>
    <w:p>
      <w:pPr>
        <w:sectPr>
          <w:pgSz w:w="11900" w:h="16838" w:orient="portrait"/>
          <w:cols w:equalWidth="0" w:num="2">
            <w:col w:w="6560" w:space="500"/>
            <w:col w:w="4240"/>
          </w:cols>
          <w:pgMar w:left="300" w:top="118" w:right="299" w:bottom="1440" w:gutter="0" w:footer="0" w:header="0"/>
          <w:type w:val="continuous"/>
        </w:sectPr>
      </w:pPr>
    </w:p>
    <w:p>
      <w:pPr>
        <w:spacing w:after="0" w:line="200" w:lineRule="exact"/>
        <w:rPr>
          <w:sz w:val="20"/>
          <w:szCs w:val="20"/>
          <w:color w:val="auto"/>
        </w:rPr>
      </w:pPr>
    </w:p>
    <w:p>
      <w:pPr>
        <w:spacing w:after="0" w:line="205" w:lineRule="exact"/>
        <w:rPr>
          <w:sz w:val="20"/>
          <w:szCs w:val="20"/>
          <w:color w:val="auto"/>
        </w:rPr>
      </w:pPr>
    </w:p>
    <w:p>
      <w:pPr>
        <w:ind w:left="20"/>
        <w:spacing w:after="0"/>
        <w:tabs>
          <w:tab w:leader="none" w:pos="589" w:val="left"/>
        </w:tabs>
        <w:rPr>
          <w:sz w:val="20"/>
          <w:szCs w:val="20"/>
          <w:color w:val="auto"/>
        </w:rPr>
      </w:pPr>
      <w:r>
        <w:rPr>
          <w:rFonts w:ascii="Calibri" w:cs="Calibri" w:eastAsia="Calibri" w:hAnsi="Calibri"/>
          <w:sz w:val="11"/>
          <w:szCs w:val="11"/>
          <w:color w:val="51555C"/>
        </w:rPr>
        <w:t>56</w:t>
      </w:r>
      <w:r>
        <w:rPr>
          <w:sz w:val="20"/>
          <w:szCs w:val="20"/>
          <w:color w:val="auto"/>
        </w:rPr>
        <w:tab/>
      </w:r>
      <w:r>
        <w:rPr>
          <w:sz w:val="1"/>
          <w:szCs w:val="1"/>
          <w:color w:val="auto"/>
        </w:rPr>
        <w:drawing>
          <wp:inline distT="0" distB="0" distL="0" distR="0">
            <wp:extent cx="511810" cy="134620"/>
            <wp:effectExtent l="0" t="0" r="0" b="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8">
                      <a:extLst>
                        <a:ext uri="{28A0092B-C50C-407E-A947-70E740481C1C}"/>
                      </a:extLst>
                    </a:blip>
                    <a:srcRect/>
                    <a:stretch>
                      <a:fillRect/>
                    </a:stretch>
                  </pic:blipFill>
                  <pic:spPr bwMode="auto">
                    <a:xfrm>
                      <a:off x="0" y="0"/>
                      <a:ext cx="511810" cy="134620"/>
                    </a:xfrm>
                    <a:prstGeom prst="rect">
                      <a:avLst/>
                    </a:prstGeom>
                    <a:noFill/>
                    <a:ln>
                      <a:noFill/>
                    </a:ln>
                  </pic:spPr>
                </pic:pic>
              </a:graphicData>
            </a:graphic>
          </wp:inline>
        </w:drawing>
      </w:r>
      <w:r>
        <w:rPr>
          <w:rFonts w:ascii="Calibri" w:cs="Calibri" w:eastAsia="Calibri" w:hAnsi="Calibri"/>
          <w:sz w:val="11"/>
          <w:szCs w:val="11"/>
          <w:color w:val="51555C"/>
        </w:rPr>
        <w:t xml:space="preserve">    Second Quarter 2024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128905</wp:posOffset>
            </wp:positionV>
            <wp:extent cx="7186930"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type w:val="continuous"/>
        </w:sectPr>
      </w:pPr>
    </w:p>
    <w:bookmarkStart w:id="57" w:name="page58"/>
    <w:bookmarkEnd w:id="57"/>
    <w:p>
      <w:pPr>
        <w:spacing w:after="0"/>
        <w:rPr>
          <w:sz w:val="20"/>
          <w:szCs w:val="20"/>
          <w:color w:val="auto"/>
        </w:rPr>
      </w:pPr>
      <w:r>
        <w:rPr>
          <w:rFonts w:ascii="Calibri" w:cs="Calibri" w:eastAsia="Calibri" w:hAnsi="Calibri"/>
          <w:sz w:val="11"/>
          <w:szCs w:val="11"/>
          <w:u w:val="single" w:color="auto"/>
          <w:color w:val="7A04DD"/>
        </w:rPr>
        <w:t>Table of Contents</w:t>
      </w:r>
    </w:p>
    <w:p>
      <w:pPr>
        <w:spacing w:after="0" w:line="196" w:lineRule="exact"/>
        <w:rPr>
          <w:sz w:val="20"/>
          <w:szCs w:val="20"/>
          <w:color w:val="auto"/>
        </w:rPr>
      </w:pPr>
    </w:p>
    <w:p>
      <w:pPr>
        <w:jc w:val="center"/>
        <w:spacing w:after="0"/>
        <w:rPr>
          <w:sz w:val="20"/>
          <w:szCs w:val="20"/>
          <w:color w:val="auto"/>
        </w:rPr>
      </w:pPr>
      <w:r>
        <w:rPr>
          <w:rFonts w:ascii="Calibri" w:cs="Calibri" w:eastAsia="Calibri" w:hAnsi="Calibri"/>
          <w:sz w:val="14"/>
          <w:szCs w:val="14"/>
          <w:b w:val="1"/>
          <w:bCs w:val="1"/>
          <w:color w:val="51555C"/>
        </w:rPr>
        <w:t>Blackbaud, Inc.</w:t>
      </w:r>
    </w:p>
    <w:p>
      <w:pPr>
        <w:spacing w:after="0" w:line="200" w:lineRule="exact"/>
        <w:rPr>
          <w:sz w:val="20"/>
          <w:szCs w:val="20"/>
          <w:color w:val="auto"/>
        </w:rPr>
      </w:pPr>
    </w:p>
    <w:p>
      <w:pPr>
        <w:spacing w:after="0" w:line="344" w:lineRule="exact"/>
        <w:rPr>
          <w:sz w:val="20"/>
          <w:szCs w:val="20"/>
          <w:color w:val="auto"/>
        </w:rPr>
      </w:pPr>
    </w:p>
    <w:p>
      <w:pPr>
        <w:ind w:left="680"/>
        <w:spacing w:after="0"/>
        <w:rPr>
          <w:sz w:val="20"/>
          <w:szCs w:val="20"/>
          <w:color w:val="auto"/>
        </w:rPr>
      </w:pPr>
      <w:r>
        <w:rPr>
          <w:rFonts w:ascii="Calibri" w:cs="Calibri" w:eastAsia="Calibri" w:hAnsi="Calibri"/>
          <w:sz w:val="31"/>
          <w:szCs w:val="31"/>
          <w:b w:val="1"/>
          <w:bCs w:val="1"/>
          <w:color w:val="50535A"/>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-222885</wp:posOffset>
            </wp:positionV>
            <wp:extent cx="195580" cy="19558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0">
                      <a:extLst>
                        <a:ext uri="{28A0092B-C50C-407E-A947-70E740481C1C}"/>
                      </a:extLst>
                    </a:blip>
                    <a:srcRect/>
                    <a:stretch>
                      <a:fillRect/>
                    </a:stretch>
                  </pic:blipFill>
                  <pic:spPr bwMode="auto">
                    <a:xfrm>
                      <a:off x="0" y="0"/>
                      <a:ext cx="195580" cy="19558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Calibri" w:cs="Calibri" w:eastAsia="Calibri" w:hAnsi="Calibri"/>
          <w:sz w:val="14"/>
          <w:szCs w:val="14"/>
          <w:color w:val="51555C"/>
        </w:rPr>
        <w:t>Pursuant to the requirements of the Securites Exchange Act of 1934, the Registrant has duly caused this Report to be signed on its behalf by the undersigned thereunto duly authorized.</w:t>
      </w:r>
    </w:p>
    <w:p>
      <w:pPr>
        <w:spacing w:after="0" w:line="169"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4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7420" w:type="dxa"/>
            <w:vAlign w:val="bottom"/>
            <w:gridSpan w:val="2"/>
          </w:tcPr>
          <w:p>
            <w:pPr>
              <w:ind w:left="1600"/>
              <w:spacing w:after="0"/>
              <w:rPr>
                <w:sz w:val="20"/>
                <w:szCs w:val="20"/>
                <w:color w:val="auto"/>
              </w:rPr>
            </w:pPr>
            <w:r>
              <w:rPr>
                <w:rFonts w:ascii="Calibri" w:cs="Calibri" w:eastAsia="Calibri" w:hAnsi="Calibri"/>
                <w:sz w:val="14"/>
                <w:szCs w:val="14"/>
                <w:b w:val="1"/>
                <w:bCs w:val="1"/>
                <w:color w:val="51555C"/>
              </w:rPr>
              <w:t>BLACKBAUD, INC.</w:t>
            </w:r>
          </w:p>
        </w:tc>
        <w:tc>
          <w:tcPr>
            <w:tcW w:w="880" w:type="dxa"/>
            <w:vAlign w:val="bottom"/>
          </w:tcPr>
          <w:p>
            <w:pPr>
              <w:spacing w:after="0"/>
              <w:rPr>
                <w:sz w:val="14"/>
                <w:szCs w:val="14"/>
                <w:color w:val="auto"/>
              </w:rPr>
            </w:pPr>
          </w:p>
        </w:tc>
      </w:tr>
      <w:tr>
        <w:trPr>
          <w:trHeight w:val="424"/>
        </w:trPr>
        <w:tc>
          <w:tcPr>
            <w:tcW w:w="480" w:type="dxa"/>
            <w:vAlign w:val="bottom"/>
          </w:tcPr>
          <w:p>
            <w:pPr>
              <w:spacing w:after="0"/>
              <w:rPr>
                <w:sz w:val="20"/>
                <w:szCs w:val="20"/>
                <w:color w:val="auto"/>
              </w:rPr>
            </w:pPr>
            <w:r>
              <w:rPr>
                <w:rFonts w:ascii="Calibri" w:cs="Calibri" w:eastAsia="Calibri" w:hAnsi="Calibri"/>
                <w:sz w:val="14"/>
                <w:szCs w:val="14"/>
                <w:color w:val="51555C"/>
              </w:rPr>
              <w:t>Date:</w:t>
            </w:r>
          </w:p>
        </w:tc>
        <w:tc>
          <w:tcPr>
            <w:tcW w:w="2480" w:type="dxa"/>
            <w:vAlign w:val="bottom"/>
          </w:tcPr>
          <w:p>
            <w:pPr>
              <w:ind w:left="160"/>
              <w:spacing w:after="0"/>
              <w:rPr>
                <w:sz w:val="20"/>
                <w:szCs w:val="20"/>
                <w:color w:val="auto"/>
              </w:rPr>
            </w:pPr>
            <w:r>
              <w:rPr>
                <w:rFonts w:ascii="Calibri" w:cs="Calibri" w:eastAsia="Calibri" w:hAnsi="Calibri"/>
                <w:sz w:val="14"/>
                <w:szCs w:val="14"/>
                <w:color w:val="51555C"/>
              </w:rPr>
              <w:t>July 31, 2024</w:t>
            </w:r>
          </w:p>
        </w:tc>
        <w:tc>
          <w:tcPr>
            <w:tcW w:w="2040" w:type="dxa"/>
            <w:vAlign w:val="bottom"/>
          </w:tcPr>
          <w:p>
            <w:pPr>
              <w:ind w:left="1600"/>
              <w:spacing w:after="0"/>
              <w:rPr>
                <w:sz w:val="20"/>
                <w:szCs w:val="20"/>
                <w:color w:val="auto"/>
              </w:rPr>
            </w:pPr>
            <w:r>
              <w:rPr>
                <w:rFonts w:ascii="Calibri" w:cs="Calibri" w:eastAsia="Calibri" w:hAnsi="Calibri"/>
                <w:sz w:val="14"/>
                <w:szCs w:val="14"/>
                <w:color w:val="51555C"/>
              </w:rPr>
              <w:t>By:</w:t>
            </w:r>
          </w:p>
        </w:tc>
        <w:tc>
          <w:tcPr>
            <w:tcW w:w="5380" w:type="dxa"/>
            <w:vAlign w:val="bottom"/>
          </w:tcPr>
          <w:p>
            <w:pPr>
              <w:spacing w:after="0"/>
              <w:rPr>
                <w:sz w:val="20"/>
                <w:szCs w:val="20"/>
                <w:color w:val="auto"/>
              </w:rPr>
            </w:pPr>
            <w:r>
              <w:rPr>
                <w:rFonts w:ascii="Calibri" w:cs="Calibri" w:eastAsia="Calibri" w:hAnsi="Calibri"/>
                <w:sz w:val="14"/>
                <w:szCs w:val="14"/>
                <w:color w:val="51555C"/>
              </w:rPr>
              <w:t>/s/ Michael P. Gianoni</w:t>
            </w:r>
          </w:p>
        </w:tc>
        <w:tc>
          <w:tcPr>
            <w:tcW w:w="880" w:type="dxa"/>
            <w:vAlign w:val="bottom"/>
          </w:tcPr>
          <w:p>
            <w:pPr>
              <w:spacing w:after="0"/>
              <w:rPr>
                <w:sz w:val="24"/>
                <w:szCs w:val="24"/>
                <w:color w:val="auto"/>
              </w:rPr>
            </w:pPr>
          </w:p>
        </w:tc>
      </w:tr>
      <w:tr>
        <w:trPr>
          <w:trHeight w:val="40"/>
        </w:trPr>
        <w:tc>
          <w:tcPr>
            <w:tcW w:w="480" w:type="dxa"/>
            <w:vAlign w:val="bottom"/>
          </w:tcPr>
          <w:p>
            <w:pPr>
              <w:spacing w:after="0"/>
              <w:rPr>
                <w:sz w:val="3"/>
                <w:szCs w:val="3"/>
                <w:color w:val="auto"/>
              </w:rPr>
            </w:pPr>
          </w:p>
        </w:tc>
        <w:tc>
          <w:tcPr>
            <w:tcW w:w="2480" w:type="dxa"/>
            <w:vAlign w:val="bottom"/>
          </w:tcPr>
          <w:p>
            <w:pPr>
              <w:spacing w:after="0"/>
              <w:rPr>
                <w:sz w:val="3"/>
                <w:szCs w:val="3"/>
                <w:color w:val="auto"/>
              </w:rPr>
            </w:pPr>
          </w:p>
        </w:tc>
        <w:tc>
          <w:tcPr>
            <w:tcW w:w="2040" w:type="dxa"/>
            <w:vAlign w:val="bottom"/>
          </w:tcPr>
          <w:p>
            <w:pPr>
              <w:spacing w:after="0"/>
              <w:rPr>
                <w:sz w:val="3"/>
                <w:szCs w:val="3"/>
                <w:color w:val="auto"/>
              </w:rPr>
            </w:pPr>
          </w:p>
        </w:tc>
        <w:tc>
          <w:tcPr>
            <w:tcW w:w="53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163"/>
        </w:trPr>
        <w:tc>
          <w:tcPr>
            <w:tcW w:w="4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5380" w:type="dxa"/>
            <w:vAlign w:val="bottom"/>
          </w:tcPr>
          <w:p>
            <w:pPr>
              <w:spacing w:after="0" w:line="163" w:lineRule="exact"/>
              <w:rPr>
                <w:sz w:val="20"/>
                <w:szCs w:val="20"/>
                <w:color w:val="auto"/>
              </w:rPr>
            </w:pPr>
            <w:r>
              <w:rPr>
                <w:rFonts w:ascii="Calibri" w:cs="Calibri" w:eastAsia="Calibri" w:hAnsi="Calibri"/>
                <w:sz w:val="14"/>
                <w:szCs w:val="14"/>
                <w:color w:val="51555C"/>
              </w:rPr>
              <w:t>Michael P. Gianoni</w:t>
            </w:r>
          </w:p>
        </w:tc>
        <w:tc>
          <w:tcPr>
            <w:tcW w:w="880" w:type="dxa"/>
            <w:vAlign w:val="bottom"/>
          </w:tcPr>
          <w:p>
            <w:pPr>
              <w:spacing w:after="0"/>
              <w:rPr>
                <w:sz w:val="14"/>
                <w:szCs w:val="14"/>
                <w:color w:val="auto"/>
              </w:rPr>
            </w:pPr>
          </w:p>
        </w:tc>
      </w:tr>
      <w:tr>
        <w:trPr>
          <w:trHeight w:val="212"/>
        </w:trPr>
        <w:tc>
          <w:tcPr>
            <w:tcW w:w="4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Calibri" w:cs="Calibri" w:eastAsia="Calibri" w:hAnsi="Calibri"/>
                <w:sz w:val="14"/>
                <w:szCs w:val="14"/>
                <w:color w:val="51555C"/>
              </w:rPr>
              <w:t>Chief Executve Ofcer, President and Vice Chairman of the Board</w:t>
            </w:r>
          </w:p>
        </w:tc>
        <w:tc>
          <w:tcPr>
            <w:tcW w:w="880" w:type="dxa"/>
            <w:vAlign w:val="bottom"/>
          </w:tcPr>
          <w:p>
            <w:pPr>
              <w:spacing w:after="0"/>
              <w:rPr>
                <w:sz w:val="18"/>
                <w:szCs w:val="18"/>
                <w:color w:val="auto"/>
              </w:rPr>
            </w:pPr>
          </w:p>
        </w:tc>
      </w:tr>
      <w:tr>
        <w:trPr>
          <w:trHeight w:val="212"/>
        </w:trPr>
        <w:tc>
          <w:tcPr>
            <w:tcW w:w="4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Calibri" w:cs="Calibri" w:eastAsia="Calibri" w:hAnsi="Calibri"/>
                <w:sz w:val="14"/>
                <w:szCs w:val="14"/>
                <w:color w:val="51555C"/>
              </w:rPr>
              <w:t>(Principal Executve Ofcer)</w:t>
            </w:r>
          </w:p>
        </w:tc>
        <w:tc>
          <w:tcPr>
            <w:tcW w:w="880" w:type="dxa"/>
            <w:vAlign w:val="bottom"/>
          </w:tcPr>
          <w:p>
            <w:pPr>
              <w:spacing w:after="0"/>
              <w:rPr>
                <w:sz w:val="18"/>
                <w:szCs w:val="18"/>
                <w:color w:val="auto"/>
              </w:rPr>
            </w:pPr>
          </w:p>
        </w:tc>
      </w:tr>
      <w:tr>
        <w:trPr>
          <w:trHeight w:val="424"/>
        </w:trPr>
        <w:tc>
          <w:tcPr>
            <w:tcW w:w="480" w:type="dxa"/>
            <w:vAlign w:val="bottom"/>
          </w:tcPr>
          <w:p>
            <w:pPr>
              <w:spacing w:after="0"/>
              <w:rPr>
                <w:sz w:val="20"/>
                <w:szCs w:val="20"/>
                <w:color w:val="auto"/>
              </w:rPr>
            </w:pPr>
            <w:r>
              <w:rPr>
                <w:rFonts w:ascii="Calibri" w:cs="Calibri" w:eastAsia="Calibri" w:hAnsi="Calibri"/>
                <w:sz w:val="14"/>
                <w:szCs w:val="14"/>
                <w:color w:val="51555C"/>
              </w:rPr>
              <w:t>Date:</w:t>
            </w:r>
          </w:p>
        </w:tc>
        <w:tc>
          <w:tcPr>
            <w:tcW w:w="2480" w:type="dxa"/>
            <w:vAlign w:val="bottom"/>
          </w:tcPr>
          <w:p>
            <w:pPr>
              <w:ind w:left="160"/>
              <w:spacing w:after="0"/>
              <w:rPr>
                <w:sz w:val="20"/>
                <w:szCs w:val="20"/>
                <w:color w:val="auto"/>
              </w:rPr>
            </w:pPr>
            <w:r>
              <w:rPr>
                <w:rFonts w:ascii="Calibri" w:cs="Calibri" w:eastAsia="Calibri" w:hAnsi="Calibri"/>
                <w:sz w:val="14"/>
                <w:szCs w:val="14"/>
                <w:color w:val="51555C"/>
              </w:rPr>
              <w:t>July 31, 2024</w:t>
            </w:r>
          </w:p>
        </w:tc>
        <w:tc>
          <w:tcPr>
            <w:tcW w:w="2040" w:type="dxa"/>
            <w:vAlign w:val="bottom"/>
          </w:tcPr>
          <w:p>
            <w:pPr>
              <w:ind w:left="1600"/>
              <w:spacing w:after="0"/>
              <w:rPr>
                <w:sz w:val="20"/>
                <w:szCs w:val="20"/>
                <w:color w:val="auto"/>
              </w:rPr>
            </w:pPr>
            <w:r>
              <w:rPr>
                <w:rFonts w:ascii="Calibri" w:cs="Calibri" w:eastAsia="Calibri" w:hAnsi="Calibri"/>
                <w:sz w:val="14"/>
                <w:szCs w:val="14"/>
                <w:color w:val="51555C"/>
              </w:rPr>
              <w:t>By:</w:t>
            </w:r>
          </w:p>
        </w:tc>
        <w:tc>
          <w:tcPr>
            <w:tcW w:w="5380" w:type="dxa"/>
            <w:vAlign w:val="bottom"/>
          </w:tcPr>
          <w:p>
            <w:pPr>
              <w:spacing w:after="0"/>
              <w:rPr>
                <w:sz w:val="20"/>
                <w:szCs w:val="20"/>
                <w:color w:val="auto"/>
              </w:rPr>
            </w:pPr>
            <w:r>
              <w:rPr>
                <w:rFonts w:ascii="Calibri" w:cs="Calibri" w:eastAsia="Calibri" w:hAnsi="Calibri"/>
                <w:sz w:val="14"/>
                <w:szCs w:val="14"/>
                <w:color w:val="51555C"/>
              </w:rPr>
              <w:t>/s/ Anthony W. Boor</w:t>
            </w:r>
          </w:p>
        </w:tc>
        <w:tc>
          <w:tcPr>
            <w:tcW w:w="880" w:type="dxa"/>
            <w:vAlign w:val="bottom"/>
          </w:tcPr>
          <w:p>
            <w:pPr>
              <w:spacing w:after="0"/>
              <w:rPr>
                <w:sz w:val="24"/>
                <w:szCs w:val="24"/>
                <w:color w:val="auto"/>
              </w:rPr>
            </w:pPr>
          </w:p>
        </w:tc>
      </w:tr>
      <w:tr>
        <w:trPr>
          <w:trHeight w:val="40"/>
        </w:trPr>
        <w:tc>
          <w:tcPr>
            <w:tcW w:w="480" w:type="dxa"/>
            <w:vAlign w:val="bottom"/>
          </w:tcPr>
          <w:p>
            <w:pPr>
              <w:spacing w:after="0"/>
              <w:rPr>
                <w:sz w:val="3"/>
                <w:szCs w:val="3"/>
                <w:color w:val="auto"/>
              </w:rPr>
            </w:pPr>
          </w:p>
        </w:tc>
        <w:tc>
          <w:tcPr>
            <w:tcW w:w="2480" w:type="dxa"/>
            <w:vAlign w:val="bottom"/>
          </w:tcPr>
          <w:p>
            <w:pPr>
              <w:spacing w:after="0"/>
              <w:rPr>
                <w:sz w:val="3"/>
                <w:szCs w:val="3"/>
                <w:color w:val="auto"/>
              </w:rPr>
            </w:pPr>
          </w:p>
        </w:tc>
        <w:tc>
          <w:tcPr>
            <w:tcW w:w="2040" w:type="dxa"/>
            <w:vAlign w:val="bottom"/>
          </w:tcPr>
          <w:p>
            <w:pPr>
              <w:spacing w:after="0"/>
              <w:rPr>
                <w:sz w:val="3"/>
                <w:szCs w:val="3"/>
                <w:color w:val="auto"/>
              </w:rPr>
            </w:pPr>
          </w:p>
        </w:tc>
        <w:tc>
          <w:tcPr>
            <w:tcW w:w="53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163"/>
        </w:trPr>
        <w:tc>
          <w:tcPr>
            <w:tcW w:w="4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5380" w:type="dxa"/>
            <w:vAlign w:val="bottom"/>
          </w:tcPr>
          <w:p>
            <w:pPr>
              <w:spacing w:after="0" w:line="163" w:lineRule="exact"/>
              <w:rPr>
                <w:sz w:val="20"/>
                <w:szCs w:val="20"/>
                <w:color w:val="auto"/>
              </w:rPr>
            </w:pPr>
            <w:r>
              <w:rPr>
                <w:rFonts w:ascii="Calibri" w:cs="Calibri" w:eastAsia="Calibri" w:hAnsi="Calibri"/>
                <w:sz w:val="14"/>
                <w:szCs w:val="14"/>
                <w:color w:val="51555C"/>
              </w:rPr>
              <w:t>Anthony W. Boor</w:t>
            </w:r>
          </w:p>
        </w:tc>
        <w:tc>
          <w:tcPr>
            <w:tcW w:w="880" w:type="dxa"/>
            <w:vAlign w:val="bottom"/>
          </w:tcPr>
          <w:p>
            <w:pPr>
              <w:spacing w:after="0"/>
              <w:rPr>
                <w:sz w:val="14"/>
                <w:szCs w:val="14"/>
                <w:color w:val="auto"/>
              </w:rPr>
            </w:pPr>
          </w:p>
        </w:tc>
      </w:tr>
      <w:tr>
        <w:trPr>
          <w:trHeight w:val="212"/>
        </w:trPr>
        <w:tc>
          <w:tcPr>
            <w:tcW w:w="4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Calibri" w:cs="Calibri" w:eastAsia="Calibri" w:hAnsi="Calibri"/>
                <w:sz w:val="14"/>
                <w:szCs w:val="14"/>
                <w:color w:val="51555C"/>
              </w:rPr>
              <w:t>Executve Vice President and Chief Financial Ofcer</w:t>
            </w:r>
          </w:p>
        </w:tc>
        <w:tc>
          <w:tcPr>
            <w:tcW w:w="880" w:type="dxa"/>
            <w:vAlign w:val="bottom"/>
          </w:tcPr>
          <w:p>
            <w:pPr>
              <w:spacing w:after="0"/>
              <w:rPr>
                <w:sz w:val="18"/>
                <w:szCs w:val="18"/>
                <w:color w:val="auto"/>
              </w:rPr>
            </w:pPr>
          </w:p>
        </w:tc>
      </w:tr>
      <w:tr>
        <w:trPr>
          <w:trHeight w:val="212"/>
        </w:trPr>
        <w:tc>
          <w:tcPr>
            <w:tcW w:w="4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Calibri" w:cs="Calibri" w:eastAsia="Calibri" w:hAnsi="Calibri"/>
                <w:sz w:val="14"/>
                <w:szCs w:val="14"/>
                <w:color w:val="51555C"/>
              </w:rPr>
              <w:t>(Principal Financial and Accountng Ofcer)</w:t>
            </w:r>
          </w:p>
        </w:tc>
        <w:tc>
          <w:tcPr>
            <w:tcW w:w="880" w:type="dxa"/>
            <w:vAlign w:val="bottom"/>
          </w:tcPr>
          <w:p>
            <w:pPr>
              <w:spacing w:after="0"/>
              <w:rPr>
                <w:sz w:val="18"/>
                <w:szCs w:val="18"/>
                <w:color w:val="auto"/>
              </w:rPr>
            </w:pPr>
          </w:p>
        </w:tc>
      </w:tr>
      <w:tr>
        <w:trPr>
          <w:trHeight w:val="556"/>
        </w:trPr>
        <w:tc>
          <w:tcPr>
            <w:tcW w:w="4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5380" w:type="dxa"/>
            <w:vAlign w:val="bottom"/>
          </w:tcPr>
          <w:p>
            <w:pPr>
              <w:ind w:left="3140"/>
              <w:spacing w:after="0"/>
              <w:rPr>
                <w:sz w:val="20"/>
                <w:szCs w:val="20"/>
                <w:color w:val="auto"/>
              </w:rPr>
            </w:pPr>
            <w:r>
              <w:rPr>
                <w:rFonts w:ascii="Calibri" w:cs="Calibri" w:eastAsia="Calibri" w:hAnsi="Calibri"/>
                <w:sz w:val="11"/>
                <w:szCs w:val="11"/>
                <w:color w:val="51555C"/>
              </w:rPr>
              <w:t>Second Quarter 2024 Form 10-Q</w:t>
            </w:r>
          </w:p>
        </w:tc>
        <w:tc>
          <w:tcPr>
            <w:tcW w:w="880" w:type="dxa"/>
            <w:vAlign w:val="bottom"/>
          </w:tcPr>
          <w:p>
            <w:pPr>
              <w:jc w:val="right"/>
              <w:spacing w:after="0"/>
              <w:rPr>
                <w:sz w:val="20"/>
                <w:szCs w:val="20"/>
                <w:color w:val="auto"/>
              </w:rPr>
            </w:pPr>
            <w:r>
              <w:rPr>
                <w:rFonts w:ascii="Calibri" w:cs="Calibri" w:eastAsia="Calibri" w:hAnsi="Calibri"/>
                <w:sz w:val="11"/>
                <w:szCs w:val="11"/>
                <w:color w:val="51555C"/>
              </w:rPr>
              <w:t>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6268720</wp:posOffset>
            </wp:positionH>
            <wp:positionV relativeFrom="paragraph">
              <wp:posOffset>-104775</wp:posOffset>
            </wp:positionV>
            <wp:extent cx="518795" cy="13462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1">
                      <a:extLst>
                        <a:ext uri="{28A0092B-C50C-407E-A947-70E740481C1C}"/>
                      </a:extLst>
                    </a:blip>
                    <a:srcRect/>
                    <a:stretch>
                      <a:fillRect/>
                    </a:stretch>
                  </pic:blipFill>
                  <pic:spPr bwMode="auto">
                    <a:xfrm>
                      <a:off x="0" y="0"/>
                      <a:ext cx="518795" cy="13462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3">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4">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2" w:name="page63"/>
    <w:bookmarkEnd w:id="62"/>
    <w:p>
      <w:pPr>
        <w:jc w:val="right"/>
        <w:spacing w:after="0"/>
        <w:rPr>
          <w:sz w:val="20"/>
          <w:szCs w:val="20"/>
          <w:color w:val="auto"/>
        </w:rPr>
      </w:pPr>
      <w:r>
        <w:rPr>
          <w:rFonts w:ascii="Calibri" w:cs="Calibri" w:eastAsia="Calibri" w:hAnsi="Calibri"/>
          <w:sz w:val="14"/>
          <w:szCs w:val="14"/>
          <w:b w:val="1"/>
          <w:bCs w:val="1"/>
          <w:color w:val="51555C"/>
        </w:rPr>
        <w:t>EXHIBIT 31.1</w:t>
      </w:r>
    </w:p>
    <w:p>
      <w:pPr>
        <w:jc w:val="center"/>
        <w:spacing w:after="0" w:line="238" w:lineRule="auto"/>
        <w:rPr>
          <w:sz w:val="20"/>
          <w:szCs w:val="20"/>
          <w:color w:val="auto"/>
        </w:rPr>
      </w:pPr>
      <w:r>
        <w:rPr>
          <w:rFonts w:ascii="Calibri" w:cs="Calibri" w:eastAsia="Calibri" w:hAnsi="Calibri"/>
          <w:sz w:val="14"/>
          <w:szCs w:val="14"/>
          <w:b w:val="1"/>
          <w:bCs w:val="1"/>
          <w:color w:val="51555C"/>
        </w:rPr>
        <w:t>Blackbaud, Inc.</w:t>
      </w:r>
    </w:p>
    <w:p>
      <w:pPr>
        <w:spacing w:after="0" w:line="126" w:lineRule="exact"/>
        <w:rPr>
          <w:sz w:val="20"/>
          <w:szCs w:val="20"/>
          <w:color w:val="auto"/>
        </w:rPr>
      </w:pPr>
    </w:p>
    <w:p>
      <w:pPr>
        <w:jc w:val="center"/>
        <w:spacing w:after="0"/>
        <w:rPr>
          <w:sz w:val="20"/>
          <w:szCs w:val="20"/>
          <w:color w:val="auto"/>
        </w:rPr>
      </w:pPr>
      <w:r>
        <w:rPr>
          <w:rFonts w:ascii="Calibri" w:cs="Calibri" w:eastAsia="Calibri" w:hAnsi="Calibri"/>
          <w:sz w:val="14"/>
          <w:szCs w:val="14"/>
          <w:b w:val="1"/>
          <w:bCs w:val="1"/>
          <w:color w:val="51555C"/>
        </w:rPr>
        <w:t>CERTIFICATION PURSUANT TO SECTION 302 OF THE SARBANES-OXLEY ACT OF 2002</w:t>
      </w:r>
    </w:p>
    <w:p>
      <w:pPr>
        <w:spacing w:after="0" w:line="126" w:lineRule="exact"/>
        <w:rPr>
          <w:sz w:val="20"/>
          <w:szCs w:val="20"/>
          <w:color w:val="auto"/>
        </w:rPr>
      </w:pPr>
    </w:p>
    <w:p>
      <w:pPr>
        <w:spacing w:after="0"/>
        <w:rPr>
          <w:sz w:val="20"/>
          <w:szCs w:val="20"/>
          <w:color w:val="auto"/>
        </w:rPr>
      </w:pPr>
      <w:r>
        <w:rPr>
          <w:rFonts w:ascii="Calibri" w:cs="Calibri" w:eastAsia="Calibri" w:hAnsi="Calibri"/>
          <w:sz w:val="14"/>
          <w:szCs w:val="14"/>
          <w:color w:val="51555C"/>
        </w:rPr>
        <w:t>I, Michael P. Gianoni, certfy that:</w:t>
      </w:r>
    </w:p>
    <w:p>
      <w:pPr>
        <w:spacing w:after="0" w:line="126" w:lineRule="exact"/>
        <w:rPr>
          <w:sz w:val="20"/>
          <w:szCs w:val="20"/>
          <w:color w:val="auto"/>
        </w:rPr>
      </w:pPr>
    </w:p>
    <w:p>
      <w:pPr>
        <w:ind w:left="500" w:hanging="240"/>
        <w:spacing w:after="0"/>
        <w:tabs>
          <w:tab w:leader="none" w:pos="500" w:val="left"/>
        </w:tabs>
        <w:numPr>
          <w:ilvl w:val="0"/>
          <w:numId w:val="38"/>
        </w:numPr>
        <w:rPr>
          <w:rFonts w:ascii="Calibri" w:cs="Calibri" w:eastAsia="Calibri" w:hAnsi="Calibri"/>
          <w:sz w:val="14"/>
          <w:szCs w:val="14"/>
          <w:color w:val="51555C"/>
        </w:rPr>
      </w:pPr>
      <w:r>
        <w:rPr>
          <w:rFonts w:ascii="Calibri" w:cs="Calibri" w:eastAsia="Calibri" w:hAnsi="Calibri"/>
          <w:sz w:val="14"/>
          <w:szCs w:val="14"/>
          <w:color w:val="51555C"/>
        </w:rPr>
        <w:t>I have reviewed this quarterly report on Form 10-Q of Blackbaud, Inc.;</w:t>
      </w:r>
    </w:p>
    <w:p>
      <w:pPr>
        <w:spacing w:after="0" w:line="129" w:lineRule="exact"/>
        <w:rPr>
          <w:rFonts w:ascii="Calibri" w:cs="Calibri" w:eastAsia="Calibri" w:hAnsi="Calibri"/>
          <w:sz w:val="14"/>
          <w:szCs w:val="14"/>
          <w:color w:val="51555C"/>
        </w:rPr>
      </w:pPr>
    </w:p>
    <w:p>
      <w:pPr>
        <w:ind w:left="520" w:right="740" w:hanging="260"/>
        <w:spacing w:after="0" w:line="237" w:lineRule="auto"/>
        <w:tabs>
          <w:tab w:leader="none" w:pos="508" w:val="left"/>
        </w:tabs>
        <w:numPr>
          <w:ilvl w:val="0"/>
          <w:numId w:val="38"/>
        </w:numPr>
        <w:rPr>
          <w:rFonts w:ascii="Calibri" w:cs="Calibri" w:eastAsia="Calibri" w:hAnsi="Calibri"/>
          <w:sz w:val="14"/>
          <w:szCs w:val="14"/>
          <w:color w:val="51555C"/>
        </w:rPr>
      </w:pPr>
      <w:r>
        <w:rPr>
          <w:rFonts w:ascii="Calibri" w:cs="Calibri" w:eastAsia="Calibri" w:hAnsi="Calibri"/>
          <w:sz w:val="14"/>
          <w:szCs w:val="14"/>
          <w:color w:val="51555C"/>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Calibri" w:cs="Calibri" w:eastAsia="Calibri" w:hAnsi="Calibri"/>
          <w:sz w:val="14"/>
          <w:szCs w:val="14"/>
          <w:color w:val="51555C"/>
        </w:rPr>
      </w:pPr>
    </w:p>
    <w:p>
      <w:pPr>
        <w:ind w:left="520" w:right="100" w:hanging="260"/>
        <w:spacing w:after="0" w:line="237" w:lineRule="auto"/>
        <w:tabs>
          <w:tab w:leader="none" w:pos="508" w:val="left"/>
        </w:tabs>
        <w:numPr>
          <w:ilvl w:val="0"/>
          <w:numId w:val="38"/>
        </w:numPr>
        <w:rPr>
          <w:rFonts w:ascii="Calibri" w:cs="Calibri" w:eastAsia="Calibri" w:hAnsi="Calibri"/>
          <w:sz w:val="14"/>
          <w:szCs w:val="14"/>
          <w:color w:val="51555C"/>
        </w:rPr>
      </w:pPr>
      <w:r>
        <w:rPr>
          <w:rFonts w:ascii="Calibri" w:cs="Calibri" w:eastAsia="Calibri" w:hAnsi="Calibri"/>
          <w:sz w:val="14"/>
          <w:szCs w:val="14"/>
          <w:color w:val="51555C"/>
        </w:rPr>
        <w:t>Based on my knowledge, the fnancial statements, and other fnancial informaton included in this report, fairly present in all material respects the fnancial conditon, results of operatons and cash fows of the registrant as of, and for, the periods presented in this report;</w:t>
      </w:r>
    </w:p>
    <w:p>
      <w:pPr>
        <w:spacing w:after="0" w:line="129" w:lineRule="exact"/>
        <w:rPr>
          <w:rFonts w:ascii="Calibri" w:cs="Calibri" w:eastAsia="Calibri" w:hAnsi="Calibri"/>
          <w:sz w:val="14"/>
          <w:szCs w:val="14"/>
          <w:color w:val="51555C"/>
        </w:rPr>
      </w:pPr>
    </w:p>
    <w:p>
      <w:pPr>
        <w:ind w:left="520" w:right="60" w:hanging="260"/>
        <w:spacing w:after="0" w:line="237" w:lineRule="auto"/>
        <w:tabs>
          <w:tab w:leader="none" w:pos="508" w:val="left"/>
        </w:tabs>
        <w:numPr>
          <w:ilvl w:val="0"/>
          <w:numId w:val="38"/>
        </w:numPr>
        <w:rPr>
          <w:rFonts w:ascii="Calibri" w:cs="Calibri" w:eastAsia="Calibri" w:hAnsi="Calibri"/>
          <w:sz w:val="14"/>
          <w:szCs w:val="14"/>
          <w:color w:val="51555C"/>
        </w:rPr>
      </w:pPr>
      <w:r>
        <w:rPr>
          <w:rFonts w:ascii="Calibri" w:cs="Calibri" w:eastAsia="Calibri" w:hAnsi="Calibri"/>
          <w:sz w:val="14"/>
          <w:szCs w:val="14"/>
          <w:color w:val="51555C"/>
        </w:rPr>
        <w:t>The registrant’s other certfying ofcer and I are responsible for establishing and maintaining disclosure controls and procedures (as defned in Exchange Act Rules 13a-15(e) and 15d-15(e)) and internal control over fnancial reportng (as defned in Exchange Act Rules 13a-15(f) and 15d-15(f)) for the registrant and have:</w:t>
      </w:r>
    </w:p>
    <w:p>
      <w:pPr>
        <w:spacing w:after="0" w:line="129" w:lineRule="exact"/>
        <w:rPr>
          <w:rFonts w:ascii="Calibri" w:cs="Calibri" w:eastAsia="Calibri" w:hAnsi="Calibri"/>
          <w:sz w:val="14"/>
          <w:szCs w:val="14"/>
          <w:color w:val="51555C"/>
        </w:rPr>
      </w:pPr>
    </w:p>
    <w:p>
      <w:pPr>
        <w:ind w:left="760" w:right="100" w:hanging="246"/>
        <w:spacing w:after="0" w:line="237" w:lineRule="auto"/>
        <w:tabs>
          <w:tab w:leader="none" w:pos="755" w:val="left"/>
        </w:tabs>
        <w:numPr>
          <w:ilvl w:val="1"/>
          <w:numId w:val="38"/>
        </w:numPr>
        <w:rPr>
          <w:rFonts w:ascii="Calibri" w:cs="Calibri" w:eastAsia="Calibri" w:hAnsi="Calibri"/>
          <w:sz w:val="14"/>
          <w:szCs w:val="14"/>
          <w:color w:val="51555C"/>
        </w:rPr>
      </w:pPr>
      <w:r>
        <w:rPr>
          <w:rFonts w:ascii="Calibri" w:cs="Calibri" w:eastAsia="Calibri" w:hAnsi="Calibri"/>
          <w:sz w:val="14"/>
          <w:szCs w:val="14"/>
          <w:color w:val="51555C"/>
        </w:rPr>
        <w:t>designed such disclosure controls and procedures, or caused such disclosure controls and procedures to be designed under our supervision, to ensure that material informaton relatng to the registrant, including its consolidated subsidiaries, is made known to us by others within those enttes, partcularly during the period in which this report is being prepared;</w:t>
      </w:r>
    </w:p>
    <w:p>
      <w:pPr>
        <w:spacing w:after="0" w:line="129" w:lineRule="exact"/>
        <w:rPr>
          <w:rFonts w:ascii="Calibri" w:cs="Calibri" w:eastAsia="Calibri" w:hAnsi="Calibri"/>
          <w:sz w:val="14"/>
          <w:szCs w:val="14"/>
          <w:color w:val="51555C"/>
        </w:rPr>
      </w:pPr>
    </w:p>
    <w:p>
      <w:pPr>
        <w:ind w:left="760" w:right="360" w:hanging="246"/>
        <w:spacing w:after="0" w:line="270" w:lineRule="auto"/>
        <w:tabs>
          <w:tab w:leader="none" w:pos="751" w:val="left"/>
        </w:tabs>
        <w:numPr>
          <w:ilvl w:val="1"/>
          <w:numId w:val="38"/>
        </w:numPr>
        <w:rPr>
          <w:rFonts w:ascii="Calibri" w:cs="Calibri" w:eastAsia="Calibri" w:hAnsi="Calibri"/>
          <w:sz w:val="13"/>
          <w:szCs w:val="13"/>
          <w:color w:val="51555C"/>
        </w:rPr>
      </w:pPr>
      <w:r>
        <w:rPr>
          <w:rFonts w:ascii="Calibri" w:cs="Calibri" w:eastAsia="Calibri" w:hAnsi="Calibri"/>
          <w:sz w:val="13"/>
          <w:szCs w:val="13"/>
          <w:color w:val="51555C"/>
        </w:rPr>
        <w:t>designed such internal control over fnancial reportng, or caused such internal control over fnancial reportng to be designed under our supervision, to provide reasonable assurance regarding the reliability of fnancial reportng and the preparaton of fnancial statements for external purposes in accordance with generally accepted accountng principles;</w:t>
      </w:r>
    </w:p>
    <w:p>
      <w:pPr>
        <w:spacing w:after="0" w:line="109" w:lineRule="exact"/>
        <w:rPr>
          <w:rFonts w:ascii="Calibri" w:cs="Calibri" w:eastAsia="Calibri" w:hAnsi="Calibri"/>
          <w:sz w:val="13"/>
          <w:szCs w:val="13"/>
          <w:color w:val="51555C"/>
        </w:rPr>
      </w:pPr>
    </w:p>
    <w:p>
      <w:pPr>
        <w:ind w:left="760" w:right="460" w:hanging="246"/>
        <w:spacing w:after="0" w:line="237" w:lineRule="auto"/>
        <w:tabs>
          <w:tab w:leader="none" w:pos="757" w:val="left"/>
        </w:tabs>
        <w:numPr>
          <w:ilvl w:val="1"/>
          <w:numId w:val="38"/>
        </w:numPr>
        <w:rPr>
          <w:rFonts w:ascii="Calibri" w:cs="Calibri" w:eastAsia="Calibri" w:hAnsi="Calibri"/>
          <w:sz w:val="14"/>
          <w:szCs w:val="14"/>
          <w:color w:val="51555C"/>
        </w:rPr>
      </w:pPr>
      <w:r>
        <w:rPr>
          <w:rFonts w:ascii="Calibri" w:cs="Calibri" w:eastAsia="Calibri" w:hAnsi="Calibri"/>
          <w:sz w:val="14"/>
          <w:szCs w:val="14"/>
          <w:color w:val="51555C"/>
        </w:rPr>
        <w:t>evaluated the efectveness of the registrant’s disclosure controls and procedures and presented in this report our conclusions about the efectveness of the disclosure controls and procedures, as of the end of the period covered by this report based on such evaluaton; and</w:t>
      </w:r>
    </w:p>
    <w:p>
      <w:pPr>
        <w:spacing w:after="0" w:line="129" w:lineRule="exact"/>
        <w:rPr>
          <w:rFonts w:ascii="Calibri" w:cs="Calibri" w:eastAsia="Calibri" w:hAnsi="Calibri"/>
          <w:sz w:val="14"/>
          <w:szCs w:val="14"/>
          <w:color w:val="51555C"/>
        </w:rPr>
      </w:pPr>
    </w:p>
    <w:p>
      <w:pPr>
        <w:ind w:left="760" w:right="220" w:hanging="246"/>
        <w:spacing w:after="0" w:line="237" w:lineRule="auto"/>
        <w:tabs>
          <w:tab w:leader="none" w:pos="751" w:val="left"/>
        </w:tabs>
        <w:numPr>
          <w:ilvl w:val="1"/>
          <w:numId w:val="38"/>
        </w:numPr>
        <w:rPr>
          <w:rFonts w:ascii="Calibri" w:cs="Calibri" w:eastAsia="Calibri" w:hAnsi="Calibri"/>
          <w:sz w:val="14"/>
          <w:szCs w:val="14"/>
          <w:color w:val="51555C"/>
        </w:rPr>
      </w:pPr>
      <w:r>
        <w:rPr>
          <w:rFonts w:ascii="Calibri" w:cs="Calibri" w:eastAsia="Calibri" w:hAnsi="Calibri"/>
          <w:sz w:val="14"/>
          <w:szCs w:val="14"/>
          <w:color w:val="51555C"/>
        </w:rPr>
        <w:t>disclosed in this report any change in the registrant’s internal control over fnancial reportng that occurred during the registrant’s most recent fscal quarter (the registrant’s fourth fscal quarter in the case of an annual report) that has materially afected, or is reasonably likely to materially afect, the registrant’s internal control over fnancial reportng; and</w:t>
      </w:r>
    </w:p>
    <w:p>
      <w:pPr>
        <w:spacing w:after="0" w:line="129" w:lineRule="exact"/>
        <w:rPr>
          <w:rFonts w:ascii="Calibri" w:cs="Calibri" w:eastAsia="Calibri" w:hAnsi="Calibri"/>
          <w:sz w:val="14"/>
          <w:szCs w:val="14"/>
          <w:color w:val="51555C"/>
        </w:rPr>
      </w:pPr>
    </w:p>
    <w:p>
      <w:pPr>
        <w:ind w:left="520" w:right="20" w:hanging="260"/>
        <w:spacing w:after="0" w:line="237" w:lineRule="auto"/>
        <w:tabs>
          <w:tab w:leader="none" w:pos="508" w:val="left"/>
        </w:tabs>
        <w:numPr>
          <w:ilvl w:val="0"/>
          <w:numId w:val="38"/>
        </w:numPr>
        <w:rPr>
          <w:rFonts w:ascii="Calibri" w:cs="Calibri" w:eastAsia="Calibri" w:hAnsi="Calibri"/>
          <w:sz w:val="14"/>
          <w:szCs w:val="14"/>
          <w:color w:val="51555C"/>
        </w:rPr>
      </w:pPr>
      <w:r>
        <w:rPr>
          <w:rFonts w:ascii="Calibri" w:cs="Calibri" w:eastAsia="Calibri" w:hAnsi="Calibri"/>
          <w:sz w:val="14"/>
          <w:szCs w:val="14"/>
          <w:color w:val="51555C"/>
        </w:rPr>
        <w:t>The registrant’s other certfying ofcer and I have disclosed, based on our most recent evaluaton of internal control over fnancial reportng, to the registrant’s auditors and the audit commitee of the registrant’s board of directors (or persons performing the equivalent functons):</w:t>
      </w:r>
    </w:p>
    <w:p>
      <w:pPr>
        <w:spacing w:after="0" w:line="129" w:lineRule="exact"/>
        <w:rPr>
          <w:rFonts w:ascii="Calibri" w:cs="Calibri" w:eastAsia="Calibri" w:hAnsi="Calibri"/>
          <w:sz w:val="14"/>
          <w:szCs w:val="14"/>
          <w:color w:val="51555C"/>
        </w:rPr>
      </w:pPr>
    </w:p>
    <w:p>
      <w:pPr>
        <w:ind w:left="760" w:right="340" w:hanging="246"/>
        <w:spacing w:after="0" w:line="237" w:lineRule="auto"/>
        <w:tabs>
          <w:tab w:leader="none" w:pos="755" w:val="left"/>
        </w:tabs>
        <w:numPr>
          <w:ilvl w:val="1"/>
          <w:numId w:val="38"/>
        </w:numPr>
        <w:rPr>
          <w:rFonts w:ascii="Calibri" w:cs="Calibri" w:eastAsia="Calibri" w:hAnsi="Calibri"/>
          <w:sz w:val="14"/>
          <w:szCs w:val="14"/>
          <w:color w:val="51555C"/>
        </w:rPr>
      </w:pPr>
      <w:r>
        <w:rPr>
          <w:rFonts w:ascii="Calibri" w:cs="Calibri" w:eastAsia="Calibri" w:hAnsi="Calibri"/>
          <w:sz w:val="14"/>
          <w:szCs w:val="14"/>
          <w:color w:val="51555C"/>
        </w:rPr>
        <w:t>all signifcant defciencies and material weaknesses in the design or operaton of internal control over fnancial reportng which are reasonably likely to adversely afect the registrant’s ability to record, process, summarize and report fnancial informaton; and</w:t>
      </w:r>
    </w:p>
    <w:p>
      <w:pPr>
        <w:spacing w:after="0" w:line="126" w:lineRule="exact"/>
        <w:rPr>
          <w:rFonts w:ascii="Calibri" w:cs="Calibri" w:eastAsia="Calibri" w:hAnsi="Calibri"/>
          <w:sz w:val="14"/>
          <w:szCs w:val="14"/>
          <w:color w:val="51555C"/>
        </w:rPr>
      </w:pPr>
    </w:p>
    <w:p>
      <w:pPr>
        <w:ind w:left="760" w:hanging="246"/>
        <w:spacing w:after="0"/>
        <w:tabs>
          <w:tab w:leader="none" w:pos="760" w:val="left"/>
        </w:tabs>
        <w:numPr>
          <w:ilvl w:val="1"/>
          <w:numId w:val="38"/>
        </w:numPr>
        <w:rPr>
          <w:rFonts w:ascii="Calibri" w:cs="Calibri" w:eastAsia="Calibri" w:hAnsi="Calibri"/>
          <w:sz w:val="14"/>
          <w:szCs w:val="14"/>
          <w:color w:val="51555C"/>
        </w:rPr>
      </w:pPr>
      <w:r>
        <w:rPr>
          <w:rFonts w:ascii="Calibri" w:cs="Calibri" w:eastAsia="Calibri" w:hAnsi="Calibri"/>
          <w:sz w:val="14"/>
          <w:szCs w:val="14"/>
          <w:color w:val="51555C"/>
        </w:rPr>
        <w:t>any fraud, whether or not material, that involves management or other employees who have a signifcant role in the registrant’s internal control over fnancial reportng.</w:t>
      </w: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181"/>
        </w:trPr>
        <w:tc>
          <w:tcPr>
            <w:tcW w:w="480" w:type="dxa"/>
            <w:vAlign w:val="bottom"/>
          </w:tcPr>
          <w:p>
            <w:pPr>
              <w:spacing w:after="0"/>
              <w:rPr>
                <w:sz w:val="20"/>
                <w:szCs w:val="20"/>
                <w:color w:val="auto"/>
              </w:rPr>
            </w:pPr>
            <w:r>
              <w:rPr>
                <w:rFonts w:ascii="Calibri" w:cs="Calibri" w:eastAsia="Calibri" w:hAnsi="Calibri"/>
                <w:sz w:val="14"/>
                <w:szCs w:val="14"/>
                <w:color w:val="51555C"/>
              </w:rPr>
              <w:t>Date:</w:t>
            </w:r>
          </w:p>
        </w:tc>
        <w:tc>
          <w:tcPr>
            <w:tcW w:w="2540" w:type="dxa"/>
            <w:vAlign w:val="bottom"/>
          </w:tcPr>
          <w:p>
            <w:pPr>
              <w:ind w:left="160"/>
              <w:spacing w:after="0"/>
              <w:rPr>
                <w:sz w:val="20"/>
                <w:szCs w:val="20"/>
                <w:color w:val="auto"/>
              </w:rPr>
            </w:pPr>
            <w:r>
              <w:rPr>
                <w:rFonts w:ascii="Calibri" w:cs="Calibri" w:eastAsia="Calibri" w:hAnsi="Calibri"/>
                <w:sz w:val="14"/>
                <w:szCs w:val="14"/>
                <w:color w:val="51555C"/>
              </w:rPr>
              <w:t>July 31, 2024</w:t>
            </w:r>
          </w:p>
        </w:tc>
        <w:tc>
          <w:tcPr>
            <w:tcW w:w="2080" w:type="dxa"/>
            <w:vAlign w:val="bottom"/>
          </w:tcPr>
          <w:p>
            <w:pPr>
              <w:ind w:left="1640"/>
              <w:spacing w:after="0"/>
              <w:rPr>
                <w:sz w:val="20"/>
                <w:szCs w:val="20"/>
                <w:color w:val="auto"/>
              </w:rPr>
            </w:pPr>
            <w:r>
              <w:rPr>
                <w:rFonts w:ascii="Calibri" w:cs="Calibri" w:eastAsia="Calibri" w:hAnsi="Calibri"/>
                <w:sz w:val="14"/>
                <w:szCs w:val="14"/>
                <w:color w:val="51555C"/>
              </w:rPr>
              <w:t>By:</w:t>
            </w:r>
          </w:p>
        </w:tc>
        <w:tc>
          <w:tcPr>
            <w:tcW w:w="6160" w:type="dxa"/>
            <w:vAlign w:val="bottom"/>
            <w:tcBorders>
              <w:bottom w:val="single" w:sz="8" w:color="auto"/>
            </w:tcBorders>
          </w:tcPr>
          <w:p>
            <w:pPr>
              <w:ind w:left="20"/>
              <w:spacing w:after="0"/>
              <w:rPr>
                <w:sz w:val="20"/>
                <w:szCs w:val="20"/>
                <w:color w:val="auto"/>
              </w:rPr>
            </w:pPr>
            <w:r>
              <w:rPr>
                <w:rFonts w:ascii="Calibri" w:cs="Calibri" w:eastAsia="Calibri" w:hAnsi="Calibri"/>
                <w:sz w:val="14"/>
                <w:szCs w:val="14"/>
                <w:color w:val="51555C"/>
              </w:rPr>
              <w:t>/s/ Michael P. Gianoni</w:t>
            </w:r>
          </w:p>
        </w:tc>
      </w:tr>
      <w:tr>
        <w:trPr>
          <w:trHeight w:val="168"/>
        </w:trPr>
        <w:tc>
          <w:tcPr>
            <w:tcW w:w="4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6160" w:type="dxa"/>
            <w:vAlign w:val="bottom"/>
          </w:tcPr>
          <w:p>
            <w:pPr>
              <w:ind w:left="20"/>
              <w:spacing w:after="0" w:line="169" w:lineRule="exact"/>
              <w:rPr>
                <w:sz w:val="20"/>
                <w:szCs w:val="20"/>
                <w:color w:val="auto"/>
              </w:rPr>
            </w:pPr>
            <w:r>
              <w:rPr>
                <w:rFonts w:ascii="Calibri" w:cs="Calibri" w:eastAsia="Calibri" w:hAnsi="Calibri"/>
                <w:sz w:val="14"/>
                <w:szCs w:val="14"/>
                <w:color w:val="51555C"/>
              </w:rPr>
              <w:t>Michael P. Gianoni</w:t>
            </w:r>
          </w:p>
        </w:tc>
      </w:tr>
      <w:tr>
        <w:trPr>
          <w:trHeight w:val="174"/>
        </w:trPr>
        <w:tc>
          <w:tcPr>
            <w:tcW w:w="4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6160" w:type="dxa"/>
            <w:vAlign w:val="bottom"/>
          </w:tcPr>
          <w:p>
            <w:pPr>
              <w:ind w:left="20"/>
              <w:spacing w:after="0"/>
              <w:rPr>
                <w:sz w:val="20"/>
                <w:szCs w:val="20"/>
                <w:color w:val="auto"/>
              </w:rPr>
            </w:pPr>
            <w:r>
              <w:rPr>
                <w:rFonts w:ascii="Calibri" w:cs="Calibri" w:eastAsia="Calibri" w:hAnsi="Calibri"/>
                <w:sz w:val="14"/>
                <w:szCs w:val="14"/>
                <w:color w:val="51555C"/>
              </w:rPr>
              <w:t>Chief Executve Ofcer, President and Vice Chairman of the Board</w:t>
            </w:r>
          </w:p>
        </w:tc>
      </w:tr>
      <w:tr>
        <w:trPr>
          <w:trHeight w:val="180"/>
        </w:trPr>
        <w:tc>
          <w:tcPr>
            <w:tcW w:w="4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6160" w:type="dxa"/>
            <w:vAlign w:val="bottom"/>
          </w:tcPr>
          <w:p>
            <w:pPr>
              <w:ind w:left="20"/>
              <w:spacing w:after="0"/>
              <w:rPr>
                <w:sz w:val="20"/>
                <w:szCs w:val="20"/>
                <w:color w:val="auto"/>
              </w:rPr>
            </w:pPr>
            <w:r>
              <w:rPr>
                <w:rFonts w:ascii="Calibri" w:cs="Calibri" w:eastAsia="Calibri" w:hAnsi="Calibri"/>
                <w:sz w:val="14"/>
                <w:szCs w:val="14"/>
                <w:color w:val="51555C"/>
              </w:rPr>
              <w:t>(Principal Executve Ofcer)</w:t>
            </w:r>
          </w:p>
        </w:tc>
      </w:tr>
    </w:tbl>
    <w:p>
      <w:pPr>
        <w:sectPr>
          <w:pgSz w:w="11900" w:h="16838" w:orient="portrait"/>
          <w:cols w:equalWidth="0" w:num="1">
            <w:col w:w="11280"/>
          </w:cols>
          <w:pgMar w:left="300" w:top="724" w:right="319" w:bottom="1440" w:gutter="0" w:footer="0" w:header="0"/>
        </w:sectPr>
      </w:pPr>
    </w:p>
    <w:bookmarkStart w:id="63" w:name="page64"/>
    <w:bookmarkEnd w:id="63"/>
    <w:p>
      <w:pPr>
        <w:jc w:val="right"/>
        <w:spacing w:after="0"/>
        <w:rPr>
          <w:sz w:val="20"/>
          <w:szCs w:val="20"/>
          <w:color w:val="auto"/>
        </w:rPr>
      </w:pPr>
      <w:r>
        <w:rPr>
          <w:rFonts w:ascii="Calibri" w:cs="Calibri" w:eastAsia="Calibri" w:hAnsi="Calibri"/>
          <w:sz w:val="14"/>
          <w:szCs w:val="14"/>
          <w:b w:val="1"/>
          <w:bCs w:val="1"/>
          <w:color w:val="51555C"/>
        </w:rPr>
        <w:t>EXHIBIT 31.2</w:t>
      </w:r>
    </w:p>
    <w:p>
      <w:pPr>
        <w:jc w:val="center"/>
        <w:spacing w:after="0" w:line="238" w:lineRule="auto"/>
        <w:rPr>
          <w:sz w:val="20"/>
          <w:szCs w:val="20"/>
          <w:color w:val="auto"/>
        </w:rPr>
      </w:pPr>
      <w:r>
        <w:rPr>
          <w:rFonts w:ascii="Calibri" w:cs="Calibri" w:eastAsia="Calibri" w:hAnsi="Calibri"/>
          <w:sz w:val="14"/>
          <w:szCs w:val="14"/>
          <w:b w:val="1"/>
          <w:bCs w:val="1"/>
          <w:color w:val="51555C"/>
        </w:rPr>
        <w:t>Blackbaud, Inc.</w:t>
      </w:r>
    </w:p>
    <w:p>
      <w:pPr>
        <w:spacing w:after="0" w:line="126" w:lineRule="exact"/>
        <w:rPr>
          <w:sz w:val="20"/>
          <w:szCs w:val="20"/>
          <w:color w:val="auto"/>
        </w:rPr>
      </w:pPr>
    </w:p>
    <w:p>
      <w:pPr>
        <w:jc w:val="center"/>
        <w:spacing w:after="0"/>
        <w:rPr>
          <w:sz w:val="20"/>
          <w:szCs w:val="20"/>
          <w:color w:val="auto"/>
        </w:rPr>
      </w:pPr>
      <w:r>
        <w:rPr>
          <w:rFonts w:ascii="Calibri" w:cs="Calibri" w:eastAsia="Calibri" w:hAnsi="Calibri"/>
          <w:sz w:val="14"/>
          <w:szCs w:val="14"/>
          <w:b w:val="1"/>
          <w:bCs w:val="1"/>
          <w:color w:val="51555C"/>
        </w:rPr>
        <w:t>CERTIFICATION PURSUANT TO SECTION 302 OF THE SARBANES-OXLEY ACT OF 2002</w:t>
      </w:r>
    </w:p>
    <w:p>
      <w:pPr>
        <w:spacing w:after="0" w:line="126" w:lineRule="exact"/>
        <w:rPr>
          <w:sz w:val="20"/>
          <w:szCs w:val="20"/>
          <w:color w:val="auto"/>
        </w:rPr>
      </w:pPr>
    </w:p>
    <w:p>
      <w:pPr>
        <w:spacing w:after="0"/>
        <w:rPr>
          <w:sz w:val="20"/>
          <w:szCs w:val="20"/>
          <w:color w:val="auto"/>
        </w:rPr>
      </w:pPr>
      <w:r>
        <w:rPr>
          <w:rFonts w:ascii="Calibri" w:cs="Calibri" w:eastAsia="Calibri" w:hAnsi="Calibri"/>
          <w:sz w:val="14"/>
          <w:szCs w:val="14"/>
          <w:color w:val="51555C"/>
        </w:rPr>
        <w:t>I, Anthony W. Boor, certfy that:</w:t>
      </w:r>
    </w:p>
    <w:p>
      <w:pPr>
        <w:spacing w:after="0" w:line="126" w:lineRule="exact"/>
        <w:rPr>
          <w:sz w:val="20"/>
          <w:szCs w:val="20"/>
          <w:color w:val="auto"/>
        </w:rPr>
      </w:pPr>
    </w:p>
    <w:p>
      <w:pPr>
        <w:ind w:left="500" w:hanging="240"/>
        <w:spacing w:after="0"/>
        <w:tabs>
          <w:tab w:leader="none" w:pos="500" w:val="left"/>
        </w:tabs>
        <w:numPr>
          <w:ilvl w:val="0"/>
          <w:numId w:val="39"/>
        </w:numPr>
        <w:rPr>
          <w:rFonts w:ascii="Calibri" w:cs="Calibri" w:eastAsia="Calibri" w:hAnsi="Calibri"/>
          <w:sz w:val="14"/>
          <w:szCs w:val="14"/>
          <w:color w:val="51555C"/>
        </w:rPr>
      </w:pPr>
      <w:r>
        <w:rPr>
          <w:rFonts w:ascii="Calibri" w:cs="Calibri" w:eastAsia="Calibri" w:hAnsi="Calibri"/>
          <w:sz w:val="14"/>
          <w:szCs w:val="14"/>
          <w:color w:val="51555C"/>
        </w:rPr>
        <w:t>I have reviewed this quarterly report on Form 10-Q of Blackbaud, Inc.;</w:t>
      </w:r>
    </w:p>
    <w:p>
      <w:pPr>
        <w:spacing w:after="0" w:line="129" w:lineRule="exact"/>
        <w:rPr>
          <w:rFonts w:ascii="Calibri" w:cs="Calibri" w:eastAsia="Calibri" w:hAnsi="Calibri"/>
          <w:sz w:val="14"/>
          <w:szCs w:val="14"/>
          <w:color w:val="51555C"/>
        </w:rPr>
      </w:pPr>
    </w:p>
    <w:p>
      <w:pPr>
        <w:ind w:left="520" w:right="740" w:hanging="260"/>
        <w:spacing w:after="0" w:line="237" w:lineRule="auto"/>
        <w:tabs>
          <w:tab w:leader="none" w:pos="508" w:val="left"/>
        </w:tabs>
        <w:numPr>
          <w:ilvl w:val="0"/>
          <w:numId w:val="39"/>
        </w:numPr>
        <w:rPr>
          <w:rFonts w:ascii="Calibri" w:cs="Calibri" w:eastAsia="Calibri" w:hAnsi="Calibri"/>
          <w:sz w:val="14"/>
          <w:szCs w:val="14"/>
          <w:color w:val="51555C"/>
        </w:rPr>
      </w:pPr>
      <w:r>
        <w:rPr>
          <w:rFonts w:ascii="Calibri" w:cs="Calibri" w:eastAsia="Calibri" w:hAnsi="Calibri"/>
          <w:sz w:val="14"/>
          <w:szCs w:val="14"/>
          <w:color w:val="51555C"/>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Calibri" w:cs="Calibri" w:eastAsia="Calibri" w:hAnsi="Calibri"/>
          <w:sz w:val="14"/>
          <w:szCs w:val="14"/>
          <w:color w:val="51555C"/>
        </w:rPr>
      </w:pPr>
    </w:p>
    <w:p>
      <w:pPr>
        <w:ind w:left="520" w:right="100" w:hanging="260"/>
        <w:spacing w:after="0" w:line="237" w:lineRule="auto"/>
        <w:tabs>
          <w:tab w:leader="none" w:pos="508" w:val="left"/>
        </w:tabs>
        <w:numPr>
          <w:ilvl w:val="0"/>
          <w:numId w:val="39"/>
        </w:numPr>
        <w:rPr>
          <w:rFonts w:ascii="Calibri" w:cs="Calibri" w:eastAsia="Calibri" w:hAnsi="Calibri"/>
          <w:sz w:val="14"/>
          <w:szCs w:val="14"/>
          <w:color w:val="51555C"/>
        </w:rPr>
      </w:pPr>
      <w:r>
        <w:rPr>
          <w:rFonts w:ascii="Calibri" w:cs="Calibri" w:eastAsia="Calibri" w:hAnsi="Calibri"/>
          <w:sz w:val="14"/>
          <w:szCs w:val="14"/>
          <w:color w:val="51555C"/>
        </w:rPr>
        <w:t>Based on my knowledge, the fnancial statements, and other fnancial informaton included in this report, fairly present in all material respects the fnancial conditon, results of operatons and cash fows of the registrant as of, and for, the periods presented in this report;</w:t>
      </w:r>
    </w:p>
    <w:p>
      <w:pPr>
        <w:spacing w:after="0" w:line="129" w:lineRule="exact"/>
        <w:rPr>
          <w:rFonts w:ascii="Calibri" w:cs="Calibri" w:eastAsia="Calibri" w:hAnsi="Calibri"/>
          <w:sz w:val="14"/>
          <w:szCs w:val="14"/>
          <w:color w:val="51555C"/>
        </w:rPr>
      </w:pPr>
    </w:p>
    <w:p>
      <w:pPr>
        <w:ind w:left="520" w:right="60" w:hanging="260"/>
        <w:spacing w:after="0" w:line="237" w:lineRule="auto"/>
        <w:tabs>
          <w:tab w:leader="none" w:pos="508" w:val="left"/>
        </w:tabs>
        <w:numPr>
          <w:ilvl w:val="0"/>
          <w:numId w:val="39"/>
        </w:numPr>
        <w:rPr>
          <w:rFonts w:ascii="Calibri" w:cs="Calibri" w:eastAsia="Calibri" w:hAnsi="Calibri"/>
          <w:sz w:val="14"/>
          <w:szCs w:val="14"/>
          <w:color w:val="51555C"/>
        </w:rPr>
      </w:pPr>
      <w:r>
        <w:rPr>
          <w:rFonts w:ascii="Calibri" w:cs="Calibri" w:eastAsia="Calibri" w:hAnsi="Calibri"/>
          <w:sz w:val="14"/>
          <w:szCs w:val="14"/>
          <w:color w:val="51555C"/>
        </w:rPr>
        <w:t>The registrant’s other certfying ofcer and I are responsible for establishing and maintaining disclosure controls and procedures (as defned in Exchange Act Rules 13a-15(e) and 15d-15(e)) and internal control over fnancial reportng (as defned in Exchange Act Rules 13a-15(f) and 15d-15(f)) for the registrant and have:</w:t>
      </w:r>
    </w:p>
    <w:p>
      <w:pPr>
        <w:spacing w:after="0" w:line="129" w:lineRule="exact"/>
        <w:rPr>
          <w:rFonts w:ascii="Calibri" w:cs="Calibri" w:eastAsia="Calibri" w:hAnsi="Calibri"/>
          <w:sz w:val="14"/>
          <w:szCs w:val="14"/>
          <w:color w:val="51555C"/>
        </w:rPr>
      </w:pPr>
    </w:p>
    <w:p>
      <w:pPr>
        <w:ind w:left="760" w:right="100" w:hanging="246"/>
        <w:spacing w:after="0" w:line="237" w:lineRule="auto"/>
        <w:tabs>
          <w:tab w:leader="none" w:pos="755" w:val="left"/>
        </w:tabs>
        <w:numPr>
          <w:ilvl w:val="1"/>
          <w:numId w:val="39"/>
        </w:numPr>
        <w:rPr>
          <w:rFonts w:ascii="Calibri" w:cs="Calibri" w:eastAsia="Calibri" w:hAnsi="Calibri"/>
          <w:sz w:val="14"/>
          <w:szCs w:val="14"/>
          <w:color w:val="51555C"/>
        </w:rPr>
      </w:pPr>
      <w:r>
        <w:rPr>
          <w:rFonts w:ascii="Calibri" w:cs="Calibri" w:eastAsia="Calibri" w:hAnsi="Calibri"/>
          <w:sz w:val="14"/>
          <w:szCs w:val="14"/>
          <w:color w:val="51555C"/>
        </w:rPr>
        <w:t>designed such disclosure controls and procedures, or caused such disclosure controls and procedures to be designed under our supervision, to ensure that material informaton relatng to the registrant, including its consolidated subsidiaries, is made known to us by others within those enttes, partcularly during the period in which this report is being prepared;</w:t>
      </w:r>
    </w:p>
    <w:p>
      <w:pPr>
        <w:spacing w:after="0" w:line="129" w:lineRule="exact"/>
        <w:rPr>
          <w:rFonts w:ascii="Calibri" w:cs="Calibri" w:eastAsia="Calibri" w:hAnsi="Calibri"/>
          <w:sz w:val="14"/>
          <w:szCs w:val="14"/>
          <w:color w:val="51555C"/>
        </w:rPr>
      </w:pPr>
    </w:p>
    <w:p>
      <w:pPr>
        <w:ind w:left="760" w:right="360" w:hanging="246"/>
        <w:spacing w:after="0" w:line="270" w:lineRule="auto"/>
        <w:tabs>
          <w:tab w:leader="none" w:pos="751" w:val="left"/>
        </w:tabs>
        <w:numPr>
          <w:ilvl w:val="1"/>
          <w:numId w:val="39"/>
        </w:numPr>
        <w:rPr>
          <w:rFonts w:ascii="Calibri" w:cs="Calibri" w:eastAsia="Calibri" w:hAnsi="Calibri"/>
          <w:sz w:val="13"/>
          <w:szCs w:val="13"/>
          <w:color w:val="51555C"/>
        </w:rPr>
      </w:pPr>
      <w:r>
        <w:rPr>
          <w:rFonts w:ascii="Calibri" w:cs="Calibri" w:eastAsia="Calibri" w:hAnsi="Calibri"/>
          <w:sz w:val="13"/>
          <w:szCs w:val="13"/>
          <w:color w:val="51555C"/>
        </w:rPr>
        <w:t>designed such internal control over fnancial reportng, or caused such internal control over fnancial reportng to be designed under our supervision, to provide reasonable assurance regarding the reliability of fnancial reportng and the preparaton of fnancial statements for external purposes in accordance with generally accepted accountng principles;</w:t>
      </w:r>
    </w:p>
    <w:p>
      <w:pPr>
        <w:spacing w:after="0" w:line="109" w:lineRule="exact"/>
        <w:rPr>
          <w:rFonts w:ascii="Calibri" w:cs="Calibri" w:eastAsia="Calibri" w:hAnsi="Calibri"/>
          <w:sz w:val="13"/>
          <w:szCs w:val="13"/>
          <w:color w:val="51555C"/>
        </w:rPr>
      </w:pPr>
    </w:p>
    <w:p>
      <w:pPr>
        <w:ind w:left="760" w:right="460" w:hanging="246"/>
        <w:spacing w:after="0" w:line="237" w:lineRule="auto"/>
        <w:tabs>
          <w:tab w:leader="none" w:pos="757" w:val="left"/>
        </w:tabs>
        <w:numPr>
          <w:ilvl w:val="1"/>
          <w:numId w:val="39"/>
        </w:numPr>
        <w:rPr>
          <w:rFonts w:ascii="Calibri" w:cs="Calibri" w:eastAsia="Calibri" w:hAnsi="Calibri"/>
          <w:sz w:val="14"/>
          <w:szCs w:val="14"/>
          <w:color w:val="51555C"/>
        </w:rPr>
      </w:pPr>
      <w:r>
        <w:rPr>
          <w:rFonts w:ascii="Calibri" w:cs="Calibri" w:eastAsia="Calibri" w:hAnsi="Calibri"/>
          <w:sz w:val="14"/>
          <w:szCs w:val="14"/>
          <w:color w:val="51555C"/>
        </w:rPr>
        <w:t>evaluated the efectveness of the registrant’s disclosure controls and procedures and presented in this report our conclusions about the efectveness of the disclosure controls and procedures, as of the end of the period covered by this report based on such evaluaton; and</w:t>
      </w:r>
    </w:p>
    <w:p>
      <w:pPr>
        <w:spacing w:after="0" w:line="129" w:lineRule="exact"/>
        <w:rPr>
          <w:rFonts w:ascii="Calibri" w:cs="Calibri" w:eastAsia="Calibri" w:hAnsi="Calibri"/>
          <w:sz w:val="14"/>
          <w:szCs w:val="14"/>
          <w:color w:val="51555C"/>
        </w:rPr>
      </w:pPr>
    </w:p>
    <w:p>
      <w:pPr>
        <w:ind w:left="760" w:right="220" w:hanging="246"/>
        <w:spacing w:after="0" w:line="237" w:lineRule="auto"/>
        <w:tabs>
          <w:tab w:leader="none" w:pos="751" w:val="left"/>
        </w:tabs>
        <w:numPr>
          <w:ilvl w:val="1"/>
          <w:numId w:val="39"/>
        </w:numPr>
        <w:rPr>
          <w:rFonts w:ascii="Calibri" w:cs="Calibri" w:eastAsia="Calibri" w:hAnsi="Calibri"/>
          <w:sz w:val="14"/>
          <w:szCs w:val="14"/>
          <w:color w:val="51555C"/>
        </w:rPr>
      </w:pPr>
      <w:r>
        <w:rPr>
          <w:rFonts w:ascii="Calibri" w:cs="Calibri" w:eastAsia="Calibri" w:hAnsi="Calibri"/>
          <w:sz w:val="14"/>
          <w:szCs w:val="14"/>
          <w:color w:val="51555C"/>
        </w:rPr>
        <w:t>disclosed in this report any change in the registrant’s internal control over fnancial reportng that occurred during the registrant’s most recent fscal quarter (the registrant’s fourth fscal quarter in the case of an annual report) that has materially afected, or is reasonably likely to materially afect, the registrant’s internal control over fnancial reportng; and</w:t>
      </w:r>
    </w:p>
    <w:p>
      <w:pPr>
        <w:spacing w:after="0" w:line="129" w:lineRule="exact"/>
        <w:rPr>
          <w:rFonts w:ascii="Calibri" w:cs="Calibri" w:eastAsia="Calibri" w:hAnsi="Calibri"/>
          <w:sz w:val="14"/>
          <w:szCs w:val="14"/>
          <w:color w:val="51555C"/>
        </w:rPr>
      </w:pPr>
    </w:p>
    <w:p>
      <w:pPr>
        <w:ind w:left="520" w:right="20" w:hanging="260"/>
        <w:spacing w:after="0" w:line="237" w:lineRule="auto"/>
        <w:tabs>
          <w:tab w:leader="none" w:pos="508" w:val="left"/>
        </w:tabs>
        <w:numPr>
          <w:ilvl w:val="0"/>
          <w:numId w:val="39"/>
        </w:numPr>
        <w:rPr>
          <w:rFonts w:ascii="Calibri" w:cs="Calibri" w:eastAsia="Calibri" w:hAnsi="Calibri"/>
          <w:sz w:val="14"/>
          <w:szCs w:val="14"/>
          <w:color w:val="51555C"/>
        </w:rPr>
      </w:pPr>
      <w:r>
        <w:rPr>
          <w:rFonts w:ascii="Calibri" w:cs="Calibri" w:eastAsia="Calibri" w:hAnsi="Calibri"/>
          <w:sz w:val="14"/>
          <w:szCs w:val="14"/>
          <w:color w:val="51555C"/>
        </w:rPr>
        <w:t>The registrant’s other certfying ofcer and I have disclosed, based on our most recent evaluaton of internal control over fnancial reportng, to the registrant’s auditors and the audit commitee of the registrant’s board of directors (or persons performing the equivalent functons):</w:t>
      </w:r>
    </w:p>
    <w:p>
      <w:pPr>
        <w:spacing w:after="0" w:line="129" w:lineRule="exact"/>
        <w:rPr>
          <w:rFonts w:ascii="Calibri" w:cs="Calibri" w:eastAsia="Calibri" w:hAnsi="Calibri"/>
          <w:sz w:val="14"/>
          <w:szCs w:val="14"/>
          <w:color w:val="51555C"/>
        </w:rPr>
      </w:pPr>
    </w:p>
    <w:p>
      <w:pPr>
        <w:ind w:left="760" w:right="340" w:hanging="246"/>
        <w:spacing w:after="0" w:line="237" w:lineRule="auto"/>
        <w:tabs>
          <w:tab w:leader="none" w:pos="755" w:val="left"/>
        </w:tabs>
        <w:numPr>
          <w:ilvl w:val="1"/>
          <w:numId w:val="39"/>
        </w:numPr>
        <w:rPr>
          <w:rFonts w:ascii="Calibri" w:cs="Calibri" w:eastAsia="Calibri" w:hAnsi="Calibri"/>
          <w:sz w:val="14"/>
          <w:szCs w:val="14"/>
          <w:color w:val="51555C"/>
        </w:rPr>
      </w:pPr>
      <w:r>
        <w:rPr>
          <w:rFonts w:ascii="Calibri" w:cs="Calibri" w:eastAsia="Calibri" w:hAnsi="Calibri"/>
          <w:sz w:val="14"/>
          <w:szCs w:val="14"/>
          <w:color w:val="51555C"/>
        </w:rPr>
        <w:t>all signifcant defciencies and material weaknesses in the design or operaton of internal control over fnancial reportng which are reasonably likely to adversely afect the registrant’s ability to record, process, summarize and report fnancial informaton; and</w:t>
      </w:r>
    </w:p>
    <w:p>
      <w:pPr>
        <w:spacing w:after="0" w:line="126" w:lineRule="exact"/>
        <w:rPr>
          <w:rFonts w:ascii="Calibri" w:cs="Calibri" w:eastAsia="Calibri" w:hAnsi="Calibri"/>
          <w:sz w:val="14"/>
          <w:szCs w:val="14"/>
          <w:color w:val="51555C"/>
        </w:rPr>
      </w:pPr>
    </w:p>
    <w:p>
      <w:pPr>
        <w:ind w:left="760" w:hanging="246"/>
        <w:spacing w:after="0"/>
        <w:tabs>
          <w:tab w:leader="none" w:pos="760" w:val="left"/>
        </w:tabs>
        <w:numPr>
          <w:ilvl w:val="1"/>
          <w:numId w:val="39"/>
        </w:numPr>
        <w:rPr>
          <w:rFonts w:ascii="Calibri" w:cs="Calibri" w:eastAsia="Calibri" w:hAnsi="Calibri"/>
          <w:sz w:val="14"/>
          <w:szCs w:val="14"/>
          <w:color w:val="51555C"/>
        </w:rPr>
      </w:pPr>
      <w:r>
        <w:rPr>
          <w:rFonts w:ascii="Calibri" w:cs="Calibri" w:eastAsia="Calibri" w:hAnsi="Calibri"/>
          <w:sz w:val="14"/>
          <w:szCs w:val="14"/>
          <w:color w:val="51555C"/>
        </w:rPr>
        <w:t>any fraud, whether or not material, that involves management or other employees who have a signifcant role in the registrant’s internal control over fnancial reportng.</w:t>
      </w: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181"/>
        </w:trPr>
        <w:tc>
          <w:tcPr>
            <w:tcW w:w="480" w:type="dxa"/>
            <w:vAlign w:val="bottom"/>
          </w:tcPr>
          <w:p>
            <w:pPr>
              <w:spacing w:after="0"/>
              <w:rPr>
                <w:sz w:val="20"/>
                <w:szCs w:val="20"/>
                <w:color w:val="auto"/>
              </w:rPr>
            </w:pPr>
            <w:r>
              <w:rPr>
                <w:rFonts w:ascii="Calibri" w:cs="Calibri" w:eastAsia="Calibri" w:hAnsi="Calibri"/>
                <w:sz w:val="14"/>
                <w:szCs w:val="14"/>
                <w:color w:val="51555C"/>
              </w:rPr>
              <w:t>Date:</w:t>
            </w:r>
          </w:p>
        </w:tc>
        <w:tc>
          <w:tcPr>
            <w:tcW w:w="2540" w:type="dxa"/>
            <w:vAlign w:val="bottom"/>
          </w:tcPr>
          <w:p>
            <w:pPr>
              <w:ind w:left="160"/>
              <w:spacing w:after="0"/>
              <w:rPr>
                <w:sz w:val="20"/>
                <w:szCs w:val="20"/>
                <w:color w:val="auto"/>
              </w:rPr>
            </w:pPr>
            <w:r>
              <w:rPr>
                <w:rFonts w:ascii="Calibri" w:cs="Calibri" w:eastAsia="Calibri" w:hAnsi="Calibri"/>
                <w:sz w:val="14"/>
                <w:szCs w:val="14"/>
                <w:color w:val="51555C"/>
              </w:rPr>
              <w:t>July 31, 2024</w:t>
            </w:r>
          </w:p>
        </w:tc>
        <w:tc>
          <w:tcPr>
            <w:tcW w:w="2080" w:type="dxa"/>
            <w:vAlign w:val="bottom"/>
          </w:tcPr>
          <w:p>
            <w:pPr>
              <w:ind w:left="1640"/>
              <w:spacing w:after="0"/>
              <w:rPr>
                <w:sz w:val="20"/>
                <w:szCs w:val="20"/>
                <w:color w:val="auto"/>
              </w:rPr>
            </w:pPr>
            <w:r>
              <w:rPr>
                <w:rFonts w:ascii="Calibri" w:cs="Calibri" w:eastAsia="Calibri" w:hAnsi="Calibri"/>
                <w:sz w:val="14"/>
                <w:szCs w:val="14"/>
                <w:color w:val="51555C"/>
              </w:rPr>
              <w:t>By:</w:t>
            </w:r>
          </w:p>
        </w:tc>
        <w:tc>
          <w:tcPr>
            <w:tcW w:w="6160" w:type="dxa"/>
            <w:vAlign w:val="bottom"/>
            <w:tcBorders>
              <w:bottom w:val="single" w:sz="8" w:color="auto"/>
            </w:tcBorders>
          </w:tcPr>
          <w:p>
            <w:pPr>
              <w:ind w:left="20"/>
              <w:spacing w:after="0"/>
              <w:rPr>
                <w:sz w:val="20"/>
                <w:szCs w:val="20"/>
                <w:color w:val="auto"/>
              </w:rPr>
            </w:pPr>
            <w:r>
              <w:rPr>
                <w:rFonts w:ascii="Calibri" w:cs="Calibri" w:eastAsia="Calibri" w:hAnsi="Calibri"/>
                <w:sz w:val="14"/>
                <w:szCs w:val="14"/>
                <w:color w:val="51555C"/>
              </w:rPr>
              <w:t>/s/ Anthony W. Boor</w:t>
            </w:r>
          </w:p>
        </w:tc>
      </w:tr>
      <w:tr>
        <w:trPr>
          <w:trHeight w:val="168"/>
        </w:trPr>
        <w:tc>
          <w:tcPr>
            <w:tcW w:w="4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6160" w:type="dxa"/>
            <w:vAlign w:val="bottom"/>
          </w:tcPr>
          <w:p>
            <w:pPr>
              <w:ind w:left="20"/>
              <w:spacing w:after="0" w:line="169" w:lineRule="exact"/>
              <w:rPr>
                <w:sz w:val="20"/>
                <w:szCs w:val="20"/>
                <w:color w:val="auto"/>
              </w:rPr>
            </w:pPr>
            <w:r>
              <w:rPr>
                <w:rFonts w:ascii="Calibri" w:cs="Calibri" w:eastAsia="Calibri" w:hAnsi="Calibri"/>
                <w:sz w:val="14"/>
                <w:szCs w:val="14"/>
                <w:color w:val="51555C"/>
              </w:rPr>
              <w:t>Anthony W. Boor</w:t>
            </w:r>
          </w:p>
        </w:tc>
      </w:tr>
      <w:tr>
        <w:trPr>
          <w:trHeight w:val="174"/>
        </w:trPr>
        <w:tc>
          <w:tcPr>
            <w:tcW w:w="4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6160" w:type="dxa"/>
            <w:vAlign w:val="bottom"/>
          </w:tcPr>
          <w:p>
            <w:pPr>
              <w:ind w:left="20"/>
              <w:spacing w:after="0"/>
              <w:rPr>
                <w:sz w:val="20"/>
                <w:szCs w:val="20"/>
                <w:color w:val="auto"/>
              </w:rPr>
            </w:pPr>
            <w:r>
              <w:rPr>
                <w:rFonts w:ascii="Calibri" w:cs="Calibri" w:eastAsia="Calibri" w:hAnsi="Calibri"/>
                <w:sz w:val="14"/>
                <w:szCs w:val="14"/>
                <w:color w:val="51555C"/>
              </w:rPr>
              <w:t>Executve Vice President and Chief Financial Ofcer</w:t>
            </w:r>
          </w:p>
        </w:tc>
      </w:tr>
      <w:tr>
        <w:trPr>
          <w:trHeight w:val="180"/>
        </w:trPr>
        <w:tc>
          <w:tcPr>
            <w:tcW w:w="4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6160" w:type="dxa"/>
            <w:vAlign w:val="bottom"/>
          </w:tcPr>
          <w:p>
            <w:pPr>
              <w:ind w:left="20"/>
              <w:spacing w:after="0"/>
              <w:rPr>
                <w:sz w:val="20"/>
                <w:szCs w:val="20"/>
                <w:color w:val="auto"/>
              </w:rPr>
            </w:pPr>
            <w:r>
              <w:rPr>
                <w:rFonts w:ascii="Calibri" w:cs="Calibri" w:eastAsia="Calibri" w:hAnsi="Calibri"/>
                <w:sz w:val="14"/>
                <w:szCs w:val="14"/>
                <w:color w:val="51555C"/>
              </w:rPr>
              <w:t>(Principal Financial and Accountng Ofcer)</w:t>
            </w:r>
          </w:p>
        </w:tc>
      </w:tr>
    </w:tbl>
    <w:p>
      <w:pPr>
        <w:sectPr>
          <w:pgSz w:w="11900" w:h="16838" w:orient="portrait"/>
          <w:cols w:equalWidth="0" w:num="1">
            <w:col w:w="11280"/>
          </w:cols>
          <w:pgMar w:left="300" w:top="724" w:right="319" w:bottom="1440" w:gutter="0" w:footer="0" w:header="0"/>
        </w:sectPr>
      </w:pPr>
    </w:p>
    <w:bookmarkStart w:id="64" w:name="page65"/>
    <w:bookmarkEnd w:id="64"/>
    <w:p>
      <w:pPr>
        <w:jc w:val="right"/>
        <w:spacing w:after="0"/>
        <w:rPr>
          <w:sz w:val="20"/>
          <w:szCs w:val="20"/>
          <w:color w:val="auto"/>
        </w:rPr>
      </w:pPr>
      <w:r>
        <w:rPr>
          <w:rFonts w:ascii="Calibri" w:cs="Calibri" w:eastAsia="Calibri" w:hAnsi="Calibri"/>
          <w:sz w:val="14"/>
          <w:szCs w:val="14"/>
          <w:b w:val="1"/>
          <w:bCs w:val="1"/>
          <w:color w:val="51555C"/>
        </w:rPr>
        <w:t>EXHIBIT 32.1</w:t>
      </w:r>
    </w:p>
    <w:p>
      <w:pPr>
        <w:jc w:val="center"/>
        <w:spacing w:after="0" w:line="238" w:lineRule="auto"/>
        <w:rPr>
          <w:sz w:val="20"/>
          <w:szCs w:val="20"/>
          <w:color w:val="auto"/>
        </w:rPr>
      </w:pPr>
      <w:r>
        <w:rPr>
          <w:rFonts w:ascii="Calibri" w:cs="Calibri" w:eastAsia="Calibri" w:hAnsi="Calibri"/>
          <w:sz w:val="14"/>
          <w:szCs w:val="14"/>
          <w:b w:val="1"/>
          <w:bCs w:val="1"/>
          <w:color w:val="51555C"/>
        </w:rPr>
        <w:t>Blackbaud, Inc.</w:t>
      </w:r>
    </w:p>
    <w:p>
      <w:pPr>
        <w:spacing w:after="0" w:line="126" w:lineRule="exact"/>
        <w:rPr>
          <w:sz w:val="20"/>
          <w:szCs w:val="20"/>
          <w:color w:val="auto"/>
        </w:rPr>
      </w:pPr>
    </w:p>
    <w:p>
      <w:pPr>
        <w:ind w:left="3700"/>
        <w:spacing w:after="0"/>
        <w:rPr>
          <w:sz w:val="20"/>
          <w:szCs w:val="20"/>
          <w:color w:val="auto"/>
        </w:rPr>
      </w:pPr>
      <w:r>
        <w:rPr>
          <w:rFonts w:ascii="Calibri" w:cs="Calibri" w:eastAsia="Calibri" w:hAnsi="Calibri"/>
          <w:sz w:val="14"/>
          <w:szCs w:val="14"/>
          <w:b w:val="1"/>
          <w:bCs w:val="1"/>
          <w:color w:val="51555C"/>
        </w:rPr>
        <w:t>CERTIFICATION PURSUANT TO 18 U.S.C. SECTION 1350, AS ADOPTED</w:t>
      </w:r>
    </w:p>
    <w:p>
      <w:pPr>
        <w:ind w:left="3740"/>
        <w:spacing w:after="0" w:line="238" w:lineRule="auto"/>
        <w:rPr>
          <w:sz w:val="20"/>
          <w:szCs w:val="20"/>
          <w:color w:val="auto"/>
        </w:rPr>
      </w:pPr>
      <w:r>
        <w:rPr>
          <w:rFonts w:ascii="Calibri" w:cs="Calibri" w:eastAsia="Calibri" w:hAnsi="Calibri"/>
          <w:sz w:val="14"/>
          <w:szCs w:val="14"/>
          <w:b w:val="1"/>
          <w:bCs w:val="1"/>
          <w:color w:val="51555C"/>
        </w:rPr>
        <w:t>PURSUANT TO SECTION 906 OF THE SARBANES-OXLEY ACT OF 2002</w:t>
      </w:r>
    </w:p>
    <w:p>
      <w:pPr>
        <w:spacing w:after="0" w:line="129" w:lineRule="exact"/>
        <w:rPr>
          <w:sz w:val="20"/>
          <w:szCs w:val="20"/>
          <w:color w:val="auto"/>
        </w:rPr>
      </w:pPr>
    </w:p>
    <w:p>
      <w:pPr>
        <w:jc w:val="both"/>
        <w:spacing w:after="0" w:line="237" w:lineRule="auto"/>
        <w:rPr>
          <w:sz w:val="20"/>
          <w:szCs w:val="20"/>
          <w:color w:val="auto"/>
        </w:rPr>
      </w:pPr>
      <w:r>
        <w:rPr>
          <w:rFonts w:ascii="Calibri" w:cs="Calibri" w:eastAsia="Calibri" w:hAnsi="Calibri"/>
          <w:sz w:val="14"/>
          <w:szCs w:val="14"/>
          <w:color w:val="51555C"/>
        </w:rPr>
        <w:t>In connecton with the Quarterly Report on Form 10-Q of Blackbaud, Inc. (the “Company”) for the period ended June 30, 2024 as fled with the Securites and Exchange Commission on or about the date hereof (the “Report”), I, Michael P. Gianoni, Chief Executve Ofcer, President and Vice Chairman of the Board, hereby certfy, pursuant to 18 U.S.C. 1350, as adopted pursuant to Secton 906 of the Sarbanes-Oxley Act of 2002, that, to my knowledge:</w:t>
      </w:r>
    </w:p>
    <w:p>
      <w:pPr>
        <w:spacing w:after="0" w:line="127" w:lineRule="exact"/>
        <w:rPr>
          <w:sz w:val="20"/>
          <w:szCs w:val="20"/>
          <w:color w:val="auto"/>
        </w:rPr>
      </w:pPr>
    </w:p>
    <w:p>
      <w:pPr>
        <w:ind w:left="500" w:hanging="240"/>
        <w:spacing w:after="0"/>
        <w:tabs>
          <w:tab w:leader="none" w:pos="500" w:val="left"/>
        </w:tabs>
        <w:numPr>
          <w:ilvl w:val="0"/>
          <w:numId w:val="40"/>
        </w:numPr>
        <w:rPr>
          <w:rFonts w:ascii="Calibri" w:cs="Calibri" w:eastAsia="Calibri" w:hAnsi="Calibri"/>
          <w:sz w:val="14"/>
          <w:szCs w:val="14"/>
          <w:color w:val="51555C"/>
        </w:rPr>
      </w:pPr>
      <w:r>
        <w:rPr>
          <w:rFonts w:ascii="Calibri" w:cs="Calibri" w:eastAsia="Calibri" w:hAnsi="Calibri"/>
          <w:sz w:val="14"/>
          <w:szCs w:val="14"/>
          <w:color w:val="51555C"/>
        </w:rPr>
        <w:t>The Report fully complies with the requirements of Secton 13(a) or 15(d) of the Securites Exchange Act of 1934; and</w:t>
      </w:r>
    </w:p>
    <w:p>
      <w:pPr>
        <w:spacing w:after="0" w:line="126" w:lineRule="exact"/>
        <w:rPr>
          <w:rFonts w:ascii="Calibri" w:cs="Calibri" w:eastAsia="Calibri" w:hAnsi="Calibri"/>
          <w:sz w:val="14"/>
          <w:szCs w:val="14"/>
          <w:color w:val="51555C"/>
        </w:rPr>
      </w:pPr>
    </w:p>
    <w:p>
      <w:pPr>
        <w:ind w:left="500" w:hanging="240"/>
        <w:spacing w:after="0"/>
        <w:tabs>
          <w:tab w:leader="none" w:pos="500" w:val="left"/>
        </w:tabs>
        <w:numPr>
          <w:ilvl w:val="0"/>
          <w:numId w:val="40"/>
        </w:numPr>
        <w:rPr>
          <w:rFonts w:ascii="Calibri" w:cs="Calibri" w:eastAsia="Calibri" w:hAnsi="Calibri"/>
          <w:sz w:val="14"/>
          <w:szCs w:val="14"/>
          <w:color w:val="51555C"/>
        </w:rPr>
      </w:pPr>
      <w:r>
        <w:rPr>
          <w:rFonts w:ascii="Calibri" w:cs="Calibri" w:eastAsia="Calibri" w:hAnsi="Calibri"/>
          <w:sz w:val="14"/>
          <w:szCs w:val="14"/>
          <w:color w:val="51555C"/>
        </w:rPr>
        <w:t>The informaton contained in the Report fairly presents, in all material respects, the fnancial conditon and results of operatons of the Company.</w:t>
      </w:r>
    </w:p>
    <w:p>
      <w:pPr>
        <w:spacing w:after="0" w:line="200" w:lineRule="exact"/>
        <w:rPr>
          <w:sz w:val="20"/>
          <w:szCs w:val="20"/>
          <w:color w:val="auto"/>
        </w:rPr>
      </w:pP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181"/>
        </w:trPr>
        <w:tc>
          <w:tcPr>
            <w:tcW w:w="460" w:type="dxa"/>
            <w:vAlign w:val="bottom"/>
          </w:tcPr>
          <w:p>
            <w:pPr>
              <w:spacing w:after="0"/>
              <w:rPr>
                <w:sz w:val="20"/>
                <w:szCs w:val="20"/>
                <w:color w:val="auto"/>
              </w:rPr>
            </w:pPr>
            <w:r>
              <w:rPr>
                <w:rFonts w:ascii="Calibri" w:cs="Calibri" w:eastAsia="Calibri" w:hAnsi="Calibri"/>
                <w:sz w:val="14"/>
                <w:szCs w:val="14"/>
                <w:color w:val="51555C"/>
              </w:rPr>
              <w:t>Date:</w:t>
            </w:r>
          </w:p>
        </w:tc>
        <w:tc>
          <w:tcPr>
            <w:tcW w:w="2540" w:type="dxa"/>
            <w:vAlign w:val="bottom"/>
          </w:tcPr>
          <w:p>
            <w:pPr>
              <w:ind w:left="180"/>
              <w:spacing w:after="0"/>
              <w:rPr>
                <w:sz w:val="20"/>
                <w:szCs w:val="20"/>
                <w:color w:val="auto"/>
              </w:rPr>
            </w:pPr>
            <w:r>
              <w:rPr>
                <w:rFonts w:ascii="Calibri" w:cs="Calibri" w:eastAsia="Calibri" w:hAnsi="Calibri"/>
                <w:sz w:val="14"/>
                <w:szCs w:val="14"/>
                <w:color w:val="51555C"/>
              </w:rPr>
              <w:t>July 31, 2024</w:t>
            </w:r>
          </w:p>
        </w:tc>
        <w:tc>
          <w:tcPr>
            <w:tcW w:w="2100" w:type="dxa"/>
            <w:vAlign w:val="bottom"/>
          </w:tcPr>
          <w:p>
            <w:pPr>
              <w:ind w:left="1640"/>
              <w:spacing w:after="0"/>
              <w:rPr>
                <w:sz w:val="20"/>
                <w:szCs w:val="20"/>
                <w:color w:val="auto"/>
              </w:rPr>
            </w:pPr>
            <w:r>
              <w:rPr>
                <w:rFonts w:ascii="Calibri" w:cs="Calibri" w:eastAsia="Calibri" w:hAnsi="Calibri"/>
                <w:sz w:val="14"/>
                <w:szCs w:val="14"/>
                <w:color w:val="51555C"/>
              </w:rPr>
              <w:t>By:</w:t>
            </w:r>
          </w:p>
        </w:tc>
        <w:tc>
          <w:tcPr>
            <w:tcW w:w="6140" w:type="dxa"/>
            <w:vAlign w:val="bottom"/>
            <w:tcBorders>
              <w:bottom w:val="single" w:sz="8" w:color="auto"/>
            </w:tcBorders>
          </w:tcPr>
          <w:p>
            <w:pPr>
              <w:ind w:left="20"/>
              <w:spacing w:after="0"/>
              <w:rPr>
                <w:sz w:val="20"/>
                <w:szCs w:val="20"/>
                <w:color w:val="auto"/>
              </w:rPr>
            </w:pPr>
            <w:r>
              <w:rPr>
                <w:rFonts w:ascii="Calibri" w:cs="Calibri" w:eastAsia="Calibri" w:hAnsi="Calibri"/>
                <w:sz w:val="14"/>
                <w:szCs w:val="14"/>
                <w:color w:val="51555C"/>
              </w:rPr>
              <w:t>/s/ Michael P. Gianoni</w:t>
            </w:r>
          </w:p>
        </w:tc>
      </w:tr>
      <w:tr>
        <w:trPr>
          <w:trHeight w:val="168"/>
        </w:trPr>
        <w:tc>
          <w:tcPr>
            <w:tcW w:w="4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6140" w:type="dxa"/>
            <w:vAlign w:val="bottom"/>
          </w:tcPr>
          <w:p>
            <w:pPr>
              <w:ind w:left="20"/>
              <w:spacing w:after="0" w:line="169" w:lineRule="exact"/>
              <w:rPr>
                <w:sz w:val="20"/>
                <w:szCs w:val="20"/>
                <w:color w:val="auto"/>
              </w:rPr>
            </w:pPr>
            <w:r>
              <w:rPr>
                <w:rFonts w:ascii="Calibri" w:cs="Calibri" w:eastAsia="Calibri" w:hAnsi="Calibri"/>
                <w:sz w:val="14"/>
                <w:szCs w:val="14"/>
                <w:color w:val="51555C"/>
              </w:rPr>
              <w:t>Michael P. Gianoni</w:t>
            </w:r>
          </w:p>
        </w:tc>
      </w:tr>
      <w:tr>
        <w:trPr>
          <w:trHeight w:val="174"/>
        </w:trPr>
        <w:tc>
          <w:tcPr>
            <w:tcW w:w="46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6140" w:type="dxa"/>
            <w:vAlign w:val="bottom"/>
          </w:tcPr>
          <w:p>
            <w:pPr>
              <w:ind w:left="20"/>
              <w:spacing w:after="0"/>
              <w:rPr>
                <w:sz w:val="20"/>
                <w:szCs w:val="20"/>
                <w:color w:val="auto"/>
              </w:rPr>
            </w:pPr>
            <w:r>
              <w:rPr>
                <w:rFonts w:ascii="Calibri" w:cs="Calibri" w:eastAsia="Calibri" w:hAnsi="Calibri"/>
                <w:sz w:val="14"/>
                <w:szCs w:val="14"/>
                <w:color w:val="51555C"/>
              </w:rPr>
              <w:t>Chief Executve Ofcer, President and Vice Chairman of the Board</w:t>
            </w:r>
          </w:p>
        </w:tc>
      </w:tr>
      <w:tr>
        <w:trPr>
          <w:trHeight w:val="180"/>
        </w:trPr>
        <w:tc>
          <w:tcPr>
            <w:tcW w:w="46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6140" w:type="dxa"/>
            <w:vAlign w:val="bottom"/>
          </w:tcPr>
          <w:p>
            <w:pPr>
              <w:ind w:left="20"/>
              <w:spacing w:after="0"/>
              <w:rPr>
                <w:sz w:val="20"/>
                <w:szCs w:val="20"/>
                <w:color w:val="auto"/>
              </w:rPr>
            </w:pPr>
            <w:r>
              <w:rPr>
                <w:rFonts w:ascii="Calibri" w:cs="Calibri" w:eastAsia="Calibri" w:hAnsi="Calibri"/>
                <w:sz w:val="14"/>
                <w:szCs w:val="14"/>
                <w:color w:val="51555C"/>
              </w:rPr>
              <w:t>(Principal Executve Ofcer)</w:t>
            </w:r>
          </w:p>
        </w:tc>
      </w:tr>
    </w:tbl>
    <w:p>
      <w:pPr>
        <w:sectPr>
          <w:pgSz w:w="11900" w:h="16838" w:orient="portrait"/>
          <w:cols w:equalWidth="0" w:num="1">
            <w:col w:w="11280"/>
          </w:cols>
          <w:pgMar w:left="300" w:top="724" w:right="319" w:bottom="1440" w:gutter="0" w:footer="0" w:header="0"/>
        </w:sectPr>
      </w:pPr>
    </w:p>
    <w:bookmarkStart w:id="65" w:name="page66"/>
    <w:bookmarkEnd w:id="65"/>
    <w:p>
      <w:pPr>
        <w:jc w:val="right"/>
        <w:spacing w:after="0"/>
        <w:rPr>
          <w:sz w:val="20"/>
          <w:szCs w:val="20"/>
          <w:color w:val="auto"/>
        </w:rPr>
      </w:pPr>
      <w:r>
        <w:rPr>
          <w:rFonts w:ascii="Calibri" w:cs="Calibri" w:eastAsia="Calibri" w:hAnsi="Calibri"/>
          <w:sz w:val="14"/>
          <w:szCs w:val="14"/>
          <w:b w:val="1"/>
          <w:bCs w:val="1"/>
          <w:color w:val="51555C"/>
        </w:rPr>
        <w:t>EXHIBIT 32.2</w:t>
      </w:r>
    </w:p>
    <w:p>
      <w:pPr>
        <w:jc w:val="center"/>
        <w:spacing w:after="0" w:line="238" w:lineRule="auto"/>
        <w:rPr>
          <w:sz w:val="20"/>
          <w:szCs w:val="20"/>
          <w:color w:val="auto"/>
        </w:rPr>
      </w:pPr>
      <w:r>
        <w:rPr>
          <w:rFonts w:ascii="Calibri" w:cs="Calibri" w:eastAsia="Calibri" w:hAnsi="Calibri"/>
          <w:sz w:val="14"/>
          <w:szCs w:val="14"/>
          <w:b w:val="1"/>
          <w:bCs w:val="1"/>
          <w:color w:val="51555C"/>
        </w:rPr>
        <w:t>Blackbaud, Inc.</w:t>
      </w:r>
    </w:p>
    <w:p>
      <w:pPr>
        <w:spacing w:after="0" w:line="126" w:lineRule="exact"/>
        <w:rPr>
          <w:sz w:val="20"/>
          <w:szCs w:val="20"/>
          <w:color w:val="auto"/>
        </w:rPr>
      </w:pPr>
    </w:p>
    <w:p>
      <w:pPr>
        <w:ind w:left="3700"/>
        <w:spacing w:after="0"/>
        <w:rPr>
          <w:sz w:val="20"/>
          <w:szCs w:val="20"/>
          <w:color w:val="auto"/>
        </w:rPr>
      </w:pPr>
      <w:r>
        <w:rPr>
          <w:rFonts w:ascii="Calibri" w:cs="Calibri" w:eastAsia="Calibri" w:hAnsi="Calibri"/>
          <w:sz w:val="14"/>
          <w:szCs w:val="14"/>
          <w:b w:val="1"/>
          <w:bCs w:val="1"/>
          <w:color w:val="51555C"/>
        </w:rPr>
        <w:t>CERTIFICATION PURSUANT TO 18 U.S.C. SECTION 1350, AS ADOPTED</w:t>
      </w:r>
    </w:p>
    <w:p>
      <w:pPr>
        <w:ind w:left="3740"/>
        <w:spacing w:after="0" w:line="238" w:lineRule="auto"/>
        <w:rPr>
          <w:sz w:val="20"/>
          <w:szCs w:val="20"/>
          <w:color w:val="auto"/>
        </w:rPr>
      </w:pPr>
      <w:r>
        <w:rPr>
          <w:rFonts w:ascii="Calibri" w:cs="Calibri" w:eastAsia="Calibri" w:hAnsi="Calibri"/>
          <w:sz w:val="14"/>
          <w:szCs w:val="14"/>
          <w:b w:val="1"/>
          <w:bCs w:val="1"/>
          <w:color w:val="51555C"/>
        </w:rPr>
        <w:t>PURSUANT TO SECTION 906 OF THE SARBANES-OXLEY ACT OF 2002</w:t>
      </w:r>
    </w:p>
    <w:p>
      <w:pPr>
        <w:spacing w:after="0" w:line="129" w:lineRule="exact"/>
        <w:rPr>
          <w:sz w:val="20"/>
          <w:szCs w:val="20"/>
          <w:color w:val="auto"/>
        </w:rPr>
      </w:pPr>
    </w:p>
    <w:p>
      <w:pPr>
        <w:jc w:val="both"/>
        <w:spacing w:after="0" w:line="237" w:lineRule="auto"/>
        <w:rPr>
          <w:sz w:val="20"/>
          <w:szCs w:val="20"/>
          <w:color w:val="auto"/>
        </w:rPr>
      </w:pPr>
      <w:r>
        <w:rPr>
          <w:rFonts w:ascii="Calibri" w:cs="Calibri" w:eastAsia="Calibri" w:hAnsi="Calibri"/>
          <w:sz w:val="14"/>
          <w:szCs w:val="14"/>
          <w:color w:val="51555C"/>
        </w:rPr>
        <w:t>In connecton with the Quarterly Report on Form 10-Q of Blackbaud, Inc. (the “Company”) for the period ended June 30, 2024 as fled with the Securites and Exchange Commission on or about the date hereof (the “Report”), I, Anthony W. Boor, Executve Vice President and Chief Financial Ofcer, hereby certfy, pursuant to 18 U.S.C. 1350, as adopted pursuant to Secton 906 of the Sarbanes-Oxley Act of 2002, that, to my knowledge:</w:t>
      </w:r>
    </w:p>
    <w:p>
      <w:pPr>
        <w:spacing w:after="0" w:line="127" w:lineRule="exact"/>
        <w:rPr>
          <w:sz w:val="20"/>
          <w:szCs w:val="20"/>
          <w:color w:val="auto"/>
        </w:rPr>
      </w:pPr>
    </w:p>
    <w:p>
      <w:pPr>
        <w:ind w:left="500" w:hanging="240"/>
        <w:spacing w:after="0"/>
        <w:tabs>
          <w:tab w:leader="none" w:pos="500" w:val="left"/>
        </w:tabs>
        <w:numPr>
          <w:ilvl w:val="0"/>
          <w:numId w:val="41"/>
        </w:numPr>
        <w:rPr>
          <w:rFonts w:ascii="Calibri" w:cs="Calibri" w:eastAsia="Calibri" w:hAnsi="Calibri"/>
          <w:sz w:val="14"/>
          <w:szCs w:val="14"/>
          <w:color w:val="51555C"/>
        </w:rPr>
      </w:pPr>
      <w:r>
        <w:rPr>
          <w:rFonts w:ascii="Calibri" w:cs="Calibri" w:eastAsia="Calibri" w:hAnsi="Calibri"/>
          <w:sz w:val="14"/>
          <w:szCs w:val="14"/>
          <w:color w:val="51555C"/>
        </w:rPr>
        <w:t>The Report fully complies with the requirements of Secton 13(a) or 15(d) of the Securites Exchange Act of 1934; and</w:t>
      </w:r>
    </w:p>
    <w:p>
      <w:pPr>
        <w:spacing w:after="0" w:line="126" w:lineRule="exact"/>
        <w:rPr>
          <w:rFonts w:ascii="Calibri" w:cs="Calibri" w:eastAsia="Calibri" w:hAnsi="Calibri"/>
          <w:sz w:val="14"/>
          <w:szCs w:val="14"/>
          <w:color w:val="51555C"/>
        </w:rPr>
      </w:pPr>
    </w:p>
    <w:p>
      <w:pPr>
        <w:ind w:left="500" w:hanging="240"/>
        <w:spacing w:after="0"/>
        <w:tabs>
          <w:tab w:leader="none" w:pos="500" w:val="left"/>
        </w:tabs>
        <w:numPr>
          <w:ilvl w:val="0"/>
          <w:numId w:val="41"/>
        </w:numPr>
        <w:rPr>
          <w:rFonts w:ascii="Calibri" w:cs="Calibri" w:eastAsia="Calibri" w:hAnsi="Calibri"/>
          <w:sz w:val="14"/>
          <w:szCs w:val="14"/>
          <w:color w:val="51555C"/>
        </w:rPr>
      </w:pPr>
      <w:r>
        <w:rPr>
          <w:rFonts w:ascii="Calibri" w:cs="Calibri" w:eastAsia="Calibri" w:hAnsi="Calibri"/>
          <w:sz w:val="14"/>
          <w:szCs w:val="14"/>
          <w:color w:val="51555C"/>
        </w:rPr>
        <w:t>The informaton contained in the Report fairly presents, in all material respects, the fnancial conditon and results of operatons of the Company.</w:t>
      </w:r>
    </w:p>
    <w:p>
      <w:pPr>
        <w:spacing w:after="0" w:line="200" w:lineRule="exact"/>
        <w:rPr>
          <w:sz w:val="20"/>
          <w:szCs w:val="20"/>
          <w:color w:val="auto"/>
        </w:rPr>
      </w:pP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181"/>
        </w:trPr>
        <w:tc>
          <w:tcPr>
            <w:tcW w:w="460" w:type="dxa"/>
            <w:vAlign w:val="bottom"/>
          </w:tcPr>
          <w:p>
            <w:pPr>
              <w:spacing w:after="0"/>
              <w:rPr>
                <w:sz w:val="20"/>
                <w:szCs w:val="20"/>
                <w:color w:val="auto"/>
              </w:rPr>
            </w:pPr>
            <w:r>
              <w:rPr>
                <w:rFonts w:ascii="Calibri" w:cs="Calibri" w:eastAsia="Calibri" w:hAnsi="Calibri"/>
                <w:sz w:val="14"/>
                <w:szCs w:val="14"/>
                <w:color w:val="51555C"/>
              </w:rPr>
              <w:t>Date:</w:t>
            </w:r>
          </w:p>
        </w:tc>
        <w:tc>
          <w:tcPr>
            <w:tcW w:w="2540" w:type="dxa"/>
            <w:vAlign w:val="bottom"/>
          </w:tcPr>
          <w:p>
            <w:pPr>
              <w:ind w:left="180"/>
              <w:spacing w:after="0"/>
              <w:rPr>
                <w:sz w:val="20"/>
                <w:szCs w:val="20"/>
                <w:color w:val="auto"/>
              </w:rPr>
            </w:pPr>
            <w:r>
              <w:rPr>
                <w:rFonts w:ascii="Calibri" w:cs="Calibri" w:eastAsia="Calibri" w:hAnsi="Calibri"/>
                <w:sz w:val="14"/>
                <w:szCs w:val="14"/>
                <w:color w:val="51555C"/>
              </w:rPr>
              <w:t>July 31, 2024</w:t>
            </w:r>
          </w:p>
        </w:tc>
        <w:tc>
          <w:tcPr>
            <w:tcW w:w="2100" w:type="dxa"/>
            <w:vAlign w:val="bottom"/>
          </w:tcPr>
          <w:p>
            <w:pPr>
              <w:ind w:left="1640"/>
              <w:spacing w:after="0"/>
              <w:rPr>
                <w:sz w:val="20"/>
                <w:szCs w:val="20"/>
                <w:color w:val="auto"/>
              </w:rPr>
            </w:pPr>
            <w:r>
              <w:rPr>
                <w:rFonts w:ascii="Calibri" w:cs="Calibri" w:eastAsia="Calibri" w:hAnsi="Calibri"/>
                <w:sz w:val="14"/>
                <w:szCs w:val="14"/>
                <w:color w:val="51555C"/>
              </w:rPr>
              <w:t>By:</w:t>
            </w:r>
          </w:p>
        </w:tc>
        <w:tc>
          <w:tcPr>
            <w:tcW w:w="6140" w:type="dxa"/>
            <w:vAlign w:val="bottom"/>
            <w:tcBorders>
              <w:bottom w:val="single" w:sz="8" w:color="auto"/>
            </w:tcBorders>
          </w:tcPr>
          <w:p>
            <w:pPr>
              <w:ind w:left="20"/>
              <w:spacing w:after="0"/>
              <w:rPr>
                <w:sz w:val="20"/>
                <w:szCs w:val="20"/>
                <w:color w:val="auto"/>
              </w:rPr>
            </w:pPr>
            <w:r>
              <w:rPr>
                <w:rFonts w:ascii="Calibri" w:cs="Calibri" w:eastAsia="Calibri" w:hAnsi="Calibri"/>
                <w:sz w:val="14"/>
                <w:szCs w:val="14"/>
                <w:color w:val="51555C"/>
              </w:rPr>
              <w:t>/s/ Anthony W. Boor</w:t>
            </w:r>
          </w:p>
        </w:tc>
      </w:tr>
      <w:tr>
        <w:trPr>
          <w:trHeight w:val="168"/>
        </w:trPr>
        <w:tc>
          <w:tcPr>
            <w:tcW w:w="4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6140" w:type="dxa"/>
            <w:vAlign w:val="bottom"/>
          </w:tcPr>
          <w:p>
            <w:pPr>
              <w:ind w:left="20"/>
              <w:spacing w:after="0" w:line="169" w:lineRule="exact"/>
              <w:rPr>
                <w:sz w:val="20"/>
                <w:szCs w:val="20"/>
                <w:color w:val="auto"/>
              </w:rPr>
            </w:pPr>
            <w:r>
              <w:rPr>
                <w:rFonts w:ascii="Calibri" w:cs="Calibri" w:eastAsia="Calibri" w:hAnsi="Calibri"/>
                <w:sz w:val="14"/>
                <w:szCs w:val="14"/>
                <w:color w:val="51555C"/>
              </w:rPr>
              <w:t>Anthony W. Boor</w:t>
            </w:r>
          </w:p>
        </w:tc>
      </w:tr>
      <w:tr>
        <w:trPr>
          <w:trHeight w:val="174"/>
        </w:trPr>
        <w:tc>
          <w:tcPr>
            <w:tcW w:w="46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6140" w:type="dxa"/>
            <w:vAlign w:val="bottom"/>
          </w:tcPr>
          <w:p>
            <w:pPr>
              <w:ind w:left="20"/>
              <w:spacing w:after="0"/>
              <w:rPr>
                <w:sz w:val="20"/>
                <w:szCs w:val="20"/>
                <w:color w:val="auto"/>
              </w:rPr>
            </w:pPr>
            <w:r>
              <w:rPr>
                <w:rFonts w:ascii="Calibri" w:cs="Calibri" w:eastAsia="Calibri" w:hAnsi="Calibri"/>
                <w:sz w:val="14"/>
                <w:szCs w:val="14"/>
                <w:color w:val="51555C"/>
              </w:rPr>
              <w:t>Executve Vice President and Chief Financial Ofcer</w:t>
            </w:r>
          </w:p>
        </w:tc>
      </w:tr>
      <w:tr>
        <w:trPr>
          <w:trHeight w:val="180"/>
        </w:trPr>
        <w:tc>
          <w:tcPr>
            <w:tcW w:w="46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6140" w:type="dxa"/>
            <w:vAlign w:val="bottom"/>
          </w:tcPr>
          <w:p>
            <w:pPr>
              <w:ind w:left="20"/>
              <w:spacing w:after="0"/>
              <w:rPr>
                <w:sz w:val="20"/>
                <w:szCs w:val="20"/>
                <w:color w:val="auto"/>
              </w:rPr>
            </w:pPr>
            <w:r>
              <w:rPr>
                <w:rFonts w:ascii="Calibri" w:cs="Calibri" w:eastAsia="Calibri" w:hAnsi="Calibri"/>
                <w:sz w:val="14"/>
                <w:szCs w:val="14"/>
                <w:color w:val="51555C"/>
              </w:rPr>
              <w:t>(Principal Financial and Accountng Ofcer)</w:t>
            </w:r>
          </w:p>
        </w:tc>
      </w:tr>
    </w:tbl>
    <w:p>
      <w:pPr>
        <w:spacing w:after="0" w:line="1" w:lineRule="exact"/>
        <w:rPr>
          <w:sz w:val="20"/>
          <w:szCs w:val="20"/>
          <w:color w:val="auto"/>
        </w:rPr>
      </w:pPr>
    </w:p>
    <w:sectPr>
      <w:pgSz w:w="11900" w:h="16838" w:orient="portrait"/>
      <w:cols w:equalWidth="0" w:num="1">
        <w:col w:w="11280"/>
      </w:cols>
      <w:pgMar w:left="300" w:top="72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1"/>
      <w:numFmt w:val="decimal"/>
      <w:start w:val="519"/>
    </w:lvl>
  </w:abstractNum>
  <w:abstractNum w:abstractNumId="3">
    <w:nsid w:val="2443A858"/>
    <w:multiLevelType w:val="hybridMultilevel"/>
    <w:lvl w:ilvl="0">
      <w:lvlJc w:val="left"/>
      <w:lvlText w:val="(%1)"/>
      <w:numFmt w:val="decimal"/>
      <w:start w:val="523"/>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1)"/>
      <w:numFmt w:val="decimal"/>
      <w:start w:val="1"/>
    </w:lvl>
  </w:abstractNum>
  <w:abstractNum w:abstractNumId="6">
    <w:nsid w:val="75A2A8D4"/>
    <w:multiLevelType w:val="hybridMultilevel"/>
    <w:lvl w:ilvl="0">
      <w:lvlJc w:val="left"/>
      <w:lvlText w:val="(%1)"/>
      <w:numFmt w:val="decimal"/>
      <w:start w:val="1"/>
    </w:lvl>
  </w:abstractNum>
  <w:abstractNum w:abstractNumId="7">
    <w:nsid w:val="8EDBDAB"/>
    <w:multiLevelType w:val="hybridMultilevel"/>
    <w:lvl w:ilvl="0">
      <w:lvlJc w:val="left"/>
      <w:lvlText w:val="(%1)"/>
      <w:numFmt w:val="decimal"/>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1."/>
      <w:numFmt w:val="decimal"/>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lvl w:ilvl="1">
      <w:lvlJc w:val="left"/>
      <w:lvlText w:val="•"/>
      <w:numFmt w:val="bullet"/>
      <w:start w:val="1"/>
    </w:lvl>
  </w:abstractNum>
  <w:abstractNum w:abstractNumId="13">
    <w:nsid w:val="71F32454"/>
    <w:multiLevelType w:val="hybridMultilevel"/>
    <w:lvl w:ilvl="0">
      <w:lvlJc w:val="left"/>
      <w:lvlText w:val="-"/>
      <w:numFmt w:val="bullet"/>
      <w:start w:val="1"/>
    </w:lvl>
    <w:lvl w:ilvl="1">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1)"/>
      <w:numFmt w:val="decimal"/>
      <w:start w:val="1"/>
    </w:lvl>
  </w:abstractNum>
  <w:abstractNum w:abstractNumId="26">
    <w:nsid w:val="614FD4A1"/>
    <w:multiLevelType w:val="hybridMultilevel"/>
    <w:lvl w:ilvl="0">
      <w:lvlJc w:val="left"/>
      <w:lvlText w:val="(%1)"/>
      <w:numFmt w:val="decimal"/>
      <w:start w:val="1"/>
    </w:lvl>
  </w:abstractNum>
  <w:abstractNum w:abstractNumId="27">
    <w:nsid w:val="419AC241"/>
    <w:multiLevelType w:val="hybridMultilevel"/>
    <w:lvl w:ilvl="0">
      <w:lvlJc w:val="left"/>
      <w:lvlText w:val="(%1)"/>
      <w:numFmt w:val="decimal"/>
      <w:start w:val="3"/>
    </w:lvl>
  </w:abstractNum>
  <w:abstractNum w:abstractNumId="28">
    <w:nsid w:val="5577F8E1"/>
    <w:multiLevelType w:val="hybridMultilevel"/>
    <w:lvl w:ilvl="0">
      <w:lvlJc w:val="left"/>
      <w:lvlText w:val="(%1)"/>
      <w:numFmt w:val="decimal"/>
      <w:start w:val="1"/>
    </w:lvl>
  </w:abstractNum>
  <w:abstractNum w:abstractNumId="29">
    <w:nsid w:val="440BADFC"/>
    <w:multiLevelType w:val="hybridMultilevel"/>
    <w:lvl w:ilvl="0">
      <w:lvlJc w:val="left"/>
      <w:lvlText w:val="(%1)"/>
      <w:numFmt w:val="decimal"/>
      <w:start w:val="1"/>
    </w:lvl>
  </w:abstractNum>
  <w:abstractNum w:abstractNumId="30">
    <w:nsid w:val="5072367"/>
    <w:multiLevelType w:val="hybridMultilevel"/>
    <w:lvl w:ilvl="0">
      <w:lvlJc w:val="left"/>
      <w:lvlText w:val="(%1)"/>
      <w:numFmt w:val="decimal"/>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1)"/>
      <w:numFmt w:val="decimal"/>
      <w:start w:val="1"/>
    </w:lvl>
  </w:abstractNum>
  <w:abstractNum w:abstractNumId="33">
    <w:nsid w:val="7724C67E"/>
    <w:multiLevelType w:val="hybridMultilevel"/>
    <w:lvl w:ilvl="0">
      <w:lvlJc w:val="left"/>
      <w:lvlText w:val="(%1)"/>
      <w:numFmt w:val="decimal"/>
      <w:start w:val="1"/>
    </w:lvl>
  </w:abstractNum>
  <w:abstractNum w:abstractNumId="34">
    <w:nsid w:val="5C482A97"/>
    <w:multiLevelType w:val="hybridMultilevel"/>
    <w:lvl w:ilvl="0">
      <w:lvlJc w:val="left"/>
      <w:lvlText w:val="•"/>
      <w:numFmt w:val="bullet"/>
      <w:start w:val="1"/>
    </w:lvl>
  </w:abstractNum>
  <w:abstractNum w:abstractNumId="35">
    <w:nsid w:val="2463B9EA"/>
    <w:multiLevelType w:val="hybridMultilevel"/>
    <w:lvl w:ilvl="0">
      <w:lvlJc w:val="left"/>
      <w:lvlText w:val="(%1)"/>
      <w:numFmt w:val="decimal"/>
      <w:start w:val="1"/>
    </w:lvl>
  </w:abstractNum>
  <w:abstractNum w:abstractNumId="36">
    <w:nsid w:val="5E884ADC"/>
    <w:multiLevelType w:val="hybridMultilevel"/>
    <w:lvl w:ilvl="0">
      <w:lvlJc w:val="left"/>
      <w:lvlText w:val="(%1)"/>
      <w:numFmt w:val="decimal"/>
      <w:start w:val="1"/>
    </w:lvl>
  </w:abstractNum>
  <w:abstractNum w:abstractNumId="37">
    <w:nsid w:val="51EAD36B"/>
    <w:multiLevelType w:val="hybridMultilevel"/>
    <w:lvl w:ilvl="0">
      <w:lvlJc w:val="left"/>
      <w:lvlText w:val="%1."/>
      <w:numFmt w:val="decimal"/>
      <w:start w:val="1"/>
    </w:lvl>
    <w:lvl w:ilvl="1">
      <w:lvlJc w:val="left"/>
      <w:lvlText w:val="%2."/>
      <w:numFmt w:val="lowerLetter"/>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jpe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61" Type="http://schemas.openxmlformats.org/officeDocument/2006/relationships/image" Target="media/image251.png"/><Relationship Id="rId262" Type="http://schemas.openxmlformats.org/officeDocument/2006/relationships/image" Target="media/image252.png"/><Relationship Id="rId263" Type="http://schemas.openxmlformats.org/officeDocument/2006/relationships/image" Target="media/image253.png"/><Relationship Id="rId264" Type="http://schemas.openxmlformats.org/officeDocument/2006/relationships/image" Target="media/image254.png"/><Relationship Id="rId265" Type="http://schemas.openxmlformats.org/officeDocument/2006/relationships/image" Target="media/image255.png"/><Relationship Id="rId266" Type="http://schemas.openxmlformats.org/officeDocument/2006/relationships/image" Target="media/image256.png"/><Relationship Id="rId267" Type="http://schemas.openxmlformats.org/officeDocument/2006/relationships/image" Target="media/image257.png"/><Relationship Id="rId268" Type="http://schemas.openxmlformats.org/officeDocument/2006/relationships/image" Target="media/image258.jpeg"/><Relationship Id="rId269" Type="http://schemas.openxmlformats.org/officeDocument/2006/relationships/image" Target="media/image259.png"/><Relationship Id="rId270" Type="http://schemas.openxmlformats.org/officeDocument/2006/relationships/image" Target="media/image260.jpeg"/><Relationship Id="rId271" Type="http://schemas.openxmlformats.org/officeDocument/2006/relationships/image" Target="media/image261.jpeg"/><Relationship Id="rId272" Type="http://schemas.openxmlformats.org/officeDocument/2006/relationships/image" Target="media/image262.png"/><Relationship Id="rId273" Type="http://schemas.openxmlformats.org/officeDocument/2006/relationships/image" Target="media/image263.png"/><Relationship Id="rId274" Type="http://schemas.openxmlformats.org/officeDocument/2006/relationships/image" Target="media/image264.png"/><Relationship Id="rId258" Type="http://schemas.openxmlformats.org/officeDocument/2006/relationships/hyperlink" Target="https://www.sec.gov/Archives/edgar/data/1280058/000119312509094523/ddef14a.htm#toc26068_24" TargetMode="External"/><Relationship Id="rId259" Type="http://schemas.openxmlformats.org/officeDocument/2006/relationships/hyperlink" Target="https://www.sec.gov/Archives/edgar/data/1280058/000128005824000032/blkb-20240423.htm#i7b697e86d25745438acde37ebb993e68_334" TargetMode="External"/><Relationship Id="rId260" Type="http://schemas.openxmlformats.org/officeDocument/2006/relationships/hyperlink" Target="https://www.sec.gov/Archives/edgar/data/1280058/000128005824000037/blkbq1202410-qex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2024-07-31T15:57:03Z</dcterms:created>
  <dcterms:modified xsi:type="dcterms:W3CDTF">2024-07-31T15:57:03Z</dcterms:modified>
</cp:coreProperties>
</file>