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5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ANNUAL REPORT PURSUANT TO SECTION 13 OR 15(d) OF THE SECURITIES EXCHANGE ACT OF 1934</w:t>
      </w:r>
    </w:p>
    <w:p>
      <w:pPr>
        <w:spacing w:after="0" w:line="97" w:lineRule="exact"/>
        <w:rPr>
          <w:sz w:val="24"/>
          <w:szCs w:val="24"/>
          <w:color w:val="auto"/>
        </w:rPr>
      </w:pPr>
    </w:p>
    <w:p>
      <w:pPr>
        <w:ind w:left="420"/>
        <w:spacing w:after="0"/>
        <w:rPr>
          <w:sz w:val="20"/>
          <w:szCs w:val="20"/>
          <w:color w:val="auto"/>
        </w:rPr>
      </w:pPr>
      <w:r>
        <w:rPr>
          <w:rFonts w:ascii="Arial" w:cs="Arial" w:eastAsia="Arial" w:hAnsi="Arial"/>
          <w:sz w:val="15"/>
          <w:szCs w:val="15"/>
          <w:b w:val="1"/>
          <w:bCs w:val="1"/>
          <w:color w:val="auto"/>
        </w:rPr>
        <w:t>For the fiscal year ended December 31,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296" w:lineRule="exact"/>
        <w:rPr>
          <w:sz w:val="24"/>
          <w:szCs w:val="24"/>
          <w:color w:val="auto"/>
        </w:rPr>
      </w:pPr>
    </w:p>
    <w:p>
      <w:pPr>
        <w:ind w:left="640" w:hanging="308"/>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420"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Arial" w:cs="Arial" w:eastAsia="Arial" w:hAnsi="Arial"/>
                <w:sz w:val="15"/>
                <w:szCs w:val="15"/>
                <w:b w:val="1"/>
                <w:bCs w:val="1"/>
                <w:color w:val="auto"/>
              </w:rPr>
              <w:t>For the transition period from</w:t>
            </w:r>
          </w:p>
        </w:tc>
        <w:tc>
          <w:tcPr>
            <w:tcW w:w="8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to</w:t>
            </w:r>
          </w:p>
        </w:tc>
        <w:tc>
          <w:tcPr>
            <w:tcW w:w="3220" w:type="dxa"/>
            <w:vAlign w:val="bottom"/>
            <w:gridSpan w:val="2"/>
          </w:tcPr>
          <w:p>
            <w:pPr>
              <w:jc w:val="right"/>
              <w:ind w:right="2320"/>
              <w:spacing w:after="0"/>
              <w:rPr>
                <w:sz w:val="20"/>
                <w:szCs w:val="20"/>
                <w:color w:val="auto"/>
              </w:rPr>
            </w:pPr>
            <w:r>
              <w:rPr>
                <w:rFonts w:ascii="Arial" w:cs="Arial" w:eastAsia="Arial" w:hAnsi="Arial"/>
                <w:sz w:val="15"/>
                <w:szCs w:val="15"/>
                <w:b w:val="1"/>
                <w:bCs w:val="1"/>
                <w:color w:val="auto"/>
              </w:rPr>
              <w:t>.</w:t>
            </w:r>
          </w:p>
        </w:tc>
      </w:tr>
      <w:tr>
        <w:trPr>
          <w:trHeight w:val="20"/>
        </w:trPr>
        <w:tc>
          <w:tcPr>
            <w:tcW w:w="2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42"/>
        </w:trPr>
        <w:tc>
          <w:tcPr>
            <w:tcW w:w="2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2"/>
          </w:tcPr>
          <w:p>
            <w:pPr>
              <w:jc w:val="right"/>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b w:val="1"/>
                <w:bCs w:val="1"/>
                <w:color w:val="auto"/>
              </w:rPr>
              <w:t>000-50600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13970</wp:posOffset>
            </wp:positionV>
            <wp:extent cx="163703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703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Blackbaud,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72390</wp:posOffset>
            </wp:positionV>
            <wp:extent cx="6883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161" w:lineRule="exact"/>
        <w:rPr>
          <w:sz w:val="24"/>
          <w:szCs w:val="24"/>
          <w:color w:val="auto"/>
        </w:rPr>
      </w:pPr>
    </w:p>
    <w:p>
      <w:pPr>
        <w:ind w:left="2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11-2617163</w:t>
      </w:r>
    </w:p>
    <w:p>
      <w:pPr>
        <w:spacing w:after="0" w:line="48" w:lineRule="exact"/>
        <w:rPr>
          <w:sz w:val="24"/>
          <w:szCs w:val="24"/>
          <w:color w:val="auto"/>
        </w:rPr>
      </w:pPr>
    </w:p>
    <w:p>
      <w:pPr>
        <w:sectPr>
          <w:pgSz w:w="11900" w:h="16838" w:orient="portrait"/>
          <w:cols w:equalWidth="0" w:num="2">
            <w:col w:w="7200" w:space="720"/>
            <w:col w:w="3320"/>
          </w:cols>
          <w:pgMar w:left="320" w:top="873" w:right="339" w:bottom="1440" w:gutter="0" w:footer="0" w:header="0"/>
          <w:type w:val="continuous"/>
        </w:sectPr>
      </w:pPr>
    </w:p>
    <w:p>
      <w:pPr>
        <w:ind w:left="94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93" w:lineRule="exact"/>
        <w:rPr>
          <w:sz w:val="24"/>
          <w:szCs w:val="24"/>
          <w:color w:val="auto"/>
        </w:rPr>
      </w:pPr>
    </w:p>
    <w:p>
      <w:pPr>
        <w:sectPr>
          <w:pgSz w:w="11900" w:h="16838" w:orient="portrait"/>
          <w:cols w:equalWidth="0" w:num="2">
            <w:col w:w="6420" w:space="720"/>
            <w:col w:w="4100"/>
          </w:cols>
          <w:pgMar w:left="320" w:top="873"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65 Fairchild Street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Charleston, South Carolina 29492</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(843) 216-6200</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81280</wp:posOffset>
            </wp:positionV>
            <wp:extent cx="6883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172" w:lineRule="exact"/>
        <w:rPr>
          <w:sz w:val="24"/>
          <w:szCs w:val="24"/>
          <w:color w:val="auto"/>
        </w:rPr>
      </w:pPr>
    </w:p>
    <w:tbl>
      <w:tblPr>
        <w:tblLayout w:type="fixed"/>
        <w:tblInd w:w="106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40" w:type="dxa"/>
            <w:vAlign w:val="bottom"/>
            <w:gridSpan w:val="5"/>
          </w:tcPr>
          <w:p>
            <w:pPr>
              <w:ind w:left="80"/>
              <w:spacing w:after="0"/>
              <w:rPr>
                <w:sz w:val="20"/>
                <w:szCs w:val="20"/>
                <w:color w:val="auto"/>
              </w:rPr>
            </w:pPr>
            <w:r>
              <w:rPr>
                <w:rFonts w:ascii="Arial" w:cs="Arial" w:eastAsia="Arial" w:hAnsi="Arial"/>
                <w:sz w:val="15"/>
                <w:szCs w:val="15"/>
                <w:color w:val="auto"/>
              </w:rPr>
              <w:t>Securities Registered Pursuant to Section 12(b) of the Act:</w:t>
            </w:r>
          </w:p>
        </w:tc>
      </w:tr>
      <w:tr>
        <w:trPr>
          <w:trHeight w:val="170"/>
        </w:trPr>
        <w:tc>
          <w:tcPr>
            <w:tcW w:w="560" w:type="dxa"/>
            <w:vAlign w:val="bottom"/>
          </w:tcPr>
          <w:p>
            <w:pPr>
              <w:spacing w:after="0"/>
              <w:rPr>
                <w:sz w:val="14"/>
                <w:szCs w:val="14"/>
                <w:color w:val="auto"/>
              </w:rPr>
            </w:pPr>
          </w:p>
        </w:tc>
        <w:tc>
          <w:tcPr>
            <w:tcW w:w="1280" w:type="dxa"/>
            <w:vAlign w:val="bottom"/>
          </w:tcPr>
          <w:p>
            <w:pPr>
              <w:jc w:val="center"/>
              <w:spacing w:after="0" w:line="170" w:lineRule="exact"/>
              <w:rPr>
                <w:sz w:val="20"/>
                <w:szCs w:val="20"/>
                <w:color w:val="auto"/>
              </w:rPr>
            </w:pPr>
            <w:r>
              <w:rPr>
                <w:rFonts w:ascii="Arial" w:cs="Arial" w:eastAsia="Arial" w:hAnsi="Arial"/>
                <w:sz w:val="15"/>
                <w:szCs w:val="15"/>
                <w:color w:val="auto"/>
              </w:rPr>
              <w:t>Title of Each Class</w:t>
            </w: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gridSpan w:val="2"/>
          </w:tcPr>
          <w:p>
            <w:pPr>
              <w:jc w:val="center"/>
              <w:ind w:right="600"/>
              <w:spacing w:after="0" w:line="170" w:lineRule="exact"/>
              <w:rPr>
                <w:sz w:val="20"/>
                <w:szCs w:val="20"/>
                <w:color w:val="auto"/>
              </w:rPr>
            </w:pPr>
            <w:r>
              <w:rPr>
                <w:rFonts w:ascii="Arial" w:cs="Arial" w:eastAsia="Arial" w:hAnsi="Arial"/>
                <w:sz w:val="15"/>
                <w:szCs w:val="15"/>
                <w:color w:val="auto"/>
              </w:rPr>
              <w:t>Trading Symbol(s)</w:t>
            </w:r>
          </w:p>
        </w:tc>
        <w:tc>
          <w:tcPr>
            <w:tcW w:w="3720" w:type="dxa"/>
            <w:vAlign w:val="bottom"/>
            <w:gridSpan w:val="2"/>
          </w:tcPr>
          <w:p>
            <w:pPr>
              <w:jc w:val="center"/>
              <w:ind w:left="524"/>
              <w:spacing w:after="0" w:line="170" w:lineRule="exact"/>
              <w:rPr>
                <w:sz w:val="20"/>
                <w:szCs w:val="20"/>
                <w:color w:val="auto"/>
              </w:rPr>
            </w:pPr>
            <w:r>
              <w:rPr>
                <w:rFonts w:ascii="Arial" w:cs="Arial" w:eastAsia="Arial" w:hAnsi="Arial"/>
                <w:sz w:val="15"/>
                <w:szCs w:val="15"/>
                <w:color w:val="auto"/>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15"/>
        </w:trPr>
        <w:tc>
          <w:tcPr>
            <w:tcW w:w="25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Common Stock, $0.001 Par Value</w:t>
            </w:r>
          </w:p>
        </w:tc>
        <w:tc>
          <w:tcPr>
            <w:tcW w:w="1480" w:type="dxa"/>
            <w:vAlign w:val="bottom"/>
          </w:tcPr>
          <w:p>
            <w:pPr>
              <w:spacing w:after="0"/>
              <w:rPr>
                <w:sz w:val="18"/>
                <w:szCs w:val="18"/>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5"/>
                <w:szCs w:val="15"/>
                <w:b w:val="1"/>
                <w:bCs w:val="1"/>
                <w:color w:val="auto"/>
              </w:rPr>
              <w:t>BLKB</w:t>
            </w:r>
          </w:p>
        </w:tc>
        <w:tc>
          <w:tcPr>
            <w:tcW w:w="6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5"/>
                <w:szCs w:val="15"/>
                <w:b w:val="1"/>
                <w:bCs w:val="1"/>
                <w:color w:val="auto"/>
              </w:rPr>
              <w:t>Nasdaq Global Select Market</w:t>
            </w:r>
          </w:p>
        </w:tc>
      </w:tr>
    </w:tbl>
    <w:p>
      <w:pPr>
        <w:jc w:val="center"/>
        <w:ind w:right="-19"/>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58420</wp:posOffset>
            </wp:positionV>
            <wp:extent cx="6883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119" w:lineRule="exact"/>
        <w:rPr>
          <w:sz w:val="24"/>
          <w:szCs w:val="24"/>
          <w:color w:val="auto"/>
        </w:rPr>
      </w:pPr>
    </w:p>
    <w:p>
      <w:pPr>
        <w:ind w:right="2180"/>
        <w:spacing w:after="0" w:line="277"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1" w:lineRule="exact"/>
        <w:rPr>
          <w:sz w:val="24"/>
          <w:szCs w:val="24"/>
          <w:color w:val="auto"/>
        </w:rPr>
      </w:pPr>
    </w:p>
    <w:p>
      <w:pPr>
        <w:jc w:val="both"/>
        <w:spacing w:after="0" w:line="19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32" w:lineRule="exact"/>
        <w:rPr>
          <w:sz w:val="24"/>
          <w:szCs w:val="24"/>
          <w:color w:val="auto"/>
        </w:rPr>
      </w:pPr>
    </w:p>
    <w:p>
      <w:pPr>
        <w:jc w:val="both"/>
        <w:spacing w:after="0" w:line="25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Arial" w:cs="Arial" w:eastAsia="Arial" w:hAnsi="Arial"/>
                <w:sz w:val="15"/>
                <w:szCs w:val="15"/>
                <w:color w:val="auto"/>
              </w:rPr>
              <w:t>Accelerated filer</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1920" w:type="dxa"/>
            <w:vAlign w:val="bottom"/>
          </w:tcPr>
          <w:p>
            <w:pPr>
              <w:spacing w:after="0"/>
              <w:rPr>
                <w:sz w:val="20"/>
                <w:szCs w:val="20"/>
                <w:color w:val="auto"/>
              </w:rPr>
            </w:pPr>
            <w:r>
              <w:rPr>
                <w:rFonts w:ascii="Arial" w:cs="Arial" w:eastAsia="Arial" w:hAnsi="Arial"/>
                <w:sz w:val="15"/>
                <w:szCs w:val="15"/>
                <w:color w:val="auto"/>
              </w:rPr>
              <w:t>Non-accelerated filer</w:t>
            </w:r>
          </w:p>
        </w:tc>
        <w:tc>
          <w:tcPr>
            <w:tcW w:w="32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Arial" w:cs="Arial" w:eastAsia="Arial" w:hAnsi="Arial"/>
                <w:sz w:val="15"/>
                <w:szCs w:val="15"/>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1"/>
        </w:trPr>
        <w:tc>
          <w:tcPr>
            <w:tcW w:w="1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940" w:type="dxa"/>
            <w:vAlign w:val="bottom"/>
          </w:tcPr>
          <w:p>
            <w:pPr>
              <w:ind w:left="2680"/>
              <w:spacing w:after="0"/>
              <w:rPr>
                <w:sz w:val="20"/>
                <w:szCs w:val="20"/>
                <w:color w:val="auto"/>
              </w:rPr>
            </w:pPr>
            <w:r>
              <w:rPr>
                <w:rFonts w:ascii="Arial" w:cs="Arial" w:eastAsia="Arial" w:hAnsi="Arial"/>
                <w:sz w:val="15"/>
                <w:szCs w:val="15"/>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20"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2" w:lineRule="exact"/>
        <w:rPr>
          <w:sz w:val="24"/>
          <w:szCs w:val="24"/>
          <w:color w:val="auto"/>
        </w:rPr>
      </w:pPr>
    </w:p>
    <w:p>
      <w:pPr>
        <w:jc w:val="both"/>
        <w:spacing w:after="0" w:line="19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96" w:lineRule="exact"/>
        <w:tabs>
          <w:tab w:leader="none" w:pos="8000" w:val="left"/>
        </w:tabs>
        <w:rPr>
          <w:sz w:val="20"/>
          <w:szCs w:val="20"/>
          <w:color w:val="auto"/>
        </w:rPr>
      </w:pPr>
      <w:r>
        <w:rPr>
          <w:rFonts w:ascii="Arial" w:cs="Arial" w:eastAsia="Arial" w:hAnsi="Arial"/>
          <w:sz w:val="15"/>
          <w:szCs w:val="15"/>
          <w:color w:val="auto"/>
        </w:rPr>
        <w:t xml:space="preserve">Indicate by check mark whether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jc w:val="both"/>
        <w:spacing w:after="0" w:line="249"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on June 30, 2020 (based on the closing sale price of $57.08 on that date) was approximately $2,458,658,098. Common stock held by each officer and director and by each person known to the registrant who owned 10% or more of the outstanding common stock have been excluded in that such persons may be deemed to be affiliates. This determination of affiliate status is not necessarily a conclusive determination for other purposes.</w:t>
      </w:r>
    </w:p>
    <w:p>
      <w:pPr>
        <w:spacing w:after="0" w:line="40" w:lineRule="exact"/>
        <w:rPr>
          <w:sz w:val="24"/>
          <w:szCs w:val="24"/>
          <w:color w:val="auto"/>
        </w:rPr>
      </w:pPr>
    </w:p>
    <w:p>
      <w:pPr>
        <w:jc w:val="right"/>
        <w:ind w:right="3840"/>
        <w:spacing w:after="0" w:line="356" w:lineRule="auto"/>
        <w:rPr>
          <w:sz w:val="20"/>
          <w:szCs w:val="20"/>
          <w:color w:val="auto"/>
        </w:rPr>
      </w:pPr>
      <w:r>
        <w:rPr>
          <w:rFonts w:ascii="Arial" w:cs="Arial" w:eastAsia="Arial" w:hAnsi="Arial"/>
          <w:sz w:val="15"/>
          <w:szCs w:val="15"/>
          <w:color w:val="auto"/>
        </w:rPr>
        <w:t xml:space="preserve">The number of shares of the registrant’s common stock outstanding as of February 10, 2021 was 48,381,440. </w:t>
      </w:r>
      <w:r>
        <w:rPr>
          <w:rFonts w:ascii="Arial" w:cs="Arial" w:eastAsia="Arial" w:hAnsi="Arial"/>
          <w:sz w:val="15"/>
          <w:szCs w:val="15"/>
          <w:b w:val="1"/>
          <w:bCs w:val="1"/>
          <w:color w:val="auto"/>
        </w:rPr>
        <w:t>DOCUMENTS INCORPORATED BY REFERENCE</w:t>
      </w:r>
    </w:p>
    <w:p>
      <w:pPr>
        <w:spacing w:after="0" w:line="1" w:lineRule="exact"/>
        <w:rPr>
          <w:sz w:val="24"/>
          <w:szCs w:val="24"/>
          <w:color w:val="auto"/>
        </w:rPr>
      </w:pPr>
    </w:p>
    <w:p>
      <w:pPr>
        <w:jc w:val="both"/>
        <w:spacing w:after="0" w:line="252" w:lineRule="auto"/>
        <w:rPr>
          <w:sz w:val="20"/>
          <w:szCs w:val="20"/>
          <w:color w:val="auto"/>
        </w:rPr>
      </w:pPr>
      <w:r>
        <w:rPr>
          <w:rFonts w:ascii="Arial" w:cs="Arial" w:eastAsia="Arial" w:hAnsi="Arial"/>
          <w:sz w:val="15"/>
          <w:szCs w:val="15"/>
          <w:color w:val="auto"/>
        </w:rPr>
        <w:t>Portions of the registrant's definitive Proxy Statement for the 2021 Annual Meeting of Stockholders currently scheduled to be held June 9, 2021 are incorporated by reference into Part III hereof. Such definitive Proxy Statement will be filed with the U.S. Securities and Exchange Commission no later than 120 days after the conclusion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4D5259"/>
        </w:rPr>
        <w:t>TABLE OF CONTENTS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880" w:type="dxa"/>
            <w:vAlign w:val="bottom"/>
            <w:tcBorders>
              <w:bottom w:val="single" w:sz="8" w:color="71BF43"/>
            </w:tcBorders>
            <w:gridSpan w:val="2"/>
          </w:tcPr>
          <w:p>
            <w:pPr>
              <w:ind w:left="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CAUTIONARY STATEMENT REGARDING FORWARD-LOOKING STATEMENTS</w:t>
              </w:r>
            </w:hyperlink>
          </w:p>
        </w:tc>
        <w:tc>
          <w:tcPr>
            <w:tcW w:w="2340" w:type="dxa"/>
            <w:vAlign w:val="bottom"/>
            <w:tcBorders>
              <w:bottom w:val="single" w:sz="8" w:color="71BF43"/>
            </w:tcBorders>
          </w:tcPr>
          <w:p>
            <w:pPr>
              <w:ind w:left="160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2</w:t>
              </w:r>
            </w:hyperlink>
          </w:p>
        </w:tc>
      </w:tr>
      <w:tr>
        <w:trPr>
          <w:trHeight w:val="466"/>
        </w:trPr>
        <w:tc>
          <w:tcPr>
            <w:tcW w:w="940" w:type="dxa"/>
            <w:vAlign w:val="bottom"/>
            <w:tcBorders>
              <w:bottom w:val="single" w:sz="8" w:color="71BF43"/>
            </w:tcBorders>
          </w:tcPr>
          <w:p>
            <w:pPr>
              <w:ind w:left="2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PART I.</w:t>
              </w:r>
            </w:hyperlink>
          </w:p>
        </w:tc>
        <w:tc>
          <w:tcPr>
            <w:tcW w:w="7940" w:type="dxa"/>
            <w:vAlign w:val="bottom"/>
            <w:tcBorders>
              <w:bottom w:val="single" w:sz="8" w:color="71BF43"/>
            </w:tcBorders>
          </w:tcPr>
          <w:p>
            <w:pPr>
              <w:spacing w:after="0"/>
              <w:rPr>
                <w:sz w:val="24"/>
                <w:szCs w:val="24"/>
                <w:color w:val="auto"/>
              </w:rPr>
            </w:pPr>
          </w:p>
        </w:tc>
        <w:tc>
          <w:tcPr>
            <w:tcW w:w="2340" w:type="dxa"/>
            <w:vAlign w:val="bottom"/>
            <w:tcBorders>
              <w:bottom w:val="single" w:sz="8" w:color="71BF43"/>
            </w:tcBorders>
          </w:tcPr>
          <w:p>
            <w:pPr>
              <w:ind w:left="160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3</w:t>
              </w:r>
            </w:hyperlink>
          </w:p>
        </w:tc>
      </w:tr>
      <w:tr>
        <w:trPr>
          <w:trHeight w:val="263"/>
        </w:trPr>
        <w:tc>
          <w:tcPr>
            <w:tcW w:w="94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794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2340" w:type="dxa"/>
            <w:vAlign w:val="bottom"/>
          </w:tcPr>
          <w:p>
            <w:pPr>
              <w:ind w:left="160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29"/>
        </w:trPr>
        <w:tc>
          <w:tcPr>
            <w:tcW w:w="940" w:type="dxa"/>
            <w:vAlign w:val="bottom"/>
          </w:tcPr>
          <w:p>
            <w:pPr>
              <w:ind w:left="140"/>
              <w:spacing w:after="0"/>
              <w:rPr>
                <w:rFonts w:ascii="Arial" w:cs="Arial" w:eastAsia="Arial" w:hAnsi="Arial"/>
                <w:sz w:val="18"/>
                <w:szCs w:val="18"/>
                <w:color w:val="auto"/>
              </w:rPr>
            </w:pPr>
            <w:hyperlink w:anchor="page18">
              <w:r>
                <w:rPr>
                  <w:rFonts w:ascii="Arial" w:cs="Arial" w:eastAsia="Arial" w:hAnsi="Arial"/>
                  <w:sz w:val="18"/>
                  <w:szCs w:val="18"/>
                  <w:color w:val="auto"/>
                </w:rPr>
                <w:t>Item 1A.</w:t>
              </w:r>
            </w:hyperlink>
          </w:p>
        </w:tc>
        <w:tc>
          <w:tcPr>
            <w:tcW w:w="7940" w:type="dxa"/>
            <w:vAlign w:val="bottom"/>
          </w:tcPr>
          <w:p>
            <w:pPr>
              <w:ind w:left="140"/>
              <w:spacing w:after="0"/>
              <w:rPr>
                <w:rFonts w:ascii="Arial" w:cs="Arial" w:eastAsia="Arial" w:hAnsi="Arial"/>
                <w:sz w:val="18"/>
                <w:szCs w:val="18"/>
                <w:color w:val="auto"/>
              </w:rPr>
            </w:pPr>
            <w:hyperlink w:anchor="page18">
              <w:r>
                <w:rPr>
                  <w:rFonts w:ascii="Arial" w:cs="Arial" w:eastAsia="Arial" w:hAnsi="Arial"/>
                  <w:sz w:val="18"/>
                  <w:szCs w:val="18"/>
                  <w:color w:val="auto"/>
                </w:rPr>
                <w:t>Risk factors</w:t>
              </w:r>
            </w:hyperlink>
          </w:p>
        </w:tc>
        <w:tc>
          <w:tcPr>
            <w:tcW w:w="2340" w:type="dxa"/>
            <w:vAlign w:val="bottom"/>
          </w:tcPr>
          <w:p>
            <w:pPr>
              <w:ind w:left="1600"/>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r>
      <w:tr>
        <w:trPr>
          <w:trHeight w:val="230"/>
        </w:trPr>
        <w:tc>
          <w:tcPr>
            <w:tcW w:w="9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Item 1B.</w:t>
              </w:r>
            </w:hyperlink>
          </w:p>
        </w:tc>
        <w:tc>
          <w:tcPr>
            <w:tcW w:w="79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Unresolved staff comments</w:t>
              </w:r>
            </w:hyperlink>
          </w:p>
        </w:tc>
        <w:tc>
          <w:tcPr>
            <w:tcW w:w="2340" w:type="dxa"/>
            <w:vAlign w:val="bottom"/>
          </w:tcPr>
          <w:p>
            <w:pPr>
              <w:ind w:left="1600"/>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229"/>
        </w:trPr>
        <w:tc>
          <w:tcPr>
            <w:tcW w:w="9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Item 2.</w:t>
              </w:r>
            </w:hyperlink>
          </w:p>
        </w:tc>
        <w:tc>
          <w:tcPr>
            <w:tcW w:w="79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Properties</w:t>
              </w:r>
            </w:hyperlink>
          </w:p>
        </w:tc>
        <w:tc>
          <w:tcPr>
            <w:tcW w:w="2340" w:type="dxa"/>
            <w:vAlign w:val="bottom"/>
          </w:tcPr>
          <w:p>
            <w:pPr>
              <w:ind w:left="1600"/>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230"/>
        </w:trPr>
        <w:tc>
          <w:tcPr>
            <w:tcW w:w="9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Item 3.</w:t>
              </w:r>
            </w:hyperlink>
          </w:p>
        </w:tc>
        <w:tc>
          <w:tcPr>
            <w:tcW w:w="79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Legal proceedings</w:t>
              </w:r>
            </w:hyperlink>
          </w:p>
        </w:tc>
        <w:tc>
          <w:tcPr>
            <w:tcW w:w="2340" w:type="dxa"/>
            <w:vAlign w:val="bottom"/>
          </w:tcPr>
          <w:p>
            <w:pPr>
              <w:ind w:left="1600"/>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r>
        <w:trPr>
          <w:trHeight w:val="229"/>
        </w:trPr>
        <w:tc>
          <w:tcPr>
            <w:tcW w:w="9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Item 4.</w:t>
              </w:r>
            </w:hyperlink>
          </w:p>
        </w:tc>
        <w:tc>
          <w:tcPr>
            <w:tcW w:w="79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Mine safety disclosures</w:t>
              </w:r>
            </w:hyperlink>
          </w:p>
        </w:tc>
        <w:tc>
          <w:tcPr>
            <w:tcW w:w="2340" w:type="dxa"/>
            <w:vAlign w:val="bottom"/>
          </w:tcPr>
          <w:p>
            <w:pPr>
              <w:ind w:left="1600"/>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0" w:type="dxa"/>
            <w:vAlign w:val="bottom"/>
            <w:tcBorders>
              <w:bottom w:val="single" w:sz="8" w:color="71BF43"/>
            </w:tcBorders>
          </w:tcPr>
          <w:p>
            <w:pPr>
              <w:ind w:left="20"/>
              <w:spacing w:after="0"/>
              <w:rPr>
                <w:rFonts w:ascii="Arial" w:cs="Arial" w:eastAsia="Arial" w:hAnsi="Arial"/>
                <w:sz w:val="20"/>
                <w:szCs w:val="20"/>
                <w:b w:val="1"/>
                <w:bCs w:val="1"/>
                <w:color w:val="71BF43"/>
              </w:rPr>
            </w:pPr>
            <w:hyperlink w:anchor="page30">
              <w:r>
                <w:rPr>
                  <w:rFonts w:ascii="Arial" w:cs="Arial" w:eastAsia="Arial" w:hAnsi="Arial"/>
                  <w:sz w:val="20"/>
                  <w:szCs w:val="20"/>
                  <w:b w:val="1"/>
                  <w:bCs w:val="1"/>
                  <w:color w:val="71BF43"/>
                </w:rPr>
                <w:t>PART II.</w:t>
              </w:r>
            </w:hyperlink>
          </w:p>
        </w:tc>
        <w:tc>
          <w:tcPr>
            <w:tcW w:w="9120" w:type="dxa"/>
            <w:vAlign w:val="bottom"/>
            <w:tcBorders>
              <w:bottom w:val="single" w:sz="8" w:color="71BF43"/>
            </w:tcBorders>
          </w:tcPr>
          <w:p>
            <w:pPr>
              <w:spacing w:after="0"/>
              <w:rPr>
                <w:sz w:val="22"/>
                <w:szCs w:val="22"/>
                <w:color w:val="auto"/>
              </w:rPr>
            </w:pPr>
          </w:p>
        </w:tc>
        <w:tc>
          <w:tcPr>
            <w:tcW w:w="1160" w:type="dxa"/>
            <w:vAlign w:val="bottom"/>
            <w:tcBorders>
              <w:bottom w:val="single" w:sz="8" w:color="71BF43"/>
            </w:tcBorders>
          </w:tcPr>
          <w:p>
            <w:pPr>
              <w:ind w:left="420"/>
              <w:spacing w:after="0"/>
              <w:rPr>
                <w:rFonts w:ascii="Arial" w:cs="Arial" w:eastAsia="Arial" w:hAnsi="Arial"/>
                <w:sz w:val="20"/>
                <w:szCs w:val="20"/>
                <w:b w:val="1"/>
                <w:bCs w:val="1"/>
                <w:color w:val="71BF43"/>
              </w:rPr>
            </w:pPr>
            <w:hyperlink w:anchor="page30">
              <w:r>
                <w:rPr>
                  <w:rFonts w:ascii="Arial" w:cs="Arial" w:eastAsia="Arial" w:hAnsi="Arial"/>
                  <w:sz w:val="20"/>
                  <w:szCs w:val="20"/>
                  <w:b w:val="1"/>
                  <w:bCs w:val="1"/>
                  <w:color w:val="71BF43"/>
                </w:rPr>
                <w:t>29</w:t>
              </w:r>
            </w:hyperlink>
          </w:p>
        </w:tc>
      </w:tr>
      <w:tr>
        <w:trPr>
          <w:trHeight w:val="223"/>
        </w:trPr>
        <w:tc>
          <w:tcPr>
            <w:tcW w:w="940" w:type="dxa"/>
            <w:vAlign w:val="bottom"/>
          </w:tcPr>
          <w:p>
            <w:pPr>
              <w:ind w:left="140"/>
              <w:spacing w:after="0"/>
              <w:rPr>
                <w:sz w:val="20"/>
                <w:szCs w:val="20"/>
                <w:color w:val="auto"/>
              </w:rPr>
            </w:pPr>
            <w:r>
              <w:rPr>
                <w:rFonts w:ascii="Arial" w:cs="Arial" w:eastAsia="Arial" w:hAnsi="Arial"/>
                <w:sz w:val="18"/>
                <w:szCs w:val="18"/>
                <w:color w:val="auto"/>
              </w:rPr>
              <w:t>Item 5.</w:t>
            </w:r>
          </w:p>
        </w:tc>
        <w:tc>
          <w:tcPr>
            <w:tcW w:w="9120" w:type="dxa"/>
            <w:vAlign w:val="bottom"/>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160" w:type="dxa"/>
            <w:vAlign w:val="bottom"/>
          </w:tcPr>
          <w:p>
            <w:pPr>
              <w:ind w:left="420"/>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r>
      <w:tr>
        <w:trPr>
          <w:trHeight w:val="229"/>
        </w:trPr>
        <w:tc>
          <w:tcPr>
            <w:tcW w:w="940" w:type="dxa"/>
            <w:vAlign w:val="bottom"/>
          </w:tcPr>
          <w:p>
            <w:pPr>
              <w:ind w:left="140"/>
              <w:spacing w:after="0"/>
              <w:rPr>
                <w:rFonts w:ascii="Arial" w:cs="Arial" w:eastAsia="Arial" w:hAnsi="Arial"/>
                <w:sz w:val="18"/>
                <w:szCs w:val="18"/>
                <w:color w:val="auto"/>
              </w:rPr>
            </w:pPr>
            <w:hyperlink w:anchor="page32">
              <w:r>
                <w:rPr>
                  <w:rFonts w:ascii="Arial" w:cs="Arial" w:eastAsia="Arial" w:hAnsi="Arial"/>
                  <w:sz w:val="18"/>
                  <w:szCs w:val="18"/>
                  <w:color w:val="auto"/>
                </w:rPr>
                <w:t>Item 6.</w:t>
              </w:r>
            </w:hyperlink>
          </w:p>
        </w:tc>
        <w:tc>
          <w:tcPr>
            <w:tcW w:w="9120" w:type="dxa"/>
            <w:vAlign w:val="bottom"/>
          </w:tcPr>
          <w:p>
            <w:pPr>
              <w:ind w:left="140"/>
              <w:spacing w:after="0"/>
              <w:rPr>
                <w:rFonts w:ascii="Arial" w:cs="Arial" w:eastAsia="Arial" w:hAnsi="Arial"/>
                <w:sz w:val="18"/>
                <w:szCs w:val="18"/>
                <w:color w:val="auto"/>
              </w:rPr>
            </w:pPr>
            <w:hyperlink w:anchor="page32">
              <w:r>
                <w:rPr>
                  <w:rFonts w:ascii="Arial" w:cs="Arial" w:eastAsia="Arial" w:hAnsi="Arial"/>
                  <w:sz w:val="18"/>
                  <w:szCs w:val="18"/>
                  <w:color w:val="auto"/>
                </w:rPr>
                <w:t>Selected financial data</w:t>
              </w:r>
            </w:hyperlink>
          </w:p>
        </w:tc>
        <w:tc>
          <w:tcPr>
            <w:tcW w:w="1160" w:type="dxa"/>
            <w:vAlign w:val="bottom"/>
          </w:tcPr>
          <w:p>
            <w:pPr>
              <w:ind w:left="420"/>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230"/>
        </w:trPr>
        <w:tc>
          <w:tcPr>
            <w:tcW w:w="94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Item 7.</w:t>
              </w:r>
            </w:hyperlink>
          </w:p>
        </w:tc>
        <w:tc>
          <w:tcPr>
            <w:tcW w:w="912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Management's discussion and analysis of financial condition and results of operations</w:t>
              </w:r>
            </w:hyperlink>
          </w:p>
        </w:tc>
        <w:tc>
          <w:tcPr>
            <w:tcW w:w="1160" w:type="dxa"/>
            <w:vAlign w:val="bottom"/>
          </w:tcPr>
          <w:p>
            <w:pPr>
              <w:ind w:left="420"/>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229"/>
        </w:trPr>
        <w:tc>
          <w:tcPr>
            <w:tcW w:w="94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Item 7A.</w:t>
              </w:r>
            </w:hyperlink>
          </w:p>
        </w:tc>
        <w:tc>
          <w:tcPr>
            <w:tcW w:w="912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Quantitative and qualitative disclosures about market risk</w:t>
              </w:r>
            </w:hyperlink>
          </w:p>
        </w:tc>
        <w:tc>
          <w:tcPr>
            <w:tcW w:w="1160" w:type="dxa"/>
            <w:vAlign w:val="bottom"/>
          </w:tcPr>
          <w:p>
            <w:pPr>
              <w:ind w:left="420"/>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30"/>
        </w:trPr>
        <w:tc>
          <w:tcPr>
            <w:tcW w:w="940" w:type="dxa"/>
            <w:vAlign w:val="bottom"/>
          </w:tcPr>
          <w:p>
            <w:pPr>
              <w:ind w:left="140"/>
              <w:spacing w:after="0"/>
              <w:rPr>
                <w:rFonts w:ascii="Arial" w:cs="Arial" w:eastAsia="Arial" w:hAnsi="Arial"/>
                <w:sz w:val="18"/>
                <w:szCs w:val="18"/>
                <w:color w:val="auto"/>
              </w:rPr>
            </w:pPr>
            <w:hyperlink w:anchor="page63">
              <w:r>
                <w:rPr>
                  <w:rFonts w:ascii="Arial" w:cs="Arial" w:eastAsia="Arial" w:hAnsi="Arial"/>
                  <w:sz w:val="18"/>
                  <w:szCs w:val="18"/>
                  <w:color w:val="auto"/>
                </w:rPr>
                <w:t>Item 8.</w:t>
              </w:r>
            </w:hyperlink>
          </w:p>
        </w:tc>
        <w:tc>
          <w:tcPr>
            <w:tcW w:w="9120" w:type="dxa"/>
            <w:vAlign w:val="bottom"/>
          </w:tcPr>
          <w:p>
            <w:pPr>
              <w:ind w:left="140"/>
              <w:spacing w:after="0"/>
              <w:rPr>
                <w:rFonts w:ascii="Arial" w:cs="Arial" w:eastAsia="Arial" w:hAnsi="Arial"/>
                <w:sz w:val="18"/>
                <w:szCs w:val="18"/>
                <w:color w:val="auto"/>
              </w:rPr>
            </w:pPr>
            <w:hyperlink w:anchor="page63">
              <w:r>
                <w:rPr>
                  <w:rFonts w:ascii="Arial" w:cs="Arial" w:eastAsia="Arial" w:hAnsi="Arial"/>
                  <w:sz w:val="18"/>
                  <w:szCs w:val="18"/>
                  <w:color w:val="auto"/>
                </w:rPr>
                <w:t>Financial statements and supplementary data</w:t>
              </w:r>
            </w:hyperlink>
          </w:p>
        </w:tc>
        <w:tc>
          <w:tcPr>
            <w:tcW w:w="1160" w:type="dxa"/>
            <w:vAlign w:val="bottom"/>
          </w:tcPr>
          <w:p>
            <w:pPr>
              <w:ind w:left="420"/>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r>
      <w:tr>
        <w:trPr>
          <w:trHeight w:val="229"/>
        </w:trPr>
        <w:tc>
          <w:tcPr>
            <w:tcW w:w="940" w:type="dxa"/>
            <w:vAlign w:val="bottom"/>
          </w:tcPr>
          <w:p>
            <w:pPr>
              <w:ind w:left="140"/>
              <w:spacing w:after="0"/>
              <w:rPr>
                <w:rFonts w:ascii="Arial" w:cs="Arial" w:eastAsia="Arial" w:hAnsi="Arial"/>
                <w:sz w:val="18"/>
                <w:szCs w:val="18"/>
                <w:color w:val="auto"/>
              </w:rPr>
            </w:pPr>
            <w:hyperlink w:anchor="page107">
              <w:r>
                <w:rPr>
                  <w:rFonts w:ascii="Arial" w:cs="Arial" w:eastAsia="Arial" w:hAnsi="Arial"/>
                  <w:sz w:val="18"/>
                  <w:szCs w:val="18"/>
                  <w:color w:val="auto"/>
                </w:rPr>
                <w:t>Item 9.</w:t>
              </w:r>
            </w:hyperlink>
          </w:p>
        </w:tc>
        <w:tc>
          <w:tcPr>
            <w:tcW w:w="9120" w:type="dxa"/>
            <w:vAlign w:val="bottom"/>
          </w:tcPr>
          <w:p>
            <w:pPr>
              <w:ind w:left="140"/>
              <w:spacing w:after="0"/>
              <w:rPr>
                <w:rFonts w:ascii="Arial" w:cs="Arial" w:eastAsia="Arial" w:hAnsi="Arial"/>
                <w:sz w:val="18"/>
                <w:szCs w:val="18"/>
                <w:color w:val="auto"/>
              </w:rPr>
            </w:pPr>
            <w:hyperlink w:anchor="page107">
              <w:r>
                <w:rPr>
                  <w:rFonts w:ascii="Arial" w:cs="Arial" w:eastAsia="Arial" w:hAnsi="Arial"/>
                  <w:sz w:val="18"/>
                  <w:szCs w:val="18"/>
                  <w:color w:val="auto"/>
                </w:rPr>
                <w:t>Changes in and disagreements with accountants on accounting and financial disclosure</w:t>
              </w:r>
            </w:hyperlink>
          </w:p>
        </w:tc>
        <w:tc>
          <w:tcPr>
            <w:tcW w:w="1160" w:type="dxa"/>
            <w:vAlign w:val="bottom"/>
          </w:tcPr>
          <w:p>
            <w:pPr>
              <w:ind w:left="420"/>
              <w:spacing w:after="0"/>
              <w:rPr>
                <w:rFonts w:ascii="Arial" w:cs="Arial" w:eastAsia="Arial" w:hAnsi="Arial"/>
                <w:sz w:val="18"/>
                <w:szCs w:val="18"/>
                <w:color w:val="auto"/>
              </w:rPr>
            </w:pPr>
            <w:hyperlink w:anchor="page107">
              <w:r>
                <w:rPr>
                  <w:rFonts w:ascii="Arial" w:cs="Arial" w:eastAsia="Arial" w:hAnsi="Arial"/>
                  <w:sz w:val="18"/>
                  <w:szCs w:val="18"/>
                  <w:color w:val="auto"/>
                </w:rPr>
                <w:t>105</w:t>
              </w:r>
            </w:hyperlink>
          </w:p>
        </w:tc>
      </w:tr>
      <w:tr>
        <w:trPr>
          <w:trHeight w:val="229"/>
        </w:trPr>
        <w:tc>
          <w:tcPr>
            <w:tcW w:w="940" w:type="dxa"/>
            <w:vAlign w:val="bottom"/>
          </w:tcPr>
          <w:p>
            <w:pPr>
              <w:ind w:left="140"/>
              <w:spacing w:after="0"/>
              <w:rPr>
                <w:rFonts w:ascii="Arial" w:cs="Arial" w:eastAsia="Arial" w:hAnsi="Arial"/>
                <w:sz w:val="18"/>
                <w:szCs w:val="18"/>
                <w:color w:val="auto"/>
              </w:rPr>
            </w:pPr>
            <w:hyperlink w:anchor="page108">
              <w:r>
                <w:rPr>
                  <w:rFonts w:ascii="Arial" w:cs="Arial" w:eastAsia="Arial" w:hAnsi="Arial"/>
                  <w:sz w:val="18"/>
                  <w:szCs w:val="18"/>
                  <w:color w:val="auto"/>
                </w:rPr>
                <w:t>Item 9A.</w:t>
              </w:r>
            </w:hyperlink>
          </w:p>
        </w:tc>
        <w:tc>
          <w:tcPr>
            <w:tcW w:w="9120" w:type="dxa"/>
            <w:vAlign w:val="bottom"/>
          </w:tcPr>
          <w:p>
            <w:pPr>
              <w:ind w:left="140"/>
              <w:spacing w:after="0"/>
              <w:rPr>
                <w:rFonts w:ascii="Arial" w:cs="Arial" w:eastAsia="Arial" w:hAnsi="Arial"/>
                <w:sz w:val="18"/>
                <w:szCs w:val="18"/>
                <w:color w:val="auto"/>
              </w:rPr>
            </w:pPr>
            <w:hyperlink w:anchor="page108">
              <w:r>
                <w:rPr>
                  <w:rFonts w:ascii="Arial" w:cs="Arial" w:eastAsia="Arial" w:hAnsi="Arial"/>
                  <w:sz w:val="18"/>
                  <w:szCs w:val="18"/>
                  <w:color w:val="auto"/>
                </w:rPr>
                <w:t>Controls and procedures</w:t>
              </w:r>
            </w:hyperlink>
          </w:p>
        </w:tc>
        <w:tc>
          <w:tcPr>
            <w:tcW w:w="1160" w:type="dxa"/>
            <w:vAlign w:val="bottom"/>
          </w:tcPr>
          <w:p>
            <w:pPr>
              <w:ind w:left="420"/>
              <w:spacing w:after="0"/>
              <w:rPr>
                <w:rFonts w:ascii="Arial" w:cs="Arial" w:eastAsia="Arial" w:hAnsi="Arial"/>
                <w:sz w:val="18"/>
                <w:szCs w:val="18"/>
                <w:color w:val="auto"/>
              </w:rPr>
            </w:pPr>
            <w:hyperlink w:anchor="page108">
              <w:r>
                <w:rPr>
                  <w:rFonts w:ascii="Arial" w:cs="Arial" w:eastAsia="Arial" w:hAnsi="Arial"/>
                  <w:sz w:val="18"/>
                  <w:szCs w:val="18"/>
                  <w:color w:val="auto"/>
                </w:rPr>
                <w:t>106</w:t>
              </w:r>
            </w:hyperlink>
          </w:p>
        </w:tc>
      </w:tr>
      <w:tr>
        <w:trPr>
          <w:trHeight w:val="230"/>
        </w:trPr>
        <w:tc>
          <w:tcPr>
            <w:tcW w:w="940" w:type="dxa"/>
            <w:vAlign w:val="bottom"/>
          </w:tcPr>
          <w:p>
            <w:pPr>
              <w:ind w:left="140"/>
              <w:spacing w:after="0"/>
              <w:rPr>
                <w:rFonts w:ascii="Arial" w:cs="Arial" w:eastAsia="Arial" w:hAnsi="Arial"/>
                <w:sz w:val="18"/>
                <w:szCs w:val="18"/>
                <w:color w:val="auto"/>
              </w:rPr>
            </w:pPr>
            <w:hyperlink w:anchor="page108">
              <w:r>
                <w:rPr>
                  <w:rFonts w:ascii="Arial" w:cs="Arial" w:eastAsia="Arial" w:hAnsi="Arial"/>
                  <w:sz w:val="18"/>
                  <w:szCs w:val="18"/>
                  <w:color w:val="auto"/>
                </w:rPr>
                <w:t>Item 9B.</w:t>
              </w:r>
            </w:hyperlink>
          </w:p>
        </w:tc>
        <w:tc>
          <w:tcPr>
            <w:tcW w:w="9120" w:type="dxa"/>
            <w:vAlign w:val="bottom"/>
          </w:tcPr>
          <w:p>
            <w:pPr>
              <w:ind w:left="140"/>
              <w:spacing w:after="0"/>
              <w:rPr>
                <w:rFonts w:ascii="Arial" w:cs="Arial" w:eastAsia="Arial" w:hAnsi="Arial"/>
                <w:sz w:val="18"/>
                <w:szCs w:val="18"/>
                <w:color w:val="auto"/>
              </w:rPr>
            </w:pPr>
            <w:hyperlink w:anchor="page108">
              <w:r>
                <w:rPr>
                  <w:rFonts w:ascii="Arial" w:cs="Arial" w:eastAsia="Arial" w:hAnsi="Arial"/>
                  <w:sz w:val="18"/>
                  <w:szCs w:val="18"/>
                  <w:color w:val="auto"/>
                </w:rPr>
                <w:t>Other information</w:t>
              </w:r>
            </w:hyperlink>
          </w:p>
        </w:tc>
        <w:tc>
          <w:tcPr>
            <w:tcW w:w="1160" w:type="dxa"/>
            <w:vAlign w:val="bottom"/>
          </w:tcPr>
          <w:p>
            <w:pPr>
              <w:ind w:left="420"/>
              <w:spacing w:after="0"/>
              <w:rPr>
                <w:rFonts w:ascii="Arial" w:cs="Arial" w:eastAsia="Arial" w:hAnsi="Arial"/>
                <w:sz w:val="18"/>
                <w:szCs w:val="18"/>
                <w:color w:val="auto"/>
              </w:rPr>
            </w:pPr>
            <w:hyperlink w:anchor="page108">
              <w:r>
                <w:rPr>
                  <w:rFonts w:ascii="Arial" w:cs="Arial" w:eastAsia="Arial" w:hAnsi="Arial"/>
                  <w:sz w:val="18"/>
                  <w:szCs w:val="18"/>
                  <w:color w:val="auto"/>
                </w:rPr>
                <w:t>106</w:t>
              </w:r>
            </w:hyperlink>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60" w:type="dxa"/>
            <w:vAlign w:val="bottom"/>
            <w:tcBorders>
              <w:bottom w:val="single" w:sz="8" w:color="71BF43"/>
            </w:tcBorders>
            <w:gridSpan w:val="2"/>
          </w:tcPr>
          <w:p>
            <w:pPr>
              <w:ind w:left="20"/>
              <w:spacing w:after="0"/>
              <w:rPr>
                <w:rFonts w:ascii="Arial" w:cs="Arial" w:eastAsia="Arial" w:hAnsi="Arial"/>
                <w:sz w:val="20"/>
                <w:szCs w:val="20"/>
                <w:b w:val="1"/>
                <w:bCs w:val="1"/>
                <w:color w:val="71BF43"/>
              </w:rPr>
            </w:pPr>
            <w:hyperlink w:anchor="page108">
              <w:r>
                <w:rPr>
                  <w:rFonts w:ascii="Arial" w:cs="Arial" w:eastAsia="Arial" w:hAnsi="Arial"/>
                  <w:sz w:val="20"/>
                  <w:szCs w:val="20"/>
                  <w:b w:val="1"/>
                  <w:bCs w:val="1"/>
                  <w:color w:val="71BF43"/>
                </w:rPr>
                <w:t>PART III.</w:t>
              </w:r>
            </w:hyperlink>
          </w:p>
        </w:tc>
        <w:tc>
          <w:tcPr>
            <w:tcW w:w="1560" w:type="dxa"/>
            <w:vAlign w:val="bottom"/>
            <w:tcBorders>
              <w:bottom w:val="single" w:sz="8" w:color="71BF43"/>
            </w:tcBorders>
          </w:tcPr>
          <w:p>
            <w:pPr>
              <w:ind w:left="820"/>
              <w:spacing w:after="0"/>
              <w:rPr>
                <w:rFonts w:ascii="Arial" w:cs="Arial" w:eastAsia="Arial" w:hAnsi="Arial"/>
                <w:sz w:val="20"/>
                <w:szCs w:val="20"/>
                <w:b w:val="1"/>
                <w:bCs w:val="1"/>
                <w:color w:val="71BF43"/>
              </w:rPr>
            </w:pPr>
            <w:hyperlink w:anchor="page108">
              <w:r>
                <w:rPr>
                  <w:rFonts w:ascii="Arial" w:cs="Arial" w:eastAsia="Arial" w:hAnsi="Arial"/>
                  <w:sz w:val="20"/>
                  <w:szCs w:val="20"/>
                  <w:b w:val="1"/>
                  <w:bCs w:val="1"/>
                  <w:color w:val="71BF43"/>
                </w:rPr>
                <w:t>107</w:t>
              </w:r>
            </w:hyperlink>
          </w:p>
        </w:tc>
      </w:tr>
      <w:tr>
        <w:trPr>
          <w:trHeight w:val="264"/>
        </w:trPr>
        <w:tc>
          <w:tcPr>
            <w:tcW w:w="9660" w:type="dxa"/>
            <w:vAlign w:val="bottom"/>
            <w:gridSpan w:val="2"/>
          </w:tcPr>
          <w:p>
            <w:pPr>
              <w:ind w:left="140"/>
              <w:spacing w:after="0"/>
              <w:rPr>
                <w:rFonts w:ascii="Arial" w:cs="Arial" w:eastAsia="Arial" w:hAnsi="Arial"/>
                <w:sz w:val="18"/>
                <w:szCs w:val="18"/>
                <w:color w:val="auto"/>
              </w:rPr>
            </w:pPr>
            <w:hyperlink w:anchor="page18">
              <w:r>
                <w:rPr>
                  <w:rFonts w:ascii="Arial" w:cs="Arial" w:eastAsia="Arial" w:hAnsi="Arial"/>
                  <w:sz w:val="18"/>
                  <w:szCs w:val="18"/>
                  <w:color w:val="auto"/>
                </w:rPr>
                <w:t>Item 10.   Directors, executive officers and corporate governance</w:t>
              </w:r>
            </w:hyperlink>
          </w:p>
        </w:tc>
        <w:tc>
          <w:tcPr>
            <w:tcW w:w="1560" w:type="dxa"/>
            <w:vAlign w:val="bottom"/>
          </w:tcPr>
          <w:p>
            <w:pPr>
              <w:ind w:left="820"/>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230"/>
        </w:trPr>
        <w:tc>
          <w:tcPr>
            <w:tcW w:w="94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Item 11.</w:t>
              </w:r>
            </w:hyperlink>
          </w:p>
        </w:tc>
        <w:tc>
          <w:tcPr>
            <w:tcW w:w="872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Executive compensation</w:t>
              </w:r>
            </w:hyperlink>
          </w:p>
        </w:tc>
        <w:tc>
          <w:tcPr>
            <w:tcW w:w="1560" w:type="dxa"/>
            <w:vAlign w:val="bottom"/>
          </w:tcPr>
          <w:p>
            <w:pPr>
              <w:ind w:left="820"/>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229"/>
        </w:trPr>
        <w:tc>
          <w:tcPr>
            <w:tcW w:w="940" w:type="dxa"/>
            <w:vAlign w:val="bottom"/>
          </w:tcPr>
          <w:p>
            <w:pPr>
              <w:ind w:left="140"/>
              <w:spacing w:after="0"/>
              <w:rPr>
                <w:sz w:val="20"/>
                <w:szCs w:val="20"/>
                <w:color w:val="auto"/>
              </w:rPr>
            </w:pPr>
            <w:r>
              <w:rPr>
                <w:rFonts w:ascii="Arial" w:cs="Arial" w:eastAsia="Arial" w:hAnsi="Arial"/>
                <w:sz w:val="18"/>
                <w:szCs w:val="18"/>
                <w:color w:val="auto"/>
              </w:rPr>
              <w:t>Item 12.</w:t>
            </w:r>
          </w:p>
        </w:tc>
        <w:tc>
          <w:tcPr>
            <w:tcW w:w="872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560" w:type="dxa"/>
            <w:vAlign w:val="bottom"/>
          </w:tcPr>
          <w:p>
            <w:pPr>
              <w:ind w:left="820"/>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230"/>
        </w:trPr>
        <w:tc>
          <w:tcPr>
            <w:tcW w:w="940" w:type="dxa"/>
            <w:vAlign w:val="bottom"/>
          </w:tcPr>
          <w:p>
            <w:pPr>
              <w:ind w:left="140"/>
              <w:spacing w:after="0"/>
              <w:rPr>
                <w:sz w:val="20"/>
                <w:szCs w:val="20"/>
                <w:color w:val="auto"/>
              </w:rPr>
            </w:pPr>
            <w:r>
              <w:rPr>
                <w:rFonts w:ascii="Arial" w:cs="Arial" w:eastAsia="Arial" w:hAnsi="Arial"/>
                <w:sz w:val="18"/>
                <w:szCs w:val="18"/>
                <w:color w:val="auto"/>
              </w:rPr>
              <w:t>Item 13.</w:t>
            </w:r>
          </w:p>
        </w:tc>
        <w:tc>
          <w:tcPr>
            <w:tcW w:w="872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560" w:type="dxa"/>
            <w:vAlign w:val="bottom"/>
          </w:tcPr>
          <w:p>
            <w:pPr>
              <w:ind w:left="820"/>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r>
        <w:trPr>
          <w:trHeight w:val="230"/>
        </w:trPr>
        <w:tc>
          <w:tcPr>
            <w:tcW w:w="940" w:type="dxa"/>
            <w:vAlign w:val="bottom"/>
          </w:tcPr>
          <w:p>
            <w:pPr>
              <w:ind w:left="140"/>
              <w:spacing w:after="0"/>
              <w:rPr>
                <w:sz w:val="20"/>
                <w:szCs w:val="20"/>
                <w:color w:val="auto"/>
              </w:rPr>
            </w:pPr>
            <w:r>
              <w:rPr>
                <w:rFonts w:ascii="Arial" w:cs="Arial" w:eastAsia="Arial" w:hAnsi="Arial"/>
                <w:sz w:val="18"/>
                <w:szCs w:val="18"/>
                <w:color w:val="auto"/>
              </w:rPr>
              <w:t>Item 14.</w:t>
            </w:r>
          </w:p>
        </w:tc>
        <w:tc>
          <w:tcPr>
            <w:tcW w:w="872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1560" w:type="dxa"/>
            <w:vAlign w:val="bottom"/>
          </w:tcPr>
          <w:p>
            <w:pPr>
              <w:ind w:left="820"/>
              <w:spacing w:after="0"/>
              <w:rPr>
                <w:rFonts w:ascii="Arial" w:cs="Arial" w:eastAsia="Arial" w:hAnsi="Arial"/>
                <w:sz w:val="18"/>
                <w:szCs w:val="18"/>
                <w:color w:val="auto"/>
              </w:rPr>
            </w:pPr>
            <w:hyperlink w:anchor="page109">
              <w:r>
                <w:rPr>
                  <w:rFonts w:ascii="Arial" w:cs="Arial" w:eastAsia="Arial" w:hAnsi="Arial"/>
                  <w:sz w:val="18"/>
                  <w:szCs w:val="18"/>
                  <w:color w:val="auto"/>
                </w:rPr>
                <w:t>107</w:t>
              </w:r>
            </w:hyperlink>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0" w:type="dxa"/>
            <w:vAlign w:val="bottom"/>
            <w:tcBorders>
              <w:bottom w:val="single" w:sz="8" w:color="71BF43"/>
            </w:tcBorders>
          </w:tcPr>
          <w:p>
            <w:pPr>
              <w:ind w:left="20"/>
              <w:spacing w:after="0"/>
              <w:rPr>
                <w:rFonts w:ascii="Arial" w:cs="Arial" w:eastAsia="Arial" w:hAnsi="Arial"/>
                <w:sz w:val="20"/>
                <w:szCs w:val="20"/>
                <w:b w:val="1"/>
                <w:bCs w:val="1"/>
                <w:color w:val="71BF43"/>
              </w:rPr>
            </w:pPr>
            <w:hyperlink w:anchor="page108">
              <w:r>
                <w:rPr>
                  <w:rFonts w:ascii="Arial" w:cs="Arial" w:eastAsia="Arial" w:hAnsi="Arial"/>
                  <w:sz w:val="20"/>
                  <w:szCs w:val="20"/>
                  <w:b w:val="1"/>
                  <w:bCs w:val="1"/>
                  <w:color w:val="71BF43"/>
                </w:rPr>
                <w:t>PART IV.</w:t>
              </w:r>
            </w:hyperlink>
          </w:p>
        </w:tc>
        <w:tc>
          <w:tcPr>
            <w:tcW w:w="9020" w:type="dxa"/>
            <w:vAlign w:val="bottom"/>
            <w:tcBorders>
              <w:bottom w:val="single" w:sz="8" w:color="71BF43"/>
            </w:tcBorders>
          </w:tcPr>
          <w:p>
            <w:pPr>
              <w:spacing w:after="0"/>
              <w:rPr>
                <w:sz w:val="22"/>
                <w:szCs w:val="22"/>
                <w:color w:val="auto"/>
              </w:rPr>
            </w:pPr>
          </w:p>
        </w:tc>
        <w:tc>
          <w:tcPr>
            <w:tcW w:w="1240" w:type="dxa"/>
            <w:vAlign w:val="bottom"/>
            <w:tcBorders>
              <w:bottom w:val="single" w:sz="8" w:color="71BF43"/>
            </w:tcBorders>
          </w:tcPr>
          <w:p>
            <w:pPr>
              <w:ind w:left="500"/>
              <w:spacing w:after="0"/>
              <w:rPr>
                <w:rFonts w:ascii="Arial" w:cs="Arial" w:eastAsia="Arial" w:hAnsi="Arial"/>
                <w:sz w:val="20"/>
                <w:szCs w:val="20"/>
                <w:b w:val="1"/>
                <w:bCs w:val="1"/>
                <w:color w:val="71BF43"/>
              </w:rPr>
            </w:pPr>
            <w:hyperlink w:anchor="page109">
              <w:r>
                <w:rPr>
                  <w:rFonts w:ascii="Arial" w:cs="Arial" w:eastAsia="Arial" w:hAnsi="Arial"/>
                  <w:sz w:val="20"/>
                  <w:szCs w:val="20"/>
                  <w:b w:val="1"/>
                  <w:bCs w:val="1"/>
                  <w:color w:val="71BF43"/>
                </w:rPr>
                <w:t>108</w:t>
              </w:r>
            </w:hyperlink>
          </w:p>
        </w:tc>
        <w:tc>
          <w:tcPr>
            <w:tcW w:w="20" w:type="dxa"/>
            <w:vAlign w:val="bottom"/>
          </w:tcPr>
          <w:p>
            <w:pPr>
              <w:spacing w:after="0"/>
              <w:rPr>
                <w:sz w:val="22"/>
                <w:szCs w:val="22"/>
                <w:color w:val="auto"/>
              </w:rPr>
            </w:pPr>
          </w:p>
        </w:tc>
      </w:tr>
      <w:tr>
        <w:trPr>
          <w:trHeight w:val="223"/>
        </w:trPr>
        <w:tc>
          <w:tcPr>
            <w:tcW w:w="960" w:type="dxa"/>
            <w:vAlign w:val="bottom"/>
          </w:tcPr>
          <w:p>
            <w:pPr>
              <w:ind w:left="140"/>
              <w:spacing w:after="0"/>
              <w:rPr>
                <w:rFonts w:ascii="Arial" w:cs="Arial" w:eastAsia="Arial" w:hAnsi="Arial"/>
                <w:sz w:val="18"/>
                <w:szCs w:val="18"/>
                <w:color w:val="auto"/>
              </w:rPr>
            </w:pPr>
            <w:hyperlink w:anchor="page110">
              <w:r>
                <w:rPr>
                  <w:rFonts w:ascii="Arial" w:cs="Arial" w:eastAsia="Arial" w:hAnsi="Arial"/>
                  <w:sz w:val="18"/>
                  <w:szCs w:val="18"/>
                  <w:color w:val="auto"/>
                </w:rPr>
                <w:t>Item 15.</w:t>
              </w:r>
            </w:hyperlink>
          </w:p>
        </w:tc>
        <w:tc>
          <w:tcPr>
            <w:tcW w:w="9020" w:type="dxa"/>
            <w:vAlign w:val="bottom"/>
          </w:tcPr>
          <w:p>
            <w:pPr>
              <w:ind w:left="120"/>
              <w:spacing w:after="0"/>
              <w:rPr>
                <w:rFonts w:ascii="Arial" w:cs="Arial" w:eastAsia="Arial" w:hAnsi="Arial"/>
                <w:sz w:val="18"/>
                <w:szCs w:val="18"/>
                <w:color w:val="auto"/>
              </w:rPr>
            </w:pPr>
            <w:hyperlink w:anchor="page110">
              <w:r>
                <w:rPr>
                  <w:rFonts w:ascii="Arial" w:cs="Arial" w:eastAsia="Arial" w:hAnsi="Arial"/>
                  <w:sz w:val="18"/>
                  <w:szCs w:val="18"/>
                  <w:color w:val="auto"/>
                </w:rPr>
                <w:t>Exhibits and financial statement schedules</w:t>
              </w:r>
            </w:hyperlink>
          </w:p>
        </w:tc>
        <w:tc>
          <w:tcPr>
            <w:tcW w:w="1240" w:type="dxa"/>
            <w:vAlign w:val="bottom"/>
          </w:tcPr>
          <w:p>
            <w:pPr>
              <w:ind w:left="500"/>
              <w:spacing w:after="0"/>
              <w:rPr>
                <w:rFonts w:ascii="Arial" w:cs="Arial" w:eastAsia="Arial" w:hAnsi="Arial"/>
                <w:sz w:val="18"/>
                <w:szCs w:val="18"/>
                <w:color w:val="auto"/>
              </w:rPr>
            </w:pPr>
            <w:hyperlink w:anchor="page110">
              <w:r>
                <w:rPr>
                  <w:rFonts w:ascii="Arial" w:cs="Arial" w:eastAsia="Arial" w:hAnsi="Arial"/>
                  <w:sz w:val="18"/>
                  <w:szCs w:val="18"/>
                  <w:color w:val="auto"/>
                </w:rPr>
                <w:t>108</w:t>
              </w:r>
            </w:hyperlink>
          </w:p>
        </w:tc>
        <w:tc>
          <w:tcPr>
            <w:tcW w:w="20" w:type="dxa"/>
            <w:vAlign w:val="bottom"/>
          </w:tcPr>
          <w:p>
            <w:pPr>
              <w:spacing w:after="0"/>
              <w:rPr>
                <w:sz w:val="19"/>
                <w:szCs w:val="19"/>
                <w:color w:val="auto"/>
              </w:rPr>
            </w:pPr>
          </w:p>
        </w:tc>
      </w:tr>
      <w:tr>
        <w:trPr>
          <w:trHeight w:val="230"/>
        </w:trPr>
        <w:tc>
          <w:tcPr>
            <w:tcW w:w="960" w:type="dxa"/>
            <w:vAlign w:val="bottom"/>
          </w:tcPr>
          <w:p>
            <w:pPr>
              <w:ind w:left="140"/>
              <w:spacing w:after="0"/>
              <w:rPr>
                <w:rFonts w:ascii="Arial" w:cs="Arial" w:eastAsia="Arial" w:hAnsi="Arial"/>
                <w:sz w:val="18"/>
                <w:szCs w:val="18"/>
                <w:color w:val="auto"/>
              </w:rPr>
            </w:pPr>
            <w:hyperlink w:anchor="page114">
              <w:r>
                <w:rPr>
                  <w:rFonts w:ascii="Arial" w:cs="Arial" w:eastAsia="Arial" w:hAnsi="Arial"/>
                  <w:sz w:val="18"/>
                  <w:szCs w:val="18"/>
                  <w:color w:val="auto"/>
                </w:rPr>
                <w:t>Item 16.</w:t>
              </w:r>
            </w:hyperlink>
          </w:p>
        </w:tc>
        <w:tc>
          <w:tcPr>
            <w:tcW w:w="9020" w:type="dxa"/>
            <w:vAlign w:val="bottom"/>
          </w:tcPr>
          <w:p>
            <w:pPr>
              <w:ind w:left="120"/>
              <w:spacing w:after="0"/>
              <w:rPr>
                <w:rFonts w:ascii="Arial" w:cs="Arial" w:eastAsia="Arial" w:hAnsi="Arial"/>
                <w:sz w:val="18"/>
                <w:szCs w:val="18"/>
                <w:color w:val="auto"/>
              </w:rPr>
            </w:pPr>
            <w:hyperlink w:anchor="page114">
              <w:r>
                <w:rPr>
                  <w:rFonts w:ascii="Arial" w:cs="Arial" w:eastAsia="Arial" w:hAnsi="Arial"/>
                  <w:sz w:val="18"/>
                  <w:szCs w:val="18"/>
                  <w:color w:val="auto"/>
                </w:rPr>
                <w:t>Form 10-K Summary</w:t>
              </w:r>
            </w:hyperlink>
          </w:p>
        </w:tc>
        <w:tc>
          <w:tcPr>
            <w:tcW w:w="1240" w:type="dxa"/>
            <w:vAlign w:val="bottom"/>
          </w:tcPr>
          <w:p>
            <w:pPr>
              <w:ind w:left="500"/>
              <w:spacing w:after="0"/>
              <w:rPr>
                <w:rFonts w:ascii="Arial" w:cs="Arial" w:eastAsia="Arial" w:hAnsi="Arial"/>
                <w:sz w:val="18"/>
                <w:szCs w:val="18"/>
                <w:color w:val="auto"/>
              </w:rPr>
            </w:pPr>
            <w:hyperlink w:anchor="page114">
              <w:r>
                <w:rPr>
                  <w:rFonts w:ascii="Arial" w:cs="Arial" w:eastAsia="Arial" w:hAnsi="Arial"/>
                  <w:sz w:val="18"/>
                  <w:szCs w:val="18"/>
                  <w:color w:val="auto"/>
                </w:rPr>
                <w:t>112</w:t>
              </w:r>
            </w:hyperlink>
          </w:p>
        </w:tc>
        <w:tc>
          <w:tcPr>
            <w:tcW w:w="20" w:type="dxa"/>
            <w:vAlign w:val="bottom"/>
          </w:tcPr>
          <w:p>
            <w:pPr>
              <w:spacing w:after="0"/>
              <w:rPr>
                <w:sz w:val="19"/>
                <w:szCs w:val="19"/>
                <w:color w:val="auto"/>
              </w:rPr>
            </w:pPr>
          </w:p>
        </w:tc>
      </w:tr>
      <w:tr>
        <w:trPr>
          <w:trHeight w:val="513"/>
        </w:trPr>
        <w:tc>
          <w:tcPr>
            <w:tcW w:w="9980" w:type="dxa"/>
            <w:vAlign w:val="bottom"/>
            <w:tcBorders>
              <w:bottom w:val="single" w:sz="8" w:color="71BF43"/>
            </w:tcBorders>
            <w:gridSpan w:val="2"/>
          </w:tcPr>
          <w:p>
            <w:pPr>
              <w:ind w:left="20"/>
              <w:spacing w:after="0"/>
              <w:rPr>
                <w:rFonts w:ascii="Arial" w:cs="Arial" w:eastAsia="Arial" w:hAnsi="Arial"/>
                <w:sz w:val="20"/>
                <w:szCs w:val="20"/>
                <w:b w:val="1"/>
                <w:bCs w:val="1"/>
                <w:color w:val="71BF43"/>
              </w:rPr>
            </w:pPr>
            <w:hyperlink w:anchor="page114">
              <w:r>
                <w:rPr>
                  <w:rFonts w:ascii="Arial" w:cs="Arial" w:eastAsia="Arial" w:hAnsi="Arial"/>
                  <w:sz w:val="20"/>
                  <w:szCs w:val="20"/>
                  <w:b w:val="1"/>
                  <w:bCs w:val="1"/>
                  <w:color w:val="71BF43"/>
                </w:rPr>
                <w:t>SIGNATURES</w:t>
              </w:r>
            </w:hyperlink>
          </w:p>
        </w:tc>
        <w:tc>
          <w:tcPr>
            <w:tcW w:w="1240" w:type="dxa"/>
            <w:vAlign w:val="bottom"/>
            <w:tcBorders>
              <w:bottom w:val="single" w:sz="8" w:color="71BF43"/>
            </w:tcBorders>
          </w:tcPr>
          <w:p>
            <w:pPr>
              <w:ind w:left="500"/>
              <w:spacing w:after="0"/>
              <w:rPr>
                <w:rFonts w:ascii="Arial" w:cs="Arial" w:eastAsia="Arial" w:hAnsi="Arial"/>
                <w:sz w:val="20"/>
                <w:szCs w:val="20"/>
                <w:b w:val="1"/>
                <w:bCs w:val="1"/>
                <w:color w:val="71BF43"/>
              </w:rPr>
            </w:pPr>
            <w:hyperlink w:anchor="page114">
              <w:r>
                <w:rPr>
                  <w:rFonts w:ascii="Arial" w:cs="Arial" w:eastAsia="Arial" w:hAnsi="Arial"/>
                  <w:sz w:val="20"/>
                  <w:szCs w:val="20"/>
                  <w:b w:val="1"/>
                  <w:bCs w:val="1"/>
                  <w:color w:val="71BF43"/>
                </w:rPr>
                <w:t>113</w:t>
              </w:r>
            </w:hyperlink>
          </w:p>
        </w:tc>
        <w:tc>
          <w:tcPr>
            <w:tcW w:w="20" w:type="dxa"/>
            <w:vAlign w:val="bottom"/>
          </w:tcPr>
          <w:p>
            <w:pPr>
              <w:spacing w:after="0"/>
              <w:rPr>
                <w:sz w:val="24"/>
                <w:szCs w:val="24"/>
                <w:color w:val="auto"/>
              </w:rPr>
            </w:pPr>
          </w:p>
        </w:tc>
      </w:tr>
      <w:tr>
        <w:trPr>
          <w:trHeight w:val="697"/>
        </w:trPr>
        <w:tc>
          <w:tcPr>
            <w:tcW w:w="960" w:type="dxa"/>
            <w:vAlign w:val="bottom"/>
          </w:tcPr>
          <w:p>
            <w:pPr>
              <w:spacing w:after="0"/>
              <w:rPr>
                <w:sz w:val="24"/>
                <w:szCs w:val="24"/>
                <w:color w:val="auto"/>
              </w:rPr>
            </w:pPr>
          </w:p>
        </w:tc>
        <w:tc>
          <w:tcPr>
            <w:tcW w:w="9020" w:type="dxa"/>
            <w:vAlign w:val="bottom"/>
          </w:tcPr>
          <w:p>
            <w:pPr>
              <w:ind w:left="7480"/>
              <w:spacing w:after="0"/>
              <w:rPr>
                <w:sz w:val="20"/>
                <w:szCs w:val="20"/>
                <w:color w:val="auto"/>
              </w:rPr>
            </w:pPr>
            <w:r>
              <w:rPr>
                <w:rFonts w:ascii="Arial" w:cs="Arial" w:eastAsia="Arial" w:hAnsi="Arial"/>
                <w:sz w:val="14"/>
                <w:szCs w:val="14"/>
                <w:color w:val="auto"/>
              </w:rPr>
              <w:t>2020 Form 10-K</w:t>
            </w:r>
          </w:p>
        </w:tc>
        <w:tc>
          <w:tcPr>
            <w:tcW w:w="1240" w:type="dxa"/>
            <w:vAlign w:val="bottom"/>
          </w:tcPr>
          <w:p>
            <w:pPr>
              <w:ind w:left="86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4"/>
                <w:szCs w:val="24"/>
                <w:color w:val="auto"/>
              </w:rPr>
            </w:pPr>
          </w:p>
        </w:tc>
      </w:tr>
      <w:tr>
        <w:trPr>
          <w:trHeight w:val="303"/>
        </w:trPr>
        <w:tc>
          <w:tcPr>
            <w:tcW w:w="960" w:type="dxa"/>
            <w:vAlign w:val="bottom"/>
            <w:tcBorders>
              <w:bottom w:val="single" w:sz="8" w:color="9A9A9A"/>
            </w:tcBorders>
          </w:tcPr>
          <w:p>
            <w:pPr>
              <w:spacing w:after="0"/>
              <w:rPr>
                <w:sz w:val="24"/>
                <w:szCs w:val="24"/>
                <w:color w:val="auto"/>
              </w:rPr>
            </w:pPr>
          </w:p>
        </w:tc>
        <w:tc>
          <w:tcPr>
            <w:tcW w:w="9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-385445</wp:posOffset>
            </wp:positionV>
            <wp:extent cx="72898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right="680"/>
        <w:spacing w:after="0" w:line="239" w:lineRule="auto"/>
        <w:rPr>
          <w:sz w:val="20"/>
          <w:szCs w:val="20"/>
          <w:color w:val="auto"/>
        </w:rPr>
      </w:pPr>
      <w:r>
        <w:rPr>
          <w:rFonts w:ascii="Arial" w:cs="Arial" w:eastAsia="Arial" w:hAnsi="Arial"/>
          <w:sz w:val="40"/>
          <w:szCs w:val="40"/>
          <w:b w:val="1"/>
          <w:bCs w:val="1"/>
          <w:color w:val="4D5259"/>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-433070</wp:posOffset>
            </wp:positionV>
            <wp:extent cx="17145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22885"/>
                    </a:xfrm>
                    <a:prstGeom prst="rect">
                      <a:avLst/>
                    </a:prstGeom>
                    <a:noFill/>
                  </pic:spPr>
                </pic:pic>
              </a:graphicData>
            </a:graphic>
          </wp:anchor>
        </w:drawing>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Annual Report on Form 10-K,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(the "Exchange Act"). Forward-looking statements consist of, among other things, trend analyses, statements regarding future events, future financial performance, our anticipated growth, the effect of general economic and market conditions, our business strategy and our plan to build and grow our business, our operating results, impacts of the COVID-19 global pandemic ("COVID-19") on our financial condition and results of operations and on the markets and communities in which we and our customers and partners operate,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the adequacy of our data security procedures, cybersecurity and data protection risks and potential legal proceedings involving us and uncertainty regarding existing legal proceedings,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Important factors that could cause actual results to differ materially from our expectations expressed in forward-looking statements include, but are not limited to, those summarized under “Item 1A. Risk factors” and elsewhere in this report and in our other SEC filings. Forward-looking statements represent our management's beliefs and assumptions only as of the date of this Annual Report on Form 10-K. We undertake no obligation to update or revise any forward-looking statements, or to update the reasons actual results could differ materially from those anticipated in any forward-looking statements, whether as a result of new information, future events or otherwise.</w:t>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2  </w:t>
      </w:r>
      <w:r>
        <w:rPr>
          <w:sz w:val="1"/>
          <w:szCs w:val="1"/>
          <w:color w:val="auto"/>
        </w:rPr>
        <w:drawing>
          <wp:inline distT="0" distB="0" distL="0" distR="0">
            <wp:extent cx="728345" cy="1885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0"/>
        <w:spacing w:after="0"/>
        <w:rPr>
          <w:sz w:val="20"/>
          <w:szCs w:val="20"/>
          <w:color w:val="auto"/>
        </w:rPr>
      </w:pPr>
      <w:r>
        <w:rPr>
          <w:sz w:val="1"/>
          <w:szCs w:val="1"/>
          <w:color w:val="auto"/>
        </w:rPr>
        <w:drawing>
          <wp:inline distT="0" distB="0" distL="0" distR="0">
            <wp:extent cx="171450" cy="2228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w:t>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BUSINESS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and individuals to increase their impact through cloud software, services, data intelligence and expertise. Blackbaud brings nearly four decades of leadership to this sector: since originally incorporating in New York in 1982 and later reincorporating as a South Carolina corporation in 1991 and as a Delaware corporation in 2004, our tailored portfolio of software and services has grown to support the unique needs of vertical markets, with solutions for fundraising and CRM, marketing, advocacy, peer-to-peer fundraising, corporate social responsibility, school management, ticketing, grantmaking, financial management, payment processing and analytics. Our solutions are designed to meet the needs of virtually all types of organizations in the social good community, from major global institutions to small charities to individuals. At the end of 2020, we had over 45,000 customers located in over 100 countries, with millions of users. We are deeply proud to play a part in our customers’ success in their missions to provide healthcare and cure diseases, advance education, preserve and share arts and culture, protect the environment, support those in need and much more.</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Market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social good industry is significant, spanning far beyond philanthropy, and our addressable market is substantial and growing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Worldwide there are millions of social good organizations including nonprofits, foundations, companies, education institutions and healthcare organizations. Billions of individuals are also active participants in the social good community by donating funds, volunteering their time, advocating for a cause, receiving services from or otherwise engaging with social good organizations.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estimated current total addressable market ("TAM") is greater than $10 billion. This includes expansions into new and near adjacencies in 2019, including our Cloud Solution for Faith Communities, our expanded Cloud Solution for Higher Education, as well as our acquisition of YourCause Holdings, LLC ("YourCause") in January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Traditional methods of fundraising and organizational management are often costly and inefficient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social good organizations use manual methods or software applications not specifically designed for fundraising and organizational management for institutions like theirs. Such methods are often costly and inefficient because of the difficulties in effectively collecting, sharing and using donation-related information. Furthermore, general purpose software applications frequently have limited functionality for the unique needs of our customer base and do not efficiently integrate multiple databases. Some social good organizations have developed proprietary software, but doing so is expensive, requiring on-site technical personnel for development, implementation and maintenance.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nonprofit industry faces particular operational challenges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Nonprofit organizations, education institutions, healthcare organizations and houses of worship must efficiently:</w:t>
      </w:r>
    </w:p>
    <w:p>
      <w:pPr>
        <w:spacing w:after="0" w:line="117"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 funds and build relationships with major donors;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Garner small cash contributions from numerous contributors;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and develop complex relationships with large numbers of constituents;</w:t>
      </w:r>
    </w:p>
    <w:p>
      <w:pPr>
        <w:spacing w:after="0" w:line="30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Advocate for policies and behaviors that advance their cause or institution;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Communicate their accomplishments and the importance of their mission online and offline;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complex accounting, tax and reporting requirements that differ from those for traditional businesses;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Solicit cash and in-kind contributions from businesses to help raise money or deliver products and services;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a wide array of programs and services to individual constituents and beneficiaries; and</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the data collection and information sharing capabilities of their employees, volunteers and donors by creating and providing distributed access to centralized databases.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these challenges, we believe nonprofits, education institutions, healthcare organizations and houses of worship can benefit from software applications and services specifically designed to serve their particular needs and workflows to grow revenue, work effectively and accomplish their missions.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 grantmaking institutions and foundations also face unique challenges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Companies, grantmaking institutions and foundations, face their own unique challenges in their social good efforts, including the need to:</w:t>
      </w:r>
    </w:p>
    <w:p>
      <w:pPr>
        <w:spacing w:after="0" w:line="117"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Quantify and improve the impact of their grants;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Cultivate better relationships with grantees;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better internal collaboration and alignment with board members, reviewers and other stakeholders;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Illustrate the impact of their corporate philanthropy efforts to the communities they serve;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employees in meaningful volunteering, giving and other activities;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Ensure that their philanthropic efforts align with their business initiatives;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 all of a foundation's activities, including fundraising and accounting;</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the reach of their fundraising efforts;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Cultivate new and existing donors.</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objective is to maintain and extend our position as the leading provider of cloud software and services for the global social good community, supporting our customers' missions from securing resources, managing their operations, to delivering their programs and measuring their impact. Our key strategies for achieving this objective are described below.</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4  </w:t>
      </w:r>
      <w:r>
        <w:rPr>
          <w:sz w:val="1"/>
          <w:szCs w:val="1"/>
          <w:color w:val="auto"/>
        </w:rPr>
        <w:drawing>
          <wp:inline distT="0" distB="0" distL="0" distR="0">
            <wp:extent cx="728345" cy="1885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 on our Four-Point Growth Strategy</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2020, we continued to execute our four-point growth strategy targeted to drive solution and service innovation, quality enhancement, increased operating efficiency and improved financial performance:</w:t>
      </w:r>
    </w:p>
    <w:p>
      <w:pPr>
        <w:spacing w:after="0" w:line="126"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This strategy reflects our relentless focus on driving value and outcomes for our customers through our solutions. Blackbaud SKY®, our platform for cloud innovation, is a core tenant of this strategy and continues to power an elevated level of innovation by our engineers. It is also enabling our growing ecosystem of partners who are also passionate about social good, to extend and expand the capabilities available to our customers. During 2020, we continued making critical investments in research and development and increased our engineering hiring during the fourth quarter. We also released the Blackbaud Marketplace during 2020, offering curated third-party apps, enabling organizations of all types and sizes to discover new ways to amplify their impact by enhancing their best-of-breed Blackbaud solutions with specialized capabilities like connecting bidders at fundraising auctions, tracking branded merchandise purchased in an online store or texting volunteers about an upcoming event.</w:t>
      </w:r>
    </w:p>
    <w:p>
      <w:pPr>
        <w:spacing w:after="0" w:line="151"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The customers we serve require vertical specific business solutions to automate their operations. Throughout 2020, we have remained focused on driving value and outcomes for our customers. We reprioritized and expedited product enhancements to support our customers' needs, especially in light of COVID-19 and the continued shift to virtual, digital-first operating models. For example, we released fitness tracking integration in Blackbaud’s peer-to-peer fundraising portfolio, a new virtual prayer wall enabling congregants at houses of worship to share and respond to prayer requests online, text messaging capabilities for scholarship directors and higher education institutions to ensure no funds were going unutilized and expanded the global capabilities of YourCause CSRConnect making it easier for companies to bring employees across geographies together in support of causes around the world.</w:t>
      </w:r>
    </w:p>
    <w:p>
      <w:pPr>
        <w:spacing w:after="0" w:line="152" w:lineRule="exact"/>
        <w:rPr>
          <w:rFonts w:ascii="Arial" w:cs="Arial" w:eastAsia="Arial" w:hAnsi="Arial"/>
          <w:sz w:val="18"/>
          <w:szCs w:val="18"/>
          <w:i w:val="1"/>
          <w:iCs w:val="1"/>
          <w:color w:val="auto"/>
        </w:rPr>
      </w:pPr>
    </w:p>
    <w:p>
      <w:pPr>
        <w:jc w:val="both"/>
        <w:ind w:left="34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Blackbaud Peer-to-Peer Fundraising powered by JustGiving continues to gain traction. During 2020, we migrated everydayhero customers over to Blackbaud Peer-to-Peer Fundraising powered by JustGiving and sunset the everydayhero product as we continue to rationalize our portfolio while continuing to delight our customers with innovative cloud solutions.</w:t>
      </w:r>
    </w:p>
    <w:p>
      <w:pPr>
        <w:spacing w:after="0" w:line="129" w:lineRule="exact"/>
        <w:rPr>
          <w:rFonts w:ascii="Arial" w:cs="Arial" w:eastAsia="Arial" w:hAnsi="Arial"/>
          <w:sz w:val="18"/>
          <w:szCs w:val="18"/>
          <w:i w:val="1"/>
          <w:iCs w:val="1"/>
          <w:color w:val="auto"/>
        </w:rPr>
      </w:pPr>
    </w:p>
    <w:p>
      <w:pPr>
        <w:ind w:left="320" w:hanging="312"/>
        <w:spacing w:after="0"/>
        <w:tabs>
          <w:tab w:leader="none" w:pos="3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Drive Sales Effectiveness</w:t>
      </w:r>
    </w:p>
    <w:p>
      <w:pPr>
        <w:spacing w:after="0" w:line="189" w:lineRule="exact"/>
        <w:rPr>
          <w:rFonts w:ascii="Arial" w:cs="Arial" w:eastAsia="Arial" w:hAnsi="Arial"/>
          <w:sz w:val="18"/>
          <w:szCs w:val="18"/>
          <w:b w:val="1"/>
          <w:bCs w:val="1"/>
          <w:i w:val="1"/>
          <w:iCs w:val="1"/>
          <w:color w:val="auto"/>
        </w:rPr>
      </w:pPr>
    </w:p>
    <w:p>
      <w:pPr>
        <w:jc w:val="both"/>
        <w:ind w:left="340"/>
        <w:spacing w:after="0" w:line="251"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been investing in sales and marketing to better address our market opportunity with a focus on digital lead generation. One way we are equipping our salesforce to be more effective is by investing in the necessary technology and resources to efficiently drive an increased number of quality leads and better cover our large addressable market. We have implemented software tools to enhance our digital footprint and drive lead generation across the company. We are taking a multi-touch attribution approach to measuring the effectiveness of our marketing campaigns to drive efficiency in our go-to-market efforts and improve returns on our marketing dollars. This is just one of many examples of how we are optimizing our structure, tools and processes to better address our large vertical market opportunities. We have also taken lessons learned throughout 2020 and re-evaluated elements of our go-to-market strategy with a digital-first mindset and we have a significant opportunity to leverage the investments into digital to reduce our customer acquisition cost and increase our sales velocity, ultimately, driving a more scalable and cost-effective go-to-market model.</w:t>
      </w:r>
    </w:p>
    <w:p>
      <w:pPr>
        <w:spacing w:after="0" w:line="139"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Expand TAM</w:t>
      </w:r>
    </w:p>
    <w:p>
      <w:pPr>
        <w:spacing w:after="0" w:line="189" w:lineRule="exact"/>
        <w:rPr>
          <w:rFonts w:ascii="Arial" w:cs="Arial" w:eastAsia="Arial" w:hAnsi="Arial"/>
          <w:sz w:val="18"/>
          <w:szCs w:val="18"/>
          <w:b w:val="1"/>
          <w:bCs w:val="1"/>
          <w:i w:val="1"/>
          <w:iCs w:val="1"/>
          <w:color w:val="auto"/>
        </w:rPr>
      </w:pPr>
    </w:p>
    <w:p>
      <w:pPr>
        <w:jc w:val="both"/>
        <w:ind w:left="34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did not complete any acquisitions during 2020 as we have remained vigilantly focused on supporting our customers and employees during this time. We remain active in the evaluation of opportunities to further expand our addressable market through acquisitions and internal product development. We believe we have significant opportunities in front of us as we are less than 10% penetrated into a total addressable market of over $10 billion.</w:t>
      </w:r>
    </w:p>
    <w:p>
      <w:pPr>
        <w:spacing w:after="0" w:line="131"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Improve Operating Efficiency</w:t>
      </w:r>
    </w:p>
    <w:p>
      <w:pPr>
        <w:spacing w:after="0" w:line="189" w:lineRule="exact"/>
        <w:rPr>
          <w:rFonts w:ascii="Arial" w:cs="Arial" w:eastAsia="Arial" w:hAnsi="Arial"/>
          <w:sz w:val="18"/>
          <w:szCs w:val="18"/>
          <w:i w:val="1"/>
          <w:iCs w:val="1"/>
          <w:color w:val="auto"/>
        </w:rPr>
      </w:pPr>
    </w:p>
    <w:p>
      <w:pPr>
        <w:jc w:val="both"/>
        <w:ind w:left="3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We are also focused on operational efficiency to strengthen the business and position us for long-term success. During 2020, we pivoted to place a greater emphasis on profit in alignment with the balanced approach management takes to operating the business. As a result of the pandemic, our near term visibility into revenue growth was impacted and we took certain actions early on to ensure our liquidity (see Note 2 to our consolidated</w:t>
      </w:r>
    </w:p>
    <w:p>
      <w:pPr>
        <w:spacing w:after="0" w:line="283"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financial statements in this report for a discussion of some of these actions) and shifted more of our focus to profitability. Our employees switched to working fully remote at the onset of the pandemic and the business continued operating smoothly. This caused us to re-evaluate our workforce strategy and when employees return to the office, we will have more employees working remotely either part-time or full-time, even within our hub locations. As a result, we revisited our real estate strategy with a focus on optimizing our footprint for the future of work at Blackbaud, including the purchase of our LEED (Leadership in Energy &amp; Environmental Design) Gold certified global headquarters facility in Charleston, South Carolina ("Global Headquarters Facility") and exit of certain office leases globally, as we will not need as much of an office footprint going forward. Our aim is optimizing our office utilization, improving our geographic sales coverage and enhancing our employees' daily experience to improve productivity and effectiveness.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Delight Our Customers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intend to make our customers' experience with us effective, efficient and satisfying from their initial interest in our solutions and services through their decision to purchase, engage with customer support and implement and use our solutions. We continue to focus on initiatives aimed at improving the consistency and quality of user experience across our offerings. We also continue to evolve the way we package and sell our offerings to provide high quality and value combined with flexibility to meet the unique needs of our existing and prospective customers. For example, we have increased the number of our cloud solutions sold under a subscription pricing model, which can make it easier for customers to purchase our solutions. In addition, we are continuing to integrate value-adding capabilities such as payment services, analytics and business intelligence into our suite of solutions to better address our customers' needs with comprehensive offerings. We will continue to focus on providing the highest level of solution support, enhancing our existing solutions, extending our solutions through open APIs and developing new solutions and services designed to help our customers be more effective and achieve their missions.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 and Retain Top Talent and Actively Engage Employee Base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higher purpose is to help good take over the world, and we have incredible customers whose missions make the world a better place. Driven by this purpose, our employees come to work every day knowing that they can make a real difference with our customers as they pursue their missions. Collaboration, innovation and high standards are core to our culture and help to enable the great work we do. We strive to hire and retain the best employees and provide a workplace where their talents and potential are realized. For additional information, see “Human Capital Resources”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Drive Strength in Our Sector as an Industry Thought Leader</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our nearly 40 years of operation, we have gained significant insight into the overall market and industry segments in which we operate. We produce a wide range of thought leadership resources, including blogs, monthly indices and white papers, which provide insights and guidance to the social good community. We also participate in and convene a number of industry forums, where we exchange views and engage with industry and government leaders. Our annual user conference, </w:t>
      </w:r>
      <w:r>
        <w:rPr>
          <w:rFonts w:ascii="Arial" w:cs="Arial" w:eastAsia="Arial" w:hAnsi="Arial"/>
          <w:sz w:val="18"/>
          <w:szCs w:val="18"/>
          <w:b w:val="1"/>
          <w:bCs w:val="1"/>
          <w:i w:val="1"/>
          <w:iCs w:val="1"/>
          <w:color w:val="auto"/>
        </w:rPr>
        <w:t>bbcon</w:t>
      </w:r>
      <w:r>
        <w:rPr>
          <w:rFonts w:ascii="Arial" w:cs="Arial" w:eastAsia="Arial" w:hAnsi="Arial"/>
          <w:sz w:val="18"/>
          <w:szCs w:val="18"/>
          <w:i w:val="1"/>
          <w:iCs w:val="1"/>
          <w:color w:val="auto"/>
        </w:rPr>
        <w:t>®</w:t>
      </w:r>
      <w:r>
        <w:rPr>
          <w:rFonts w:ascii="Arial" w:cs="Arial" w:eastAsia="Arial" w:hAnsi="Arial"/>
          <w:sz w:val="18"/>
          <w:szCs w:val="18"/>
          <w:color w:val="auto"/>
        </w:rPr>
        <w:t>, serves in part as a forum to offer thought leadership to our customers, as do other market-specific user conferences, events and customer gatherings. The Blackbaud Institute for Philanthropic Impact (the "Blackbaud Institute") brings together leading experts in philanthropy to develop and share leading-edge research and insight that accelerates the impact of the social good community. The research and reports the Blackbaud Institute produces serve to strengthen the social good community as a whole. sgENGAGE, our blog and podcast, provides free best practices resources that drive impact across the social good community, as well.</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Last year, we announced our partnership with One Million by One Million ("1Mby1M") to launch the Social Good Start-up Challenge focused on tech start-ups on a mission to solve problems that matter to the social good community. In 2020, we announced we’ve expanded this initiative into the Blackbaud Social Good Startup Program, a year-long accelerator designed to support innovative startups with the potential to impact the ecosystem of good. In alignment with our commitment to diversity in the tech community, we focused our January 2021 cohort on founders from underrepresented backgrounds. Last year, we also announced The Explorer by Blackbaud Institute, the premier online knowledge base for information and statistics about social good. Content is updated regularly and is provided free of charge to the public as a part of Blackbaud’s give-back philosophy. We intend to expand these activities and further build our reputation as a thought leader within the industry.</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6  </w:t>
      </w:r>
      <w:r>
        <w:rPr>
          <w:sz w:val="1"/>
          <w:szCs w:val="1"/>
          <w:color w:val="auto"/>
        </w:rPr>
        <w:drawing>
          <wp:inline distT="0" distB="0" distL="0" distR="0">
            <wp:extent cx="728345" cy="1885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Solutions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the social good community comprehensive cloud solutions to advance their missions, backed by our data intelligence services, which deliver insights powered by what we believe to be the world's most robust philanthropic data set. Our solutions can be combined with a range of payment processing, analytic and business intelligence services, consulting, training and professional services, as well as maintenance and technical support. The Blackbaud portfolio is delivered primarily through cloud solutions tailored to the unique needs of vertical markets, offering fundraising and relationship management, marketing and engagement, financial management, grant and award management, organizational and program management (such as education management, church management and ticketing), social responsibility, payment services and analytics.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specific solutions and services include: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Fundraising and Relationship Management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Raiser's Edge NXT® </w:t>
      </w:r>
      <w:r>
        <w:rPr>
          <w:rFonts w:ascii="Arial" w:cs="Arial" w:eastAsia="Arial" w:hAnsi="Arial"/>
          <w:sz w:val="18"/>
          <w:szCs w:val="18"/>
          <w:color w:val="auto"/>
        </w:rPr>
        <w:t>is our flagship cloud fundraising and relationship management solution. Blackbaud Raiser's Edge NXT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and only cloud fundraising and relationship management solution that is all-inclusive, fully integrated with data, analytics, marketing tools, payment processing and tailored user-specific experiences. Blackbaud Raiser's Edge NXT is, we believe, the most advanced technology available to nonprofits seeking to operate more efficiently and raise more support for their missions.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Blackbaud CRM™ </w:t>
      </w:r>
      <w:r>
        <w:rPr>
          <w:rFonts w:ascii="Arial" w:cs="Arial" w:eastAsia="Arial" w:hAnsi="Arial"/>
          <w:sz w:val="18"/>
          <w:szCs w:val="18"/>
          <w:color w:val="auto"/>
        </w:rPr>
        <w:t>is a comprehensive, configurable fundraising and relationship management solution. It is our lead offering for enterprise-level organizations seeking a powerful, yet adaptable solution for fundraising, marketing, and program management across the engagement lifecycle, specializing in supporting sophisticated major giving, membership and high-volume direct marketing programs. Blackbaud CRM helps organizations build deeper and more personalized relationships with constituents, build their brands through online engagement and multichannel communication tools, and more effectively fundraise, leveraging campaign management, business intelligence and analytics. Blackbaud CRM can be sold as an integrated solution with our enterprise online solutions to enable multi-channel marketing, online engagement and event fundraising.</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eTapestry® </w:t>
      </w:r>
      <w:r>
        <w:rPr>
          <w:rFonts w:ascii="Arial" w:cs="Arial" w:eastAsia="Arial" w:hAnsi="Arial"/>
          <w:sz w:val="18"/>
          <w:szCs w:val="18"/>
          <w:color w:val="auto"/>
        </w:rPr>
        <w:t>is a simple, cloud fundraising and donor management solution built specifically for smaller, developing nonprofits in</w:t>
      </w:r>
      <w:r>
        <w:rPr>
          <w:rFonts w:ascii="Arial" w:cs="Arial" w:eastAsia="Arial" w:hAnsi="Arial"/>
          <w:sz w:val="18"/>
          <w:szCs w:val="18"/>
          <w:i w:val="1"/>
          <w:iCs w:val="1"/>
          <w:color w:val="auto"/>
        </w:rPr>
        <w:t xml:space="preserve"> </w:t>
      </w:r>
      <w:r>
        <w:rPr>
          <w:rFonts w:ascii="Arial" w:cs="Arial" w:eastAsia="Arial" w:hAnsi="Arial"/>
          <w:sz w:val="18"/>
          <w:szCs w:val="18"/>
          <w:color w:val="auto"/>
        </w:rPr>
        <w:t>need of a cloud solution to support basic fundraising needs. It offers nonprofit organizations a cost-effective way to manage donors, process gifts, create reports, accept online donations and communicate with constituents. This technology provides a system that is simple to maintain, efficient to operate and is intuitively easy to learn without extensive training.</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TeamRaiser® </w:t>
      </w:r>
      <w:r>
        <w:rPr>
          <w:rFonts w:ascii="Arial" w:cs="Arial" w:eastAsia="Arial" w:hAnsi="Arial"/>
          <w:sz w:val="18"/>
          <w:szCs w:val="18"/>
          <w:color w:val="auto"/>
        </w:rPr>
        <w:t>is the industry’s most comprehensive cloud solution designed specifically for event fundraising. Powering</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of events each year, Blackbaud TeamRaiser allows nonprofits’ supporters to create personal or team fundraising web pages and send email donation appeals in support of events such as walks, runs and rides.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Peer-to-Peer Fundraising™, powered by JustGiving™ </w:t>
      </w:r>
      <w:r>
        <w:rPr>
          <w:rFonts w:ascii="Arial" w:cs="Arial" w:eastAsia="Arial" w:hAnsi="Arial"/>
          <w:sz w:val="18"/>
          <w:szCs w:val="18"/>
          <w:color w:val="auto"/>
        </w:rPr>
        <w:t>is one of the world's leading social platforms for giving. Blackbaud Peer-to-Peer Fundraising, powered by JustGiving provides world-class technology and innovative tools to connect people with the causes they care about. By making giving more simple, social and rewarding, this platform helps all causes, charities and people in need to reach more people and raise more money.</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Blackbaud Guided Fundraising™ </w:t>
      </w:r>
      <w:r>
        <w:rPr>
          <w:rFonts w:ascii="Arial" w:cs="Arial" w:eastAsia="Arial" w:hAnsi="Arial"/>
          <w:sz w:val="18"/>
          <w:szCs w:val="18"/>
          <w:color w:val="auto"/>
        </w:rPr>
        <w:t>and</w:t>
      </w:r>
      <w:r>
        <w:rPr>
          <w:rFonts w:ascii="Arial" w:cs="Arial" w:eastAsia="Arial" w:hAnsi="Arial"/>
          <w:sz w:val="18"/>
          <w:szCs w:val="18"/>
          <w:i w:val="1"/>
          <w:iCs w:val="1"/>
          <w:color w:val="auto"/>
        </w:rPr>
        <w:t xml:space="preserve"> Blackbaud Volunteer Network Fundraising™ </w:t>
      </w:r>
      <w:r>
        <w:rPr>
          <w:rFonts w:ascii="Arial" w:cs="Arial" w:eastAsia="Arial" w:hAnsi="Arial"/>
          <w:sz w:val="18"/>
          <w:szCs w:val="18"/>
          <w:color w:val="auto"/>
        </w:rPr>
        <w:t>can work together or independently to help higher</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institutions meet their advancement targets and development campaign goals. Blackbaud Guided Fundraising is used by institutions seeking to manage all the details behind the sophisticated, person-to-person solicitation strategies that drive fundraising results. Blackbaud Volunteer Network Fundraising helps institutions manage volunteer fundraising campaigns with tools for project management, communication and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Marketing and Engagement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Luminate Online®, </w:t>
      </w:r>
      <w:r>
        <w:rPr>
          <w:rFonts w:ascii="Arial" w:cs="Arial" w:eastAsia="Arial" w:hAnsi="Arial"/>
          <w:sz w:val="18"/>
          <w:szCs w:val="18"/>
          <w:color w:val="auto"/>
        </w:rPr>
        <w:t>delivered in the cloud, helps our customers better understand their online supporters, make the right ask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time and raise money online. It includes tools to build online fundraising campaigns as part of an organization's existing website or as a stand-alone fundraising site. Donation forms, gift processing and tools</w:t>
      </w:r>
    </w:p>
    <w:p>
      <w:pPr>
        <w:spacing w:after="0" w:line="273"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for communicating through web pages and email give our customers the essentials for building sustainable donor relationships. Customers can also purchase additional modules including Blackbaud Luminate Advocacy</w:t>
      </w:r>
      <w:r>
        <w:rPr>
          <w:rFonts w:ascii="Arial" w:cs="Arial" w:eastAsia="Arial" w:hAnsi="Arial"/>
          <w:sz w:val="23"/>
          <w:szCs w:val="23"/>
          <w:color w:val="auto"/>
          <w:vertAlign w:val="superscript"/>
        </w:rPr>
        <w:t>™</w:t>
      </w:r>
      <w:r>
        <w:rPr>
          <w:rFonts w:ascii="Arial" w:cs="Arial" w:eastAsia="Arial" w:hAnsi="Arial"/>
          <w:sz w:val="18"/>
          <w:szCs w:val="18"/>
          <w:color w:val="auto"/>
        </w:rPr>
        <w:t>, which combines online marketing tools and legislative data to mobilize supporters and influence policy-makers.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Blackbaud Online Express</w:t>
      </w:r>
      <w:r>
        <w:rPr>
          <w:rFonts w:ascii="Arial" w:cs="Arial" w:eastAsia="Arial" w:hAnsi="Arial"/>
          <w:sz w:val="18"/>
          <w:szCs w:val="18"/>
          <w:color w:val="auto"/>
        </w:rPr>
        <w:t>™ is a simple, cloud fundraising and marketing tool designed for smaller nonprofit organizations using Blackbaud</w:t>
      </w:r>
      <w:r>
        <w:rPr>
          <w:rFonts w:ascii="Arial" w:cs="Arial" w:eastAsia="Arial" w:hAnsi="Arial"/>
          <w:sz w:val="18"/>
          <w:szCs w:val="18"/>
          <w:i w:val="1"/>
          <w:iCs w:val="1"/>
          <w:color w:val="auto"/>
        </w:rPr>
        <w:t xml:space="preserve"> </w:t>
      </w:r>
      <w:r>
        <w:rPr>
          <w:rFonts w:ascii="Arial" w:cs="Arial" w:eastAsia="Arial" w:hAnsi="Arial"/>
          <w:sz w:val="18"/>
          <w:szCs w:val="18"/>
          <w:color w:val="auto"/>
        </w:rPr>
        <w:t>Raiser's Edge NXT. It provides nonprofits with easy-to-use, fully integrated features and functionality such as email marketing, donation forms, event registrations and dashboard metrics.</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School Website System™ </w:t>
      </w:r>
      <w:r>
        <w:rPr>
          <w:rFonts w:ascii="Arial" w:cs="Arial" w:eastAsia="Arial" w:hAnsi="Arial"/>
          <w:sz w:val="18"/>
          <w:szCs w:val="18"/>
          <w:color w:val="auto"/>
        </w:rPr>
        <w:t>is a content management system that gives schools the flexibility to build and edit webpages, with easy</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content types including photos, videos, downloads, text and more. It allows users to share material and contribute content across an entire school community.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Management</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Blackbaud Financial Edge NXT® </w:t>
      </w:r>
      <w:r>
        <w:rPr>
          <w:rFonts w:ascii="Arial" w:cs="Arial" w:eastAsia="Arial" w:hAnsi="Arial"/>
          <w:sz w:val="18"/>
          <w:szCs w:val="18"/>
          <w:color w:val="auto"/>
        </w:rPr>
        <w:t>is the first-of-its-kind cloud accounting solution for nonprofits that is intuitive, fully integrated, and built the</w:t>
      </w:r>
      <w:r>
        <w:rPr>
          <w:rFonts w:ascii="Arial" w:cs="Arial" w:eastAsia="Arial" w:hAnsi="Arial"/>
          <w:sz w:val="18"/>
          <w:szCs w:val="18"/>
          <w:i w:val="1"/>
          <w:iCs w:val="1"/>
          <w:color w:val="auto"/>
        </w:rPr>
        <w:t xml:space="preserve"> </w:t>
      </w:r>
      <w:r>
        <w:rPr>
          <w:rFonts w:ascii="Arial" w:cs="Arial" w:eastAsia="Arial" w:hAnsi="Arial"/>
          <w:sz w:val="18"/>
          <w:szCs w:val="18"/>
          <w:color w:val="auto"/>
        </w:rPr>
        <w:t>way nonprofits need it on our modern Blackbaud SKY cloud platform. Blackbaud Financial Edge NXT is advanced technology with powerful reporting tools to help accounting teams drive transparency, stewardship, and compliance while enabling them to seamlessly manage transactions and eliminate manual processes. It seamlessly integrates with Blackbaud Raiser's Edge NXT to simplify gift entry processing and relates information from both systems in an informative manner to eliminate redundant tasks and manual processes. Blackbaud Financial Edge NXT provides nonprofit organizations with the means to help manage fiscal and fiduciary responsibility, enabling them to be more accountable to their constituents.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Tuition Management™ </w:t>
      </w:r>
      <w:r>
        <w:rPr>
          <w:rFonts w:ascii="Arial" w:cs="Arial" w:eastAsia="Arial" w:hAnsi="Arial"/>
          <w:sz w:val="18"/>
          <w:szCs w:val="18"/>
          <w:color w:val="auto"/>
        </w:rPr>
        <w:t>benefits schools by giving administrators better access to financial data and payment services, and by</w:t>
      </w:r>
      <w:r>
        <w:rPr>
          <w:rFonts w:ascii="Arial" w:cs="Arial" w:eastAsia="Arial" w:hAnsi="Arial"/>
          <w:sz w:val="18"/>
          <w:szCs w:val="18"/>
          <w:i w:val="1"/>
          <w:iCs w:val="1"/>
          <w:color w:val="auto"/>
        </w:rPr>
        <w:t xml:space="preserve"> </w:t>
      </w:r>
      <w:r>
        <w:rPr>
          <w:rFonts w:ascii="Arial" w:cs="Arial" w:eastAsia="Arial" w:hAnsi="Arial"/>
          <w:sz w:val="18"/>
          <w:szCs w:val="18"/>
          <w:color w:val="auto"/>
        </w:rPr>
        <w:t>giving parents more ways to remit tuition payments. The solution helps ease the burden for administrative staff by offering invoicing, payment processing, customer service, enhanced communication with parents and later payer follow-up services.</w:t>
      </w:r>
    </w:p>
    <w:p>
      <w:pPr>
        <w:spacing w:after="0" w:line="12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Blackbaud Financial Aid Management™ </w:t>
      </w:r>
      <w:r>
        <w:rPr>
          <w:rFonts w:ascii="Arial" w:cs="Arial" w:eastAsia="Arial" w:hAnsi="Arial"/>
          <w:sz w:val="18"/>
          <w:szCs w:val="18"/>
          <w:color w:val="auto"/>
        </w:rPr>
        <w:t>offers schools the ability to accept online, customized applications for financial aid and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better financial aid decisions with a proprietary Hobbies, Interest and Lifestyles ("HIL") profile. The HIL profile provides in-depth information on an applicant, delivering to the school a way to make more informed decisions on how they distribute financial aid awards.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and Award Management</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Blackbaud Grantmaking™ </w:t>
      </w:r>
      <w:r>
        <w:rPr>
          <w:rFonts w:ascii="Arial" w:cs="Arial" w:eastAsia="Arial" w:hAnsi="Arial"/>
          <w:sz w:val="18"/>
          <w:szCs w:val="18"/>
          <w:color w:val="auto"/>
        </w:rPr>
        <w:t>is a cloud solution built with core functions that provide comprehensive grant making capabilities, but with many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capabilities and features, such as visual dashboards. It has a modern user interface, is user friendly and can be highly personalized. Coupled with </w:t>
      </w:r>
      <w:r>
        <w:rPr>
          <w:rFonts w:ascii="Arial" w:cs="Arial" w:eastAsia="Arial" w:hAnsi="Arial"/>
          <w:sz w:val="18"/>
          <w:szCs w:val="18"/>
          <w:i w:val="1"/>
          <w:iCs w:val="1"/>
          <w:color w:val="auto"/>
        </w:rPr>
        <w:t>Blackbaud Outcomes</w:t>
      </w:r>
      <w:r>
        <w:rPr>
          <w:rFonts w:ascii="Arial" w:cs="Arial" w:eastAsia="Arial" w:hAnsi="Arial"/>
          <w:sz w:val="18"/>
          <w:szCs w:val="18"/>
          <w:color w:val="auto"/>
        </w:rPr>
        <w:t>™ funders and nonprofits are empowered to collaborate around their intended outcomes and work together to achieve impact. Both the funder and the nonprofit can tell an impact story using ROI-focused results and a common outcomes measurement language.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Award Management™ </w:t>
      </w:r>
      <w:r>
        <w:rPr>
          <w:rFonts w:ascii="Arial" w:cs="Arial" w:eastAsia="Arial" w:hAnsi="Arial"/>
          <w:sz w:val="18"/>
          <w:szCs w:val="18"/>
          <w:color w:val="auto"/>
        </w:rPr>
        <w:t>is a comprehensive, integrated scholarship management platform for higher education and K-12</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and foundations, allowing students to apply for all awards using one intuitive and streamlined application process and eliminating many time-consuming administrative tasks. This leads to improved awarding, reporting, compliance, communication and stewardship.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Organizational and Program Management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Student Information System™ </w:t>
      </w:r>
      <w:r>
        <w:rPr>
          <w:rFonts w:ascii="Arial" w:cs="Arial" w:eastAsia="Arial" w:hAnsi="Arial"/>
          <w:sz w:val="18"/>
          <w:szCs w:val="18"/>
          <w:color w:val="auto"/>
        </w:rPr>
        <w:t>makes it easy for schools to manage schedules, transcripts and GPAs. A new Student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 that works directly with Blackbaud Learning Management System™, Blackbaud Student Information System simplifies the process of sharing student data and academic records securely.</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Learning Management System™ </w:t>
      </w:r>
      <w:r>
        <w:rPr>
          <w:rFonts w:ascii="Arial" w:cs="Arial" w:eastAsia="Arial" w:hAnsi="Arial"/>
          <w:sz w:val="18"/>
          <w:szCs w:val="18"/>
          <w:color w:val="auto"/>
        </w:rPr>
        <w:t>is a learning management system that makes it easy to manage, connect, and share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students, parents, and an entire school community. Developed with direct input from our customers, Blackbaud Learning Management System gives teachers the tools to meet the demands of a modern private school.</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8  </w:t>
      </w:r>
      <w:r>
        <w:rPr>
          <w:sz w:val="1"/>
          <w:szCs w:val="1"/>
          <w:color w:val="auto"/>
        </w:rPr>
        <w:drawing>
          <wp:inline distT="0" distB="0" distL="0" distR="0">
            <wp:extent cx="728345" cy="1885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Blackbaud Enrollment Management System™ </w:t>
      </w:r>
      <w:r>
        <w:rPr>
          <w:rFonts w:ascii="Arial" w:cs="Arial" w:eastAsia="Arial" w:hAnsi="Arial"/>
          <w:sz w:val="18"/>
          <w:szCs w:val="18"/>
          <w:color w:val="auto"/>
        </w:rPr>
        <w:t>is an enrollment management system that simplifies a school’s admissions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Blackbaud Enrollment Management System helps admissions teams and prospective families manage and track their progress, from inquiry and application through acceptance and enrollment.</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Blackbaud Altru® </w:t>
      </w:r>
      <w:r>
        <w:rPr>
          <w:rFonts w:ascii="Arial" w:cs="Arial" w:eastAsia="Arial" w:hAnsi="Arial"/>
          <w:sz w:val="18"/>
          <w:szCs w:val="18"/>
          <w:color w:val="auto"/>
        </w:rPr>
        <w:t>is a cloud solution that helps arts and cultural organizations consolidate admissions, membership, fundraising,</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marketing and more, giving users a comprehensive view of their supporters. By helping general admissions arts and cultural organizations gain a clear, 360-degree view of their organization, it enables them to operate more efficiently, engage and cultivate patrons and supporters, streamline external and internal communication efforts, and reduce IT costs. Blackbaud Altru contains tools for constituent and membership management, program sales, retail sales and ticketing, volunteer management and events management. It also has sophisticated reporting functionality and tools to manage marketing, communications and fundraising.</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Blackbaud Church Management™ </w:t>
      </w:r>
      <w:r>
        <w:rPr>
          <w:rFonts w:ascii="Arial" w:cs="Arial" w:eastAsia="Arial" w:hAnsi="Arial"/>
          <w:sz w:val="18"/>
          <w:szCs w:val="18"/>
          <w:color w:val="auto"/>
        </w:rPr>
        <w:t>is a comprehensive, end-to-end cloud solution to manage church operations, relationships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congregants, and essential financial management needs. With Blackbaud Church Management, faith communities can track gifts and tithing, assimilate new members, directly communicate with congregations through multiple channels, enable members to make online and mobile contributions, manage small groups and volunteers, implement secure child check-in, conduct background checks, provide bulk tax statements, manage facilities, and more. Faith communities can also add other Blackbaud capabilities from the new Cloud Solution for Faith Communities as their needs scale all through one integrated experience.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Social Responsibility</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YourCause® Grants Connect® and YourCause CSR Connect® </w:t>
      </w:r>
      <w:r>
        <w:rPr>
          <w:rFonts w:ascii="Arial" w:cs="Arial" w:eastAsia="Arial" w:hAnsi="Arial"/>
          <w:sz w:val="18"/>
          <w:szCs w:val="18"/>
          <w:color w:val="auto"/>
        </w:rPr>
        <w:t>are cloud solutions for employee giving, volunteering, and communication</w:t>
      </w:r>
      <w:r>
        <w:rPr>
          <w:rFonts w:ascii="Arial" w:cs="Arial" w:eastAsia="Arial" w:hAnsi="Arial"/>
          <w:sz w:val="18"/>
          <w:szCs w:val="18"/>
          <w:i w:val="1"/>
          <w:iCs w:val="1"/>
          <w:color w:val="auto"/>
        </w:rPr>
        <w:t xml:space="preserve"> </w:t>
      </w:r>
      <w:r>
        <w:rPr>
          <w:rFonts w:ascii="Arial" w:cs="Arial" w:eastAsia="Arial" w:hAnsi="Arial"/>
          <w:sz w:val="18"/>
          <w:szCs w:val="18"/>
          <w:color w:val="auto"/>
        </w:rPr>
        <w:t>used to support corporate philanthropy by building meaningful connections between corporations, employees and nonprofits. After implementing YourCause solutions, customers typically show significant growth in volunteers, donations, engagement and more. These reported successes demonstrate a larger trend: overall ability to attract employees and customers alike by strengthening a company's reputation.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Services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solutions provide our customers payment processing capabilities that enable their donors to make donations and purchase goods and services using numerous payment options, including credit card and automated clearing house (“ACH”) checking transactions, through secure online transactions.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Merchant Services™ </w:t>
      </w:r>
      <w:r>
        <w:rPr>
          <w:rFonts w:ascii="Arial" w:cs="Arial" w:eastAsia="Arial" w:hAnsi="Arial"/>
          <w:sz w:val="18"/>
          <w:szCs w:val="18"/>
          <w:color w:val="auto"/>
        </w:rPr>
        <w:t>is a value-added service integrated with our solutions that makes credit card processing simple and secure.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are charged one rate for credit card transactions, making Blackbaud Merchant Services a competitive option. The service also provides customers with a payment card industry (“PCI”) compliant process and streamlined bank reconciliation. We also provide our K-12 private school customers with student tuition payment processing services.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Blackbaud Purchase Cards </w:t>
      </w:r>
      <w:r>
        <w:rPr>
          <w:rFonts w:ascii="Arial" w:cs="Arial" w:eastAsia="Arial" w:hAnsi="Arial"/>
          <w:sz w:val="18"/>
          <w:szCs w:val="18"/>
          <w:color w:val="auto"/>
        </w:rPr>
        <w:t>provide an efficient and convenient alternative to traditional procurement methods and paper-based payables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such as checks, purchase orders and invoices for travel and operational purchases. Organizations can also set spend controls for individual cardholders, track business expenses across the organization and ensure that policies are being enforced—all managed online and integrated with Blackbaud Financial Edge NXT.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Analytics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analytics offerings provide comprehensive solutions for donor acquisition, prospect research, data enrichment and performance management, enabling nonprofits to define effective campaign strategies and maximize fundraising results. These services either integrate with or are already integrated into our software solutions to give our customers a comprehensive view of their supporters and the market and provide information essential to making well-informed operating decisions.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Blackbaud’s Intelligence for Good® is a unique, comprehensive approach through which we combine artificial intelligence, analytics, big data, and expertise in cloud services and other channels. This powerful approach enables social good organizations to transform data into insights. We embed the value of Intelligence for Good directly in our solutions through SKY Intelligence®.</w:t>
      </w:r>
    </w:p>
    <w:p>
      <w:pPr>
        <w:spacing w:after="0" w:line="281"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Our analytics offerings include subscription solutions and services within the following areas: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Donor Acquisition </w:t>
      </w:r>
      <w:r>
        <w:rPr>
          <w:rFonts w:ascii="Arial" w:cs="Arial" w:eastAsia="Arial" w:hAnsi="Arial"/>
          <w:sz w:val="18"/>
          <w:szCs w:val="18"/>
          <w:color w:val="auto"/>
        </w:rPr>
        <w:t>- Our donor acquisition solutions leverage unique data assets to create acquisition mailing lists and predictive models that</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donor populations that meet the affinity, value and response criteria of our nonprofit customers. Nonprofit organizations use our prospect lists to solicit gifts and other support.</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Prospect Research </w:t>
      </w:r>
      <w:r>
        <w:rPr>
          <w:rFonts w:ascii="Arial" w:cs="Arial" w:eastAsia="Arial" w:hAnsi="Arial"/>
          <w:sz w:val="18"/>
          <w:szCs w:val="18"/>
          <w:color w:val="auto"/>
        </w:rPr>
        <w:t>- Our prospect research solutions include: custom data modeling that delivers critical information on a prospect's</w:t>
      </w:r>
      <w:r>
        <w:rPr>
          <w:rFonts w:ascii="Arial" w:cs="Arial" w:eastAsia="Arial" w:hAnsi="Arial"/>
          <w:sz w:val="18"/>
          <w:szCs w:val="18"/>
          <w:i w:val="1"/>
          <w:iCs w:val="1"/>
          <w:color w:val="auto"/>
        </w:rPr>
        <w:t xml:space="preserve"> </w:t>
      </w:r>
      <w:r>
        <w:rPr>
          <w:rFonts w:ascii="Arial" w:cs="Arial" w:eastAsia="Arial" w:hAnsi="Arial"/>
          <w:sz w:val="18"/>
          <w:szCs w:val="18"/>
          <w:color w:val="auto"/>
        </w:rPr>
        <w:t>likelihood to make a gift to an organization; wealth screenings that deliver detailed wealth information and giving capacity data on prospects; and web-based prospect management software that combines public data with donor information from a nonprofit's database to build a complete view of prospects for targeting and securing gifts.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Data Enrichment </w:t>
      </w:r>
      <w:r>
        <w:rPr>
          <w:rFonts w:ascii="Arial" w:cs="Arial" w:eastAsia="Arial" w:hAnsi="Arial"/>
          <w:sz w:val="18"/>
          <w:szCs w:val="18"/>
          <w:color w:val="auto"/>
        </w:rPr>
        <w:t>- Our data enrichment solutions enhance the quality of the data in our customers' databases. These solutions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outdated address files in the database and making corrections based on United States Postal Service data, as well as appending data by using known fields in an organization's constituent records to search and identify key demographic and contact information.</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Benchmarking and Performance Management </w:t>
      </w:r>
      <w:r>
        <w:rPr>
          <w:rFonts w:ascii="Arial" w:cs="Arial" w:eastAsia="Arial" w:hAnsi="Arial"/>
          <w:sz w:val="18"/>
          <w:szCs w:val="18"/>
          <w:color w:val="auto"/>
        </w:rPr>
        <w:t>- Our performance management solutions create relevant and insightful reports that</w:t>
      </w:r>
      <w:r>
        <w:rPr>
          <w:rFonts w:ascii="Arial" w:cs="Arial" w:eastAsia="Arial" w:hAnsi="Arial"/>
          <w:sz w:val="18"/>
          <w:szCs w:val="18"/>
          <w:i w:val="1"/>
          <w:iCs w:val="1"/>
          <w:color w:val="auto"/>
        </w:rPr>
        <w:t xml:space="preserve"> </w:t>
      </w:r>
      <w:r>
        <w:rPr>
          <w:rFonts w:ascii="Arial" w:cs="Arial" w:eastAsia="Arial" w:hAnsi="Arial"/>
          <w:sz w:val="18"/>
          <w:szCs w:val="18"/>
          <w:color w:val="auto"/>
        </w:rPr>
        <w:t>benchmark performance and illustrate key industry trends based on performance attributes provided by our nonprofit customers. Nonprofit organizations use our performance and industry analysis reports to assess marketing and operational effectiveness, and to influence operational planning.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Success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Customer Success organization is responsible for managing the post-sale relationship with our customers, starting at onboarding and continuing through the customer lifecycle. Our Customer Success team develops and fosters relationships within all levels of the customer organization to build more demonstrated value in our solutions and services, while helping customers achieve their desired outcomes. Customer Success Managers work to proactively communicate to drive overall satisfaction and retention of our customer's business. They work to collect and analyze actionable information, whether that is through direct customer relationships or through aggregated analytics that drives future one-to-one or one-to-many interactions. Their goal is to partner with customers to ensure that they are fully engaged and have an advocate within Blackbaud who works to meet their needs. Customer Success Managers bring industry knowledge and expertise to the customer relationship and strive to help our customers achieve positive growth and outcomes.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Support &amp; Maintenance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Most customers that purchase our solutions also enroll in one of our support and maintenance programs. For all our cloud subscription solutions, customer support is automatically included as part of the solution with no additional charge. Customers enrolled in the programs enjoy fast, reliable customer support, receive regular software updates, stay up-to-date with regular communication and have unlimited, around-the-clock access to support resources, including our extensive knowledgebase and forums. Customers who enroll in upgraded support and maintenance plans receive enhanced benefits such as call support priority and dedicated support resources for an additional charge.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and Managed Services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expert consultants provide data conversion, implementation and customization services for each of our software solutions. These services include:</w:t>
      </w:r>
    </w:p>
    <w:p>
      <w:pPr>
        <w:spacing w:after="0" w:line="90"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implementation;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conversion, business process analysis and application customization;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Database merging and enrichment, and secure credit card transaction processing;</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Database production activities;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Website design services.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we apply our industry knowledge and experience, combined with expert knowledge of our solutions, to evaluate an organization's needs and consult on how to improve a business process.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10  </w:t>
      </w:r>
      <w:r>
        <w:rPr>
          <w:sz w:val="1"/>
          <w:szCs w:val="1"/>
          <w:color w:val="auto"/>
        </w:rPr>
        <w:drawing>
          <wp:inline distT="0" distB="0" distL="0" distR="0">
            <wp:extent cx="728345" cy="1885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Training</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a variety of onsite, instructor-led online and on-demand training services to our customers relating to the use of our solutions and application of best practices, including our highly-rated Blackbaud University curriculum, through which customers can achieve certifications on Blackbaud software, which can serve as important catalysts for professional growth in the nonprofit industry. Our instructors have extensive training in the use of our solutions and present course material that is designed to include hands-on lab exercises, as well as course materials with examples and problems to solve.</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end of 2020, we had over 45,000 global customers including nonprofits, foundations, companies, education institutions, healthcare organizations and other social good entities. There are millions of users of our solutions in more than 100 countries. Our largest single customer accounted for less than 1% of our 2020 consolidated revenue.</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our solutions and related services are sold through our direct sales force. Our direct sales force is complemented by a team of business development representatives responsible for sales lead generation and qualification. These sales and marketing professionals are primarily located throughout the United States, the U.K., Canada and Australia. As of December 31, 2020, we had 367 direct sales employees.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marketing programs to create brand recognition and market awareness for our solutions and services. Our marketing efforts include participation at trade shows, technical conferences and technology seminars, publication of technical and educational articles in industry journals, preparation of competitive analyses and the use of software tools to enhance our digital footprint and drive lead generation. Our customers and strategic partners provide references and recommendations that we often feature in our advertising and promotional activities.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relationships with third parties can enhance our sales and marketing efforts. We have and will continue to establish additional relationships with companies that provide services to the philanthropic industry, such as consultants, educators, publishers, financial service providers, complementary technology providers and data providers. These companies promote or complement our solutions and provide us access to new customers.</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market for software and related services in the philanthropic industry is competitive and highly fragmented. For certain areas of the market, entry barriers are low, as general tools for small businesses can usually be configured to manage the most basic marketing, contact management, and accounting needs of social good organizations. In parallel, as software development evolves from a highly-complex tradecraft with nuanced understanding of architectural patterns and discrete languages, to click-to-code and drag-and-drop development with natively cloud-based infrastructure, it becomes easier for competitors to quickly spin up basic applications with embedded security and functionality. However, once basic needs are met, programs unique to social good organizations like fundraising, gift and grant management, and peer-to-peer activism require highly specialized tools to configure and transform general business software to match the complexities of the industry. These specialized applications have a higher barrier of entry as they require industry insight to accurately articulate the business workflow that generates the requirements for software products. Moreover, because social good organizations rely heavily on relationships with and among their supporters, integration of systems drives value beyond mere efficiency. Hence, we believe our insight, the full spectrum of our current solutions and our ability to deliver on future solutions makes us a strong competitor. We expect to continue to see new entrants as focus on social investment solutions increases to satisfy Millennial and Gen Z donors, the barriers of entry continue to decline with natively cloud solutions and social good organizations more readily require digital transformation of business processes and data-driven decision making.</w:t>
      </w:r>
    </w:p>
    <w:p>
      <w:pPr>
        <w:spacing w:after="0" w:line="289"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Our competition falls into four primary categories:</w:t>
      </w:r>
    </w:p>
    <w:p>
      <w:pPr>
        <w:spacing w:after="0" w:line="153" w:lineRule="exact"/>
        <w:rPr>
          <w:sz w:val="20"/>
          <w:szCs w:val="20"/>
          <w:color w:val="auto"/>
        </w:rPr>
      </w:pPr>
    </w:p>
    <w:p>
      <w:pPr>
        <w:jc w:val="both"/>
        <w:ind w:left="340" w:hanging="332"/>
        <w:spacing w:after="0" w:line="258" w:lineRule="auto"/>
        <w:tabs>
          <w:tab w:leader="none" w:pos="308"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Niche products </w:t>
      </w:r>
      <w:r>
        <w:rPr>
          <w:rFonts w:ascii="Arial" w:cs="Arial" w:eastAsia="Arial" w:hAnsi="Arial"/>
          <w:sz w:val="18"/>
          <w:szCs w:val="18"/>
          <w:color w:val="auto"/>
        </w:rPr>
        <w:t>are usually developed as a solution for a single problem at an organization and are adopted by similar organizations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solve a specialized need. These are typically offered by vendors who may have deep industry expertise but may not have the resources to expand beyond a specialized area. We believe we compete against these solutions by offering a set of integrated solutions rather than a single point solution, which we believe improves the overall customer experience. In addition, our open platform allows integration to specialized applications so the opportunity for disruption from these competitors is minimized.</w:t>
      </w:r>
    </w:p>
    <w:p>
      <w:pPr>
        <w:spacing w:after="0" w:line="129" w:lineRule="exact"/>
        <w:rPr>
          <w:rFonts w:ascii="Arial" w:cs="Arial" w:eastAsia="Arial" w:hAnsi="Arial"/>
          <w:sz w:val="18"/>
          <w:szCs w:val="18"/>
          <w:i w:val="1"/>
          <w:iCs w:val="1"/>
          <w:color w:val="auto"/>
        </w:rPr>
      </w:pPr>
    </w:p>
    <w:p>
      <w:pPr>
        <w:jc w:val="both"/>
        <w:ind w:left="340" w:hanging="332"/>
        <w:spacing w:after="0" w:line="258"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Vertical-specific solutions </w:t>
      </w:r>
      <w:r>
        <w:rPr>
          <w:rFonts w:ascii="Arial" w:cs="Arial" w:eastAsia="Arial" w:hAnsi="Arial"/>
          <w:sz w:val="18"/>
          <w:szCs w:val="18"/>
          <w:color w:val="auto"/>
        </w:rPr>
        <w:t>are offered by competitors seeking to meet the enterprise-wide needs of a specific sub-segment of social good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Typically, these solutions are offered by vendors who may offer either a point solution or integrated suite of products used by a vertical. We believe we compete successfully against these competitors through a combination of our integrated suite of offerings within verticals where we compete, offering solutions with market leading robustness as well as the scale, reach, and reputation of our organization.</w:t>
      </w:r>
    </w:p>
    <w:p>
      <w:pPr>
        <w:spacing w:after="0" w:line="129" w:lineRule="exact"/>
        <w:rPr>
          <w:rFonts w:ascii="Arial" w:cs="Arial" w:eastAsia="Arial" w:hAnsi="Arial"/>
          <w:sz w:val="18"/>
          <w:szCs w:val="18"/>
          <w:color w:val="auto"/>
        </w:rPr>
      </w:pPr>
    </w:p>
    <w:p>
      <w:pPr>
        <w:jc w:val="both"/>
        <w:ind w:left="340" w:hanging="332"/>
        <w:spacing w:after="0" w:line="253"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General business software vendors</w:t>
      </w:r>
      <w:r>
        <w:rPr>
          <w:rFonts w:ascii="Arial" w:cs="Arial" w:eastAsia="Arial" w:hAnsi="Arial"/>
          <w:sz w:val="18"/>
          <w:szCs w:val="18"/>
          <w:color w:val="auto"/>
        </w:rPr>
        <w:t>, such as Salesforce.com and Oracle, compete with us in certain areas of our business. While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a growing trend toward social investment that is prompting philanthropic solutions from these general business vendors, most do not have a complete nonprofit specific focus and, therefore, do not offer or intend to offer nonprofit-specific versions for outside sales. However, there is a subset of general business software competitors who have introduced nonprofit-specific versions of their products. These products generally do not satisfy the needs of nonprofits from end-to-end as they were not designed to support the specific needs of nonprofits during the original architecture, design, and requirements elicitation phases; therefore, we believe that because these products were not originally designed for nonprofits, they are not yet fully capable of meeting market needs without significant customization. The significant customization required to transform general business products into nonprofit solutions often requires the use of consultants to guide the implementation, without which, leave the adoption of general business software limited to very basic operations and simple needs. We believe our solutions compete successfully against general business software as a nonprofit’s needs grow more complex. As a result, we believe we can compete successfully to meet nonprofit-specific requirements, often integrating with general business platforms used for their more generalized operations.</w:t>
      </w:r>
    </w:p>
    <w:p>
      <w:pPr>
        <w:spacing w:after="0" w:line="135" w:lineRule="exact"/>
        <w:rPr>
          <w:rFonts w:ascii="Arial" w:cs="Arial" w:eastAsia="Arial" w:hAnsi="Arial"/>
          <w:sz w:val="18"/>
          <w:szCs w:val="18"/>
          <w:color w:val="auto"/>
        </w:rPr>
      </w:pPr>
    </w:p>
    <w:p>
      <w:pPr>
        <w:jc w:val="both"/>
        <w:ind w:left="340" w:hanging="332"/>
        <w:spacing w:after="0" w:line="277" w:lineRule="auto"/>
        <w:tabs>
          <w:tab w:leader="none" w:pos="308"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Consumer-oriented fundraising platforms, </w:t>
      </w:r>
      <w:r>
        <w:rPr>
          <w:rFonts w:ascii="Arial" w:cs="Arial" w:eastAsia="Arial" w:hAnsi="Arial"/>
          <w:sz w:val="17"/>
          <w:szCs w:val="17"/>
          <w:color w:val="auto"/>
        </w:rPr>
        <w:t>such as GoFundMe, Virgin Money Giving and Facebook compete with our business where</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consumers raise funds directly. To drive adoption of their platforms, these vendors rely on a combination of direct-to-consumer marketing, marketing to nonprofits who in turn market to their supporters, and marketing to intermediate entities such as an event sponsor who will market to participants. We believe we compete well in this market through a combination of positive brand recognition among all three of these groups and the combination of our consumer- and organization-oriented tools relative to those of the competition.</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Less frequently, we compete with providers of traditional, non-automated fundraising service providers, including parties providing services in support of traditional direct mail or email campaigns, special events fundraising, peer to peer, telemarketing and personal solicitations. We believe we compete successfully against these traditional fundraising service providers, primarily because our solutions and services are more automated, more robust, more tailored to the needs of nonprofit organization and more efficient.</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Technology and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Blackbaud SKY provides the foundation for all of Blackbaud’s cloud solutions, enabling highly available and easy-to-use cloud capabilities that integrate seamlessly and offering best-in-class infrastructure, integrated shared services, and modern, effective, purpose-built solutions. The platform’s service-oriented architecture organizes application features into independently deployable services and then leverages these self-contained services as integrated capabilities across our solution portfolio. This enables rapid innovation with high levels of reliability, availability and security, and lets Blackbaud evolve services over time at asymmetric paces as tech trends and tools emerge. Blackbaud SKY prioritizes customer value, including risk management, and speed of delivery. It enables rapid releases, scalable and high-quality services, and speedy time to market. Blackbaud SKY also provides a toolset for customers, partners, and developers to create and deploy self-contained services within the Blackbaud SKY ecosystem. SKY API enables developers to augment Blackbaud solutions with industry-standard REST APIs, standards-based authentication protocols, and a best-in-class developer experience. SKY UX allows developers to create applications with the same consistent, cohesive user interface</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12  </w:t>
      </w:r>
      <w:r>
        <w:rPr>
          <w:sz w:val="1"/>
          <w:szCs w:val="1"/>
          <w:color w:val="auto"/>
        </w:rPr>
        <w:drawing>
          <wp:inline distT="0" distB="0" distL="0" distR="0">
            <wp:extent cx="728345" cy="1885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Blackbaud’s native solutions using an open source framework that implements Blackbaud design patterns and provides guidelines and tooling for the entire application lifecycle. These tools enable Blackbaud customers to benefit not just from the innovation of Blackbaud’s own large team of developers, but also from an exponentially larger community of partners and third-party developers.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strategy for all Blackbaud cloud solutions emphasizes:</w:t>
      </w:r>
    </w:p>
    <w:p>
      <w:pPr>
        <w:spacing w:after="0" w:line="99"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Flexibility: </w:t>
      </w:r>
      <w:r>
        <w:rPr>
          <w:rFonts w:ascii="Arial" w:cs="Arial" w:eastAsia="Arial" w:hAnsi="Arial"/>
          <w:sz w:val="18"/>
          <w:szCs w:val="18"/>
          <w:color w:val="auto"/>
        </w:rPr>
        <w:t>Customers can extend our component-based architecture to accommodate changing demands without modifying source code.</w:t>
      </w:r>
    </w:p>
    <w:p>
      <w:pPr>
        <w:spacing w:after="0" w:line="117" w:lineRule="exact"/>
        <w:rPr>
          <w:rFonts w:ascii="Arial" w:cs="Arial" w:eastAsia="Arial" w:hAnsi="Arial"/>
          <w:sz w:val="18"/>
          <w:szCs w:val="18"/>
          <w:color w:val="auto"/>
        </w:rPr>
      </w:pPr>
    </w:p>
    <w:p>
      <w:pPr>
        <w:ind w:left="340" w:hanging="332"/>
        <w:spacing w:after="0" w:line="282" w:lineRule="auto"/>
        <w:tabs>
          <w:tab w:leader="none" w:pos="308"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Adaptability: </w:t>
      </w:r>
      <w:r>
        <w:rPr>
          <w:rFonts w:ascii="Arial" w:cs="Arial" w:eastAsia="Arial" w:hAnsi="Arial"/>
          <w:sz w:val="18"/>
          <w:szCs w:val="18"/>
          <w:color w:val="auto"/>
        </w:rPr>
        <w:t>The architecture of our applications allows us to easily add functionality or integrate with third-party applications to adapt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needs and market demands.</w:t>
      </w:r>
    </w:p>
    <w:p>
      <w:pPr>
        <w:spacing w:after="0" w:line="53" w:lineRule="exact"/>
        <w:rPr>
          <w:rFonts w:ascii="Arial" w:cs="Arial" w:eastAsia="Arial" w:hAnsi="Arial"/>
          <w:sz w:val="18"/>
          <w:szCs w:val="18"/>
          <w:i w:val="1"/>
          <w:iCs w:val="1"/>
          <w:color w:val="auto"/>
        </w:rPr>
      </w:pPr>
    </w:p>
    <w:p>
      <w:pPr>
        <w:ind w:left="340" w:hanging="332"/>
        <w:spacing w:after="0" w:line="282" w:lineRule="auto"/>
        <w:tabs>
          <w:tab w:leader="none" w:pos="308"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Scalable architecture and the performance, capacity and load balancing of our customers' industry-standard web servers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databases ensure that applications can scale to meet the needs of large organizations.</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Intellectual Property and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protect our intellectual property, we rely on a combination of patent, trademark, copyright and trade secret laws in various jurisdictions, as well as employee and third-party nondisclosure agreements and confidentiality procedures. We maintain many trademarks, including, but not limited to “Blackbaud,” “Raiser's Edge NXT” and “Luminate.” We currently have one active patent on our technology and have two pending patent applications.</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2020, we had over 3,100 employees, none of whom are represented by unions or are covered by collective bargaining agreements. We are not involved in any material disputes with any of our employees, and we believe that relations with our employees are strong.</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benefit from an engaged and driven employee base motivated to join the company by our higher purpose, which is "to help good take over the world." Our purpose attracts talented, competitive applicants, with 92% of employees saying our focus on social good organizations was a driver in their decision to join the company. This differentiator not only builds stronger employee engagement, but it helps us to provide a higher level of service to our customers across the social good community, with 92% of employees reporting that they actively serve as volunteers and 23% serving on a nonprofit board or committee — direct experience that enables them to better serve our customer base.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Blackbaud also attracts talented employees through effective and targeted recruiting strategies. In 2020, Blackbaud announced the launch of a new workforce strategy, allowing for many employees to have the option to work from other geographic locations within the country of the position, helping to expand the pool of qualified applicants for roles.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Employee engagement is a focus at Blackbaud, and we continually work to understand what matters and to make our workplace better to attract, develop, and retain talent. Every manager at Blackbaud is required to take a multi-course "Engagement Labs" training designed to equip them with the practical skills to ensure their teams are highly engaged. We assess and measure progress on engagement and growth opportunities at the individual level through quarterly check-ins and a global career framework that guides employee progression on both management and individual contributor career paths; we also assess engagement on the team and company level through regular employee surveying. We enable employees to have opportunities for career development through on-demand and company-led trainings. Our compensation framework is designed so that employees are compensated equitably and competitively, including through base salary, variable pay, equity awards and benefits. We also seek to support the whole person, through benefits that support wellness and financial health.</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Ultimately, we believe that Blackbaud is an excellent place to work due to our active participation in the Ecosystem of Good®: we govern our business ethically, contribute to causes and communities that matter to our employees through corporate philanthropy, we pursue sustainability, and we work every day to ensure our workplace is supportive, inclusive and engaging. We offer an array of philanthropy programs aimed at engaging our employees as agents of good, including matching gifts, competitive grants that honor noteworthy examples of volunteerism, employee-led</w:t>
      </w:r>
    </w:p>
    <w:p>
      <w:pPr>
        <w:spacing w:after="0" w:line="298"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grant committees, skills-based volunteerism initiatives, as well as science, technology, engineering and mathematics focused community programs.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commitment to diversity, equity and inclusion supports our efforts to attract, develop and retain a high-performing employee base. In September 2020, we welcomed our first Diversity and Inclusion Officer, as part of our strategy to further accelerate our diversity, inclusion and belonging efforts, while continuing to strengthen relationships with our people and the communities in which we operate. This new leadership focus will amplify and accelerate the significant initiatives already in place at Blackbaud, including: ongoing unconscious bias workshops; respect in the workplace training for all employees and enhanced training for managers; business networking affinity groups, including veterans, LGBTQ employees, women in technology, women in sales, African American employees and employees interested in sustainability.</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seasonal variations in our business, see “Management’s Discussion and Analysis of Financial Conditions and Results of Operations — Seasonality” in Item 7 in this report.</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our working capital practices, see “Management’s Discussion and Analysis of Financial Conditions and Results of Operations — Liquidity and Capital Resources” in Item 7 in this report.</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0000FF"/>
        </w:rPr>
        <w:t>www.blackbaud.com</w:t>
      </w:r>
      <w:r>
        <w:rPr>
          <w:rFonts w:ascii="Arial" w:cs="Arial" w:eastAsia="Arial" w:hAnsi="Arial"/>
          <w:sz w:val="18"/>
          <w:szCs w:val="18"/>
          <w:color w:val="auto"/>
        </w:rPr>
        <w:t xml:space="preserve">. We make available, free of charge through our website, our annual report on Form 10-K, quarterly reports on Form 10-Q, current reports on Form 8-K and all amendments to those reports pursuant to Section 13(a) or 15(d) of the Exchange Act as soon as reasonably practicable after we electronically file such material with, or furnish it to, the SEC, but other information on our website is not incorporated into this report. The SEC maintains an Internet site that contains these reports, proxy and information statements, and other information regarding issuers that file electronically with the SEC at </w:t>
      </w:r>
      <w:r>
        <w:rPr>
          <w:rFonts w:ascii="Arial" w:cs="Arial" w:eastAsia="Arial" w:hAnsi="Arial"/>
          <w:sz w:val="18"/>
          <w:szCs w:val="18"/>
          <w:u w:val="single" w:color="auto"/>
          <w:color w:val="0000FF"/>
        </w:rPr>
        <w:t>www.sec.gov</w:t>
      </w:r>
      <w:r>
        <w:rPr>
          <w:rFonts w:ascii="Arial" w:cs="Arial" w:eastAsia="Arial" w:hAnsi="Arial"/>
          <w:sz w:val="18"/>
          <w:szCs w:val="18"/>
          <w:color w:val="auto"/>
        </w:rPr>
        <w:t>.</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our executive officers as of February 15,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60" w:type="dxa"/>
            <w:vAlign w:val="bottom"/>
            <w:shd w:val="clear" w:color="auto" w:fill="ACACAC"/>
          </w:tcPr>
          <w:p>
            <w:pPr>
              <w:ind w:left="20"/>
              <w:spacing w:after="0"/>
              <w:rPr>
                <w:sz w:val="20"/>
                <w:szCs w:val="20"/>
                <w:color w:val="auto"/>
              </w:rPr>
            </w:pPr>
            <w:r>
              <w:rPr>
                <w:rFonts w:ascii="Arial" w:cs="Arial" w:eastAsia="Arial" w:hAnsi="Arial"/>
                <w:sz w:val="18"/>
                <w:szCs w:val="18"/>
                <w:b w:val="1"/>
                <w:bCs w:val="1"/>
                <w:color w:val="FFFFFF"/>
              </w:rPr>
              <w:t>Name</w:t>
            </w:r>
          </w:p>
        </w:tc>
        <w:tc>
          <w:tcPr>
            <w:tcW w:w="1420" w:type="dxa"/>
            <w:vAlign w:val="bottom"/>
            <w:shd w:val="clear" w:color="auto" w:fill="ACACAC"/>
          </w:tcPr>
          <w:p>
            <w:pPr>
              <w:jc w:val="center"/>
              <w:ind w:left="590"/>
              <w:spacing w:after="0"/>
              <w:rPr>
                <w:sz w:val="20"/>
                <w:szCs w:val="20"/>
                <w:color w:val="auto"/>
              </w:rPr>
            </w:pPr>
            <w:r>
              <w:rPr>
                <w:rFonts w:ascii="Arial" w:cs="Arial" w:eastAsia="Arial" w:hAnsi="Arial"/>
                <w:sz w:val="18"/>
                <w:szCs w:val="18"/>
                <w:b w:val="1"/>
                <w:bCs w:val="1"/>
                <w:color w:val="FFFFFF"/>
                <w:w w:val="99"/>
              </w:rPr>
              <w:t>Age</w:t>
            </w:r>
          </w:p>
        </w:tc>
        <w:tc>
          <w:tcPr>
            <w:tcW w:w="7240" w:type="dxa"/>
            <w:vAlign w:val="bottom"/>
            <w:shd w:val="clear" w:color="auto" w:fill="ACACAC"/>
          </w:tcPr>
          <w:p>
            <w:pPr>
              <w:ind w:left="200"/>
              <w:spacing w:after="0"/>
              <w:rPr>
                <w:sz w:val="20"/>
                <w:szCs w:val="20"/>
                <w:color w:val="auto"/>
              </w:rPr>
            </w:pPr>
            <w:r>
              <w:rPr>
                <w:rFonts w:ascii="Arial" w:cs="Arial" w:eastAsia="Arial" w:hAnsi="Arial"/>
                <w:sz w:val="18"/>
                <w:szCs w:val="18"/>
                <w:b w:val="1"/>
                <w:bCs w:val="1"/>
                <w:color w:val="FFFFFF"/>
              </w:rPr>
              <w:t>Title</w:t>
            </w:r>
          </w:p>
        </w:tc>
      </w:tr>
      <w:tr>
        <w:trPr>
          <w:trHeight w:val="230"/>
        </w:trPr>
        <w:tc>
          <w:tcPr>
            <w:tcW w:w="2560" w:type="dxa"/>
            <w:vAlign w:val="bottom"/>
            <w:shd w:val="clear" w:color="auto" w:fill="F4F4F4"/>
          </w:tcPr>
          <w:p>
            <w:pPr>
              <w:ind w:left="20"/>
              <w:spacing w:after="0"/>
              <w:rPr>
                <w:sz w:val="20"/>
                <w:szCs w:val="20"/>
                <w:color w:val="auto"/>
              </w:rPr>
            </w:pPr>
            <w:r>
              <w:rPr>
                <w:rFonts w:ascii="Arial" w:cs="Arial" w:eastAsia="Arial" w:hAnsi="Arial"/>
                <w:sz w:val="18"/>
                <w:szCs w:val="18"/>
                <w:color w:val="auto"/>
              </w:rPr>
              <w:t>Michael P. Gianoni</w:t>
            </w:r>
          </w:p>
        </w:tc>
        <w:tc>
          <w:tcPr>
            <w:tcW w:w="1420" w:type="dxa"/>
            <w:vAlign w:val="bottom"/>
            <w:shd w:val="clear" w:color="auto" w:fill="F4F4F4"/>
          </w:tcPr>
          <w:p>
            <w:pPr>
              <w:jc w:val="center"/>
              <w:ind w:left="610"/>
              <w:spacing w:after="0"/>
              <w:rPr>
                <w:sz w:val="20"/>
                <w:szCs w:val="20"/>
                <w:color w:val="auto"/>
              </w:rPr>
            </w:pPr>
            <w:r>
              <w:rPr>
                <w:rFonts w:ascii="Arial" w:cs="Arial" w:eastAsia="Arial" w:hAnsi="Arial"/>
                <w:sz w:val="18"/>
                <w:szCs w:val="18"/>
                <w:color w:val="auto"/>
                <w:w w:val="99"/>
              </w:rPr>
              <w:t>60</w:t>
            </w:r>
          </w:p>
        </w:tc>
        <w:tc>
          <w:tcPr>
            <w:tcW w:w="7240" w:type="dxa"/>
            <w:vAlign w:val="bottom"/>
            <w:shd w:val="clear" w:color="auto" w:fill="F4F4F4"/>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Anthony W. Boor</w:t>
            </w:r>
          </w:p>
        </w:tc>
        <w:tc>
          <w:tcPr>
            <w:tcW w:w="1420" w:type="dxa"/>
            <w:vAlign w:val="bottom"/>
          </w:tcPr>
          <w:p>
            <w:pPr>
              <w:jc w:val="center"/>
              <w:ind w:left="610"/>
              <w:spacing w:after="0"/>
              <w:rPr>
                <w:sz w:val="20"/>
                <w:szCs w:val="20"/>
                <w:color w:val="auto"/>
              </w:rPr>
            </w:pPr>
            <w:r>
              <w:rPr>
                <w:rFonts w:ascii="Arial" w:cs="Arial" w:eastAsia="Arial" w:hAnsi="Arial"/>
                <w:sz w:val="18"/>
                <w:szCs w:val="18"/>
                <w:color w:val="auto"/>
                <w:w w:val="99"/>
              </w:rPr>
              <w:t>58</w:t>
            </w:r>
          </w:p>
        </w:tc>
        <w:tc>
          <w:tcPr>
            <w:tcW w:w="724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2560" w:type="dxa"/>
            <w:vAlign w:val="bottom"/>
            <w:shd w:val="clear" w:color="auto" w:fill="F4F4F4"/>
          </w:tcPr>
          <w:p>
            <w:pPr>
              <w:ind w:left="20"/>
              <w:spacing w:after="0"/>
              <w:rPr>
                <w:sz w:val="20"/>
                <w:szCs w:val="20"/>
                <w:color w:val="auto"/>
              </w:rPr>
            </w:pPr>
            <w:r>
              <w:rPr>
                <w:rFonts w:ascii="Arial" w:cs="Arial" w:eastAsia="Arial" w:hAnsi="Arial"/>
                <w:sz w:val="18"/>
                <w:szCs w:val="18"/>
                <w:color w:val="auto"/>
              </w:rPr>
              <w:t>Kevin P. Gregoire</w:t>
            </w:r>
          </w:p>
        </w:tc>
        <w:tc>
          <w:tcPr>
            <w:tcW w:w="1420" w:type="dxa"/>
            <w:vAlign w:val="bottom"/>
            <w:shd w:val="clear" w:color="auto" w:fill="F4F4F4"/>
          </w:tcPr>
          <w:p>
            <w:pPr>
              <w:jc w:val="center"/>
              <w:ind w:left="610"/>
              <w:spacing w:after="0"/>
              <w:rPr>
                <w:sz w:val="20"/>
                <w:szCs w:val="20"/>
                <w:color w:val="auto"/>
              </w:rPr>
            </w:pPr>
            <w:r>
              <w:rPr>
                <w:rFonts w:ascii="Arial" w:cs="Arial" w:eastAsia="Arial" w:hAnsi="Arial"/>
                <w:sz w:val="18"/>
                <w:szCs w:val="18"/>
                <w:color w:val="auto"/>
                <w:w w:val="99"/>
              </w:rPr>
              <w:t>53</w:t>
            </w:r>
          </w:p>
        </w:tc>
        <w:tc>
          <w:tcPr>
            <w:tcW w:w="7240" w:type="dxa"/>
            <w:vAlign w:val="bottom"/>
            <w:shd w:val="clear" w:color="auto" w:fill="F4F4F4"/>
          </w:tcPr>
          <w:p>
            <w:pPr>
              <w:ind w:left="200"/>
              <w:spacing w:after="0"/>
              <w:rPr>
                <w:sz w:val="20"/>
                <w:szCs w:val="20"/>
                <w:color w:val="auto"/>
              </w:rPr>
            </w:pPr>
            <w:r>
              <w:rPr>
                <w:rFonts w:ascii="Arial" w:cs="Arial" w:eastAsia="Arial" w:hAnsi="Arial"/>
                <w:sz w:val="18"/>
                <w:szCs w:val="18"/>
                <w:color w:val="auto"/>
              </w:rPr>
              <w:t>Executive Vice President and President, Enterprise Markets Group</w:t>
            </w:r>
          </w:p>
        </w:tc>
      </w:tr>
      <w:tr>
        <w:trPr>
          <w:trHeight w:val="230"/>
        </w:trPr>
        <w:tc>
          <w:tcPr>
            <w:tcW w:w="2560" w:type="dxa"/>
            <w:vAlign w:val="bottom"/>
          </w:tcPr>
          <w:p>
            <w:pPr>
              <w:ind w:left="20"/>
              <w:spacing w:after="0" w:line="230" w:lineRule="exact"/>
              <w:rPr>
                <w:sz w:val="20"/>
                <w:szCs w:val="20"/>
                <w:color w:val="auto"/>
              </w:rPr>
            </w:pPr>
            <w:r>
              <w:rPr>
                <w:rFonts w:ascii="Arial" w:cs="Arial" w:eastAsia="Arial" w:hAnsi="Arial"/>
                <w:sz w:val="18"/>
                <w:szCs w:val="18"/>
                <w:color w:val="auto"/>
              </w:rPr>
              <w:t>Kevin R. McDearis</w:t>
            </w:r>
            <w:r>
              <w:rPr>
                <w:rFonts w:ascii="Arial" w:cs="Arial" w:eastAsia="Arial" w:hAnsi="Arial"/>
                <w:sz w:val="23"/>
                <w:szCs w:val="23"/>
                <w:color w:val="auto"/>
                <w:vertAlign w:val="superscript"/>
              </w:rPr>
              <w:t>(1)</w:t>
            </w:r>
          </w:p>
        </w:tc>
        <w:tc>
          <w:tcPr>
            <w:tcW w:w="1420" w:type="dxa"/>
            <w:vAlign w:val="bottom"/>
          </w:tcPr>
          <w:p>
            <w:pPr>
              <w:jc w:val="center"/>
              <w:ind w:left="610"/>
              <w:spacing w:after="0"/>
              <w:rPr>
                <w:sz w:val="20"/>
                <w:szCs w:val="20"/>
                <w:color w:val="auto"/>
              </w:rPr>
            </w:pPr>
            <w:r>
              <w:rPr>
                <w:rFonts w:ascii="Arial" w:cs="Arial" w:eastAsia="Arial" w:hAnsi="Arial"/>
                <w:sz w:val="18"/>
                <w:szCs w:val="18"/>
                <w:color w:val="auto"/>
                <w:w w:val="99"/>
              </w:rPr>
              <w:t>53</w:t>
            </w:r>
          </w:p>
        </w:tc>
        <w:tc>
          <w:tcPr>
            <w:tcW w:w="7240" w:type="dxa"/>
            <w:vAlign w:val="bottom"/>
          </w:tcPr>
          <w:p>
            <w:pPr>
              <w:ind w:left="200"/>
              <w:spacing w:after="0"/>
              <w:rPr>
                <w:sz w:val="20"/>
                <w:szCs w:val="20"/>
                <w:color w:val="auto"/>
              </w:rPr>
            </w:pPr>
            <w:r>
              <w:rPr>
                <w:rFonts w:ascii="Arial" w:cs="Arial" w:eastAsia="Arial" w:hAnsi="Arial"/>
                <w:sz w:val="18"/>
                <w:szCs w:val="18"/>
                <w:color w:val="auto"/>
              </w:rPr>
              <w:t>Executive Vice President and Chief Products Officer</w:t>
            </w:r>
          </w:p>
        </w:tc>
      </w:tr>
      <w:tr>
        <w:trPr>
          <w:trHeight w:val="229"/>
        </w:trPr>
        <w:tc>
          <w:tcPr>
            <w:tcW w:w="2560" w:type="dxa"/>
            <w:vAlign w:val="bottom"/>
            <w:shd w:val="clear" w:color="auto" w:fill="F4F4F4"/>
          </w:tcPr>
          <w:p>
            <w:pPr>
              <w:ind w:left="20"/>
              <w:spacing w:after="0"/>
              <w:rPr>
                <w:sz w:val="20"/>
                <w:szCs w:val="20"/>
                <w:color w:val="auto"/>
              </w:rPr>
            </w:pPr>
            <w:r>
              <w:rPr>
                <w:rFonts w:ascii="Arial" w:cs="Arial" w:eastAsia="Arial" w:hAnsi="Arial"/>
                <w:sz w:val="18"/>
                <w:szCs w:val="18"/>
                <w:color w:val="auto"/>
              </w:rPr>
              <w:t>Kevin W. Mooney</w:t>
            </w:r>
          </w:p>
        </w:tc>
        <w:tc>
          <w:tcPr>
            <w:tcW w:w="1420" w:type="dxa"/>
            <w:vAlign w:val="bottom"/>
            <w:shd w:val="clear" w:color="auto" w:fill="F4F4F4"/>
          </w:tcPr>
          <w:p>
            <w:pPr>
              <w:jc w:val="center"/>
              <w:ind w:left="610"/>
              <w:spacing w:after="0"/>
              <w:rPr>
                <w:sz w:val="20"/>
                <w:szCs w:val="20"/>
                <w:color w:val="auto"/>
              </w:rPr>
            </w:pPr>
            <w:r>
              <w:rPr>
                <w:rFonts w:ascii="Arial" w:cs="Arial" w:eastAsia="Arial" w:hAnsi="Arial"/>
                <w:sz w:val="18"/>
                <w:szCs w:val="18"/>
                <w:color w:val="auto"/>
                <w:w w:val="99"/>
              </w:rPr>
              <w:t>62</w:t>
            </w:r>
          </w:p>
        </w:tc>
        <w:tc>
          <w:tcPr>
            <w:tcW w:w="7240" w:type="dxa"/>
            <w:vAlign w:val="bottom"/>
            <w:shd w:val="clear" w:color="auto" w:fill="F4F4F4"/>
          </w:tcPr>
          <w:p>
            <w:pPr>
              <w:ind w:left="200"/>
              <w:spacing w:after="0"/>
              <w:rPr>
                <w:sz w:val="20"/>
                <w:szCs w:val="20"/>
                <w:color w:val="auto"/>
              </w:rPr>
            </w:pPr>
            <w:r>
              <w:rPr>
                <w:rFonts w:ascii="Arial" w:cs="Arial" w:eastAsia="Arial" w:hAnsi="Arial"/>
                <w:sz w:val="18"/>
                <w:szCs w:val="18"/>
                <w:color w:val="auto"/>
              </w:rPr>
              <w:t>Executive Vice President and President, General Markets Group</w:t>
            </w:r>
          </w:p>
        </w:tc>
      </w:tr>
      <w:tr>
        <w:trPr>
          <w:trHeight w:val="230"/>
        </w:trPr>
        <w:tc>
          <w:tcPr>
            <w:tcW w:w="256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Jon W. Olson</w:t>
            </w:r>
          </w:p>
        </w:tc>
        <w:tc>
          <w:tcPr>
            <w:tcW w:w="1420" w:type="dxa"/>
            <w:vAlign w:val="bottom"/>
            <w:tcBorders>
              <w:bottom w:val="single" w:sz="8" w:color="71BF43"/>
            </w:tcBorders>
          </w:tcPr>
          <w:p>
            <w:pPr>
              <w:jc w:val="center"/>
              <w:ind w:left="610"/>
              <w:spacing w:after="0"/>
              <w:rPr>
                <w:sz w:val="20"/>
                <w:szCs w:val="20"/>
                <w:color w:val="auto"/>
              </w:rPr>
            </w:pPr>
            <w:r>
              <w:rPr>
                <w:rFonts w:ascii="Arial" w:cs="Arial" w:eastAsia="Arial" w:hAnsi="Arial"/>
                <w:sz w:val="18"/>
                <w:szCs w:val="18"/>
                <w:color w:val="auto"/>
                <w:w w:val="99"/>
              </w:rPr>
              <w:t>57</w:t>
            </w:r>
          </w:p>
        </w:tc>
        <w:tc>
          <w:tcPr>
            <w:tcW w:w="7240" w:type="dxa"/>
            <w:vAlign w:val="bottom"/>
            <w:tcBorders>
              <w:bottom w:val="single" w:sz="8" w:color="71BF43"/>
            </w:tcBorders>
          </w:tcPr>
          <w:p>
            <w:pPr>
              <w:ind w:left="200"/>
              <w:spacing w:after="0"/>
              <w:rPr>
                <w:sz w:val="20"/>
                <w:szCs w:val="20"/>
                <w:color w:val="auto"/>
              </w:rPr>
            </w:pPr>
            <w:r>
              <w:rPr>
                <w:rFonts w:ascii="Arial" w:cs="Arial" w:eastAsia="Arial" w:hAnsi="Arial"/>
                <w:sz w:val="18"/>
                <w:szCs w:val="18"/>
                <w:color w:val="auto"/>
              </w:rPr>
              <w:t>Senior Vice President and General Counsel</w:t>
            </w:r>
          </w:p>
        </w:tc>
      </w:tr>
    </w:tbl>
    <w:p>
      <w:pPr>
        <w:spacing w:after="0" w:line="9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McDearis was designated by our Board of Directors as an executive officer as defined in Rule 3b-7 of the Exchange Act effective January 1, 2021.</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Michael P. Gianoni </w:t>
      </w:r>
      <w:r>
        <w:rPr>
          <w:rFonts w:ascii="Arial" w:cs="Arial" w:eastAsia="Arial" w:hAnsi="Arial"/>
          <w:sz w:val="18"/>
          <w:szCs w:val="18"/>
          <w:color w:val="auto"/>
        </w:rPr>
        <w:t>joined us as President and Chief Executive Officer in January 2014. Prior to joining us, he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Group President, Financial Institutions at Fiserv, Inc., a global technology provider serving the financial services industry, from January 2010 to December 2013. He joined Fiserv as President of its Investment Services division in December 2007. Mr. Gianoni was Executive Vice President and General Manager of CheckFree Investment Services, which provided investment management solutions to financial services organizations, from June 2006 until December 2007 when CheckFree was acquired by Fiserv. From May 1994 to November 2005, he served as</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14  </w:t>
      </w:r>
      <w:r>
        <w:rPr>
          <w:sz w:val="1"/>
          <w:szCs w:val="1"/>
          <w:color w:val="auto"/>
        </w:rPr>
        <w:drawing>
          <wp:inline distT="0" distB="0" distL="0" distR="0">
            <wp:extent cx="728345" cy="18859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Senior Vice President of DST Systems Inc., a global provider of technology-based service solutions. Mr. Gianoni is a member of the Board of Directors of Teradata Corporation, a publicly traded global big data analytics company. Mr. Gianoni has served on several nonprofit boards across several segments, including relief organizations, hospitals and higher education. He currently is a board member of the International African American Museum. He holds an AS in electrical engineering from Waterbury State Technical College, a BS with a business concentration from Charter Oak State College, and an MBA and an honorary Doctorate from the University of New Haven.</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Anthony W. Boor </w:t>
      </w:r>
      <w:r>
        <w:rPr>
          <w:rFonts w:ascii="Arial" w:cs="Arial" w:eastAsia="Arial" w:hAnsi="Arial"/>
          <w:sz w:val="18"/>
          <w:szCs w:val="18"/>
          <w:color w:val="auto"/>
        </w:rPr>
        <w:t>joined us as Executive Vice President and Chief Financial Officer in November 2011 and served as our interim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from August 2013 to January 2014. Prior to joining us, he served as an executive with Brightpoint, Inc., a global provider of device lifecycle services to the wireless industry, beginning in 1999, most recently as its Executive Vice President, Chief Financial Officer and Treasurer. He also served as the interim President of Europe, Middle East and Africa during Brightpoint's significant restructuring of that region. Mr. Boor served as Director of Business Operations for Brightpoint North America from August 1998 to July 1999. Prior to joining Brightpoint, Mr. Boor was employed in various financial positions with Macmillan Computer Publishing, Inc., a Viacom owned book publishing company specializing in computer hardware and software related topics, Day Dream Publishing, Inc., a publishing company specializing in calendars, posters and time management materials, Ernst &amp; Young LLP, an accounting firm, Expo New Mexico, a state-owned fair and expo grounds and live pari-mutual horse racing venue, KPMG LLP, an accounting firm, and Ernst &amp; Whinney LLP, an accounting firm. He holds a BS in Accounting from New Mexico State University.</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Kevin P. Gregoire </w:t>
      </w:r>
      <w:r>
        <w:rPr>
          <w:rFonts w:ascii="Arial" w:cs="Arial" w:eastAsia="Arial" w:hAnsi="Arial"/>
          <w:sz w:val="18"/>
          <w:szCs w:val="18"/>
          <w:color w:val="auto"/>
        </w:rPr>
        <w:t>joined us as Executive Vice President and President, Enterprise Markets Group in April 2018. Prior to joining us, Mr.</w:t>
      </w:r>
      <w:r>
        <w:rPr>
          <w:rFonts w:ascii="Arial" w:cs="Arial" w:eastAsia="Arial" w:hAnsi="Arial"/>
          <w:sz w:val="18"/>
          <w:szCs w:val="18"/>
          <w:i w:val="1"/>
          <w:iCs w:val="1"/>
          <w:color w:val="auto"/>
        </w:rPr>
        <w:t xml:space="preserve"> </w:t>
      </w:r>
      <w:r>
        <w:rPr>
          <w:rFonts w:ascii="Arial" w:cs="Arial" w:eastAsia="Arial" w:hAnsi="Arial"/>
          <w:sz w:val="18"/>
          <w:szCs w:val="18"/>
          <w:color w:val="auto"/>
        </w:rPr>
        <w:t>Gregoire was Group President of the Financial Institutions Group at Fiserv, a global technology provider serving the financial services industry, from March 2014 until February 2018. He joined Fiserv in December 2002 and served in other key leadership roles including Division President and Chief Operating Officer, Card Services, and Senior Vice President of Product and Network Strategy. Mr. Gregoire is also a veteran of the United States Army, where he served as Lieutenant in the Corps of Engineers and was awarded three Army Commendation Medals. He holds a BS from the United States Military Academy at West Point, and an MBA from the F.W. Olin School of Business at Babson College.</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Kevin R. McDearis </w:t>
      </w:r>
      <w:r>
        <w:rPr>
          <w:rFonts w:ascii="Arial" w:cs="Arial" w:eastAsia="Arial" w:hAnsi="Arial"/>
          <w:sz w:val="18"/>
          <w:szCs w:val="18"/>
          <w:color w:val="auto"/>
        </w:rPr>
        <w:t>has served as our Executive Vice President and Chief Products Officer since October 2016. He joined us in August 2014</w:t>
      </w:r>
      <w:r>
        <w:rPr>
          <w:rFonts w:ascii="Arial" w:cs="Arial" w:eastAsia="Arial" w:hAnsi="Arial"/>
          <w:sz w:val="18"/>
          <w:szCs w:val="18"/>
          <w:i w:val="1"/>
          <w:iCs w:val="1"/>
          <w:color w:val="auto"/>
        </w:rPr>
        <w:t xml:space="preserve"> </w:t>
      </w:r>
      <w:r>
        <w:rPr>
          <w:rFonts w:ascii="Arial" w:cs="Arial" w:eastAsia="Arial" w:hAnsi="Arial"/>
          <w:sz w:val="18"/>
          <w:szCs w:val="18"/>
          <w:color w:val="auto"/>
        </w:rPr>
        <w:t>as our Senior Vice President of Global Product Development. Prior to joining us, Mr. McDearis was the Chief Information Officer at Manhattan Associates, Inc., a technology leader in supply chain and omnichannel commerce, from August 2012 to July 2014. He was responsible for leading a global IT organization in strategy development, organization development, portfolio and project management, software and infrastructure engineering, service delivery and operations. Prior to that, Mr. McDearis served as Chief Technology Officer for the Enterprise Technology Group and other key leadership positions at Fiserv (formerly CheckFree), a global technology provider serving the financial services industry, from October 1996 to August 2012. Mr. McDearis serves on the Board of Directors for the USS Yorktown Foundation. He also served on the Board of Directors of the Technology Association of Georgia ("TAG") from 2011 to 2016 and as Vice Chairman of the Board in 2014. He holds a BS in Management from The Georgia Institute of Technology.</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Kevin W. Mooney </w:t>
      </w:r>
      <w:r>
        <w:rPr>
          <w:rFonts w:ascii="Arial" w:cs="Arial" w:eastAsia="Arial" w:hAnsi="Arial"/>
          <w:sz w:val="18"/>
          <w:szCs w:val="18"/>
          <w:color w:val="auto"/>
        </w:rPr>
        <w:t>has served as our Executive Vice President and President, General Markets Group since January 2010. He joined us 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2008 as our Chief Commercial Officer. Before joining Blackbaud, Mr. Mooney was a senior executive at Travelport GDS from August 2007 to May 2008. As Chief Commercial Officer of Travelport GDS, one of the world's largest providers of information services and transaction processing to the travel industry, Mr. Mooney was responsible for global sales, marketing, training, service and support activities. Prior to that he was Chief Financial Officer for Worldspan from March 2005 until it was acquired by Travelport in August 2007. Mr. Mooney has also held key executive positions in the telecommunications industry and he served as a member of the Board of Directors of Level 3 Communications, Inc., a publicly traded global managed network services company, from October 2014 to November 2017. Prior to that he served on the Board of Directors of tw telecom from August 2005 until it was acquired by Level 3 in October 2014. He holds a BS in Finance from Seton Hall University, and an MBA in Finance from Georgia State University.</w:t>
      </w:r>
    </w:p>
    <w:p>
      <w:pPr>
        <w:spacing w:after="0" w:line="2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Jon W. Olson </w:t>
      </w:r>
      <w:r>
        <w:rPr>
          <w:rFonts w:ascii="Arial" w:cs="Arial" w:eastAsia="Arial" w:hAnsi="Arial"/>
          <w:sz w:val="18"/>
          <w:szCs w:val="18"/>
          <w:color w:val="auto"/>
        </w:rPr>
        <w:t>joined us as Senior Vice President and General Counsel in September 2008. Mr. Olson is responsible for Blackbaud's legal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real estate activities. Prior to joining us, he was an attorney with Alcatel-Lucent USA, the U.S.</w:t>
      </w:r>
    </w:p>
    <w:p>
      <w:pPr>
        <w:spacing w:after="0" w:line="259"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subsidiary of France-based Alcatel-Lucent (now owned by Nokia Corporation) that designs, develops, and builds wireline, wireless, and converged communications networks, from July 1997 to September 2008. Prior to joining Alcatel-Lucent, Mr. Olson was employed in legal positions with MCI, Inc., a global business and residential communications company, from September 1996 to July 1997, and Unisys Corporation, a global information technology company, from July 1992 to September 1996. Mr. Olson is a member of the MUSC (Medical University of South Carolina) Hollings Cancer Center Citizens Advisory Council and is on the board of the Charleston Symphony and Charleston Jazz. He holds a BS from Georgetown University, a JD from Dickinson School of Law and an MBA from Seton Hall University.</w:t>
      </w: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business operations face a number of risks. These risks should be read and considered with other information provided in this report.</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Strategic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compete successfully could cause our revenue or market share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market is highly competitive and rapidly evolving, and there are limited barriers to entry for many segments of this market.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companies we compete with and other potential competitors may have greater financial, technical and marketing resources and generate greater revenue and better name recognition than we do. Also, a large diversified software enterprise could decide to enter the market directly, including through acquisitions. Competitive pressures can adversely impact our business by limiting the prices we can charge our customers and making the adoption and renewal of our solutions more difficult.</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competitors might also establish or strengthen cooperative relationships with resellers and third-party consulting firms or other parties with whom we have had relationships, thereby limiting our ability to promote our solutions.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These competitive pressures could cause our revenue and market share to decline.</w:t>
      </w:r>
    </w:p>
    <w:p>
      <w:pPr>
        <w:spacing w:after="0" w:line="2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competition for highly qualified personnel is intense, we might not be able to attract and retain key personnel needed to support our planned growth.</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meet our objectives successfully, we must attract and retain highly qualified personnel with specialized skill sets. If we are unable to attract and retain suitably qualified management, there could be a material adverse impact on our business.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we use equity incentive programs and equity awards in lieu of cash as part of our overall employee compensation agreements to both attract and retain personnel. A decline in our stock price could negatively impact the value of these equity incentive and related compensation programs as retention and recruiting tools. We may need to create new or additional equity incentive programs and/or compensation packages to remain competitive, which could be dilutive to our existing stockholders and/or adversely affect our results of operations.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More rapid than expected success in implementing our strategic shift from a license-based and one-time services business model to a cloud subscription business model could negatively impact our total revenue growth and financial performance.</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intentionally shift our focus towards selling cloud subscription solutions, which generally require less customization services. Also, our cloud solution contracts now frequently include subscription-based professional, analytic and training services. This strategic shift to migrate our existing customers and sell new customers our cloud subscription solutions results in a decrease in our one-time services contracts and revenue. Although our business model seeks to anticipate the rate of migration and resulting negative impact on our total revenue growth, more rapid than</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16  </w:t>
      </w:r>
      <w:r>
        <w:rPr>
          <w:sz w:val="1"/>
          <w:szCs w:val="1"/>
          <w:color w:val="auto"/>
        </w:rPr>
        <w:drawing>
          <wp:inline distT="0" distB="0" distL="0" distR="0">
            <wp:extent cx="728345" cy="18859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expected success in implementing this strategic shift could negatively impact our total revenue growth and financial performance.</w:t>
      </w:r>
    </w:p>
    <w:p>
      <w:pPr>
        <w:spacing w:after="0" w:line="25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market for software and services for the social good community might not grow and the organizations in that community might not continue to adopt our solutions and services.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organizations in the social good community, including nonprofits, foundations, companies, education institutions and healthcare organizations, have not traditionally used integrated and comprehensive software and services for their specific needs. We cannot be certain that the market for such solutions and services will continue to develop and grow or that these organizations will elect to adopt our solutions and services rather than continue to use traditional, less automated methods, attempt to develop software internally, rely upon legacy software systems, or use software solutions not specifically designed for this market. Organizations that have already invested substantial resources in other fundraising methods or other non-integrated software solutions might be reluctant to adopt our solutions and services to supplement or replace their existing systems or methods. In addition, the implementation of one or more of our software solutions can involve significant capital commitments by our customers, which they may be unwilling or unable to make, especially due to disruption in the social good community due to COVID-19. If demand for and market acceptance of our solutions and services does not increase, we might not grow our business as we expect.</w:t>
      </w:r>
    </w:p>
    <w:p>
      <w:pPr>
        <w:spacing w:after="0" w:line="24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we fail to respond to technological changes or successfully introduce new and improved solutions, our competitive position may be harmed and our business may suffer.</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introduction of solutions encompassing new technologies can render existing solutions obsolete and unmarketable. As a result, our future success will depend, in part, upon our ability to continue to enhance existing solutions and develop and introduce in a timely manner or acquire new solutions that keep pace with technological developments, satisfy increasingly sophisticated customer requirements and achieve market acceptance. If we are unable to develop or acquire on a timely and cost-effective basis new software solutions or enhancements to existing solutions or if such new solutions or enhancements do not achieve market acceptance, our business, results of operations and financial condition may be materially adversely affected.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successfully address the risks inherent in the expansion of our international operations, our business could suffer.</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currently have non-U.S. operations primarily in the U.K., Canada, Australia and Costa Rica, and we intend to expand further into international markets. Expansion of our international operations will require a significant amount of attention from our management and substantial financial resources and might require us to add qualified management in these markets. Our direct sales model requires us to attract, retain and manage qualified sales personnel capable of selling into markets outside the United States. In some cases, our costs of sales might increase if our customers require us to sell through local distributors. If we are unable to grow our international operations in a cost-effective and timely manner, our business and operating results could be harmed.</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that an increasing portion of our international revenues will be denominated in foreign currencies, subjecting us to fluctuations in foreign currency exchange rates. If we expand our international operations, exposures to gains and losses on foreign currency transactions may increase.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Doing business internationally involves additional risks that could harm our operating results. Along with risks similar to those faced by our U.S. operations, our international operations are also subject to risks related to differing legal, political, social and regulatory requirements and economic conditions, including:</w:t>
      </w:r>
    </w:p>
    <w:p>
      <w:pPr>
        <w:spacing w:after="0" w:line="94" w:lineRule="exact"/>
        <w:rPr>
          <w:sz w:val="20"/>
          <w:szCs w:val="20"/>
          <w:color w:val="auto"/>
        </w:rPr>
      </w:pPr>
    </w:p>
    <w:p>
      <w:pPr>
        <w:ind w:left="660" w:right="20" w:hanging="328"/>
        <w:spacing w:after="0" w:line="261"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additional withholding taxes or other tax on our foreign income, tariffs or restrictions on foreign trade or investment, including currency exchange controls;</w:t>
      </w:r>
    </w:p>
    <w:p>
      <w:pPr>
        <w:spacing w:after="0" w:line="35"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risk of a failure of our employees and partners to comply with both U.S. and foreign laws, including antitrust regulations, the U.S. Foreign Corrupt Practices Act, the U.K. Bribery Act of 2010, and any trade regulations ensuring fair trade practices; and</w:t>
      </w:r>
    </w:p>
    <w:p>
      <w:pPr>
        <w:spacing w:after="0" w:line="35"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or unexpected adverse changes in, foreign laws or regulatory requirements, including those pertaining to export restrictions, privacy and data protection, trade and employment restrictions and intellectual protections.</w:t>
      </w:r>
    </w:p>
    <w:p>
      <w:pPr>
        <w:spacing w:after="0" w:line="27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Unfavorable media coverage related to peer-to-peer fundraising campaigns on our social platforms could negatively impact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online social giving platforms receive a high degree of media coverage for particularly news-worthy or controversial fundraising campaigns, as well as for our fee-based business model. Although our terms of service provide express limitations on the platforms' user-initiated fundraising campaigns and reserve our right to remove content that violates our terms of service, it may not always be possible to remove such content prior to it receiving attention in the media. Negative publicity related to our online social giving platforms could have an adverse effect on the size, engagement and loyalty of our user base and could result in decreased revenue, which could adversely affect our business and financial results.</w:t>
      </w: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Acquisitions could be difficult to consummate and integrate into our operations, and they could disrupt our business, dilute stockholder value or impair our financial results.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our business strategy, we will continue from time to time to seek to grow our business through acquisitions of new or complementary businesses, technologies or products that we believe can improve our ability to compete in our existing customer markets or allow us to enter new markets. The potential risks associated with acquisitions and investment transactions include, but are not limited to:</w:t>
      </w:r>
    </w:p>
    <w:p>
      <w:pPr>
        <w:spacing w:after="0" w:line="94"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realize anticipated returns on investment, cost savings and synergies;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assimilating the operations, policies and personnel of the acquired company;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combining product offerings and entering into new markets in which we may not have experience;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distraction of management’s attention from normal business operations;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key employees of the acquired company;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implementing effective internal controls over financial reporting and disclosure controls and procedures;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relationships with customers or suppliers;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issues not discovered in due diligence, which may include product quality issues or legal or other contingencies.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Acquisitions may also result in potentially dilutive issuances of equity securities, the incurrence of debt and contingent liabilities, the expenditure of available cash, and amortization expenses or write-downs related to intangible assets such as goodwill, any of which could have a material adverse effect on our operating results or financial condition. We may experience risks relating to the challenges and costs of closing a business combination and the risk that an announced business combination may not close. There can be no assurance that we will be successful in making additional acquisitions in the future or in integrating or executing on our business plan for existing or future acquisitions.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reduction in the growth or amount of charitable giving could adversely affect our operating results and financial condition.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large percentage of our customers are nonprofits, foundations, education institutions, healthcare organizations and other members of the social good community that fully or partially rely on charitable donations. If charitable giving, including online giving, does not continue to grow or declines, it could limit our current and potential customers' ability to use and pay for our solutions and services, which could adversely affect our operating results and financial condition.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we derive a significant portion of our revenue from transaction-based payment processing fees that we collect from our customers through our Blackbaud Merchant Services solution, which enables our customers' donors to make donations and purchase goods and services using various payment options. A reduction in the growth of, or a decline in, charitable giving to these customers, whether due to deteriorating general economic conditions, the impact of recent or future changes to applicable tax laws, or otherwise, could negatively impact the volume and size of such payment processing transactions and thereby adversely affect our operating results and financial condition.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18  </w:t>
      </w:r>
      <w:r>
        <w:rPr>
          <w:sz w:val="1"/>
          <w:szCs w:val="1"/>
          <w:color w:val="auto"/>
        </w:rPr>
        <w:drawing>
          <wp:inline distT="0" distB="0" distL="0" distR="0">
            <wp:extent cx="728345" cy="18859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licenses for, or our use of, third-party technologies could harm our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licensing technologies from third parties, including applications used in our research and development activities, technologies which are integrated into our solutions and solutions that we resell. We believe that the loss of any third-party technologies currently integrated into our solutions could have a material adverse effect on our business. Our inability in the future to obtain any third-party licenses on commercially reasonable terms, or at all, could delay future solution development until equivalent technology can be identified, licensed or developed and integrated. This inability in turn could harm our business and operating results.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use of third-party technologies also exposes us to increased risks including, but not limited to, risks associated with the integration of new technology into our solutions, the diversion of our resources from development of our own proprietary technology and our inability to generate revenue from licensed technology sufficient to offset associated acquisition and maintenance costs.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U.K.'s departure from the European Union ("E.U.") could adversely affect us.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U.K. held a referendum on June 23, 2016 on its membership in the E.U., in which a majority of U.K. voters voted to exit the E.U. (commonly referred to as "Brexit"). Thereafter, the E.U. and the U.K. engaged in extensive negotiations designed to reach agreement regarding the future terms of the U.K.'s relationship with the E.U. Effective January 31, 2020, the U.K. is no longer a member of the E.U., and an agreed post-Brexit transition period expired on December 31, 2020. Effective January 1, 2021, the relationship between the U.K. and the E.U. is governed primarily by the new Trade and Cooperation Agreement (the “TCA”), which sets forth, among other things, terms regarding the trade of goods and services, workers’ rights and social and environmental matters. Separate negotiations are expected to continue regarding, among other things, data sharing, data privacy and financial services, and certain terms of the TCA contain agreed expiration dates. Because we currently conduct business in the U.K. and in Europe, the U.K.’s exit from the E.U. under such circumstances creates uncertainty and could affect the business of and/or our relationships with our customers and partners as well as the value of the British Pound and the Euro relative to the U.S. dollar. The ultimate effects of Brexit on us, including those mentioned above and others we cannot now anticipate, are difficult to predict and could adversely affect our business, business opportunities, results of operations or financial condition in both the short-term and thereafter.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COVID-19 pandemic has disrupted, and is expected to continue to disrupt, our business, which is likely to adversely affect our operations and financial performance.</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outbreak of COVID-19 in countries across the globe, including each country in which we currently operate, has adversely impacted the U.S. and global economies. We have experienced disruptions to our business thus far from COVID-19, and the pandemic continues to impact each of our markets. Governmental authorities have taken, and continue to take, countermeasures to slow the outbreak, including shelter-in-place and business closure orders and large-scale restrictions on travel. Furthermore, because the pandemic is a rapidly evolving situation, we cannot anticipate with certainty the length, scope or severity of such restrictions in the jurisdictions in which we operate.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Certain vertical markets we serve are especially vulnerable to the ongoing global business disruption. For example:</w:t>
      </w:r>
    </w:p>
    <w:p>
      <w:pPr>
        <w:spacing w:after="0" w:line="225" w:lineRule="exact"/>
        <w:rPr>
          <w:sz w:val="20"/>
          <w:szCs w:val="20"/>
          <w:color w:val="auto"/>
        </w:rPr>
      </w:pPr>
    </w:p>
    <w:p>
      <w:pPr>
        <w:jc w:val="both"/>
        <w:ind w:left="660" w:hanging="328"/>
        <w:spacing w:after="0" w:line="256"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Many arts and cultural organizations, including museums, zoos, performing arts centers and theaters, among others, have had to cancel events or have seen a significant decline in attendance due to COVID-19. Many of these organizations have also suspended their operations temporarily.</w:t>
      </w:r>
    </w:p>
    <w:p>
      <w:pPr>
        <w:spacing w:after="0" w:line="201"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believe that a number of K-12 private schools, that would have ordinarily considered purchasing our cloud solutions for the 2020-2021 academic school year, have delayed their expenditure decisions due to the uncertainty of COVID-19.</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number of our nonprofit customers have also been negatively impacted by the postponement or cancellation of mass-participation events, such as marathons and other endurance sporting events, galas, auctions and other fundraisers.</w:t>
      </w:r>
    </w:p>
    <w:p>
      <w:pPr>
        <w:spacing w:after="0" w:line="200" w:lineRule="exact"/>
        <w:rPr>
          <w:sz w:val="20"/>
          <w:szCs w:val="20"/>
          <w:color w:val="auto"/>
        </w:rPr>
      </w:pPr>
    </w:p>
    <w:p>
      <w:pPr>
        <w:spacing w:after="0" w:line="293"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COVID-19 has impacted and will continue to impact all of our vertical markets across all of our geographies to some degree, but the significance and duration of the impact on our business cannot be determined at this time due to numerous uncertainties, including the duration of the outbreak, travel restrictions and business closures, the effectiveness of vaccination programs and other actions taken to contain the disease and other unforeseeable consequences. This impact could include:</w:t>
      </w:r>
    </w:p>
    <w:p>
      <w:pPr>
        <w:spacing w:after="0" w:line="150"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declines in customer demand and our ability to build pipeline of new customer contracts;</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elongated sales cycles;</w:t>
      </w:r>
    </w:p>
    <w:p>
      <w:pPr>
        <w:spacing w:after="0" w:line="171"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 with, and the financial and operational capacities of, our service providers, suppliers and business partners, including their ability to fulfill their obligations to us;</w:t>
      </w:r>
    </w:p>
    <w:p>
      <w:pPr>
        <w:spacing w:after="0" w:line="14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declines in our customers' ability to pay for our solutions and services;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workforce availability and productivity due to working remotely using different technologies and potential health effects and concerns;</w:t>
      </w:r>
    </w:p>
    <w:p>
      <w:pPr>
        <w:spacing w:after="0" w:line="143"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our indebtedness (including available borrowing capacity, compliance with financial covenants and ability to refinance or repay indebtedness on favorable terms);</w:t>
      </w:r>
    </w:p>
    <w:p>
      <w:pPr>
        <w:spacing w:after="0" w:line="14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flows and earnings and other conditions that may affect our liquidity;</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to our technology network and other critical systems;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charges against our goodwill and other intangible assets, operating lease right-of-use assets and other long-lived assets.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business disruption relating to COVID-19 will continue to negatively impact the U.S. and global economies and may continue to materially adversely impact our business, financial condition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Defects, delays or interruptions in our cloud solutions and hosting services could diminish demand for these services and subject us to substantial liability.</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currently utilize data center hosting facilities to provide cloud solutions to most of our subscription customers and hosting services to our on-premise license customers. Any damage to, or failure of, these data center systems generally could result in interruptions in service to our customers, notwithstanding any business continuity or disaster recovery agreements that may currently be in place at these facilities. Because our cloud solutions and hosting service offerings are complex and we have incorporated a variety of new computer hardware and software systems at our data centers, our services might have errors or defects that users identify after they begin using our services. This could result in unanticipated downtime for our customers and harm to our reputation and business results. Internet-based services sometimes contain undetected errors when first introduced or when new versions or enhancements are released. We have from time to time found defects in our web-based services and new errors might again be detected in the future. In addition, our customers might use our Internet-based offerings in unanticipated ways that cause a disruption in service for other customers attempting to access their data.</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our customers use these services for important aspects of their businesses, any defects, delays or disruptions in service or other performance problems with our services could hurt our reputation and damage our customers' businesses. If that occurs, customers could elect to cancel their service, delay or withhold payment to us, not purchase from us in the future or make claims against us, which could result in an increase in our provision for credit losses, an increase in collection cycles for accounts receivable or the expense and risk of litigation. Any of these could harm our business and reputation.</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Material defects or errors in the software we use to deliver our services could harm our reputation, result in significant costs to us and impair our ability to sell our services.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software applications underlying our services are inherently complex and may contain material defects or errors, particularly when first introduced or when new versions or enhancements are released. We have from time to time found defects in our software, and new errors in our existing software may be detected in the future.</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20  </w:t>
      </w:r>
      <w:r>
        <w:rPr>
          <w:sz w:val="1"/>
          <w:szCs w:val="1"/>
          <w:color w:val="auto"/>
        </w:rPr>
        <w:drawing>
          <wp:inline distT="0" distB="0" distL="0" distR="0">
            <wp:extent cx="728345" cy="1885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the release of our software, defects or errors may also be identified from time to time by our internal team and our customers. The costs incurred in correcting any material defects or errors in our software may be substantial and could harm our operating results. Furthermore, our customers may use our software together with solutions from other companies. As a result, when problems occur, it might be difficult to identify the source of the problem. Even when our software does not cause these problems, the existence of these errors might cause us to incur significant costs, divert the attention of our technical personnel from our solution development efforts, impact our reputation and cause significant customer relations problems.</w:t>
      </w:r>
    </w:p>
    <w:p>
      <w:pPr>
        <w:spacing w:after="0" w:line="2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or our customers believe we may be unable, to detect and prevent unauthorized use of payment card or other private financial or personal information, we could be subject to financial liability, our reputation could be harmed and customers may be reluctant to use our solutions and services.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rules of payment card associations in which we participate require that we comply with Payment Card Industry Data Security Standard ("PCI DSS") in order to preserve security of payment card data. Under PCI DSS, we are required to adopt and implement internal controls over the use, storage and security of payment card data to help prevent card fraud. Conforming our solutions and services to PCI DSS or other payment services related regulations or requirements imposed by payment networks or our customers or payment processing partners is expensive and time-consuming. However, failure to comply may subject us to fines, penalties, damages and civil liability, may impair the security of payment card data in our possession, and may harm our reputation and our business prospects, including by limiting our ability to process transactions. All Blackbaud products in scope for PCI DSS compliance meet applicable PCI DSS security requirements.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routinely subject our various data protection processes and controls to voluntary third-party review, audit or reporting, including, for example, the American Institute of Certified Public Accountants’ System and Organization Controls (“SOC”) reporting. Failure to conduct these voluntary data protection process and control reviews or to obtain and maintain unqualified audits or reports covering our data protection processes and controls may harm our reputation or our business prospects and our ability to market our solutions to our customers.</w:t>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the security of our software is breached, we fail to securely collect, store and transmit customer information, or we fail to safeguard confidential donor data, we could be exposed to liability, litigation, penalties and remedial costs and our reputation and business could suffer.</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Fundamental to the use of our solutions is the secure collection, storage and transmission of confidential donor and end user data and transaction data, including in our payment services. Despite the network, application and physical security procedures and internal control measures we employ to safeguard our systems, we may still be vulnerable to a security breach, intrusion, loss or theft of confidential donor data and transaction data, which may harm our business, reputation and future financial results. Furthermore, our increased reliance on remote access to information systems and global disruptions in response to COVID-19, as described above, increase our exposure to potential cybersecurity incidents.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Like many major businesses, we are, from time to time, a target of cyberattacks, phishing and social engineering schemes, such as the Security Incident (as described in Note 11 to our consolidated financial statements in this report), and we expect these threats to continue, some of which may be successful to varying degrees. Because the numerous and evolving cybersecurity threats used to obtain unauthorized access, disable, degrade or sabotage systems have become increasingly more complex and sophisticated, it may be difficult to anticipate these acts or to detect them for periods of time, as with the Security Incident, and we may be unable to respond adequately or timely. As these threats continue to evolve and increase, we may be required to devote significant additional resources in order to modify and enhance our security controls and to identify and remediate any security vulnerabilities.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compromise of our data security, such as the Security Incident, that results in customer or customer constituent personal or payment card data being obtained by unauthorized persons could adversely affect our reputation with our customers and others, as well as our operations, results of operations, financial condition and liquidity and could result in litigation against us or the imposition of fines and penalties. We might be required to expend significant additional capital and other resources to rectify problems caused by a security breach, including notification under data privacy laws and regulations, and incur expenses related to remediating our information security systems. (See Note 11 to our consolidated financial statements in this report for such information related to the Security Incident.) Even though we carry cyber-technology insurance policies that may provide insurance coverage under certain circumstances, we might</w:t>
      </w:r>
    </w:p>
    <w:p>
      <w:pPr>
        <w:spacing w:after="0" w:line="286"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suffer losses as a result of a security breach that exceed the coverage available under our insurance policies or for which we do not have coverage. A security breach and any efforts we make to address such breach could also result in a disruption of our operations, particularly our online sales operations.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occurrence of actual cyber security events, such as the Security Incident, could magnify the severity of the adverse effects of future incidents on our business. The techniques used to obtain unauthorized access, disable or degrade service, or sabotage information systems can be difficult to detect for long periods of time and can involve difficult or prolonged assessment or remediation periods even once detected. We, therefore, cannot assure you that all potential causes of past significant incidents, including the Security Incident, have been fully identified and remediated. The steps we take may not be sufficient to prevent future significant incidents and, as a result, such incidents may occur again.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Security Incident could have numerous adverse effects on our business.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on July 16, 2020, we first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Although the nature of the incident, our research and third party (including law enforcement) investigation have provided no reason to believe that any data went beyond the cybercriminal, was or will be misused, or will be disseminated or otherwise made available publicly, our investigation into the Security Incident remains ongoing and may provide additional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date, we have received approximately 570 claims for reimbursement of expenses from customers or their attorneys related to the Security Incident (none of which have as yet been filed in court or in arbitration) and are in the process of assessing what, if any, liability may exist pursuant to such claims. Possible exposure could result from our customers’ costs and expenses associated with notifying their own constituents of the Security Incident and taking steps to assure that personal information has not been compromised as a result of the Security Incident. In addition, presently, we are a defendant in 30 putative consumer class action cases [27 in U.S. federal courts (some of which have been consolidated under multi district litigation to a single federal court), 1 in a U.S. state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44 state Attorneys General and the District of Columbia relating to the Security Incident. In addition, we have received communications, inquires and requests from the U.S. Federal Trade Commission, the U.S. Department of Health and Human Services, the U.S. Securities and Exchange Commission, the Information Commissioner’s Office in the United Kingdom (the “ICO”) under the U.K. Data Protection Act 2018, the Office of the Australian Information Commissioner and the Office of the Privacy Commissioner of Canada. (See Note 11 to our consolidated financial statements included in this report for a more detailed description of the Security Incident and related matters.)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may not be covered by insurance. Governmental authorities also may seek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Significant management time and Company resources have been, and are expected to continue to be, devoted to the Security Incident. (See Note 11 to our consolidated financial statements included in this report.) Although we carry cyber-technology insurance designed to protect us against certain losses related to cybersecurity events, that insurance coverage may not be sufficient to cover all expenses or other losses (including fines) or all types of claims that may arise in connection with cyberattacks, security compromises and other related incidents. Furthermore, in the future such insurance may not be available on commercially reasonable terms, or at all.</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22  </w:t>
      </w:r>
      <w:r>
        <w:rPr>
          <w:sz w:val="1"/>
          <w:szCs w:val="1"/>
          <w:color w:val="auto"/>
        </w:rPr>
        <w:drawing>
          <wp:inline distT="0" distB="0" distL="0" distR="0">
            <wp:extent cx="728345" cy="18859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Future publicity or developments related to the Security Incident could have a range of other adverse effects on our business or prospects, including causing or contributing to loss of customer confidence, reduced customer demand, reduced customer retention, strategic growth opportunities, and associated retention and recruiting difficulties.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affected by the occurrence of a natural disaster or other catastrophic event.</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depend on our principal executive offices and other facilities for the continued operation of our business. Although we have contingency plans in effect for natural disasters or other catastrophic events, these events, including terrorist attacks, computer hacker attacks and natural disasters such as hurricanes, flooding and earthquakes, could disrupt one or more of these facilities and adversely affect our operations. Our principal executive offices are located in a coastal region that has experienced hurricanes and earthquakes in the past. Even though we carry business interruption insurance policies and typically have provisions in our commercial contracts that protect us in certain events, we might suffer losses as a result of business interruptions that exceed the coverage available under our insurance policies or for which we do not have coverage. Any natural disaster or catastrophic event affecting us could have a significant negative impact on our operations.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Complications with the design or implementation of our new global enterprise resource planning ("ERP") system could adversely affect our operations and operating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extensively on information systems and technology to manage our business and summarize our operating results. We are in the process of a multi-year implementation of a new ERP system, which will replace our existing core financial systems. Such an implementation is a major undertaking, both financially and from a management and personnel perspective. The new ERP system is designed to accurately maintain our financial records, enhance the flow of financial information, improve data management, and provide timely information to our management team. We may not be able to successfully implement the ERP system without experiencing delays, unexpected additional costs and other difficulties. Failure to successfully design and implement the new ERP system as planned could harm our business, financial condition and operating results. Additionally, if we do not effectively implement the ERP system as planned or the ERP system does not operate as intended, the effectiveness of our internal control over financial reporting could be negatively affected.</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Financial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a significant portion of our revenue is recognized over time on a ratable basis over the contract term, downturns in sales may not be immediately reflected in our revenue.</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recognize our subscription and maintenance revenue ratably over time over the contract term. Our subscription arrangements are generally for a term of three years at contract inception with one to three-year renewals thereafter. Most of our maintenance arrangements are for a one-year term. As a result, much of the revenue we report in each quarter is attributable to arrangements entered into during previous quarters. Consequently, a decline in sales to new customers, renewals by existing customers or market acceptance of our solutions in any one quarter will not necessarily be fully reflected in the revenues in that quarter and could negatively affect our revenues and profitability in future quarters.</w:t>
      </w: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solutions or annual maintenance and support arrangements or if they do not renew them on terms that are favorable to us, our business might suffer.</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subscription arrangements are generally for a term of three years at contract inception with one to three-year renewals thereafter. Most of our maintenance arrangements are for a one-year term. As the end of the contract term approaches, we seek the renewal of the agreement with the customer. Historically, subscription and maintenance renewals have represented a significant portion of our total revenue. Because of this characteristic of our business, if our customers choose not to renew their subscriptions or maintenance and support arrangements with us on beneficial terms or at all, our business, operating results and financial condition could be harmed. Our customers' renewal rates may decline or fluctuate as a result of a number of factors, including their level of satisfaction with our solutions and services and their ability to continue their operations and spending levels due to COVID-19 or otherwise.</w:t>
      </w:r>
    </w:p>
    <w:p>
      <w:pPr>
        <w:spacing w:after="0" w:line="286"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significantly increased our leverage in connection with acquisitions.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incurred a substantial amount of indebtedness in connection with acquisitions and the purchase of our Global Headquarters Facility. As a result of this indebtedness, our interest payment obligations have increased. The degree to which we are leveraged could have adverse effects on our business, including the following:</w:t>
      </w:r>
    </w:p>
    <w:p>
      <w:pPr>
        <w:spacing w:after="0" w:line="94" w:lineRule="exact"/>
        <w:rPr>
          <w:sz w:val="20"/>
          <w:szCs w:val="20"/>
          <w:color w:val="auto"/>
        </w:rPr>
      </w:pPr>
    </w:p>
    <w:p>
      <w:pPr>
        <w:jc w:val="both"/>
        <w:ind w:left="660" w:hanging="328"/>
        <w:spacing w:after="0" w:line="256"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the availability of our cash flow to fund working capital, capital expenditures, acquisitions, dividends, share repurchases and other general corporate purposes;</w:t>
      </w:r>
    </w:p>
    <w:p>
      <w:pPr>
        <w:spacing w:after="0" w:line="93"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industries in which we operate;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us from making additional strategic acquisitions or exploiting business opportunities;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borrow additional funds;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Decreasing our ability to compete effectively or operate successfully under adverse economic and industry conditions.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we incur additional debt, these risks may intensify. Our ability to meet our debt service obligations will depend upon our future performance, which will be subject to the financial, business and other factors affecting our operations, many of which are beyond our control.</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balance sheet includes significant amounts of goodwill and intangible assets. The impairment of a significant portion of these assets could negatively affect our operating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2020, we had $635.9 million and $277.5 million of goodwill and intangible assets, respectively. On at least an annual basis, we assess whether there have been impairments in the carrying value of goodwill and intangible assets. If the carrying value of an asset is determined to be impaired, then it is written down to fair value by a non-cash charge to operating earnings. Changes in circumstances that could indicate that the carrying value of goodwill or intangible assets may not be recoverable include declines in our stock price, market capitalization, cash flows and slower growth rates in our industry. We cannot accurately predict the likelihood or potential amount and timing of any impairment of goodwill or other intangible assets. An impairment of a significant portion of goodwill or intangible assets could materially and negatively affect our results of operations and financial condition.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credit facility may limit our activities, including dividend payments, share repurchases and acquisitions.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contains restrictions, including covenants limiting our ability to incur additional debt, grant liens, make acquisitions and other investments, prepay specified debt, consolidate, merge or acquire other businesses, sell assets, pay dividends and other distributions, repurchase stock and enter into transactions with affiliates. There can be no assurance that we will be able to remain in compliance with the covenants to which we are subject in the future and, if we fail to do so, that we will be able to obtain waivers from our lenders or amend the covenants.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of a default under our credit facility, we could be required to immediately repay all outstanding borrowings, which we might not be able to do. In addition, certain of our material domestic subsidiaries are required to guarantee amounts borrowed under the credit facility, and we have pledged the shares of certain of our subsidiaries as collateral for our obligations under the credit facility. Any such default could have a material adverse effect on our ability to operate, including allowing lenders under the credit facility to enforce guarantees of our subsidiaries, if any, or exercise their rights with respect to the shares pledged as collateral.</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24  </w:t>
      </w:r>
      <w:r>
        <w:rPr>
          <w:sz w:val="1"/>
          <w:szCs w:val="1"/>
          <w:color w:val="auto"/>
        </w:rPr>
        <w:drawing>
          <wp:inline distT="0" distB="0" distL="0" distR="0">
            <wp:extent cx="728345" cy="18859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cannot guarantee that our stock repurchase program will be fully consummated or that it will enhance long-term stockholder value. Share repurchases could also increase the volatility of the trading price of our stock and will diminish our cash reserves.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our board of directors has authorized a stock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this program will diminish our cash reserves, which may impact our ability to finance future growth and to pursue possible future strategic opportunities and acquisitions. (See Note 14 to our consolidated financial statements in this report for additional information related to our stock repurchase program.)</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recorded significant deferred tax assets, and we might never realize their full value, which would result in a charge against our earnings.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2020, we had deferred tax assets of $ 92.7 million. Realization of our deferred tax assets is dependent upon our generating sufficient taxable income in future years to realize the tax benefit from those assets. Deferred tax assets are reviewed at least annually for realizability. A charge against our earnings would result if, based on the available evidence, it is more likely than not that some portion of the deferred tax asset will not be realized beyond our existing valuation allowance. This could be caused by, among other things, deterioration in performance, adverse market conditions, adverse changes in applicable laws or regulations, including changes that restrict the activities of or affect the solutions sold by our business and a variety of other factors. For example, during 2020, we recorded an increase in our valuation allowance attributable to state tax credit carryforwards for which we do not expect to realize benefit. (See Note 12 to our consolidated financial statements in this report for additional details.) If a deferred tax asset net of our valuation allowance was determined to be not realizable in a future period, the charge to earnings would be recognized as an expense in our results of operations in the period the determination is made. Additionally, if we are unable to utilize our deferred tax assets, our cash flow available to fund operations could be adversely affected.</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Depending on future circumstances, it is possible that we might never realize the full value of our deferred tax assets. Any future impairment charges related to a significant portion of our deferred tax assets would have an adverse effect on our financial condition and results of operations.</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Legal and Compliance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Privacy and data protection concerns, including evolving domestic and international government regulation in the area of consumer data privacy or data protection, could adversely affect our business and operating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effectiveness of our software solutions relies on our customers' storage and use of data concerning their customers, including financial, personally identifying or other sensitive data. Our customers' collection and use of this data for donor profiling, data analytics or communications outreach might raise privacy and data protection concerns and negatively impact the demand for our solutions and services. For example, our custom modeling and analytical services rely heavily on processing and using of data we gather from customers and various sources. Privacy and data protection laws could add restrictions or regulatory burdens, which could limit to our ability to market and profit from those services.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Governments in some jurisdictions have enacted or are considering enacting consumer data privacy or data protection legislation, including laws and regulations applying to the solicitation, collection, transfer, processing and use of personal data. This legislation could reduce the demand for our software solutions if we fail to design or enhance our solutions to enable our customers to comply with the privacy and data protection measures required by the legislation. Moreover, we may be exposed to liability under existing or new consumer privacy or data protection legislation. For example, when providing our solutions to certain customers in the healthcare industry, we must comply with applicable provisions of the Health Insurance Portability and Accountability Act of 1996 ("HIPAA"), and might be subject to similar provisions of other legislation, including, without limitation, the Gramm-Leach-Bliley Act and related regulations, and</w:t>
      </w:r>
    </w:p>
    <w:p>
      <w:pPr>
        <w:spacing w:after="0" w:line="286"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California Consumer Privacy Act of 2018, which became effective January 1, 2020, and may apply to some of our customers and areas of business. Even technical violations of these laws may result in penalties that are assessed for each non-compliant transaction.</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Blackbaud, and some of our customers, may be subject to the E.U. General Data Protection Regulation (“GDPR”), which became effective in the E.U. in May 2018 and its provisions continue to apply in the U.K. after Brexit by virtue of legislation incorporating the GDPR into U.K. data protection law, known as the "UK GDPR." The law requires companies to meet requirements regarding the handling of personal data, including rights such as the portability of personal data. We completed an extensive program of product and operational changes to address GDPR requirements and all future solutions sold to customers subject to GDPR must include GDPR features. The implementation of GDPR has affected our ability to offer some features and services to customers in the E.U. and U.K. Furthermore, actions and investigations by regulatory authorities related to data security incidents and privacy violations continue to increase, which could impact us through increased costs or restrictions on our business, and noncompliance could result in significant regulatory penalties and legal liability.</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customers or we were found to be subject to and in violation of any privacy or data protection laws or regulations, our business may be materially and adversely impacted and we and/or our customers would likely have to change our business practices. In addition, these laws and regulations could impose significant costs on our customers and us and make it more difficult for donors to make online donations. (See Note 11 to our consolidated financial statements included in this report for a description of the Security Incident and related legal proceedings and regulatory matters.)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 the information technology business, and our solutions and services store, retrieve, transfer, manipulate and manage our customers’ information and data. The effectiveness of our software solutions relies on our customers’ storage and use of data concerning their donors, including financial, personally identifying and other sensitive data and our business uses similar systems that require us to store and use data with respect to our customers and personnel. Our collection and our customers’ collection and use of this data might raise privacy and data protection concerns and negatively impact our business or the demand for our solutions and services. If a breach of data security, such as the Security Incident, were to occur, or other violation of privacy or data protection laws and regulations were to be alleged, our business may be materially and adversely impacted and solutions may be perceived as less desirable, which would negatively affect our business and operating results.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Claims that we or our technologies infringe upon the intellectual property or other proprietary rights of a third party may require us to incur significant costs, enter into royalty or licensing agreements or develop or license substitute technology.</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be subject to claims that the technologies in our solutions and services infringe upon the intellectual property or other proprietary rights of a third party. In addition, the vendors providing us with technology that we use in our own solutions could become subject to similar infringement claims. Although we believe that our solutions and services do not infringe any intellectual property or other proprietary rights, we cannot be certain that our solutions and services do not, or that they will not in the future, infringe intellectual property or other proprietary rights held by others. Any claims of infringement could cause us to incur substantial costs to defend against the claim, even if the claim is without merit, and could distract our management from our business. Moreover, any settlement or adverse judgment resulting from the claim could require us to pay substantial amounts, or obtain a license to continue to use the technology and services that are the subject of the claim, and/or otherwise restrict or prohibit our use of the same. There can be no assurance that we would be able to obtain a license on commercially reasonable terms from the third party asserting any particular claim, or that we would be able to successfully develop alternative technology on a timely basis, or that we would be able to obtain a license from another provider of suitable alternative technology to permit us to continue offering, and our customers to continue using, the solutions and services. In addition, we generally provide in our customer arrangements for certain solutions and services that we will indemnify our customers against third-party infringement claims relating to technology we provide to those customers, which could obligate us to pay damages if the solutions and services were found to be infringing. Infringement claims asserted against us, our vendors or our customers may have a material adverse effect on our business, prospects, financial condition and results of operations.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26  </w:t>
      </w:r>
      <w:r>
        <w:rPr>
          <w:sz w:val="1"/>
          <w:szCs w:val="1"/>
          <w:color w:val="auto"/>
        </w:rPr>
        <w:drawing>
          <wp:inline distT="0" distB="0" distL="0" distR="0">
            <wp:extent cx="728345" cy="18859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solutions utilize open source software, which may subject us to litigation, require us to re-engineer our solutions, or otherwise divert resources away from our development efforts.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open source software in connection with certain of our solutions. Such open source software is generally licensed by its authors or other third parties under open source licenses, including, for example, the GNU General Public License, the GNU Lesser General Public License, “Apache-style” licenses, “BSD-style” licenses and other open source licenses. There is little legal precedent governing the interpretation of many of the terms of some of these licenses and, therefore, the potential impact of these terms on our business is currently unable to be determined and may result in unanticipated obligations regarding our solutions and technologies. From time to time, companies that incorporate open source software into their products have faced claims challenging the ownership of open source software and/or compliance with open source license terms. Therefore, we could be subject to litigation by parties claiming ownership of open source software or noncompliance with open source licensing terms. Some open source software licenses require users who distribute open source software as part of their own software to publicly disclose all or part of the source code to such software and/or make available any derivative works of the open source code on unfavorable terms or at no cost. While we monitor our use of open source software and try to ensure that none is used in a manner that would require us to disclose the source code or that would otherwise breach the terms of an open source agreement, such use could inadvertently occur and we may be required to release proprietary source code, pay damages for breach of contract, re-engineer our applications, discontinue sales in the event re-engineering cannot be accomplished on a timely basis, or take other remedial action that may divert resources away from our development efforts, any of which could adversely affect our business.</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upon trademark, copyright, patent and trade secret laws to protect our proprietary rights, which might not provide us with adequate protection.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and ability to compete depends to a significant degree upon the protection of our proprietary technology rights. We might not be successful in protecting our proprietary technology and our proprietary rights might not provide us with a meaningful competitive advantage. To protect our core proprietary technology, we rely on a combination of patent, trademark, copyright and trade secret laws, as well as nondisclosure agreements, each of which affords only limited protection.</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Increasing and evolving domestic and international government financial regulation could adversely affect our business and operating results.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our solutions, in particular, our financial management and payment services solutions, relate to activity heavily regulated in the U.S. by federal and state government regulatory agencies and in other countries in which we operate by local regulatory agencies. The laws and regulations enforced by these agencies are proposed or enacted to deter fraud and other illicit financial transactions and to protect consumers and the financial system. We have procedures and controls in place to monitor compliance with numerous federal, state and foreign laws and regulations. However, because these laws and regulations are complex, differ between jurisdictions, and are often subject to interpretation, or as a result of unintended errors, we may, from time to time, inadvertently violate these laws and regulations. Compliance with these laws and regulations is expensive and requires the time and attention of management. These costs divert capital and focus away from efforts intended to grow our business. If we do not successfully comply with laws, regulations, or policies, we could incur fines or penalties, be subject to litigation, lose existing or new customer contracts or other business, and suffer damage to our reputation. Changes in these laws and regulations can alter our business environment, limit business operations, require substantial investments to achieve compliance and increase costs of doing business, and we cannot predict the impact such changes would have on our operating results and financial condition.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Provisions of Delaware law, our certificate of incorporation and bylaws may have the effect of delaying or preventing a change in control of our company or deterring tender offers for our common stock that other stockholders may consider in their best interests. Our certificate of incorporation authorizes “blank check” preferred stock, which could be issued by the board of directors without stockholder approval and may contain voting, liquidation, dividend and other rights superior to our common stock. Stockholder approval is not necessary to issue preferred stock in this</w:t>
      </w:r>
    </w:p>
    <w:p>
      <w:pPr>
        <w:spacing w:after="0" w:line="28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manner. Issuance of these shares of preferred stock could have the effect of making it more difficult and more expensive for a person or group to acquire control of us, and could effectively be used as an anti-takeover device. Currently there are no shares of our preferred stock issued or outstanding. Our bylaws provide for an advance notice procedure for stockholders to nominate director candidates for election or to bring business before an annual meeting of stockholders, including proposed nominations of persons for election to our board of directors, and limit the persons who may call special meetings of stockholders. The anti-takeover provisions of Delaware law and provisions in our organizational documents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1B. UNRESOLVED STAFF COMMENTS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2. PROPERTIES</w:t>
      </w:r>
    </w:p>
    <w:p>
      <w:pPr>
        <w:spacing w:after="0" w:line="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own our LEED Gold certified Global Headquarters Facility in Charleston, South Carolina, which consists of approximately 172,000 square feet. During 2020, we purchased the building, fixtures and other improvements and parcels of land that constitute our Global Headquarter Facilities. In addition, we terminated the lease of our Customer Operations Center (which was our former headquarters facility) in Charleston, South Carolina, on December 31, 2020.</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lease or have purchased the right to use additional office space in Austin, Texas; Bedford, New Hampshire; Glasgow, Scotland; London, England; Plano, Texas; St. Paul, Minnesota; Sydney, Australia; and Toronto, Canada, among other locations. We believe that our properties are in good operating condition and adequately serve our current business operations. We also anticipate that suitable additional or alternative space, including those under lease options, will be available at commercially reasonable terms for future expansion.</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3. LEGAL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legal proceedings, see Note 11 to our condensed consolidated financial statements in this report.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MINE SAFETY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28  </w:t>
      </w:r>
      <w:r>
        <w:rPr>
          <w:sz w:val="1"/>
          <w:szCs w:val="1"/>
          <w:color w:val="auto"/>
        </w:rPr>
        <w:drawing>
          <wp:inline distT="0" distB="0" distL="0" distR="0">
            <wp:extent cx="728345" cy="18859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sz w:val="1"/>
          <w:szCs w:val="1"/>
          <w:color w:val="auto"/>
        </w:rPr>
        <w:drawing>
          <wp:inline distT="0" distB="0" distL="0" distR="0">
            <wp:extent cx="171450" cy="22288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w:t>
      </w:r>
    </w:p>
    <w:p>
      <w:pPr>
        <w:spacing w:after="0" w:line="259" w:lineRule="exact"/>
        <w:rPr>
          <w:sz w:val="20"/>
          <w:szCs w:val="20"/>
          <w:color w:val="auto"/>
        </w:rPr>
      </w:pPr>
    </w:p>
    <w:p>
      <w:pPr>
        <w:ind w:right="380"/>
        <w:spacing w:after="0" w:line="296" w:lineRule="auto"/>
        <w:rPr>
          <w:sz w:val="20"/>
          <w:szCs w:val="20"/>
          <w:color w:val="auto"/>
        </w:rPr>
      </w:pPr>
      <w:r>
        <w:rPr>
          <w:rFonts w:ascii="Arial" w:cs="Arial" w:eastAsia="Arial" w:hAnsi="Arial"/>
          <w:sz w:val="28"/>
          <w:szCs w:val="28"/>
          <w:b w:val="1"/>
          <w:bCs w:val="1"/>
          <w:color w:val="71BF43"/>
        </w:rPr>
        <w:t>ITEM 5. MARKET FOR REGISTRANT'S COMMON EQUITY, RELATED STOCKHOLDER MATTERS AND ISSUER PURCHASES OF EQUITY SECURITIES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trading on the Nasdaq Stock Market LLC (“Nasdaq”) under the symbol “BLKB.” As of February 10, 2021, there were approximately 96 stockholders of record of our common stock. Because many of our shares of common stock are held by brokers and other institutions on behalf of stockholders, this number is not representative of the total number of beneficial owners of our stock. On February 10, 2021, the closing price of our common stock was $78.34.</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performance graph shall not be deemed to be “soliciting material” or “filed” or incorporated by reference in future filings with the SEC, or subject to the liabilities of Section 18 of the Exchange Act except as shall be expressly set forth by specific reference in such filing. The performance graph compares the performance of our common stock to the Nasdaq Composite Index and the Nasdaq Computer and Data Processing Index. The graph covers the most recent five-year period ended December 31, 2020. The graph assumes that the value of the investment in our common stock and each index was $100.00 at December 31, 2015, and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63590" cy="30003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359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860" w:type="dxa"/>
            <w:vAlign w:val="bottom"/>
            <w:shd w:val="clear" w:color="auto" w:fill="ACACAC"/>
          </w:tcPr>
          <w:p>
            <w:pPr>
              <w:ind w:left="20"/>
              <w:spacing w:after="0"/>
              <w:rPr>
                <w:sz w:val="20"/>
                <w:szCs w:val="20"/>
                <w:color w:val="auto"/>
              </w:rPr>
            </w:pPr>
            <w:r>
              <w:rPr>
                <w:rFonts w:ascii="Arial" w:cs="Arial" w:eastAsia="Arial" w:hAnsi="Arial"/>
                <w:sz w:val="18"/>
                <w:szCs w:val="18"/>
                <w:b w:val="1"/>
                <w:bCs w:val="1"/>
                <w:color w:val="FFFFFF"/>
              </w:rPr>
              <w:t>December 31,</w:t>
            </w:r>
          </w:p>
        </w:tc>
        <w:tc>
          <w:tcPr>
            <w:tcW w:w="620" w:type="dxa"/>
            <w:vAlign w:val="bottom"/>
            <w:shd w:val="clear" w:color="auto" w:fill="ACACAC"/>
          </w:tcPr>
          <w:p>
            <w:pPr>
              <w:spacing w:after="0"/>
              <w:rPr>
                <w:sz w:val="19"/>
                <w:szCs w:val="19"/>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FFFFFF"/>
              </w:rPr>
              <w:t>2015</w:t>
            </w:r>
          </w:p>
        </w:tc>
        <w:tc>
          <w:tcPr>
            <w:tcW w:w="340" w:type="dxa"/>
            <w:vAlign w:val="bottom"/>
            <w:shd w:val="clear" w:color="auto" w:fill="ACACAC"/>
          </w:tcPr>
          <w:p>
            <w:pPr>
              <w:spacing w:after="0"/>
              <w:rPr>
                <w:sz w:val="19"/>
                <w:szCs w:val="19"/>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FFFFFF"/>
              </w:rPr>
              <w:t>2016</w:t>
            </w:r>
          </w:p>
        </w:tc>
        <w:tc>
          <w:tcPr>
            <w:tcW w:w="320" w:type="dxa"/>
            <w:vAlign w:val="bottom"/>
            <w:shd w:val="clear" w:color="auto" w:fill="ACACAC"/>
          </w:tcPr>
          <w:p>
            <w:pPr>
              <w:spacing w:after="0"/>
              <w:rPr>
                <w:sz w:val="19"/>
                <w:szCs w:val="19"/>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FFFFFF"/>
              </w:rPr>
              <w:t>2017</w:t>
            </w:r>
          </w:p>
        </w:tc>
        <w:tc>
          <w:tcPr>
            <w:tcW w:w="340" w:type="dxa"/>
            <w:vAlign w:val="bottom"/>
            <w:shd w:val="clear" w:color="auto" w:fill="ACACAC"/>
          </w:tcPr>
          <w:p>
            <w:pPr>
              <w:spacing w:after="0"/>
              <w:rPr>
                <w:sz w:val="19"/>
                <w:szCs w:val="19"/>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FFFFFF"/>
              </w:rPr>
              <w:t>2018</w:t>
            </w:r>
          </w:p>
        </w:tc>
        <w:tc>
          <w:tcPr>
            <w:tcW w:w="340" w:type="dxa"/>
            <w:vAlign w:val="bottom"/>
            <w:shd w:val="clear" w:color="auto" w:fill="ACACAC"/>
          </w:tcPr>
          <w:p>
            <w:pPr>
              <w:spacing w:after="0"/>
              <w:rPr>
                <w:sz w:val="19"/>
                <w:szCs w:val="19"/>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FFFFFF"/>
              </w:rPr>
              <w:t>2019</w:t>
            </w:r>
          </w:p>
        </w:tc>
        <w:tc>
          <w:tcPr>
            <w:tcW w:w="340" w:type="dxa"/>
            <w:vAlign w:val="bottom"/>
            <w:shd w:val="clear" w:color="auto" w:fill="ACACAC"/>
          </w:tcPr>
          <w:p>
            <w:pPr>
              <w:spacing w:after="0"/>
              <w:rPr>
                <w:sz w:val="19"/>
                <w:szCs w:val="19"/>
                <w:color w:val="auto"/>
              </w:rPr>
            </w:pPr>
          </w:p>
        </w:tc>
        <w:tc>
          <w:tcPr>
            <w:tcW w:w="80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FFFFFF"/>
              </w:rPr>
              <w:t>2020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shd w:val="clear" w:color="auto" w:fill="F4F4F4"/>
          </w:tcPr>
          <w:p>
            <w:pPr>
              <w:ind w:left="20"/>
              <w:spacing w:after="0"/>
              <w:rPr>
                <w:sz w:val="20"/>
                <w:szCs w:val="20"/>
                <w:color w:val="auto"/>
              </w:rPr>
            </w:pPr>
            <w:r>
              <w:rPr>
                <w:rFonts w:ascii="Arial" w:cs="Arial" w:eastAsia="Arial" w:hAnsi="Arial"/>
                <w:sz w:val="18"/>
                <w:szCs w:val="18"/>
                <w:color w:val="auto"/>
              </w:rPr>
              <w:t>Blackbaud, Inc.</w:t>
            </w:r>
          </w:p>
        </w:tc>
        <w:tc>
          <w:tcPr>
            <w:tcW w:w="62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97.92</w:t>
            </w:r>
          </w:p>
        </w:tc>
        <w:tc>
          <w:tcPr>
            <w:tcW w:w="32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145.40</w:t>
            </w:r>
          </w:p>
        </w:tc>
        <w:tc>
          <w:tcPr>
            <w:tcW w:w="34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F4F4F4"/>
          </w:tcPr>
          <w:p>
            <w:pPr>
              <w:jc w:val="right"/>
              <w:ind w:right="34"/>
              <w:spacing w:after="0"/>
              <w:rPr>
                <w:sz w:val="20"/>
                <w:szCs w:val="20"/>
                <w:color w:val="auto"/>
              </w:rPr>
            </w:pPr>
            <w:r>
              <w:rPr>
                <w:rFonts w:ascii="Arial" w:cs="Arial" w:eastAsia="Arial" w:hAnsi="Arial"/>
                <w:sz w:val="18"/>
                <w:szCs w:val="18"/>
                <w:color w:val="auto"/>
              </w:rPr>
              <w:t>97.30</w:t>
            </w:r>
          </w:p>
        </w:tc>
        <w:tc>
          <w:tcPr>
            <w:tcW w:w="34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123.87</w:t>
            </w:r>
          </w:p>
        </w:tc>
        <w:tc>
          <w:tcPr>
            <w:tcW w:w="34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F4F4F4"/>
          </w:tcPr>
          <w:p>
            <w:pPr>
              <w:jc w:val="right"/>
              <w:ind w:right="14"/>
              <w:spacing w:after="0"/>
              <w:rPr>
                <w:sz w:val="20"/>
                <w:szCs w:val="20"/>
                <w:color w:val="auto"/>
              </w:rPr>
            </w:pPr>
            <w:r>
              <w:rPr>
                <w:rFonts w:ascii="Arial" w:cs="Arial" w:eastAsia="Arial" w:hAnsi="Arial"/>
                <w:sz w:val="18"/>
                <w:szCs w:val="18"/>
                <w:color w:val="auto"/>
              </w:rPr>
              <w:t>89.73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6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108.87</w:t>
            </w:r>
          </w:p>
        </w:tc>
        <w:tc>
          <w:tcPr>
            <w:tcW w:w="3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141.13</w:t>
            </w:r>
          </w:p>
        </w:tc>
        <w:tc>
          <w:tcPr>
            <w:tcW w:w="3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137.12</w:t>
            </w:r>
          </w:p>
        </w:tc>
        <w:tc>
          <w:tcPr>
            <w:tcW w:w="3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187.44</w:t>
            </w:r>
          </w:p>
        </w:tc>
        <w:tc>
          <w:tcPr>
            <w:tcW w:w="34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271.64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86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Nasdaq Computer &amp; Data Processing Index</w:t>
            </w:r>
          </w:p>
        </w:tc>
        <w:tc>
          <w:tcPr>
            <w:tcW w:w="620" w:type="dxa"/>
            <w:vAlign w:val="bottom"/>
            <w:tcBorders>
              <w:bottom w:val="single" w:sz="8" w:color="71BF43"/>
            </w:tcBorders>
            <w:shd w:val="clear" w:color="auto" w:fill="F4F4F4"/>
          </w:tcPr>
          <w:p>
            <w:pPr>
              <w:spacing w:after="0"/>
              <w:rPr>
                <w:sz w:val="19"/>
                <w:szCs w:val="19"/>
                <w:color w:val="auto"/>
              </w:rPr>
            </w:pPr>
          </w:p>
        </w:tc>
        <w:tc>
          <w:tcPr>
            <w:tcW w:w="840" w:type="dxa"/>
            <w:vAlign w:val="bottom"/>
            <w:tcBorders>
              <w:bottom w:val="single" w:sz="8" w:color="71BF43"/>
            </w:tcBorders>
            <w:shd w:val="clear" w:color="auto" w:fill="F4F4F4"/>
          </w:tcPr>
          <w:p>
            <w:pPr>
              <w:jc w:val="right"/>
              <w:ind w:right="30"/>
              <w:spacing w:after="0"/>
              <w:rPr>
                <w:sz w:val="20"/>
                <w:szCs w:val="20"/>
                <w:color w:val="auto"/>
              </w:rPr>
            </w:pPr>
            <w:r>
              <w:rPr>
                <w:rFonts w:ascii="Arial" w:cs="Arial" w:eastAsia="Arial" w:hAnsi="Arial"/>
                <w:sz w:val="18"/>
                <w:szCs w:val="18"/>
                <w:color w:val="auto"/>
              </w:rPr>
              <w:t>100.00</w:t>
            </w:r>
          </w:p>
        </w:tc>
        <w:tc>
          <w:tcPr>
            <w:tcW w:w="340" w:type="dxa"/>
            <w:vAlign w:val="bottom"/>
            <w:tcBorders>
              <w:bottom w:val="single" w:sz="8" w:color="71BF43"/>
            </w:tcBorders>
            <w:shd w:val="clear" w:color="auto" w:fill="F4F4F4"/>
          </w:tcPr>
          <w:p>
            <w:pPr>
              <w:spacing w:after="0"/>
              <w:rPr>
                <w:sz w:val="19"/>
                <w:szCs w:val="19"/>
                <w:color w:val="auto"/>
              </w:rPr>
            </w:pPr>
          </w:p>
        </w:tc>
        <w:tc>
          <w:tcPr>
            <w:tcW w:w="84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rPr>
              <w:t>107.35</w:t>
            </w:r>
          </w:p>
        </w:tc>
        <w:tc>
          <w:tcPr>
            <w:tcW w:w="320" w:type="dxa"/>
            <w:vAlign w:val="bottom"/>
            <w:tcBorders>
              <w:bottom w:val="single" w:sz="8" w:color="71BF43"/>
            </w:tcBorders>
            <w:shd w:val="clear" w:color="auto" w:fill="F4F4F4"/>
          </w:tcPr>
          <w:p>
            <w:pPr>
              <w:spacing w:after="0"/>
              <w:rPr>
                <w:sz w:val="19"/>
                <w:szCs w:val="19"/>
                <w:color w:val="auto"/>
              </w:rPr>
            </w:pPr>
          </w:p>
        </w:tc>
        <w:tc>
          <w:tcPr>
            <w:tcW w:w="840" w:type="dxa"/>
            <w:vAlign w:val="bottom"/>
            <w:tcBorders>
              <w:bottom w:val="single" w:sz="8" w:color="71BF43"/>
            </w:tcBorders>
            <w:shd w:val="clear" w:color="auto" w:fill="F4F4F4"/>
          </w:tcPr>
          <w:p>
            <w:pPr>
              <w:jc w:val="right"/>
              <w:ind w:right="30"/>
              <w:spacing w:after="0"/>
              <w:rPr>
                <w:sz w:val="20"/>
                <w:szCs w:val="20"/>
                <w:color w:val="auto"/>
              </w:rPr>
            </w:pPr>
            <w:r>
              <w:rPr>
                <w:rFonts w:ascii="Arial" w:cs="Arial" w:eastAsia="Arial" w:hAnsi="Arial"/>
                <w:sz w:val="18"/>
                <w:szCs w:val="18"/>
                <w:color w:val="auto"/>
              </w:rPr>
              <w:t>150.04</w:t>
            </w:r>
          </w:p>
        </w:tc>
        <w:tc>
          <w:tcPr>
            <w:tcW w:w="340" w:type="dxa"/>
            <w:vAlign w:val="bottom"/>
            <w:tcBorders>
              <w:bottom w:val="single" w:sz="8" w:color="71BF43"/>
            </w:tcBorders>
            <w:shd w:val="clear" w:color="auto" w:fill="F4F4F4"/>
          </w:tcPr>
          <w:p>
            <w:pPr>
              <w:spacing w:after="0"/>
              <w:rPr>
                <w:sz w:val="19"/>
                <w:szCs w:val="19"/>
                <w:color w:val="auto"/>
              </w:rPr>
            </w:pPr>
          </w:p>
        </w:tc>
        <w:tc>
          <w:tcPr>
            <w:tcW w:w="840" w:type="dxa"/>
            <w:vAlign w:val="bottom"/>
            <w:tcBorders>
              <w:bottom w:val="single" w:sz="8" w:color="71BF43"/>
            </w:tcBorders>
            <w:shd w:val="clear" w:color="auto" w:fill="F4F4F4"/>
          </w:tcPr>
          <w:p>
            <w:pPr>
              <w:jc w:val="right"/>
              <w:ind w:right="34"/>
              <w:spacing w:after="0"/>
              <w:rPr>
                <w:sz w:val="20"/>
                <w:szCs w:val="20"/>
                <w:color w:val="auto"/>
              </w:rPr>
            </w:pPr>
            <w:r>
              <w:rPr>
                <w:rFonts w:ascii="Arial" w:cs="Arial" w:eastAsia="Arial" w:hAnsi="Arial"/>
                <w:sz w:val="18"/>
                <w:szCs w:val="18"/>
                <w:color w:val="auto"/>
              </w:rPr>
              <w:t>152.52</w:t>
            </w:r>
          </w:p>
        </w:tc>
        <w:tc>
          <w:tcPr>
            <w:tcW w:w="340" w:type="dxa"/>
            <w:vAlign w:val="bottom"/>
            <w:tcBorders>
              <w:bottom w:val="single" w:sz="8" w:color="71BF43"/>
            </w:tcBorders>
            <w:shd w:val="clear" w:color="auto" w:fill="F4F4F4"/>
          </w:tcPr>
          <w:p>
            <w:pPr>
              <w:spacing w:after="0"/>
              <w:rPr>
                <w:sz w:val="19"/>
                <w:szCs w:val="19"/>
                <w:color w:val="auto"/>
              </w:rPr>
            </w:pPr>
          </w:p>
        </w:tc>
        <w:tc>
          <w:tcPr>
            <w:tcW w:w="86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rPr>
              <w:t>213.66</w:t>
            </w:r>
          </w:p>
        </w:tc>
        <w:tc>
          <w:tcPr>
            <w:tcW w:w="340" w:type="dxa"/>
            <w:vAlign w:val="bottom"/>
            <w:tcBorders>
              <w:bottom w:val="single" w:sz="8" w:color="71BF43"/>
            </w:tcBorders>
            <w:shd w:val="clear" w:color="auto" w:fill="F4F4F4"/>
          </w:tcPr>
          <w:p>
            <w:pPr>
              <w:spacing w:after="0"/>
              <w:rPr>
                <w:sz w:val="19"/>
                <w:szCs w:val="19"/>
                <w:color w:val="auto"/>
              </w:rPr>
            </w:pPr>
          </w:p>
        </w:tc>
        <w:tc>
          <w:tcPr>
            <w:tcW w:w="800" w:type="dxa"/>
            <w:vAlign w:val="bottom"/>
            <w:tcBorders>
              <w:bottom w:val="single" w:sz="8" w:color="71BF43"/>
            </w:tcBorders>
            <w:shd w:val="clear" w:color="auto" w:fill="F4F4F4"/>
          </w:tcPr>
          <w:p>
            <w:pPr>
              <w:jc w:val="right"/>
              <w:ind w:right="14"/>
              <w:spacing w:after="0"/>
              <w:rPr>
                <w:sz w:val="20"/>
                <w:szCs w:val="20"/>
                <w:color w:val="auto"/>
              </w:rPr>
            </w:pPr>
            <w:r>
              <w:rPr>
                <w:rFonts w:ascii="Arial" w:cs="Arial" w:eastAsia="Arial" w:hAnsi="Arial"/>
                <w:sz w:val="18"/>
                <w:szCs w:val="18"/>
                <w:color w:val="auto"/>
              </w:rPr>
              <w:t>305.01</w:t>
            </w:r>
          </w:p>
        </w:tc>
        <w:tc>
          <w:tcPr>
            <w:tcW w:w="20" w:type="dxa"/>
            <w:vAlign w:val="bottom"/>
          </w:tcPr>
          <w:p>
            <w:pPr>
              <w:spacing w:after="0"/>
              <w:rPr>
                <w:sz w:val="19"/>
                <w:szCs w:val="19"/>
                <w:color w:val="auto"/>
              </w:rPr>
            </w:pPr>
          </w:p>
        </w:tc>
      </w:tr>
      <w:tr>
        <w:trPr>
          <w:trHeight w:val="805"/>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3"/>
          </w:tcPr>
          <w:p>
            <w:pPr>
              <w:jc w:val="right"/>
              <w:ind w:right="510"/>
              <w:spacing w:after="0"/>
              <w:rPr>
                <w:sz w:val="20"/>
                <w:szCs w:val="20"/>
                <w:color w:val="auto"/>
              </w:rPr>
            </w:pPr>
            <w:r>
              <w:rPr>
                <w:rFonts w:ascii="Arial" w:cs="Arial" w:eastAsia="Arial" w:hAnsi="Arial"/>
                <w:sz w:val="14"/>
                <w:szCs w:val="14"/>
                <w:color w:val="auto"/>
              </w:rPr>
              <w:t>2020 Form 10-K</w:t>
            </w:r>
          </w:p>
        </w:tc>
        <w:tc>
          <w:tcPr>
            <w:tcW w:w="340" w:type="dxa"/>
            <w:vAlign w:val="bottom"/>
          </w:tcPr>
          <w:p>
            <w:pPr>
              <w:spacing w:after="0"/>
              <w:rPr>
                <w:sz w:val="24"/>
                <w:szCs w:val="24"/>
                <w:color w:val="auto"/>
              </w:rPr>
            </w:pP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24"/>
                <w:szCs w:val="24"/>
                <w:color w:val="auto"/>
              </w:rPr>
            </w:pPr>
          </w:p>
        </w:tc>
      </w:tr>
      <w:tr>
        <w:trPr>
          <w:trHeight w:val="303"/>
        </w:trPr>
        <w:tc>
          <w:tcPr>
            <w:tcW w:w="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-385445</wp:posOffset>
            </wp:positionV>
            <wp:extent cx="7289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Common Stock Acquisitions and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provides information about shares of common stock acquired or repurchased during the three months ended December 31, 2020 under the stock repurchase program then in effect, as well as common stock withheld by us to satisfy the minimum tax obligations of employees due upon vesting of restricted stock awards and units.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shd w:val="clear" w:color="auto" w:fill="ACACAC"/>
          </w:tcPr>
          <w:p>
            <w:pPr>
              <w:spacing w:after="0"/>
              <w:rPr>
                <w:sz w:val="14"/>
                <w:szCs w:val="14"/>
                <w:color w:val="auto"/>
              </w:rPr>
            </w:pPr>
          </w:p>
        </w:tc>
        <w:tc>
          <w:tcPr>
            <w:tcW w:w="138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Total number</w:t>
            </w: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Approximate</w:t>
            </w: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80" w:type="dxa"/>
            <w:vAlign w:val="bottom"/>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00" w:type="dxa"/>
            <w:vAlign w:val="bottom"/>
            <w:shd w:val="clear" w:color="auto" w:fill="ACACAC"/>
          </w:tcPr>
          <w:p>
            <w:pPr>
              <w:spacing w:after="0"/>
              <w:rPr>
                <w:sz w:val="11"/>
                <w:szCs w:val="11"/>
                <w:color w:val="auto"/>
              </w:rPr>
            </w:pPr>
          </w:p>
        </w:tc>
        <w:tc>
          <w:tcPr>
            <w:tcW w:w="120" w:type="dxa"/>
            <w:vAlign w:val="bottom"/>
            <w:shd w:val="clear" w:color="auto" w:fill="ACACAC"/>
          </w:tcPr>
          <w:p>
            <w:pPr>
              <w:spacing w:after="0"/>
              <w:rPr>
                <w:sz w:val="11"/>
                <w:szCs w:val="11"/>
                <w:color w:val="auto"/>
              </w:rPr>
            </w:pPr>
          </w:p>
        </w:tc>
        <w:tc>
          <w:tcPr>
            <w:tcW w:w="1460" w:type="dxa"/>
            <w:vAlign w:val="bottom"/>
            <w:gridSpan w:val="2"/>
            <w:shd w:val="clear" w:color="auto" w:fill="ACACAC"/>
          </w:tcPr>
          <w:p>
            <w:pPr>
              <w:jc w:val="right"/>
              <w:ind w:right="120"/>
              <w:spacing w:after="0" w:line="135" w:lineRule="exact"/>
              <w:rPr>
                <w:sz w:val="20"/>
                <w:szCs w:val="20"/>
                <w:color w:val="auto"/>
              </w:rPr>
            </w:pPr>
            <w:r>
              <w:rPr>
                <w:rFonts w:ascii="Arial" w:cs="Arial" w:eastAsia="Arial" w:hAnsi="Arial"/>
                <w:sz w:val="14"/>
                <w:szCs w:val="14"/>
                <w:b w:val="1"/>
                <w:bCs w:val="1"/>
                <w:color w:val="FFFFFF"/>
              </w:rPr>
              <w:t>of shares</w:t>
            </w: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dollar value</w:t>
            </w: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80" w:type="dxa"/>
            <w:vAlign w:val="bottom"/>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1020" w:type="dxa"/>
            <w:vAlign w:val="bottom"/>
            <w:gridSpan w:val="2"/>
            <w:vMerge w:val="restart"/>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Average</w:t>
            </w:r>
          </w:p>
        </w:tc>
        <w:tc>
          <w:tcPr>
            <w:tcW w:w="1460" w:type="dxa"/>
            <w:vAlign w:val="bottom"/>
            <w:gridSpan w:val="2"/>
            <w:shd w:val="clear" w:color="auto" w:fill="ACACAC"/>
          </w:tcPr>
          <w:p>
            <w:pPr>
              <w:jc w:val="right"/>
              <w:ind w:right="120"/>
              <w:spacing w:after="0" w:line="135" w:lineRule="exact"/>
              <w:rPr>
                <w:sz w:val="20"/>
                <w:szCs w:val="20"/>
                <w:color w:val="auto"/>
              </w:rPr>
            </w:pPr>
            <w:r>
              <w:rPr>
                <w:rFonts w:ascii="Arial" w:cs="Arial" w:eastAsia="Arial" w:hAnsi="Arial"/>
                <w:sz w:val="14"/>
                <w:szCs w:val="14"/>
                <w:b w:val="1"/>
                <w:bCs w:val="1"/>
                <w:color w:val="FFFFFF"/>
              </w:rPr>
              <w:t>purchased as</w:t>
            </w: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of shares</w:t>
            </w: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480" w:type="dxa"/>
            <w:vAlign w:val="bottom"/>
            <w:gridSpan w:val="2"/>
            <w:vMerge w:val="restart"/>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Total</w:t>
            </w:r>
          </w:p>
        </w:tc>
        <w:tc>
          <w:tcPr>
            <w:tcW w:w="460" w:type="dxa"/>
            <w:vAlign w:val="bottom"/>
            <w:shd w:val="clear" w:color="auto" w:fill="ACACAC"/>
          </w:tcPr>
          <w:p>
            <w:pPr>
              <w:spacing w:after="0"/>
              <w:rPr>
                <w:sz w:val="11"/>
                <w:szCs w:val="11"/>
                <w:color w:val="auto"/>
              </w:rPr>
            </w:pPr>
          </w:p>
        </w:tc>
        <w:tc>
          <w:tcPr>
            <w:tcW w:w="1020" w:type="dxa"/>
            <w:vAlign w:val="bottom"/>
            <w:gridSpan w:val="2"/>
            <w:vMerge w:val="continue"/>
            <w:shd w:val="clear" w:color="auto" w:fill="ACACAC"/>
          </w:tcPr>
          <w:p>
            <w:pPr>
              <w:spacing w:after="0"/>
              <w:rPr>
                <w:sz w:val="11"/>
                <w:szCs w:val="11"/>
                <w:color w:val="auto"/>
              </w:rPr>
            </w:pPr>
          </w:p>
        </w:tc>
        <w:tc>
          <w:tcPr>
            <w:tcW w:w="1460" w:type="dxa"/>
            <w:vAlign w:val="bottom"/>
            <w:gridSpan w:val="2"/>
            <w:shd w:val="clear" w:color="auto" w:fill="ACACAC"/>
          </w:tcPr>
          <w:p>
            <w:pPr>
              <w:jc w:val="right"/>
              <w:ind w:right="120"/>
              <w:spacing w:after="0" w:line="135" w:lineRule="exact"/>
              <w:rPr>
                <w:sz w:val="20"/>
                <w:szCs w:val="20"/>
                <w:color w:val="auto"/>
              </w:rPr>
            </w:pPr>
            <w:r>
              <w:rPr>
                <w:rFonts w:ascii="Arial" w:cs="Arial" w:eastAsia="Arial" w:hAnsi="Arial"/>
                <w:sz w:val="14"/>
                <w:szCs w:val="14"/>
                <w:b w:val="1"/>
                <w:bCs w:val="1"/>
                <w:color w:val="FFFFFF"/>
              </w:rPr>
              <w:t>part of</w:t>
            </w: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that may yet</w:t>
            </w: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480" w:type="dxa"/>
            <w:vAlign w:val="bottom"/>
            <w:gridSpan w:val="2"/>
            <w:vMerge w:val="continue"/>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1020" w:type="dxa"/>
            <w:vAlign w:val="bottom"/>
            <w:gridSpan w:val="2"/>
            <w:shd w:val="clear" w:color="auto" w:fill="ACACAC"/>
          </w:tcPr>
          <w:p>
            <w:pPr>
              <w:jc w:val="right"/>
              <w:ind w:right="140"/>
              <w:spacing w:after="0" w:line="135" w:lineRule="exact"/>
              <w:rPr>
                <w:sz w:val="20"/>
                <w:szCs w:val="20"/>
                <w:color w:val="auto"/>
              </w:rPr>
            </w:pPr>
            <w:r>
              <w:rPr>
                <w:rFonts w:ascii="Arial" w:cs="Arial" w:eastAsia="Arial" w:hAnsi="Arial"/>
                <w:sz w:val="14"/>
                <w:szCs w:val="14"/>
                <w:b w:val="1"/>
                <w:bCs w:val="1"/>
                <w:color w:val="FFFFFF"/>
              </w:rPr>
              <w:t>price</w:t>
            </w:r>
          </w:p>
        </w:tc>
        <w:tc>
          <w:tcPr>
            <w:tcW w:w="1460" w:type="dxa"/>
            <w:vAlign w:val="bottom"/>
            <w:gridSpan w:val="2"/>
            <w:shd w:val="clear" w:color="auto" w:fill="ACACAC"/>
          </w:tcPr>
          <w:p>
            <w:pPr>
              <w:jc w:val="right"/>
              <w:ind w:right="120"/>
              <w:spacing w:after="0" w:line="135" w:lineRule="exact"/>
              <w:rPr>
                <w:sz w:val="20"/>
                <w:szCs w:val="20"/>
                <w:color w:val="auto"/>
              </w:rPr>
            </w:pPr>
            <w:r>
              <w:rPr>
                <w:rFonts w:ascii="Arial" w:cs="Arial" w:eastAsia="Arial" w:hAnsi="Arial"/>
                <w:sz w:val="14"/>
                <w:szCs w:val="14"/>
                <w:b w:val="1"/>
                <w:bCs w:val="1"/>
                <w:color w:val="FFFFFF"/>
              </w:rPr>
              <w:t>publicly</w:t>
            </w: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be purchased</w:t>
            </w: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480" w:type="dxa"/>
            <w:vAlign w:val="bottom"/>
            <w:gridSpan w:val="2"/>
            <w:shd w:val="clear" w:color="auto" w:fill="ACACAC"/>
          </w:tcPr>
          <w:p>
            <w:pPr>
              <w:jc w:val="right"/>
              <w:ind w:right="120"/>
              <w:spacing w:after="0" w:line="135" w:lineRule="exact"/>
              <w:rPr>
                <w:sz w:val="20"/>
                <w:szCs w:val="20"/>
                <w:color w:val="auto"/>
              </w:rPr>
            </w:pPr>
            <w:r>
              <w:rPr>
                <w:rFonts w:ascii="Arial" w:cs="Arial" w:eastAsia="Arial" w:hAnsi="Arial"/>
                <w:sz w:val="14"/>
                <w:szCs w:val="14"/>
                <w:b w:val="1"/>
                <w:bCs w:val="1"/>
                <w:color w:val="FFFFFF"/>
              </w:rPr>
              <w:t>number</w:t>
            </w:r>
          </w:p>
        </w:tc>
        <w:tc>
          <w:tcPr>
            <w:tcW w:w="460" w:type="dxa"/>
            <w:vAlign w:val="bottom"/>
            <w:shd w:val="clear" w:color="auto" w:fill="ACACAC"/>
          </w:tcPr>
          <w:p>
            <w:pPr>
              <w:spacing w:after="0"/>
              <w:rPr>
                <w:sz w:val="11"/>
                <w:szCs w:val="11"/>
                <w:color w:val="auto"/>
              </w:rPr>
            </w:pPr>
          </w:p>
        </w:tc>
        <w:tc>
          <w:tcPr>
            <w:tcW w:w="1020" w:type="dxa"/>
            <w:vAlign w:val="bottom"/>
            <w:gridSpan w:val="2"/>
            <w:shd w:val="clear" w:color="auto" w:fill="ACACAC"/>
          </w:tcPr>
          <w:p>
            <w:pPr>
              <w:jc w:val="right"/>
              <w:ind w:right="140"/>
              <w:spacing w:after="0" w:line="135" w:lineRule="exact"/>
              <w:rPr>
                <w:sz w:val="20"/>
                <w:szCs w:val="20"/>
                <w:color w:val="auto"/>
              </w:rPr>
            </w:pPr>
            <w:r>
              <w:rPr>
                <w:rFonts w:ascii="Arial" w:cs="Arial" w:eastAsia="Arial" w:hAnsi="Arial"/>
                <w:sz w:val="14"/>
                <w:szCs w:val="14"/>
                <w:b w:val="1"/>
                <w:bCs w:val="1"/>
                <w:color w:val="FFFFFF"/>
              </w:rPr>
              <w:t>paid</w:t>
            </w:r>
          </w:p>
        </w:tc>
        <w:tc>
          <w:tcPr>
            <w:tcW w:w="1460" w:type="dxa"/>
            <w:vAlign w:val="bottom"/>
            <w:gridSpan w:val="2"/>
            <w:shd w:val="clear" w:color="auto" w:fill="ACACAC"/>
          </w:tcPr>
          <w:p>
            <w:pPr>
              <w:jc w:val="right"/>
              <w:ind w:right="120"/>
              <w:spacing w:after="0" w:line="135" w:lineRule="exact"/>
              <w:rPr>
                <w:sz w:val="20"/>
                <w:szCs w:val="20"/>
                <w:color w:val="auto"/>
              </w:rPr>
            </w:pPr>
            <w:r>
              <w:rPr>
                <w:rFonts w:ascii="Arial" w:cs="Arial" w:eastAsia="Arial" w:hAnsi="Arial"/>
                <w:sz w:val="14"/>
                <w:szCs w:val="14"/>
                <w:b w:val="1"/>
                <w:bCs w:val="1"/>
                <w:color w:val="FFFFFF"/>
              </w:rPr>
              <w:t>announced</w:t>
            </w: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under the</w:t>
            </w:r>
          </w:p>
        </w:tc>
        <w:tc>
          <w:tcPr>
            <w:tcW w:w="0" w:type="dxa"/>
            <w:vAlign w:val="bottom"/>
          </w:tcPr>
          <w:p>
            <w:pPr>
              <w:spacing w:after="0"/>
              <w:rPr>
                <w:sz w:val="1"/>
                <w:szCs w:val="1"/>
                <w:color w:val="auto"/>
              </w:rPr>
            </w:pPr>
          </w:p>
        </w:tc>
      </w:tr>
      <w:tr>
        <w:trPr>
          <w:trHeight w:val="135"/>
        </w:trPr>
        <w:tc>
          <w:tcPr>
            <w:tcW w:w="544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Period</w:t>
            </w:r>
          </w:p>
        </w:tc>
        <w:tc>
          <w:tcPr>
            <w:tcW w:w="1480" w:type="dxa"/>
            <w:vAlign w:val="bottom"/>
            <w:gridSpan w:val="2"/>
            <w:shd w:val="clear" w:color="auto" w:fill="ACACAC"/>
          </w:tcPr>
          <w:p>
            <w:pPr>
              <w:jc w:val="right"/>
              <w:ind w:right="120"/>
              <w:spacing w:after="0" w:line="135" w:lineRule="exact"/>
              <w:rPr>
                <w:sz w:val="20"/>
                <w:szCs w:val="20"/>
                <w:color w:val="auto"/>
              </w:rPr>
            </w:pPr>
            <w:r>
              <w:rPr>
                <w:rFonts w:ascii="Arial" w:cs="Arial" w:eastAsia="Arial" w:hAnsi="Arial"/>
                <w:sz w:val="14"/>
                <w:szCs w:val="14"/>
                <w:b w:val="1"/>
                <w:bCs w:val="1"/>
                <w:color w:val="FFFFFF"/>
              </w:rPr>
              <w:t>of shares</w:t>
            </w:r>
          </w:p>
        </w:tc>
        <w:tc>
          <w:tcPr>
            <w:tcW w:w="460" w:type="dxa"/>
            <w:vAlign w:val="bottom"/>
            <w:shd w:val="clear" w:color="auto" w:fill="ACACAC"/>
          </w:tcPr>
          <w:p>
            <w:pPr>
              <w:spacing w:after="0"/>
              <w:rPr>
                <w:sz w:val="11"/>
                <w:szCs w:val="11"/>
                <w:color w:val="auto"/>
              </w:rPr>
            </w:pPr>
          </w:p>
        </w:tc>
        <w:tc>
          <w:tcPr>
            <w:tcW w:w="1020" w:type="dxa"/>
            <w:vAlign w:val="bottom"/>
            <w:gridSpan w:val="2"/>
            <w:shd w:val="clear" w:color="auto" w:fill="ACACAC"/>
          </w:tcPr>
          <w:p>
            <w:pPr>
              <w:jc w:val="right"/>
              <w:ind w:right="140"/>
              <w:spacing w:after="0" w:line="135" w:lineRule="exact"/>
              <w:rPr>
                <w:sz w:val="20"/>
                <w:szCs w:val="20"/>
                <w:color w:val="auto"/>
              </w:rPr>
            </w:pPr>
            <w:r>
              <w:rPr>
                <w:rFonts w:ascii="Arial" w:cs="Arial" w:eastAsia="Arial" w:hAnsi="Arial"/>
                <w:sz w:val="14"/>
                <w:szCs w:val="14"/>
                <w:b w:val="1"/>
                <w:bCs w:val="1"/>
                <w:color w:val="FFFFFF"/>
              </w:rPr>
              <w:t>per</w:t>
            </w:r>
          </w:p>
        </w:tc>
        <w:tc>
          <w:tcPr>
            <w:tcW w:w="1460" w:type="dxa"/>
            <w:vAlign w:val="bottom"/>
            <w:gridSpan w:val="2"/>
            <w:shd w:val="clear" w:color="auto" w:fill="ACACAC"/>
          </w:tcPr>
          <w:p>
            <w:pPr>
              <w:jc w:val="right"/>
              <w:ind w:right="120"/>
              <w:spacing w:after="0" w:line="135" w:lineRule="exact"/>
              <w:rPr>
                <w:sz w:val="20"/>
                <w:szCs w:val="20"/>
                <w:color w:val="auto"/>
              </w:rPr>
            </w:pPr>
            <w:r>
              <w:rPr>
                <w:rFonts w:ascii="Arial" w:cs="Arial" w:eastAsia="Arial" w:hAnsi="Arial"/>
                <w:sz w:val="14"/>
                <w:szCs w:val="14"/>
                <w:b w:val="1"/>
                <w:bCs w:val="1"/>
                <w:color w:val="FFFFFF"/>
              </w:rPr>
              <w:t>plans or</w:t>
            </w:r>
          </w:p>
        </w:tc>
        <w:tc>
          <w:tcPr>
            <w:tcW w:w="1380" w:type="dxa"/>
            <w:vAlign w:val="bottom"/>
            <w:gridSpan w:val="2"/>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plans or programs</w:t>
            </w:r>
          </w:p>
        </w:tc>
        <w:tc>
          <w:tcPr>
            <w:tcW w:w="0" w:type="dxa"/>
            <w:vAlign w:val="bottom"/>
          </w:tcPr>
          <w:p>
            <w:pPr>
              <w:spacing w:after="0"/>
              <w:rPr>
                <w:sz w:val="1"/>
                <w:szCs w:val="1"/>
                <w:color w:val="auto"/>
              </w:rPr>
            </w:pPr>
          </w:p>
        </w:tc>
      </w:tr>
      <w:tr>
        <w:trPr>
          <w:trHeight w:val="175"/>
        </w:trPr>
        <w:tc>
          <w:tcPr>
            <w:tcW w:w="5440" w:type="dxa"/>
            <w:vAlign w:val="bottom"/>
            <w:vMerge w:val="continue"/>
            <w:shd w:val="clear" w:color="auto" w:fill="ACACAC"/>
          </w:tcPr>
          <w:p>
            <w:pPr>
              <w:spacing w:after="0"/>
              <w:rPr>
                <w:sz w:val="15"/>
                <w:szCs w:val="15"/>
                <w:color w:val="auto"/>
              </w:rPr>
            </w:pPr>
          </w:p>
        </w:tc>
        <w:tc>
          <w:tcPr>
            <w:tcW w:w="148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purchased</w:t>
            </w:r>
            <w:r>
              <w:rPr>
                <w:rFonts w:ascii="Arial" w:cs="Arial" w:eastAsia="Arial" w:hAnsi="Arial"/>
                <w:sz w:val="9"/>
                <w:szCs w:val="9"/>
                <w:b w:val="1"/>
                <w:bCs w:val="1"/>
                <w:color w:val="FFFFFF"/>
              </w:rPr>
              <w:t>(1)</w:t>
            </w:r>
          </w:p>
        </w:tc>
        <w:tc>
          <w:tcPr>
            <w:tcW w:w="460" w:type="dxa"/>
            <w:vAlign w:val="bottom"/>
            <w:shd w:val="clear" w:color="auto" w:fill="ACACAC"/>
          </w:tcPr>
          <w:p>
            <w:pPr>
              <w:spacing w:after="0"/>
              <w:rPr>
                <w:sz w:val="15"/>
                <w:szCs w:val="15"/>
                <w:color w:val="auto"/>
              </w:rPr>
            </w:pPr>
          </w:p>
        </w:tc>
        <w:tc>
          <w:tcPr>
            <w:tcW w:w="1020" w:type="dxa"/>
            <w:vAlign w:val="bottom"/>
            <w:gridSpan w:val="2"/>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share</w:t>
            </w:r>
          </w:p>
        </w:tc>
        <w:tc>
          <w:tcPr>
            <w:tcW w:w="1460" w:type="dxa"/>
            <w:vAlign w:val="bottom"/>
            <w:gridSpan w:val="2"/>
            <w:shd w:val="clear" w:color="auto" w:fill="ACACAC"/>
          </w:tcPr>
          <w:p>
            <w:pPr>
              <w:jc w:val="right"/>
              <w:ind w:right="120"/>
              <w:spacing w:after="0"/>
              <w:rPr>
                <w:sz w:val="20"/>
                <w:szCs w:val="20"/>
                <w:color w:val="auto"/>
              </w:rPr>
            </w:pPr>
            <w:r>
              <w:rPr>
                <w:rFonts w:ascii="Arial" w:cs="Arial" w:eastAsia="Arial" w:hAnsi="Arial"/>
                <w:sz w:val="14"/>
                <w:szCs w:val="14"/>
                <w:b w:val="1"/>
                <w:bCs w:val="1"/>
                <w:color w:val="FFFFFF"/>
              </w:rPr>
              <w:t>programs</w:t>
            </w:r>
            <w:r>
              <w:rPr>
                <w:rFonts w:ascii="Arial" w:cs="Arial" w:eastAsia="Arial" w:hAnsi="Arial"/>
                <w:sz w:val="9"/>
                <w:szCs w:val="9"/>
                <w:b w:val="1"/>
                <w:bCs w:val="1"/>
                <w:color w:val="FFFFFF"/>
              </w:rPr>
              <w:t>(2)</w:t>
            </w:r>
          </w:p>
        </w:tc>
        <w:tc>
          <w:tcPr>
            <w:tcW w:w="24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0" w:type="dxa"/>
            <w:vAlign w:val="bottom"/>
          </w:tcPr>
          <w:p>
            <w:pPr>
              <w:spacing w:after="0"/>
              <w:rPr>
                <w:sz w:val="1"/>
                <w:szCs w:val="1"/>
                <w:color w:val="auto"/>
              </w:rPr>
            </w:pPr>
          </w:p>
        </w:tc>
      </w:tr>
      <w:tr>
        <w:trPr>
          <w:trHeight w:val="230"/>
        </w:trPr>
        <w:tc>
          <w:tcPr>
            <w:tcW w:w="5440" w:type="dxa"/>
            <w:vAlign w:val="bottom"/>
            <w:shd w:val="clear" w:color="auto" w:fill="F4F4F4"/>
          </w:tcPr>
          <w:p>
            <w:pPr>
              <w:ind w:left="20"/>
              <w:spacing w:after="0"/>
              <w:rPr>
                <w:sz w:val="20"/>
                <w:szCs w:val="20"/>
                <w:color w:val="auto"/>
              </w:rPr>
            </w:pPr>
            <w:r>
              <w:rPr>
                <w:rFonts w:ascii="Arial" w:cs="Arial" w:eastAsia="Arial" w:hAnsi="Arial"/>
                <w:sz w:val="18"/>
                <w:szCs w:val="18"/>
                <w:color w:val="auto"/>
              </w:rPr>
              <w:t>Beginning balance, October 1, 2020</w:t>
            </w:r>
          </w:p>
        </w:tc>
        <w:tc>
          <w:tcPr>
            <w:tcW w:w="138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136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jc w:val="right"/>
              <w:ind w:right="36"/>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ind w:right="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October 1, 2020 through October 31, 2020</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5440" w:type="dxa"/>
            <w:vAlign w:val="bottom"/>
            <w:shd w:val="clear" w:color="auto" w:fill="F4F4F4"/>
          </w:tcPr>
          <w:p>
            <w:pPr>
              <w:ind w:left="20"/>
              <w:spacing w:after="0"/>
              <w:rPr>
                <w:sz w:val="20"/>
                <w:szCs w:val="20"/>
                <w:color w:val="auto"/>
              </w:rPr>
            </w:pPr>
            <w:r>
              <w:rPr>
                <w:rFonts w:ascii="Arial" w:cs="Arial" w:eastAsia="Arial" w:hAnsi="Arial"/>
                <w:sz w:val="18"/>
                <w:szCs w:val="18"/>
                <w:color w:val="auto"/>
              </w:rPr>
              <w:t>November 1, 2020 through November 30, 2020</w:t>
            </w:r>
          </w:p>
        </w:tc>
        <w:tc>
          <w:tcPr>
            <w:tcW w:w="13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50.01</w:t>
            </w:r>
          </w:p>
        </w:tc>
        <w:tc>
          <w:tcPr>
            <w:tcW w:w="120" w:type="dxa"/>
            <w:vAlign w:val="bottom"/>
            <w:shd w:val="clear" w:color="auto" w:fill="F4F4F4"/>
          </w:tcPr>
          <w:p>
            <w:pPr>
              <w:spacing w:after="0"/>
              <w:rPr>
                <w:sz w:val="19"/>
                <w:szCs w:val="19"/>
                <w:color w:val="auto"/>
              </w:rPr>
            </w:pPr>
          </w:p>
        </w:tc>
        <w:tc>
          <w:tcPr>
            <w:tcW w:w="1460" w:type="dxa"/>
            <w:vAlign w:val="bottom"/>
            <w:gridSpan w:val="2"/>
            <w:shd w:val="clear" w:color="auto" w:fill="F4F4F4"/>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December 1, 2020 through December 31, 2020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714,049</w:t>
            </w:r>
          </w:p>
        </w:tc>
        <w:tc>
          <w:tcPr>
            <w:tcW w:w="100" w:type="dxa"/>
            <w:vAlign w:val="bottom"/>
            <w:tcBorders>
              <w:bottom w:val="single" w:sz="8" w:color="F4F4F4"/>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120" w:type="dxa"/>
            <w:vAlign w:val="bottom"/>
            <w:tcBorders>
              <w:bottom w:val="single" w:sz="8" w:color="F4F4F4"/>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714,000</w:t>
            </w:r>
          </w:p>
        </w:tc>
        <w:tc>
          <w:tcPr>
            <w:tcW w:w="100" w:type="dxa"/>
            <w:vAlign w:val="bottom"/>
            <w:tcBorders>
              <w:bottom w:val="single" w:sz="8" w:color="F4F4F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208,999</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716,782</w:t>
            </w:r>
          </w:p>
        </w:tc>
        <w:tc>
          <w:tcPr>
            <w:tcW w:w="100" w:type="dxa"/>
            <w:vAlign w:val="bottom"/>
            <w:tcBorders>
              <w:bottom w:val="single" w:sz="8" w:color="71BF43"/>
            </w:tcBorders>
            <w:shd w:val="clear" w:color="auto" w:fill="F4F4F4"/>
          </w:tcPr>
          <w:p>
            <w:pPr>
              <w:spacing w:after="0"/>
              <w:rPr>
                <w:sz w:val="19"/>
                <w:szCs w:val="19"/>
                <w:color w:val="auto"/>
              </w:rPr>
            </w:pPr>
          </w:p>
        </w:tc>
        <w:tc>
          <w:tcPr>
            <w:tcW w:w="460" w:type="dxa"/>
            <w:vAlign w:val="bottom"/>
            <w:tcBorders>
              <w:bottom w:val="single" w:sz="8" w:color="71BF43"/>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57.40</w:t>
            </w:r>
          </w:p>
        </w:tc>
        <w:tc>
          <w:tcPr>
            <w:tcW w:w="120" w:type="dxa"/>
            <w:vAlign w:val="bottom"/>
            <w:tcBorders>
              <w:bottom w:val="single" w:sz="8" w:color="71BF43"/>
            </w:tcBorders>
            <w:shd w:val="clear" w:color="auto" w:fill="F4F4F4"/>
          </w:tcPr>
          <w:p>
            <w:pPr>
              <w:spacing w:after="0"/>
              <w:rPr>
                <w:sz w:val="19"/>
                <w:szCs w:val="19"/>
                <w:color w:val="auto"/>
              </w:rPr>
            </w:pPr>
          </w:p>
        </w:tc>
        <w:tc>
          <w:tcPr>
            <w:tcW w:w="136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714,000</w:t>
            </w:r>
          </w:p>
        </w:tc>
        <w:tc>
          <w:tcPr>
            <w:tcW w:w="100" w:type="dxa"/>
            <w:vAlign w:val="bottom"/>
            <w:tcBorders>
              <w:bottom w:val="single" w:sz="8" w:color="71BF43"/>
            </w:tcBorders>
            <w:shd w:val="clear" w:color="auto" w:fill="F4F4F4"/>
          </w:tcPr>
          <w:p>
            <w:pPr>
              <w:spacing w:after="0"/>
              <w:rPr>
                <w:sz w:val="19"/>
                <w:szCs w:val="19"/>
                <w:color w:val="auto"/>
              </w:rPr>
            </w:pPr>
          </w:p>
        </w:tc>
        <w:tc>
          <w:tcPr>
            <w:tcW w:w="240" w:type="dxa"/>
            <w:vAlign w:val="bottom"/>
            <w:tcBorders>
              <w:bottom w:val="single" w:sz="8" w:color="71BF43"/>
            </w:tcBorders>
            <w:shd w:val="clear" w:color="auto" w:fill="F4F4F4"/>
          </w:tcPr>
          <w:p>
            <w:pPr>
              <w:jc w:val="right"/>
              <w:ind w:right="3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8"/>
                <w:szCs w:val="18"/>
                <w:color w:val="auto"/>
              </w:rPr>
              <w:t>208,999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41" w:lineRule="auto"/>
        <w:tabs>
          <w:tab w:leader="none" w:pos="35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2,782 shares (2,733 in November and 49 in December) withheld by us to satisfy the minimum tax obligations of employees due upon vesting of restricted stock awards and units. The level of this acquisition activity varies from period to period based upon the timing of award grants and vesting.</w:t>
      </w:r>
    </w:p>
    <w:p>
      <w:pPr>
        <w:ind w:left="340" w:hanging="332"/>
        <w:spacing w:after="0" w:line="258" w:lineRule="auto"/>
        <w:tabs>
          <w:tab w:leader="none" w:pos="354"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November 2020, our Board of Directors reauthorized and expanded our stock repurchase program to authorize us to purchase up to $250.0 million of our outstanding shares of common stock. The program does not have an expiration date.</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Board of Directors had previously adopted a dividend policy which reflected an intention to distribute to our stockholders a portion of the cash generated by our business that exceeds our operating needs and capital expenditures as regular quarterly dividends.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accordance with our previous dividend policy, we paid quarterly dividends at an annual rate of $0.48 per share in 2019, resulting in aggregate dividend payments to stockholders of $23.6 million in 2019.</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part of a series of measures to better enable us to weather the extraordinary business challenges occasioned by COVID-19 and further effect our long-term strategy to deliver the greatest value to our stockholders, we announced on April 6, 2020 that our Board of Directors had rescinded its previously announced policy to pay an annual dividend at a rate of $0.48 per share of common stock and discontinued the declaration and payment of all cash dividends beginning with the second quarter of 2020 and thereafter until such time, if any, as the Board of Directors may determine in its sole discretion. As a result, we paid a first quarter dividend of $0.12 per share in 2020 resulting in aggregate</w:t>
      </w:r>
    </w:p>
    <w:p>
      <w:pPr>
        <w:spacing w:after="0" w:line="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dividend payments to stockholders of $6.0 million, but no further dividends were declared or paid in 2020. We currently do not anticipate declaring or paying any cash dividends for the foreseeable future.</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30  </w:t>
      </w:r>
      <w:r>
        <w:rPr>
          <w:sz w:val="1"/>
          <w:szCs w:val="1"/>
          <w:color w:val="auto"/>
        </w:rPr>
        <w:drawing>
          <wp:inline distT="0" distB="0" distL="0" distR="0">
            <wp:extent cx="728345" cy="18859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SELECTED FINANCIAL DATA</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selected financial data set forth below should be read in conjunction with “Management’s Discussion and Analysis of Financial Condition and Results of Operations” in Item 7 in this report and our financial statements and the related notes included elsewhere in this report to fully understand factors, including our business acquisitions and dispositions, that may affect the comparability of the information presented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shd w:val="clear" w:color="auto" w:fill="ACACAC"/>
          </w:tcPr>
          <w:p>
            <w:pPr>
              <w:spacing w:after="0"/>
              <w:rPr>
                <w:sz w:val="19"/>
                <w:szCs w:val="19"/>
                <w:color w:val="auto"/>
              </w:rPr>
            </w:pPr>
          </w:p>
        </w:tc>
        <w:tc>
          <w:tcPr>
            <w:tcW w:w="260" w:type="dxa"/>
            <w:vAlign w:val="bottom"/>
            <w:shd w:val="clear" w:color="auto" w:fill="ACACAC"/>
          </w:tcPr>
          <w:p>
            <w:pPr>
              <w:spacing w:after="0"/>
              <w:rPr>
                <w:sz w:val="19"/>
                <w:szCs w:val="19"/>
                <w:color w:val="auto"/>
              </w:rPr>
            </w:pPr>
          </w:p>
        </w:tc>
        <w:tc>
          <w:tcPr>
            <w:tcW w:w="1060" w:type="dxa"/>
            <w:vAlign w:val="bottom"/>
            <w:shd w:val="clear" w:color="auto" w:fill="ACACAC"/>
          </w:tcPr>
          <w:p>
            <w:pPr>
              <w:spacing w:after="0"/>
              <w:rPr>
                <w:sz w:val="19"/>
                <w:szCs w:val="19"/>
                <w:color w:val="auto"/>
              </w:rPr>
            </w:pPr>
          </w:p>
        </w:tc>
        <w:tc>
          <w:tcPr>
            <w:tcW w:w="320" w:type="dxa"/>
            <w:vAlign w:val="bottom"/>
            <w:shd w:val="clear" w:color="auto" w:fill="ACACAC"/>
          </w:tcPr>
          <w:p>
            <w:pPr>
              <w:spacing w:after="0"/>
              <w:rPr>
                <w:sz w:val="19"/>
                <w:szCs w:val="19"/>
                <w:color w:val="auto"/>
              </w:rPr>
            </w:pPr>
          </w:p>
        </w:tc>
        <w:tc>
          <w:tcPr>
            <w:tcW w:w="2880" w:type="dxa"/>
            <w:vAlign w:val="bottom"/>
            <w:gridSpan w:val="4"/>
            <w:shd w:val="clear" w:color="auto" w:fill="ACACAC"/>
          </w:tcPr>
          <w:p>
            <w:pPr>
              <w:jc w:val="right"/>
              <w:spacing w:after="0"/>
              <w:rPr>
                <w:sz w:val="20"/>
                <w:szCs w:val="20"/>
                <w:color w:val="auto"/>
              </w:rPr>
            </w:pPr>
            <w:r>
              <w:rPr>
                <w:rFonts w:ascii="Arial" w:cs="Arial" w:eastAsia="Arial" w:hAnsi="Arial"/>
                <w:sz w:val="18"/>
                <w:szCs w:val="18"/>
                <w:b w:val="1"/>
                <w:bCs w:val="1"/>
                <w:color w:val="FFFFFF"/>
              </w:rPr>
              <w:t>Year ended December 31,</w:t>
            </w:r>
          </w:p>
        </w:tc>
        <w:tc>
          <w:tcPr>
            <w:tcW w:w="940" w:type="dxa"/>
            <w:vAlign w:val="bottom"/>
            <w:shd w:val="clear" w:color="auto" w:fill="ACACAC"/>
          </w:tcPr>
          <w:p>
            <w:pPr>
              <w:spacing w:after="0"/>
              <w:rPr>
                <w:sz w:val="19"/>
                <w:szCs w:val="19"/>
                <w:color w:val="auto"/>
              </w:rPr>
            </w:pPr>
          </w:p>
        </w:tc>
        <w:tc>
          <w:tcPr>
            <w:tcW w:w="320" w:type="dxa"/>
            <w:vAlign w:val="bottom"/>
            <w:shd w:val="clear" w:color="auto" w:fill="ACACAC"/>
          </w:tcPr>
          <w:p>
            <w:pPr>
              <w:spacing w:after="0"/>
              <w:rPr>
                <w:sz w:val="19"/>
                <w:szCs w:val="19"/>
                <w:color w:val="auto"/>
              </w:rPr>
            </w:pPr>
          </w:p>
        </w:tc>
        <w:tc>
          <w:tcPr>
            <w:tcW w:w="1020" w:type="dxa"/>
            <w:vAlign w:val="bottom"/>
            <w:shd w:val="clear" w:color="auto" w:fill="ACACAC"/>
          </w:tcPr>
          <w:p>
            <w:pPr>
              <w:spacing w:after="0"/>
              <w:rPr>
                <w:sz w:val="19"/>
                <w:szCs w:val="19"/>
                <w:color w:val="auto"/>
              </w:rPr>
            </w:pPr>
          </w:p>
        </w:tc>
      </w:tr>
      <w:tr>
        <w:trPr>
          <w:trHeight w:val="243"/>
        </w:trPr>
        <w:tc>
          <w:tcPr>
            <w:tcW w:w="4380" w:type="dxa"/>
            <w:vAlign w:val="bottom"/>
            <w:shd w:val="clear" w:color="auto" w:fill="ACACAC"/>
          </w:tcPr>
          <w:p>
            <w:pPr>
              <w:ind w:left="20"/>
              <w:spacing w:after="0"/>
              <w:rPr>
                <w:sz w:val="20"/>
                <w:szCs w:val="20"/>
                <w:color w:val="auto"/>
              </w:rPr>
            </w:pPr>
            <w:r>
              <w:rPr>
                <w:rFonts w:ascii="Arial" w:cs="Arial" w:eastAsia="Arial" w:hAnsi="Arial"/>
                <w:sz w:val="18"/>
                <w:szCs w:val="18"/>
                <w:b w:val="1"/>
                <w:bCs w:val="1"/>
                <w:color w:val="FFFFFF"/>
              </w:rPr>
              <w:t>(in thousands, except per share data)</w:t>
            </w:r>
          </w:p>
        </w:tc>
        <w:tc>
          <w:tcPr>
            <w:tcW w:w="260" w:type="dxa"/>
            <w:vAlign w:val="bottom"/>
            <w:shd w:val="clear" w:color="auto" w:fill="ACACAC"/>
          </w:tcPr>
          <w:p>
            <w:pPr>
              <w:spacing w:after="0"/>
              <w:rPr>
                <w:sz w:val="21"/>
                <w:szCs w:val="21"/>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FFFFFF"/>
              </w:rPr>
              <w:t>2020</w:t>
            </w:r>
          </w:p>
        </w:tc>
        <w:tc>
          <w:tcPr>
            <w:tcW w:w="320" w:type="dxa"/>
            <w:vAlign w:val="bottom"/>
            <w:shd w:val="clear" w:color="auto" w:fill="ACACAC"/>
          </w:tcPr>
          <w:p>
            <w:pPr>
              <w:spacing w:after="0"/>
              <w:rPr>
                <w:sz w:val="21"/>
                <w:szCs w:val="21"/>
                <w:color w:val="auto"/>
              </w:rPr>
            </w:pPr>
          </w:p>
        </w:tc>
        <w:tc>
          <w:tcPr>
            <w:tcW w:w="1060" w:type="dxa"/>
            <w:vAlign w:val="bottom"/>
            <w:shd w:val="clear" w:color="auto" w:fill="ACACAC"/>
          </w:tcPr>
          <w:p>
            <w:pPr>
              <w:jc w:val="right"/>
              <w:spacing w:after="0" w:line="243" w:lineRule="exact"/>
              <w:rPr>
                <w:sz w:val="20"/>
                <w:szCs w:val="20"/>
                <w:color w:val="auto"/>
              </w:rPr>
            </w:pPr>
            <w:r>
              <w:rPr>
                <w:rFonts w:ascii="Arial" w:cs="Arial" w:eastAsia="Arial" w:hAnsi="Arial"/>
                <w:sz w:val="18"/>
                <w:szCs w:val="18"/>
                <w:b w:val="1"/>
                <w:bCs w:val="1"/>
                <w:color w:val="FFFFFF"/>
              </w:rPr>
              <w:t>2019</w:t>
            </w:r>
            <w:r>
              <w:rPr>
                <w:rFonts w:ascii="Arial" w:cs="Arial" w:eastAsia="Arial" w:hAnsi="Arial"/>
                <w:sz w:val="23"/>
                <w:szCs w:val="23"/>
                <w:b w:val="1"/>
                <w:bCs w:val="1"/>
                <w:color w:val="FFFFFF"/>
                <w:vertAlign w:val="superscript"/>
              </w:rPr>
              <w:t>(1)</w:t>
            </w:r>
          </w:p>
        </w:tc>
        <w:tc>
          <w:tcPr>
            <w:tcW w:w="320" w:type="dxa"/>
            <w:vAlign w:val="bottom"/>
            <w:shd w:val="clear" w:color="auto" w:fill="ACACAC"/>
          </w:tcPr>
          <w:p>
            <w:pPr>
              <w:spacing w:after="0"/>
              <w:rPr>
                <w:sz w:val="21"/>
                <w:szCs w:val="21"/>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8"/>
                <w:szCs w:val="18"/>
                <w:b w:val="1"/>
                <w:bCs w:val="1"/>
                <w:color w:val="FFFFFF"/>
              </w:rPr>
              <w:t>2018</w:t>
            </w:r>
          </w:p>
        </w:tc>
        <w:tc>
          <w:tcPr>
            <w:tcW w:w="440" w:type="dxa"/>
            <w:vAlign w:val="bottom"/>
            <w:shd w:val="clear" w:color="auto" w:fill="ACACAC"/>
          </w:tcPr>
          <w:p>
            <w:pPr>
              <w:spacing w:after="0"/>
              <w:rPr>
                <w:sz w:val="21"/>
                <w:szCs w:val="21"/>
                <w:color w:val="auto"/>
              </w:rPr>
            </w:pPr>
          </w:p>
        </w:tc>
        <w:tc>
          <w:tcPr>
            <w:tcW w:w="940" w:type="dxa"/>
            <w:vAlign w:val="bottom"/>
            <w:shd w:val="clear" w:color="auto" w:fill="ACACAC"/>
          </w:tcPr>
          <w:p>
            <w:pPr>
              <w:jc w:val="right"/>
              <w:spacing w:after="0" w:line="243" w:lineRule="exact"/>
              <w:rPr>
                <w:sz w:val="20"/>
                <w:szCs w:val="20"/>
                <w:color w:val="auto"/>
              </w:rPr>
            </w:pPr>
            <w:r>
              <w:rPr>
                <w:rFonts w:ascii="Arial" w:cs="Arial" w:eastAsia="Arial" w:hAnsi="Arial"/>
                <w:sz w:val="18"/>
                <w:szCs w:val="18"/>
                <w:b w:val="1"/>
                <w:bCs w:val="1"/>
                <w:color w:val="FFFFFF"/>
              </w:rPr>
              <w:t>2017</w:t>
            </w:r>
            <w:r>
              <w:rPr>
                <w:rFonts w:ascii="Arial" w:cs="Arial" w:eastAsia="Arial" w:hAnsi="Arial"/>
                <w:sz w:val="23"/>
                <w:szCs w:val="23"/>
                <w:b w:val="1"/>
                <w:bCs w:val="1"/>
                <w:color w:val="FFFFFF"/>
                <w:vertAlign w:val="superscript"/>
              </w:rPr>
              <w:t>(2)</w:t>
            </w:r>
          </w:p>
        </w:tc>
        <w:tc>
          <w:tcPr>
            <w:tcW w:w="320" w:type="dxa"/>
            <w:vAlign w:val="bottom"/>
            <w:shd w:val="clear" w:color="auto" w:fill="ACACAC"/>
          </w:tcPr>
          <w:p>
            <w:pPr>
              <w:spacing w:after="0"/>
              <w:rPr>
                <w:sz w:val="21"/>
                <w:szCs w:val="21"/>
                <w:color w:val="auto"/>
              </w:rPr>
            </w:pPr>
          </w:p>
        </w:tc>
        <w:tc>
          <w:tcPr>
            <w:tcW w:w="1020" w:type="dxa"/>
            <w:vAlign w:val="bottom"/>
            <w:shd w:val="clear" w:color="auto" w:fill="ACACAC"/>
          </w:tcPr>
          <w:p>
            <w:pPr>
              <w:jc w:val="right"/>
              <w:spacing w:after="0" w:line="243" w:lineRule="exact"/>
              <w:rPr>
                <w:sz w:val="20"/>
                <w:szCs w:val="20"/>
                <w:color w:val="auto"/>
              </w:rPr>
            </w:pPr>
            <w:r>
              <w:rPr>
                <w:rFonts w:ascii="Arial" w:cs="Arial" w:eastAsia="Arial" w:hAnsi="Arial"/>
                <w:sz w:val="18"/>
                <w:szCs w:val="18"/>
                <w:b w:val="1"/>
                <w:bCs w:val="1"/>
                <w:color w:val="FFFFFF"/>
              </w:rPr>
              <w:t>2016</w:t>
            </w:r>
            <w:r>
              <w:rPr>
                <w:rFonts w:ascii="Arial" w:cs="Arial" w:eastAsia="Arial" w:hAnsi="Arial"/>
                <w:sz w:val="23"/>
                <w:szCs w:val="23"/>
                <w:b w:val="1"/>
                <w:bCs w:val="1"/>
                <w:color w:val="FFFFFF"/>
                <w:vertAlign w:val="superscript"/>
              </w:rPr>
              <w:t>(2)</w:t>
            </w:r>
          </w:p>
        </w:tc>
      </w:tr>
      <w:tr>
        <w:trPr>
          <w:trHeight w:val="229"/>
        </w:trPr>
        <w:tc>
          <w:tcPr>
            <w:tcW w:w="438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SUMMARY OF OPERATIONS</w:t>
            </w:r>
          </w:p>
        </w:tc>
        <w:tc>
          <w:tcPr>
            <w:tcW w:w="26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32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32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44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32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913,219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900,423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848,606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788,487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731,642</w:t>
            </w:r>
          </w:p>
        </w:tc>
      </w:tr>
      <w:tr>
        <w:trPr>
          <w:trHeight w:val="229"/>
        </w:trPr>
        <w:tc>
          <w:tcPr>
            <w:tcW w:w="4380" w:type="dxa"/>
            <w:vAlign w:val="bottom"/>
            <w:shd w:val="clear" w:color="auto" w:fill="F4F4F4"/>
          </w:tcPr>
          <w:p>
            <w:pPr>
              <w:ind w:left="20"/>
              <w:spacing w:after="0"/>
              <w:rPr>
                <w:sz w:val="20"/>
                <w:szCs w:val="20"/>
                <w:color w:val="auto"/>
              </w:rPr>
            </w:pPr>
            <w:r>
              <w:rPr>
                <w:rFonts w:ascii="Arial" w:cs="Arial" w:eastAsia="Arial" w:hAnsi="Arial"/>
                <w:sz w:val="18"/>
                <w:szCs w:val="18"/>
                <w:color w:val="auto"/>
              </w:rPr>
              <w:t>Total cost of revenue</w:t>
            </w:r>
          </w:p>
        </w:tc>
        <w:tc>
          <w:tcPr>
            <w:tcW w:w="26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428,065</w:t>
            </w:r>
          </w:p>
        </w:tc>
        <w:tc>
          <w:tcPr>
            <w:tcW w:w="32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418,424</w:t>
            </w:r>
          </w:p>
        </w:tc>
        <w:tc>
          <w:tcPr>
            <w:tcW w:w="32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381,742</w:t>
            </w:r>
          </w:p>
        </w:tc>
        <w:tc>
          <w:tcPr>
            <w:tcW w:w="440" w:type="dxa"/>
            <w:vAlign w:val="bottom"/>
            <w:shd w:val="clear" w:color="auto" w:fill="F4F4F4"/>
          </w:tcPr>
          <w:p>
            <w:pPr>
              <w:spacing w:after="0"/>
              <w:rPr>
                <w:sz w:val="19"/>
                <w:szCs w:val="19"/>
                <w:color w:val="auto"/>
              </w:rPr>
            </w:pPr>
          </w:p>
        </w:tc>
        <w:tc>
          <w:tcPr>
            <w:tcW w:w="9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361,904</w:t>
            </w:r>
          </w:p>
        </w:tc>
        <w:tc>
          <w:tcPr>
            <w:tcW w:w="320" w:type="dxa"/>
            <w:vAlign w:val="bottom"/>
            <w:shd w:val="clear" w:color="auto" w:fill="F4F4F4"/>
          </w:tcPr>
          <w:p>
            <w:pPr>
              <w:spacing w:after="0"/>
              <w:rPr>
                <w:sz w:val="19"/>
                <w:szCs w:val="19"/>
                <w:color w:val="auto"/>
              </w:rPr>
            </w:pP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339,220</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485,154</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481,999</w:t>
            </w:r>
          </w:p>
        </w:tc>
        <w:tc>
          <w:tcPr>
            <w:tcW w:w="3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466,864</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426,583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392,422</w:t>
            </w:r>
          </w:p>
        </w:tc>
      </w:tr>
      <w:tr>
        <w:trPr>
          <w:trHeight w:val="229"/>
        </w:trPr>
        <w:tc>
          <w:tcPr>
            <w:tcW w:w="4380" w:type="dxa"/>
            <w:vAlign w:val="bottom"/>
            <w:shd w:val="clear" w:color="auto" w:fill="F4F4F4"/>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447,911</w:t>
            </w:r>
          </w:p>
        </w:tc>
        <w:tc>
          <w:tcPr>
            <w:tcW w:w="32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454,854</w:t>
            </w:r>
          </w:p>
        </w:tc>
        <w:tc>
          <w:tcPr>
            <w:tcW w:w="32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407,447</w:t>
            </w:r>
          </w:p>
        </w:tc>
        <w:tc>
          <w:tcPr>
            <w:tcW w:w="440" w:type="dxa"/>
            <w:vAlign w:val="bottom"/>
            <w:shd w:val="clear" w:color="auto" w:fill="F4F4F4"/>
          </w:tcPr>
          <w:p>
            <w:pPr>
              <w:spacing w:after="0"/>
              <w:rPr>
                <w:sz w:val="19"/>
                <w:szCs w:val="19"/>
                <w:color w:val="auto"/>
              </w:rPr>
            </w:pPr>
          </w:p>
        </w:tc>
        <w:tc>
          <w:tcPr>
            <w:tcW w:w="9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358,405</w:t>
            </w:r>
          </w:p>
        </w:tc>
        <w:tc>
          <w:tcPr>
            <w:tcW w:w="320" w:type="dxa"/>
            <w:vAlign w:val="bottom"/>
            <w:shd w:val="clear" w:color="auto" w:fill="F4F4F4"/>
          </w:tcPr>
          <w:p>
            <w:pPr>
              <w:spacing w:after="0"/>
              <w:rPr>
                <w:sz w:val="19"/>
                <w:szCs w:val="19"/>
                <w:color w:val="auto"/>
              </w:rPr>
            </w:pP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324,198</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37,243</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27,145</w:t>
            </w:r>
          </w:p>
        </w:tc>
        <w:tc>
          <w:tcPr>
            <w:tcW w:w="3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59,417</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68,178</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68,224</w:t>
            </w:r>
          </w:p>
        </w:tc>
      </w:tr>
      <w:tr>
        <w:trPr>
          <w:trHeight w:val="230"/>
        </w:trPr>
        <w:tc>
          <w:tcPr>
            <w:tcW w:w="4380" w:type="dxa"/>
            <w:vAlign w:val="bottom"/>
            <w:tcBorders>
              <w:bottom w:val="single" w:sz="8" w:color="auto"/>
            </w:tcBorders>
            <w:shd w:val="clear" w:color="auto" w:fill="F4F4F4"/>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ind w:right="30"/>
              <w:spacing w:after="0"/>
              <w:rPr>
                <w:sz w:val="20"/>
                <w:szCs w:val="20"/>
                <w:color w:val="auto"/>
              </w:rPr>
            </w:pPr>
            <w:r>
              <w:rPr>
                <w:rFonts w:ascii="Arial" w:cs="Arial" w:eastAsia="Arial" w:hAnsi="Arial"/>
                <w:sz w:val="18"/>
                <w:szCs w:val="18"/>
                <w:color w:val="auto"/>
              </w:rPr>
              <w:t>7,717</w:t>
            </w:r>
          </w:p>
        </w:tc>
        <w:tc>
          <w:tcPr>
            <w:tcW w:w="32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ind w:right="30"/>
              <w:spacing w:after="0"/>
              <w:rPr>
                <w:sz w:val="20"/>
                <w:szCs w:val="20"/>
                <w:color w:val="auto"/>
              </w:rPr>
            </w:pPr>
            <w:r>
              <w:rPr>
                <w:rFonts w:ascii="Arial" w:cs="Arial" w:eastAsia="Arial" w:hAnsi="Arial"/>
                <w:sz w:val="18"/>
                <w:szCs w:val="18"/>
                <w:color w:val="auto"/>
              </w:rPr>
              <w:t>11,908</w:t>
            </w:r>
          </w:p>
        </w:tc>
        <w:tc>
          <w:tcPr>
            <w:tcW w:w="32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ind w:right="50"/>
              <w:spacing w:after="0"/>
              <w:rPr>
                <w:sz w:val="20"/>
                <w:szCs w:val="20"/>
                <w:color w:val="auto"/>
              </w:rPr>
            </w:pPr>
            <w:r>
              <w:rPr>
                <w:rFonts w:ascii="Arial" w:cs="Arial" w:eastAsia="Arial" w:hAnsi="Arial"/>
                <w:sz w:val="18"/>
                <w:szCs w:val="18"/>
                <w:color w:val="auto"/>
              </w:rPr>
              <w:t>44,841</w:t>
            </w:r>
          </w:p>
        </w:tc>
        <w:tc>
          <w:tcPr>
            <w:tcW w:w="44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ind w:right="30"/>
              <w:spacing w:after="0"/>
              <w:rPr>
                <w:sz w:val="20"/>
                <w:szCs w:val="20"/>
                <w:color w:val="auto"/>
              </w:rPr>
            </w:pPr>
            <w:r>
              <w:rPr>
                <w:rFonts w:ascii="Arial" w:cs="Arial" w:eastAsia="Arial" w:hAnsi="Arial"/>
                <w:sz w:val="18"/>
                <w:szCs w:val="18"/>
                <w:color w:val="auto"/>
              </w:rPr>
              <w:t>73,633</w:t>
            </w:r>
          </w:p>
        </w:tc>
        <w:tc>
          <w:tcPr>
            <w:tcW w:w="32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45,404</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380" w:type="dxa"/>
            <w:vAlign w:val="bottom"/>
            <w:shd w:val="clear" w:color="auto" w:fill="F4F4F4"/>
          </w:tcPr>
          <w:p>
            <w:pPr>
              <w:ind w:left="20"/>
              <w:spacing w:after="0"/>
              <w:rPr>
                <w:sz w:val="20"/>
                <w:szCs w:val="20"/>
                <w:color w:val="auto"/>
              </w:rPr>
            </w:pPr>
            <w:r>
              <w:rPr>
                <w:rFonts w:ascii="Arial" w:cs="Arial" w:eastAsia="Arial" w:hAnsi="Arial"/>
                <w:sz w:val="18"/>
                <w:szCs w:val="18"/>
                <w:color w:val="auto"/>
              </w:rPr>
              <w:t>Basic net income</w:t>
            </w:r>
          </w:p>
        </w:tc>
        <w:tc>
          <w:tcPr>
            <w:tcW w:w="2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0.25</w:t>
            </w:r>
          </w:p>
        </w:tc>
        <w:tc>
          <w:tcPr>
            <w:tcW w:w="32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0.95</w:t>
            </w:r>
          </w:p>
        </w:tc>
        <w:tc>
          <w:tcPr>
            <w:tcW w:w="44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0.98</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Diluted net income</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0.93</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29"/>
        </w:trPr>
        <w:tc>
          <w:tcPr>
            <w:tcW w:w="4380" w:type="dxa"/>
            <w:vAlign w:val="bottom"/>
            <w:tcBorders>
              <w:bottom w:val="single" w:sz="8" w:color="auto"/>
            </w:tcBorders>
            <w:shd w:val="clear" w:color="auto" w:fill="F4F4F4"/>
          </w:tcPr>
          <w:p>
            <w:pPr>
              <w:ind w:left="20"/>
              <w:spacing w:after="0"/>
              <w:rPr>
                <w:sz w:val="20"/>
                <w:szCs w:val="20"/>
                <w:color w:val="auto"/>
              </w:rPr>
            </w:pPr>
            <w:r>
              <w:rPr>
                <w:rFonts w:ascii="Arial" w:cs="Arial" w:eastAsia="Arial" w:hAnsi="Arial"/>
                <w:sz w:val="18"/>
                <w:szCs w:val="18"/>
                <w:color w:val="auto"/>
              </w:rPr>
              <w:t>Cash dividends</w:t>
            </w:r>
          </w:p>
        </w:tc>
        <w:tc>
          <w:tcPr>
            <w:tcW w:w="26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ind w:right="30"/>
              <w:spacing w:after="0"/>
              <w:rPr>
                <w:sz w:val="20"/>
                <w:szCs w:val="20"/>
                <w:color w:val="auto"/>
              </w:rPr>
            </w:pPr>
            <w:r>
              <w:rPr>
                <w:rFonts w:ascii="Arial" w:cs="Arial" w:eastAsia="Arial" w:hAnsi="Arial"/>
                <w:sz w:val="18"/>
                <w:szCs w:val="18"/>
                <w:color w:val="auto"/>
              </w:rPr>
              <w:t>0.12</w:t>
            </w:r>
          </w:p>
        </w:tc>
        <w:tc>
          <w:tcPr>
            <w:tcW w:w="32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ind w:right="30"/>
              <w:spacing w:after="0"/>
              <w:rPr>
                <w:sz w:val="20"/>
                <w:szCs w:val="20"/>
                <w:color w:val="auto"/>
              </w:rPr>
            </w:pPr>
            <w:r>
              <w:rPr>
                <w:rFonts w:ascii="Arial" w:cs="Arial" w:eastAsia="Arial" w:hAnsi="Arial"/>
                <w:sz w:val="18"/>
                <w:szCs w:val="18"/>
                <w:color w:val="auto"/>
              </w:rPr>
              <w:t>0.48</w:t>
            </w:r>
          </w:p>
        </w:tc>
        <w:tc>
          <w:tcPr>
            <w:tcW w:w="32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ind w:right="50"/>
              <w:spacing w:after="0"/>
              <w:rPr>
                <w:sz w:val="20"/>
                <w:szCs w:val="20"/>
                <w:color w:val="auto"/>
              </w:rPr>
            </w:pPr>
            <w:r>
              <w:rPr>
                <w:rFonts w:ascii="Arial" w:cs="Arial" w:eastAsia="Arial" w:hAnsi="Arial"/>
                <w:sz w:val="18"/>
                <w:szCs w:val="18"/>
                <w:color w:val="auto"/>
              </w:rPr>
              <w:t>0.48</w:t>
            </w:r>
          </w:p>
        </w:tc>
        <w:tc>
          <w:tcPr>
            <w:tcW w:w="44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ind w:right="30"/>
              <w:spacing w:after="0"/>
              <w:rPr>
                <w:sz w:val="20"/>
                <w:szCs w:val="20"/>
                <w:color w:val="auto"/>
              </w:rPr>
            </w:pPr>
            <w:r>
              <w:rPr>
                <w:rFonts w:ascii="Arial" w:cs="Arial" w:eastAsia="Arial" w:hAnsi="Arial"/>
                <w:sz w:val="18"/>
                <w:szCs w:val="18"/>
                <w:color w:val="auto"/>
              </w:rPr>
              <w:t>0.48</w:t>
            </w:r>
          </w:p>
        </w:tc>
        <w:tc>
          <w:tcPr>
            <w:tcW w:w="32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0.48</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380" w:type="dxa"/>
            <w:vAlign w:val="bottom"/>
            <w:shd w:val="clear" w:color="auto" w:fill="F4F4F4"/>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2,044,734</w:t>
            </w:r>
          </w:p>
        </w:tc>
        <w:tc>
          <w:tcPr>
            <w:tcW w:w="32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1,992,963</w:t>
            </w:r>
          </w:p>
        </w:tc>
        <w:tc>
          <w:tcPr>
            <w:tcW w:w="32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1,615,305</w:t>
            </w:r>
          </w:p>
        </w:tc>
        <w:tc>
          <w:tcPr>
            <w:tcW w:w="44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99"/>
              </w:rPr>
              <w:t>1,797,846</w:t>
            </w:r>
          </w:p>
        </w:tc>
        <w:tc>
          <w:tcPr>
            <w:tcW w:w="32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1,345,009</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316,914</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316,137</w:t>
            </w:r>
          </w:p>
        </w:tc>
        <w:tc>
          <w:tcPr>
            <w:tcW w:w="3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298,555</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278,706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250,289</w:t>
            </w:r>
          </w:p>
        </w:tc>
      </w:tr>
      <w:tr>
        <w:trPr>
          <w:trHeight w:val="230"/>
        </w:trPr>
        <w:tc>
          <w:tcPr>
            <w:tcW w:w="4380" w:type="dxa"/>
            <w:vAlign w:val="bottom"/>
            <w:shd w:val="clear" w:color="auto" w:fill="F4F4F4"/>
          </w:tcPr>
          <w:p>
            <w:pPr>
              <w:ind w:left="20"/>
              <w:spacing w:after="0"/>
              <w:rPr>
                <w:sz w:val="20"/>
                <w:szCs w:val="20"/>
                <w:color w:val="auto"/>
              </w:rPr>
            </w:pPr>
            <w:r>
              <w:rPr>
                <w:rFonts w:ascii="Arial" w:cs="Arial" w:eastAsia="Arial" w:hAnsi="Arial"/>
                <w:sz w:val="18"/>
                <w:szCs w:val="18"/>
                <w:color w:val="auto"/>
              </w:rPr>
              <w:t>Total debt, including current portion</w:t>
            </w:r>
          </w:p>
        </w:tc>
        <w:tc>
          <w:tcPr>
            <w:tcW w:w="26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531,033</w:t>
            </w:r>
          </w:p>
        </w:tc>
        <w:tc>
          <w:tcPr>
            <w:tcW w:w="32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467,100</w:t>
            </w:r>
          </w:p>
        </w:tc>
        <w:tc>
          <w:tcPr>
            <w:tcW w:w="32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387,124</w:t>
            </w:r>
          </w:p>
        </w:tc>
        <w:tc>
          <w:tcPr>
            <w:tcW w:w="440" w:type="dxa"/>
            <w:vAlign w:val="bottom"/>
            <w:shd w:val="clear" w:color="auto" w:fill="F4F4F4"/>
          </w:tcPr>
          <w:p>
            <w:pPr>
              <w:spacing w:after="0"/>
              <w:rPr>
                <w:sz w:val="19"/>
                <w:szCs w:val="19"/>
                <w:color w:val="auto"/>
              </w:rPr>
            </w:pPr>
          </w:p>
        </w:tc>
        <w:tc>
          <w:tcPr>
            <w:tcW w:w="9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438,224</w:t>
            </w:r>
          </w:p>
        </w:tc>
        <w:tc>
          <w:tcPr>
            <w:tcW w:w="320" w:type="dxa"/>
            <w:vAlign w:val="bottom"/>
            <w:shd w:val="clear" w:color="auto" w:fill="F4F4F4"/>
          </w:tcPr>
          <w:p>
            <w:pPr>
              <w:spacing w:after="0"/>
              <w:rPr>
                <w:sz w:val="19"/>
                <w:szCs w:val="19"/>
                <w:color w:val="auto"/>
              </w:rPr>
            </w:pP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342,393</w:t>
            </w:r>
          </w:p>
        </w:tc>
      </w:tr>
      <w:tr>
        <w:trPr>
          <w:trHeight w:val="230"/>
        </w:trPr>
        <w:tc>
          <w:tcPr>
            <w:tcW w:w="438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71BF43"/>
            </w:tcBorders>
          </w:tcPr>
          <w:p>
            <w:pPr>
              <w:spacing w:after="0"/>
              <w:rPr>
                <w:sz w:val="19"/>
                <w:szCs w:val="19"/>
                <w:color w:val="auto"/>
              </w:rPr>
            </w:pPr>
          </w:p>
        </w:tc>
        <w:tc>
          <w:tcPr>
            <w:tcW w:w="1060" w:type="dxa"/>
            <w:vAlign w:val="bottom"/>
            <w:tcBorders>
              <w:bottom w:val="single" w:sz="8" w:color="71BF43"/>
            </w:tcBorders>
          </w:tcPr>
          <w:p>
            <w:pPr>
              <w:jc w:val="right"/>
              <w:ind w:right="30"/>
              <w:spacing w:after="0"/>
              <w:rPr>
                <w:sz w:val="20"/>
                <w:szCs w:val="20"/>
                <w:color w:val="auto"/>
              </w:rPr>
            </w:pPr>
            <w:r>
              <w:rPr>
                <w:rFonts w:ascii="Arial" w:cs="Arial" w:eastAsia="Arial" w:hAnsi="Arial"/>
                <w:sz w:val="18"/>
                <w:szCs w:val="18"/>
                <w:color w:val="auto"/>
              </w:rPr>
              <w:t>605,180</w:t>
            </w:r>
          </w:p>
        </w:tc>
        <w:tc>
          <w:tcPr>
            <w:tcW w:w="320" w:type="dxa"/>
            <w:vAlign w:val="bottom"/>
            <w:tcBorders>
              <w:bottom w:val="single" w:sz="8" w:color="71BF43"/>
            </w:tcBorders>
          </w:tcPr>
          <w:p>
            <w:pPr>
              <w:spacing w:after="0"/>
              <w:rPr>
                <w:sz w:val="19"/>
                <w:szCs w:val="19"/>
                <w:color w:val="auto"/>
              </w:rPr>
            </w:pPr>
          </w:p>
        </w:tc>
        <w:tc>
          <w:tcPr>
            <w:tcW w:w="1060" w:type="dxa"/>
            <w:vAlign w:val="bottom"/>
            <w:tcBorders>
              <w:bottom w:val="single" w:sz="8" w:color="71BF43"/>
            </w:tcBorders>
          </w:tcPr>
          <w:p>
            <w:pPr>
              <w:jc w:val="right"/>
              <w:ind w:right="30"/>
              <w:spacing w:after="0"/>
              <w:rPr>
                <w:sz w:val="20"/>
                <w:szCs w:val="20"/>
                <w:color w:val="auto"/>
              </w:rPr>
            </w:pPr>
            <w:r>
              <w:rPr>
                <w:rFonts w:ascii="Arial" w:cs="Arial" w:eastAsia="Arial" w:hAnsi="Arial"/>
                <w:sz w:val="18"/>
                <w:szCs w:val="18"/>
                <w:color w:val="auto"/>
              </w:rPr>
              <w:t>607,362</w:t>
            </w:r>
          </w:p>
        </w:tc>
        <w:tc>
          <w:tcPr>
            <w:tcW w:w="320" w:type="dxa"/>
            <w:vAlign w:val="bottom"/>
            <w:tcBorders>
              <w:bottom w:val="single" w:sz="8" w:color="71BF43"/>
            </w:tcBorders>
          </w:tcPr>
          <w:p>
            <w:pPr>
              <w:spacing w:after="0"/>
              <w:rPr>
                <w:sz w:val="19"/>
                <w:szCs w:val="19"/>
                <w:color w:val="auto"/>
              </w:rPr>
            </w:pPr>
          </w:p>
        </w:tc>
        <w:tc>
          <w:tcPr>
            <w:tcW w:w="1060" w:type="dxa"/>
            <w:vAlign w:val="bottom"/>
            <w:tcBorders>
              <w:bottom w:val="single" w:sz="8" w:color="71BF43"/>
            </w:tcBorders>
          </w:tcPr>
          <w:p>
            <w:pPr>
              <w:jc w:val="right"/>
              <w:ind w:right="50"/>
              <w:spacing w:after="0"/>
              <w:rPr>
                <w:sz w:val="20"/>
                <w:szCs w:val="20"/>
                <w:color w:val="auto"/>
              </w:rPr>
            </w:pPr>
            <w:r>
              <w:rPr>
                <w:rFonts w:ascii="Arial" w:cs="Arial" w:eastAsia="Arial" w:hAnsi="Arial"/>
                <w:sz w:val="18"/>
                <w:szCs w:val="18"/>
                <w:color w:val="auto"/>
              </w:rPr>
              <w:t>435,867</w:t>
            </w:r>
          </w:p>
        </w:tc>
        <w:tc>
          <w:tcPr>
            <w:tcW w:w="440" w:type="dxa"/>
            <w:vAlign w:val="bottom"/>
            <w:tcBorders>
              <w:bottom w:val="single" w:sz="8" w:color="71BF43"/>
            </w:tcBorders>
          </w:tcPr>
          <w:p>
            <w:pPr>
              <w:spacing w:after="0"/>
              <w:rPr>
                <w:sz w:val="19"/>
                <w:szCs w:val="19"/>
                <w:color w:val="auto"/>
              </w:rPr>
            </w:pPr>
          </w:p>
        </w:tc>
        <w:tc>
          <w:tcPr>
            <w:tcW w:w="940" w:type="dxa"/>
            <w:vAlign w:val="bottom"/>
            <w:tcBorders>
              <w:bottom w:val="single" w:sz="8" w:color="71BF43"/>
            </w:tcBorders>
          </w:tcPr>
          <w:p>
            <w:pPr>
              <w:jc w:val="right"/>
              <w:ind w:right="30"/>
              <w:spacing w:after="0"/>
              <w:rPr>
                <w:sz w:val="20"/>
                <w:szCs w:val="20"/>
                <w:color w:val="auto"/>
              </w:rPr>
            </w:pPr>
            <w:r>
              <w:rPr>
                <w:rFonts w:ascii="Arial" w:cs="Arial" w:eastAsia="Arial" w:hAnsi="Arial"/>
                <w:sz w:val="18"/>
                <w:szCs w:val="18"/>
                <w:color w:val="auto"/>
              </w:rPr>
              <w:t>486,946</w:t>
            </w:r>
          </w:p>
        </w:tc>
        <w:tc>
          <w:tcPr>
            <w:tcW w:w="320" w:type="dxa"/>
            <w:vAlign w:val="bottom"/>
            <w:tcBorders>
              <w:bottom w:val="single" w:sz="8" w:color="71BF43"/>
            </w:tcBorders>
          </w:tcPr>
          <w:p>
            <w:pPr>
              <w:spacing w:after="0"/>
              <w:rPr>
                <w:sz w:val="19"/>
                <w:szCs w:val="19"/>
                <w:color w:val="auto"/>
              </w:rPr>
            </w:pPr>
          </w:p>
        </w:tc>
        <w:tc>
          <w:tcPr>
            <w:tcW w:w="102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396,466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-2510790</wp:posOffset>
            </wp:positionV>
            <wp:extent cx="43205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66" w:lineRule="exact"/>
        <w:rPr>
          <w:sz w:val="20"/>
          <w:szCs w:val="20"/>
          <w:color w:val="auto"/>
        </w:rPr>
      </w:pPr>
    </w:p>
    <w:p>
      <w:pPr>
        <w:ind w:left="340" w:hanging="332"/>
        <w:spacing w:after="0" w:line="241" w:lineRule="auto"/>
        <w:tabs>
          <w:tab w:leader="none" w:pos="354"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impact of adopting Accounting Standards Update ("ASU") 2016-02, Leases (Topic 842) in 2019, on a prospective basis. See Note 2 of our consolidated financial statements in this report for further discussion.</w:t>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impact of adopting ASU 2014-09, Revenue from Contracts with Customers (Topic 606) in 2018, on a retrospective basis.</w:t>
      </w:r>
    </w:p>
    <w:p>
      <w:pPr>
        <w:spacing w:after="0" w:line="30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600"/>
        <w:spacing w:after="0" w:line="278" w:lineRule="auto"/>
        <w:rPr>
          <w:sz w:val="20"/>
          <w:szCs w:val="20"/>
          <w:color w:val="auto"/>
        </w:rPr>
      </w:pPr>
      <w:r>
        <w:rPr>
          <w:rFonts w:ascii="Arial" w:cs="Arial" w:eastAsia="Arial" w:hAnsi="Arial"/>
          <w:sz w:val="29"/>
          <w:szCs w:val="29"/>
          <w:b w:val="1"/>
          <w:bCs w:val="1"/>
          <w:color w:val="71BF43"/>
        </w:rPr>
        <w:t>ITEM 7. MANAGEMENT'S DISCUSSION AND ANALYSIS OF FINANCIAL CONDITION AND RESULTS OF OPERATIONS</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Item 1A Risk factors and our consolidated financial statements and related notes included elsewhere in this Annual Report on Form 10-K. The following discussion and analysis presents financial information denominated in millions of dollars which can lead to differences from rounding when compared to similar information contained in the consolidated financial statements and related notes, which are primarily denominated in thousands of dollars.</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and individuals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nearly four decades, we are headquartered in Charleston, South Carolina, and have operations in the United States, Australia, Canada, Costa Rica and the United Kingdom. As of December 31, 2020, we had over 45,000 global customers.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transaction services; (iii) providing software maintenance and support services; and (iv) providing professional services, including implementation, consulting, training, analytic and other services.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outbreak of COVID-19 in countries across the globe, including each country in which we currently operate, has adversely impacted the U.S. and global economies. We began 2020 with strong execution against our financial plan. In March 2020, we began to experience disruptions to our business from COVID-19, and the pandemic continues to impact each of our markets.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better enable us to weather the extraordinary business challenges brought about by the global COVID-19 pandemic, to protect the safety and welfare of our employees, and to further effect our long-term strategy to deliver the greatest value to our stockholders, we have taken several actions. These measures taken are expected to provide us the financial flexibility needed to manage a wide array of outcomes that may result from COVID-19. See Note 2 to our condensed consolidated financial statements in this report for a discussion of some of these actions. In addition to the actions we have taken to date, we are continuously evaluating further possible actions in order to respond quickly to rapidly changing conditions, if needed.</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economic impact of COVID-19 on the social good industry remains uncertain. With our existing and prospective customers remaining cautious in their purchase decisions, we expect that our operating environment may continue to be challenging in 2021 and potentially beyond, as discussed below. Notwithstanding these conditions, we remain focused on continuing to execute our four-point growth strategy and strengthening our leadership position.</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32  </w:t>
      </w:r>
      <w:r>
        <w:rPr>
          <w:sz w:val="1"/>
          <w:szCs w:val="1"/>
          <w:color w:val="auto"/>
        </w:rPr>
        <w:drawing>
          <wp:inline distT="0" distB="0" distL="0" distR="0">
            <wp:extent cx="728345" cy="18859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165735</wp:posOffset>
            </wp:positionV>
            <wp:extent cx="265430"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73" w:lineRule="exact"/>
        <w:rPr>
          <w:sz w:val="20"/>
          <w:szCs w:val="20"/>
          <w:color w:val="auto"/>
        </w:rPr>
      </w:pPr>
    </w:p>
    <w:p>
      <w:pPr>
        <w:ind w:left="1300" w:hanging="471"/>
        <w:spacing w:after="0"/>
        <w:tabs>
          <w:tab w:leader="none" w:pos="1300" w:val="left"/>
        </w:tabs>
        <w:numPr>
          <w:ilvl w:val="1"/>
          <w:numId w:val="18"/>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2</w:t>
      </w:r>
      <w:r>
        <w:rPr>
          <w:rFonts w:ascii="Arial" w:cs="Arial" w:eastAsia="Arial" w:hAnsi="Arial"/>
          <w:sz w:val="17"/>
          <w:szCs w:val="17"/>
          <w:b w:val="1"/>
          <w:bCs w:val="1"/>
          <w:color w:val="auto"/>
        </w:rPr>
        <w:t>Drive Sales Effectiveness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3</w:t>
      </w:r>
      <w:r>
        <w:rPr>
          <w:rFonts w:ascii="Arial" w:cs="Arial" w:eastAsia="Arial" w:hAnsi="Arial"/>
          <w:sz w:val="17"/>
          <w:szCs w:val="17"/>
          <w:b w:val="1"/>
          <w:bCs w:val="1"/>
          <w:color w:val="auto"/>
        </w:rPr>
        <w:t>Expand Total Addressable Market</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auto"/>
        </w:rPr>
        <w:t>Improve Operating Efficiency</w:t>
      </w:r>
    </w:p>
    <w:p>
      <w:pPr>
        <w:spacing w:after="0" w:line="200" w:lineRule="exact"/>
        <w:rPr>
          <w:rFonts w:ascii="Arial" w:cs="Arial" w:eastAsia="Arial" w:hAnsi="Arial"/>
          <w:sz w:val="18"/>
          <w:szCs w:val="18"/>
          <w:b w:val="1"/>
          <w:bCs w:val="1"/>
          <w:color w:val="FFFFFF"/>
        </w:rPr>
      </w:pPr>
    </w:p>
    <w:p>
      <w:pPr>
        <w:spacing w:after="0" w:line="366" w:lineRule="exact"/>
        <w:rPr>
          <w:rFonts w:ascii="Arial" w:cs="Arial" w:eastAsia="Arial" w:hAnsi="Arial"/>
          <w:sz w:val="18"/>
          <w:szCs w:val="18"/>
          <w:b w:val="1"/>
          <w:bCs w:val="1"/>
          <w:color w:val="FFFFFF"/>
        </w:rPr>
      </w:pPr>
    </w:p>
    <w:p>
      <w:pPr>
        <w:ind w:left="320" w:hanging="312"/>
        <w:spacing w:after="0"/>
        <w:tabs>
          <w:tab w:leader="none" w:pos="3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This strategy reflects our relentless focus on driving value and outcomes for our customers through our solutions. Blackbaud SKY®, our platform for cloud innovation, is a core tenant of this strategy and continues to power an elevated level of innovation by our engineers. It is also enabling our growing ecosystem of partners who are also passionate about social good, to extend and expand the capabilities available to our customers. During 2020, we continued making critical investments in research and development and increased our engineering hiring during the fourth quarter. We also released the Blackbaud Marketplace during 2020, offering curated third-party apps, enabling organizations of all types and sizes to discover new ways to amplify their impact by enhancing their best-of-breed Blackbaud solutions with specialized capabilities like connecting bidders at fundraising auctions, tracking branded merchandise purchased in an online store or texting volunteers about an upcoming event.</w:t>
      </w:r>
    </w:p>
    <w:p>
      <w:pPr>
        <w:spacing w:after="0" w:line="151"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The customers we serve require vertical specific business solutions to automate their operations. Throughout 2020 we have remained focused on driving value and outcomes for our customers. We reprioritized and expedited product enhancements to support our customers needs, especially in light of COVID-19 and the continued shift to virtual, digital-first operating models. For example, we released fitness tracking integration in Blackbaud’s peer-to-peer fundraising portfolio, a new virtual prayer wall enabling congregants at houses of worship to share and respond to prayer requests online, text messaging capabilities for scholarship directors and higher education institutions to ensure no funds were going unutilized and expanded the global capabilities of YourCause CSRConnect making it easier for companies to bring employees across geographies together in support of causes around the world.</w:t>
      </w:r>
    </w:p>
    <w:p>
      <w:pPr>
        <w:spacing w:after="0" w:line="152" w:lineRule="exact"/>
        <w:rPr>
          <w:rFonts w:ascii="Arial" w:cs="Arial" w:eastAsia="Arial" w:hAnsi="Arial"/>
          <w:sz w:val="18"/>
          <w:szCs w:val="18"/>
          <w:i w:val="1"/>
          <w:iCs w:val="1"/>
          <w:color w:val="auto"/>
        </w:rPr>
      </w:pPr>
    </w:p>
    <w:p>
      <w:pPr>
        <w:jc w:val="both"/>
        <w:ind w:left="34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Blackbaud Peer-to-Peer Fundraising powered by JustGiving continues to gain traction. During 2020, we migrated everydayhero customers over to Blackbaud Peer-to-Peer Fundraising powered by JustGiving and sunset the everydayhero product as we continue to rationalize our portfolio while continuing to delight our customers with innovative cloud solutions.</w:t>
      </w:r>
    </w:p>
    <w:p>
      <w:pPr>
        <w:spacing w:after="0" w:line="129" w:lineRule="exact"/>
        <w:rPr>
          <w:rFonts w:ascii="Arial" w:cs="Arial" w:eastAsia="Arial" w:hAnsi="Arial"/>
          <w:sz w:val="18"/>
          <w:szCs w:val="18"/>
          <w:i w:val="1"/>
          <w:iCs w:val="1"/>
          <w:color w:val="auto"/>
        </w:rPr>
      </w:pPr>
    </w:p>
    <w:p>
      <w:pPr>
        <w:ind w:left="320" w:hanging="312"/>
        <w:spacing w:after="0"/>
        <w:tabs>
          <w:tab w:leader="none" w:pos="3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Drive Sales Effectiveness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We have been investing in sales and marketing to better address our market opportunity with a focus on digital lead generation. One way we are equipping our salesforce to be more effective is by investing in the necessary technology and resources to efficiently drive an increased number of quality leads and better cover our large addressable market. We have implemented software tools to enhance our digital footprint and drive lead generation across the company. We are taking a multi-touch attribution approach to measuring the effectiveness of our marketing campaigns to drive efficiency in our go-to-market efforts and improve returns on our marketing dollars. This is just one of many examples of how we are optimizing our structure, tools and processes to better address our large vertical market opportunities. We have also taken lessons learned throughout 2020 and re-evaluated elements of our go-to-market strategy with a digital-first mindset and we have a significant opportunity to leverage the investments into digital to reduce our customer acquisition cost and increase our sales velocity, ultimately, driving a more scalable and cost-effective go-to-market model.</w:t>
      </w:r>
    </w:p>
    <w:p>
      <w:pPr>
        <w:spacing w:after="0" w:line="139" w:lineRule="exact"/>
        <w:rPr>
          <w:rFonts w:ascii="Arial" w:cs="Arial" w:eastAsia="Arial" w:hAnsi="Arial"/>
          <w:sz w:val="18"/>
          <w:szCs w:val="18"/>
          <w:i w:val="1"/>
          <w:iCs w:val="1"/>
          <w:color w:val="auto"/>
        </w:rPr>
      </w:pPr>
    </w:p>
    <w:p>
      <w:pPr>
        <w:ind w:left="320" w:hanging="312"/>
        <w:spacing w:after="0"/>
        <w:tabs>
          <w:tab w:leader="none" w:pos="3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Expand TAM</w:t>
      </w:r>
    </w:p>
    <w:p>
      <w:pPr>
        <w:spacing w:after="0" w:line="189" w:lineRule="exact"/>
        <w:rPr>
          <w:rFonts w:ascii="Arial" w:cs="Arial" w:eastAsia="Arial" w:hAnsi="Arial"/>
          <w:sz w:val="18"/>
          <w:szCs w:val="18"/>
          <w:i w:val="1"/>
          <w:iCs w:val="1"/>
          <w:color w:val="auto"/>
        </w:rPr>
      </w:pPr>
    </w:p>
    <w:p>
      <w:pPr>
        <w:ind w:left="340" w:right="20"/>
        <w:spacing w:after="0" w:line="261" w:lineRule="auto"/>
        <w:rPr>
          <w:rFonts w:ascii="Arial" w:cs="Arial" w:eastAsia="Arial" w:hAnsi="Arial"/>
          <w:sz w:val="18"/>
          <w:szCs w:val="18"/>
          <w:i w:val="1"/>
          <w:iCs w:val="1"/>
          <w:color w:val="auto"/>
        </w:rPr>
      </w:pPr>
      <w:r>
        <w:rPr>
          <w:rFonts w:ascii="Arial" w:cs="Arial" w:eastAsia="Arial" w:hAnsi="Arial"/>
          <w:sz w:val="18"/>
          <w:szCs w:val="18"/>
          <w:color w:val="auto"/>
        </w:rPr>
        <w:t>We did not complete any acquisitions during 2020 as we have remained vigilantly focused on supporting our customers and employees during this time. We remain active in the evaluation of opportunities to further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-6174105</wp:posOffset>
            </wp:positionV>
            <wp:extent cx="265430" cy="197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5430" cy="19748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-5908040</wp:posOffset>
            </wp:positionV>
            <wp:extent cx="26543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430" cy="19748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-5642610</wp:posOffset>
            </wp:positionV>
            <wp:extent cx="265430" cy="1974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spacing w:after="0" w:line="25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our addressable market through acquisitions and internal product development. We believe we have significant opportunities in front of us as we are less than 10% penetrated into a total addressable market of over $10 billion.</w:t>
      </w:r>
    </w:p>
    <w:p>
      <w:pPr>
        <w:spacing w:after="0" w:line="12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Improve Operating Efficiency</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We are also focused on operational efficiency to strengthen the business and position us for long-term success. During 2020, we pivoted to place a greater emphasis on profit in alignment with the balanced approach management takes to operating the business. As a result of the pandemic, our near term visibility into revenue growth was impacted and we took certain actions early on to ensure our near-term liquidity (as discussed above) and shifted more of our focus to profitability. Our employees switched to working fully remote at the onset of the pandemic and the business continued operating smoothly. This caused us to re-evaluate our workforce strategy and when employees return to the office, we expect to have more employees working remotely either part-time or full time, even within our hub locations. As a result, we revisited our real estate strategy with a focus on optimizing our footprint for the future of work at Blackbaud, including the purchase of our LEED Gold certified Global Headquarters Facility and exit of certain office leases globally. Our aim is optimizing our office utilization, improving our geographic sales coverage and enhancing our employees' daily experience to improve productivity and effectiveness.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Total Revenue ($M)</w:t>
            </w:r>
          </w:p>
        </w:tc>
        <w:tc>
          <w:tcPr>
            <w:tcW w:w="66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Income from Operations ($M)</w:t>
            </w:r>
          </w:p>
        </w:tc>
      </w:tr>
      <w:tr>
        <w:trPr>
          <w:trHeight w:val="251"/>
        </w:trPr>
        <w:tc>
          <w:tcPr>
            <w:tcW w:w="4940" w:type="dxa"/>
            <w:vAlign w:val="bottom"/>
            <w:gridSpan w:val="2"/>
          </w:tcPr>
          <w:p>
            <w:pPr>
              <w:jc w:val="center"/>
              <w:ind w:right="640"/>
              <w:spacing w:after="0"/>
              <w:rPr>
                <w:sz w:val="20"/>
                <w:szCs w:val="20"/>
                <w:color w:val="auto"/>
              </w:rPr>
            </w:pPr>
            <w:r>
              <w:rPr>
                <w:rFonts w:ascii="Arial" w:cs="Arial" w:eastAsia="Arial" w:hAnsi="Arial"/>
                <w:sz w:val="14"/>
                <w:szCs w:val="14"/>
                <w:color w:val="auto"/>
              </w:rPr>
              <w:t>YoY Growth (%)</w:t>
            </w:r>
          </w:p>
        </w:tc>
        <w:tc>
          <w:tcPr>
            <w:tcW w:w="4300" w:type="dxa"/>
            <w:vAlign w:val="bottom"/>
          </w:tcPr>
          <w:p>
            <w:pPr>
              <w:jc w:val="center"/>
              <w:spacing w:after="0"/>
              <w:rPr>
                <w:sz w:val="20"/>
                <w:szCs w:val="20"/>
                <w:color w:val="auto"/>
              </w:rPr>
            </w:pPr>
            <w:r>
              <w:rPr>
                <w:rFonts w:ascii="Arial" w:cs="Arial" w:eastAsia="Arial" w:hAnsi="Arial"/>
                <w:sz w:val="14"/>
                <w:szCs w:val="14"/>
                <w:color w:val="auto"/>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50800</wp:posOffset>
            </wp:positionV>
            <wp:extent cx="5417820" cy="1423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1782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Total revenue increased by $12.8 million during 2020, driven largely by the following:</w:t>
      </w:r>
    </w:p>
    <w:p>
      <w:pPr>
        <w:spacing w:after="0" w:line="144" w:lineRule="exact"/>
        <w:rPr>
          <w:sz w:val="20"/>
          <w:szCs w:val="20"/>
          <w:color w:val="auto"/>
        </w:rPr>
      </w:pPr>
    </w:p>
    <w:p>
      <w:pPr>
        <w:ind w:left="700" w:right="20" w:hanging="373"/>
        <w:spacing w:after="0" w:line="22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transactional revenue, including an accelerated shift toward virtual and online fundraising and charitable giving related to COVID-19</w:t>
      </w:r>
    </w:p>
    <w:p>
      <w:pPr>
        <w:spacing w:after="0" w:line="13" w:lineRule="exact"/>
        <w:rPr>
          <w:rFonts w:ascii="Arial" w:cs="Arial" w:eastAsia="Arial" w:hAnsi="Arial"/>
          <w:sz w:val="18"/>
          <w:szCs w:val="18"/>
          <w:color w:val="auto"/>
        </w:rPr>
      </w:pPr>
    </w:p>
    <w:p>
      <w:pPr>
        <w:ind w:left="700" w:hanging="37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contractual recurring revenue related to positive demand from customers across our portfolio of cloud solutions</w:t>
      </w:r>
    </w:p>
    <w:p>
      <w:pPr>
        <w:spacing w:after="0" w:line="23" w:lineRule="exact"/>
        <w:rPr>
          <w:sz w:val="20"/>
          <w:szCs w:val="20"/>
          <w:color w:val="auto"/>
        </w:rPr>
      </w:pPr>
    </w:p>
    <w:p>
      <w:pPr>
        <w:ind w:left="700" w:right="20" w:hanging="351"/>
        <w:spacing w:after="0" w:line="22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one-time consulting revenue primarily from less one-time sales related to changes in our compensation plans to place greater emphasis on subscription sales of our cloud solutions</w:t>
      </w:r>
    </w:p>
    <w:p>
      <w:pPr>
        <w:spacing w:after="0" w:line="13" w:lineRule="exact"/>
        <w:rPr>
          <w:rFonts w:ascii="Arial" w:cs="Arial" w:eastAsia="Arial" w:hAnsi="Arial"/>
          <w:sz w:val="18"/>
          <w:szCs w:val="18"/>
          <w:color w:val="auto"/>
        </w:rPr>
      </w:pPr>
    </w:p>
    <w:p>
      <w:pPr>
        <w:ind w:left="700" w:hanging="35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one-time analytics revenue as analytics are generally integrated in our cloud solutions</w:t>
      </w:r>
    </w:p>
    <w:p>
      <w:pPr>
        <w:spacing w:after="0" w:line="3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34  </w:t>
      </w:r>
      <w:r>
        <w:rPr>
          <w:sz w:val="1"/>
          <w:szCs w:val="1"/>
          <w:color w:val="auto"/>
        </w:rPr>
        <w:drawing>
          <wp:inline distT="0" distB="0" distL="0" distR="0">
            <wp:extent cx="728345" cy="18859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increased by $10.1 million during 2020, driven largely by the following:</w:t>
      </w:r>
    </w:p>
    <w:p>
      <w:pPr>
        <w:spacing w:after="0" w:line="144" w:lineRule="exact"/>
        <w:rPr>
          <w:sz w:val="20"/>
          <w:szCs w:val="20"/>
          <w:color w:val="auto"/>
        </w:rPr>
      </w:pPr>
    </w:p>
    <w:p>
      <w:pPr>
        <w:ind w:left="700" w:hanging="373"/>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Growth in total revenue, as described above</w:t>
      </w:r>
    </w:p>
    <w:p>
      <w:pPr>
        <w:spacing w:after="0" w:line="22" w:lineRule="exact"/>
        <w:rPr>
          <w:rFonts w:ascii="Arial" w:cs="Arial" w:eastAsia="Arial" w:hAnsi="Arial"/>
          <w:sz w:val="18"/>
          <w:szCs w:val="18"/>
          <w:color w:val="auto"/>
        </w:rPr>
      </w:pPr>
    </w:p>
    <w:p>
      <w:pPr>
        <w:jc w:val="both"/>
        <w:ind w:left="700" w:right="20" w:hanging="373"/>
        <w:spacing w:after="0" w:line="215"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compensation costs (excluding stock-based compensation expense) of $43.7 million primarily associated with the decision to replace our 2020 cash bonus plans with grants of performance-based equity awards, which are being recognized as stock-based compensation expense between May 1, 2020 and May 1, 2021. These awards may be earned and become eligible for vesting on May 1, 2021 subject to meeting certain performance conditions and the recipient's continued employment with us</w:t>
      </w:r>
    </w:p>
    <w:p>
      <w:pPr>
        <w:spacing w:after="0" w:line="14"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travel costs of $11.0 million due to our restriction on non-essential employee travel in response to the COVID-19 pandemic</w:t>
      </w:r>
    </w:p>
    <w:p>
      <w:pPr>
        <w:spacing w:after="0" w:line="13" w:lineRule="exact"/>
        <w:rPr>
          <w:rFonts w:ascii="Arial" w:cs="Arial" w:eastAsia="Arial" w:hAnsi="Arial"/>
          <w:sz w:val="18"/>
          <w:szCs w:val="18"/>
          <w:color w:val="auto"/>
        </w:rPr>
      </w:pPr>
    </w:p>
    <w:p>
      <w:pPr>
        <w:ind w:left="700" w:hanging="373"/>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$8.2 million</w:t>
      </w:r>
    </w:p>
    <w:p>
      <w:pPr>
        <w:spacing w:after="0" w:line="22"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restructuring costs of $5.6 million as our facilities optimization restructuring plan was largely completed as of December 31, 2019</w:t>
      </w:r>
    </w:p>
    <w:p>
      <w:pPr>
        <w:spacing w:after="0" w:line="13" w:lineRule="exact"/>
        <w:rPr>
          <w:rFonts w:ascii="Arial" w:cs="Arial" w:eastAsia="Arial" w:hAnsi="Arial"/>
          <w:sz w:val="18"/>
          <w:szCs w:val="18"/>
          <w:color w:val="auto"/>
        </w:rPr>
      </w:pPr>
    </w:p>
    <w:p>
      <w:pPr>
        <w:ind w:left="700" w:hanging="373"/>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acquisition-related expenses and integration costs of $3.3 million</w:t>
      </w:r>
    </w:p>
    <w:p>
      <w:pPr>
        <w:spacing w:after="0" w:line="23" w:lineRule="exact"/>
        <w:rPr>
          <w:sz w:val="20"/>
          <w:szCs w:val="20"/>
          <w:color w:val="auto"/>
        </w:rPr>
      </w:pPr>
    </w:p>
    <w:p>
      <w:pPr>
        <w:ind w:left="700" w:right="20" w:hanging="351"/>
        <w:spacing w:after="0" w:line="22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stock-based compensation expense of $28.6 million primarily related to the decision to replace our 2020 cash bonus plans with grants of performance-based equity awards</w:t>
      </w:r>
    </w:p>
    <w:p>
      <w:pPr>
        <w:spacing w:after="0" w:line="13" w:lineRule="exact"/>
        <w:rPr>
          <w:rFonts w:ascii="Arial" w:cs="Arial" w:eastAsia="Arial" w:hAnsi="Arial"/>
          <w:sz w:val="18"/>
          <w:szCs w:val="18"/>
          <w:color w:val="auto"/>
        </w:rPr>
      </w:pPr>
    </w:p>
    <w:p>
      <w:pPr>
        <w:ind w:left="700" w:right="20" w:hanging="351"/>
        <w:spacing w:after="0" w:line="22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real estate activity costs of $23.1 million due to our workforce strategy changes in response to the COVID-19 pandemic. For additional details, see "Results of Operations - General and administrative" below.</w:t>
      </w:r>
    </w:p>
    <w:p>
      <w:pPr>
        <w:spacing w:after="0" w:line="13" w:lineRule="exact"/>
        <w:rPr>
          <w:rFonts w:ascii="Arial" w:cs="Arial" w:eastAsia="Arial" w:hAnsi="Arial"/>
          <w:sz w:val="18"/>
          <w:szCs w:val="18"/>
          <w:color w:val="auto"/>
        </w:rPr>
      </w:pPr>
    </w:p>
    <w:p>
      <w:pPr>
        <w:ind w:left="700" w:right="40" w:hanging="351"/>
        <w:spacing w:after="0" w:line="22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corporate costs of $6.3 million primarily related to increases in bad debt expense; for additional details, see Note 2 to our consolidated financial statements in this report</w:t>
      </w:r>
    </w:p>
    <w:p>
      <w:pPr>
        <w:spacing w:after="0" w:line="13" w:lineRule="exact"/>
        <w:rPr>
          <w:rFonts w:ascii="Arial" w:cs="Arial" w:eastAsia="Arial" w:hAnsi="Arial"/>
          <w:sz w:val="18"/>
          <w:szCs w:val="18"/>
          <w:color w:val="auto"/>
        </w:rPr>
      </w:pPr>
    </w:p>
    <w:p>
      <w:pPr>
        <w:jc w:val="both"/>
        <w:ind w:left="700" w:right="20" w:hanging="351"/>
        <w:spacing w:after="0" w:line="219"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cost of revenue from a $4.3 million impairment charge during the three months ended June 30, 2020, against certain previously capitalized software development costs, resulting from our decision to accelerate the end of customer support for certain solutions</w:t>
      </w:r>
    </w:p>
    <w:p>
      <w:pPr>
        <w:spacing w:after="0" w:line="13" w:lineRule="exact"/>
        <w:rPr>
          <w:rFonts w:ascii="Arial" w:cs="Arial" w:eastAsia="Arial" w:hAnsi="Arial"/>
          <w:sz w:val="18"/>
          <w:szCs w:val="18"/>
          <w:color w:val="auto"/>
        </w:rPr>
      </w:pPr>
    </w:p>
    <w:p>
      <w:pPr>
        <w:ind w:left="700" w:right="20" w:hanging="351"/>
        <w:spacing w:after="0" w:line="22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increases in cost of revenue related to increases in data center costs, amortization of software development costs and transaction-based costs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are three primary revenue categories with related business drivers that we continue to monitor closely in light of the COVID-19 pandemic:</w:t>
      </w:r>
    </w:p>
    <w:p>
      <w:pPr>
        <w:spacing w:after="0" w:line="12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Recurring Revenue (approximately two thirds of total revenue in 2020)</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Recurring subscription contracts are typically for a term of three years at contract inception, billed annually in advance, and we have been for several years successfully shifting our legacy customer base away from annual renewals and moving them onto multi-year renewal contracts. Our contracted recurring revenue has performed well as our renewal rate during 2020 finished favorable to our original plan. We expect the shortfall in bookings during 2020 to put pressure on our revenue growth during 2021. We are closely monitoring our customer receivable balances, payment terms, and creditworthiness. While we experienced an increase in our aging of receivables during the second and third quarters of 2020 primarily associated with the COVID-19 pandemic, we have seen some improvement in our customers' payment behavior since that time. We also saw fewer of our customers go out of business during 2020 than 2019, which demonstrated the resiliency of our market.</w:t>
      </w:r>
    </w:p>
    <w:p>
      <w:pPr>
        <w:spacing w:after="0" w:line="133" w:lineRule="exact"/>
        <w:rPr>
          <w:rFonts w:ascii="Arial" w:cs="Arial" w:eastAsia="Arial" w:hAnsi="Arial"/>
          <w:sz w:val="18"/>
          <w:szCs w:val="18"/>
          <w:i w:val="1"/>
          <w:iCs w:val="1"/>
          <w:color w:val="auto"/>
        </w:rPr>
      </w:pPr>
    </w:p>
    <w:p>
      <w:pPr>
        <w:ind w:left="320" w:hanging="312"/>
        <w:spacing w:after="0"/>
        <w:tabs>
          <w:tab w:leader="none" w:pos="3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Transactional Revenue (approximately one quarter of total revenue in 2020)</w:t>
      </w:r>
    </w:p>
    <w:p>
      <w:pPr>
        <w:spacing w:after="0" w:line="189" w:lineRule="exact"/>
        <w:rPr>
          <w:rFonts w:ascii="Arial" w:cs="Arial" w:eastAsia="Arial" w:hAnsi="Arial"/>
          <w:sz w:val="18"/>
          <w:szCs w:val="18"/>
          <w:i w:val="1"/>
          <w:iCs w:val="1"/>
          <w:color w:val="auto"/>
        </w:rPr>
      </w:pPr>
    </w:p>
    <w:p>
      <w:pPr>
        <w:jc w:val="both"/>
        <w:ind w:left="340"/>
        <w:spacing w:after="0" w:line="269" w:lineRule="auto"/>
        <w:rPr>
          <w:rFonts w:ascii="Arial" w:cs="Arial" w:eastAsia="Arial" w:hAnsi="Arial"/>
          <w:sz w:val="18"/>
          <w:szCs w:val="18"/>
          <w:i w:val="1"/>
          <w:iCs w:val="1"/>
          <w:color w:val="auto"/>
        </w:rPr>
      </w:pPr>
      <w:r>
        <w:rPr>
          <w:rFonts w:ascii="Arial" w:cs="Arial" w:eastAsia="Arial" w:hAnsi="Arial"/>
          <w:sz w:val="17"/>
          <w:szCs w:val="17"/>
          <w:color w:val="auto"/>
        </w:rPr>
        <w:t>Transactional revenue is non-contractual and less predictable given the susceptibility to certain drivers such as timing and number of events and marketing campaigns, as well as fluctuations in donation volumes and tuition payments. We have historically experienced seasonal highs during the fourth quarter due to year-end giving campaigns and during the second quarter when a large number of events are held. During the fourth quarter, we saw our payments transaction volumes exceed our expectations due primarily to year-end giving to our customers. For the full year, we saw the negative impact of many in-person events being postponed or canceled. Social good organizations have been forced to employ new strategies to maintain momentum with current supporters while capturing the attention of potential new donors. We continue to support our customers in adapting to these circumstances through virtual campaigns and events.</w:t>
      </w:r>
    </w:p>
    <w:p>
      <w:pPr>
        <w:spacing w:after="0" w:line="27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Bookings</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Our first quarter has historically been the seasonal low for bookings, with the second and fourth quarters historically being seasonally higher, and our bookings tend to be back-end loaded within individual quarters given our quarterly quota plans. During 2020, we had a significant shortfall in bookings compared to both our original plan for the year and our prior year performance, as we experienced challenges in building pipeline after the start of the pandemic. Given our ratable revenue recognition model for our recurring subscription contracts and implementation periods, we expect that the declines in our 2020 bookings performance will have a greater negative impact on our 2021 revenue than it did our 2020 revenue. We believe the current environment has put a greater emphasis on investing in digital and cloud solutions and are optimistic this may result in an increase in pipeline and bookings at some point in 2021.</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strategy has historically relied on a balanced approach to growth and profitability. As discussed above, the pandemic has created short-term uncertainty in our revenue outlook and the early impacts on pipeline and bookings will likely limit our ability to drive near-term revenue growth at our originally planned levels. Therefore, in line with our strategy, we have made a pivot to greater emphasis on delivering shareholder value through increased profitability and cash flow, which are more controllable.</w:t>
      </w:r>
    </w:p>
    <w:p>
      <w:pPr>
        <w:spacing w:after="0" w:line="200" w:lineRule="exact"/>
        <w:rPr>
          <w:sz w:val="20"/>
          <w:szCs w:val="20"/>
          <w:color w:val="auto"/>
        </w:rPr>
      </w:pPr>
    </w:p>
    <w:p>
      <w:pPr>
        <w:spacing w:after="0" w:line="215"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26055" cy="1371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2605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service customer contracts provides a better representation of our customers' overall behavior. During 2020 and 2019, approximately 93% and 92%, respectively, of our customers with recurring revenue contracts were retained. This customer retention rate reflects our efforts to rationalize our portfolio of solutions and migrate customers from legacy solutions towards our next generation cloud solutions. We are investing in innovation, which we believe will increase customer retention over the long-term.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2020, our cash and cash equivalents were $35.8 million and the carrying amount of our debt under the 2020 Credit Facility was $467.1 million. Our net leverage ratio was 1.75 to 1.00.</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2020, we generated $148.0 million in cash flow from operations, primarily from operating cost reductions put in place in response to COVID-19 and the increased use of stock-based compensation. During 2020, we had a net increase in borrowings of $0.9 million, we returned $47.0 million to stockholders by way of share repurchases and dividends, and had cash outlays of $71.8 million for purchases of property and equipment and capitalized software development costs. A larger amount of cash was spent on property and equipment during 2020 primarily due to the purchase of our Global Headquarters Facility.</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36  </w:t>
      </w:r>
      <w:r>
        <w:rPr>
          <w:sz w:val="1"/>
          <w:szCs w:val="1"/>
          <w:color w:val="auto"/>
        </w:rPr>
        <w:drawing>
          <wp:inline distT="0" distB="0" distL="0" distR="0">
            <wp:extent cx="728345" cy="18859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report our operating results and financial information in one operating and reportable segment. See Note 16 of our consolidated financial statements in this report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2020 vs. 2019 and 2019 vs.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2019 and 2018, we acquired companies that provided us with strategic opportunities to expand our TAM and share of the philanthropic giving market through the integration of complementary solutions and services to serve the changing needs of our customers. The following are the companies we acquired and their respective acquisition dates:</w:t>
      </w:r>
    </w:p>
    <w:p>
      <w:pPr>
        <w:spacing w:after="0" w:line="148" w:lineRule="exact"/>
        <w:rPr>
          <w:sz w:val="20"/>
          <w:szCs w:val="20"/>
          <w:color w:val="auto"/>
        </w:rPr>
      </w:pPr>
    </w:p>
    <w:p>
      <w:pPr>
        <w:ind w:left="460" w:hanging="128"/>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YourCause Holdings, LLC ("YourCause") on January 2, 2019</w:t>
      </w:r>
    </w:p>
    <w:p>
      <w:pPr>
        <w:spacing w:after="0" w:line="171" w:lineRule="exact"/>
        <w:rPr>
          <w:rFonts w:ascii="Arial" w:cs="Arial" w:eastAsia="Arial" w:hAnsi="Arial"/>
          <w:sz w:val="18"/>
          <w:szCs w:val="18"/>
          <w:color w:val="auto"/>
        </w:rPr>
      </w:pPr>
    </w:p>
    <w:p>
      <w:pPr>
        <w:ind w:left="460" w:hanging="128"/>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Reeher LLC ("Reeher") on April 30, 2018</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included the results of operations of acquired companies in our consolidated results of operations from the date of their respective acquisition. We determined that the YourCause and Reeher acquisitions were not material business combinations; therefore, revenue and earnings since the acquisition dates and pro forma information are not required or presented. See Note 3 to our consolidated financial statements in this report for a summary of these acquisitions.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Revenue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Recurring</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Revenue ($M)</w:t>
            </w:r>
          </w:p>
        </w:tc>
        <w:tc>
          <w:tcPr>
            <w:tcW w:w="500" w:type="dxa"/>
            <w:vAlign w:val="bottom"/>
            <w:vMerge w:val="restart"/>
          </w:tcPr>
          <w:p>
            <w:pPr>
              <w:spacing w:after="0"/>
              <w:rPr>
                <w:sz w:val="24"/>
                <w:szCs w:val="24"/>
                <w:color w:val="auto"/>
              </w:rPr>
            </w:pPr>
          </w:p>
        </w:tc>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rPr>
              <w:t>Cost of revenue ($M)</w:t>
            </w:r>
          </w:p>
        </w:tc>
        <w:tc>
          <w:tcPr>
            <w:tcW w:w="500" w:type="dxa"/>
            <w:vAlign w:val="bottom"/>
            <w:vMerge w:val="restart"/>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and gross margin (%)</w:t>
            </w:r>
          </w:p>
        </w:tc>
        <w:tc>
          <w:tcPr>
            <w:tcW w:w="0" w:type="dxa"/>
            <w:vAlign w:val="bottom"/>
          </w:tcPr>
          <w:p>
            <w:pPr>
              <w:spacing w:after="0"/>
              <w:rPr>
                <w:sz w:val="1"/>
                <w:szCs w:val="1"/>
                <w:color w:val="auto"/>
              </w:rPr>
            </w:pPr>
          </w:p>
        </w:tc>
      </w:tr>
      <w:tr>
        <w:trPr>
          <w:trHeight w:val="252"/>
        </w:trPr>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812155" cy="1423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payment services, online training programs, subscription-based analytic services, such as donor acquisitions and data enrichment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28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Recurring revenue increased by $19.1 million, or 2.3%, driven primarily by the following:</w:t>
      </w:r>
    </w:p>
    <w:p>
      <w:pPr>
        <w:spacing w:after="0" w:line="144" w:lineRule="exact"/>
        <w:rPr>
          <w:sz w:val="20"/>
          <w:szCs w:val="20"/>
          <w:color w:val="auto"/>
        </w:rPr>
      </w:pPr>
    </w:p>
    <w:p>
      <w:pPr>
        <w:ind w:left="720" w:right="40" w:hanging="373"/>
        <w:spacing w:after="0" w:line="22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in transactional revenue of $18.3 million, including an accelerated shift toward virtual and online fundraising and charitable giving related to COVID-19</w:t>
      </w:r>
    </w:p>
    <w:p>
      <w:pPr>
        <w:spacing w:after="0" w:line="13" w:lineRule="exact"/>
        <w:rPr>
          <w:rFonts w:ascii="Arial" w:cs="Arial" w:eastAsia="Arial" w:hAnsi="Arial"/>
          <w:sz w:val="18"/>
          <w:szCs w:val="18"/>
          <w:color w:val="auto"/>
        </w:rPr>
      </w:pPr>
    </w:p>
    <w:p>
      <w:pPr>
        <w:ind w:left="720" w:right="40" w:hanging="373"/>
        <w:spacing w:after="0" w:line="22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in contractual recurring revenue of $15.5 million related to positive demand from customers across our portfolio of cloud solutions</w:t>
      </w:r>
    </w:p>
    <w:p>
      <w:pPr>
        <w:spacing w:after="0" w:line="13" w:lineRule="exact"/>
        <w:rPr>
          <w:sz w:val="20"/>
          <w:szCs w:val="20"/>
          <w:color w:val="auto"/>
        </w:rPr>
      </w:pPr>
    </w:p>
    <w:p>
      <w:pPr>
        <w:ind w:left="720" w:right="40" w:hanging="359"/>
        <w:spacing w:after="0" w:line="227" w:lineRule="auto"/>
        <w:tabs>
          <w:tab w:leader="none" w:pos="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Decrease in maintenance revenue of $14.7 million primarily related to our continuing efforts to migrate customers from legacy on-premises solutions onto our solutions powered by Blackbaud SKY, our modern cloud platform</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Partially offsetting contractual recurring revenue was a decrease in the mix of retained and managed services contracts we present in recurring revenue. Revenue from retained and managed service contracts that we do not expect to have a term consistent with our cloud solution contracts is included in one-time services and other revenue beginning January 1, 2020. This change in presentation resulted in a decrease in recurring revenue and an offsetting increase to one-time services and other revenue of $16.7 million during the twelve months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Cost of recurring revenue increased by $11.7 million, or 3.3%, driven primarily by the following:</w:t>
      </w:r>
    </w:p>
    <w:p>
      <w:pPr>
        <w:spacing w:after="0" w:line="131" w:lineRule="exact"/>
        <w:rPr>
          <w:sz w:val="20"/>
          <w:szCs w:val="20"/>
          <w:color w:val="auto"/>
        </w:rPr>
      </w:pPr>
    </w:p>
    <w:p>
      <w:pPr>
        <w:ind w:left="700" w:hanging="373"/>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transaction-based costs of $7.5 million related to payment services integrated in our cloud solutions</w:t>
      </w:r>
    </w:p>
    <w:p>
      <w:pPr>
        <w:spacing w:after="0" w:line="22" w:lineRule="exact"/>
        <w:rPr>
          <w:rFonts w:ascii="Arial" w:cs="Arial" w:eastAsia="Arial" w:hAnsi="Arial"/>
          <w:sz w:val="18"/>
          <w:szCs w:val="18"/>
          <w:color w:val="auto"/>
        </w:rPr>
      </w:pPr>
    </w:p>
    <w:p>
      <w:pPr>
        <w:ind w:left="700" w:right="60" w:hanging="373"/>
        <w:spacing w:after="0" w:line="22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amortization of software development costs of $6.8 million due to investments made on innovation, quality and the integration of our cloud solutions</w:t>
      </w:r>
    </w:p>
    <w:p>
      <w:pPr>
        <w:spacing w:after="0" w:line="13" w:lineRule="exact"/>
        <w:rPr>
          <w:rFonts w:ascii="Arial" w:cs="Arial" w:eastAsia="Arial" w:hAnsi="Arial"/>
          <w:sz w:val="18"/>
          <w:szCs w:val="18"/>
          <w:color w:val="auto"/>
        </w:rPr>
      </w:pPr>
    </w:p>
    <w:p>
      <w:pPr>
        <w:jc w:val="both"/>
        <w:ind w:left="700" w:right="60" w:hanging="373"/>
        <w:spacing w:after="0" w:line="219"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charge of $4.3 million during the three months ended June 30, 2020, against certain previously capitalized software development costs that reduced the carrying value of those assets to zero. The impairment charge resulted primarily from our decision to accelerate the end of customer support for certain solutions.</w:t>
      </w:r>
    </w:p>
    <w:p>
      <w:pPr>
        <w:spacing w:after="0" w:line="13" w:lineRule="exact"/>
        <w:rPr>
          <w:rFonts w:ascii="Arial" w:cs="Arial" w:eastAsia="Arial" w:hAnsi="Arial"/>
          <w:sz w:val="18"/>
          <w:szCs w:val="18"/>
          <w:color w:val="auto"/>
        </w:rPr>
      </w:pPr>
    </w:p>
    <w:p>
      <w:pPr>
        <w:ind w:left="700" w:right="60" w:hanging="373"/>
        <w:spacing w:after="0" w:line="22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hosting and data center costs of $3.8 million as we are migrating our cloud infrastructure to leading public cloud service providers</w:t>
      </w:r>
    </w:p>
    <w:p>
      <w:pPr>
        <w:spacing w:after="0" w:line="13" w:lineRule="exact"/>
        <w:rPr>
          <w:sz w:val="20"/>
          <w:szCs w:val="20"/>
          <w:color w:val="auto"/>
        </w:rPr>
      </w:pPr>
    </w:p>
    <w:p>
      <w:pPr>
        <w:ind w:left="700" w:hanging="35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$5.7 million</w:t>
      </w:r>
    </w:p>
    <w:p>
      <w:pPr>
        <w:spacing w:after="0" w:line="22" w:lineRule="exact"/>
        <w:rPr>
          <w:rFonts w:ascii="Arial" w:cs="Arial" w:eastAsia="Arial" w:hAnsi="Arial"/>
          <w:sz w:val="18"/>
          <w:szCs w:val="18"/>
          <w:color w:val="auto"/>
        </w:rPr>
      </w:pPr>
    </w:p>
    <w:p>
      <w:pPr>
        <w:jc w:val="both"/>
        <w:ind w:left="700" w:right="60" w:hanging="351"/>
        <w:spacing w:after="0" w:line="215"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in compensation costs primarily associated with the decision to replace our 2020 cash bonus plans with grants of performance-based equity awards, which are being recognized as stock-based compensation expense between May 1, 2020 and May 1, 2021. These awards may be earned and become eligible for vesting on May 1, 2021 subject to meeting certain performance conditions and the recipient's continued employment with us</w:t>
      </w:r>
    </w:p>
    <w:p>
      <w:pPr>
        <w:spacing w:after="0" w:line="14" w:lineRule="exact"/>
        <w:rPr>
          <w:rFonts w:ascii="Arial" w:cs="Arial" w:eastAsia="Arial" w:hAnsi="Arial"/>
          <w:sz w:val="18"/>
          <w:szCs w:val="18"/>
          <w:color w:val="auto"/>
        </w:rPr>
      </w:pPr>
    </w:p>
    <w:p>
      <w:pPr>
        <w:ind w:left="700" w:right="60" w:hanging="351"/>
        <w:spacing w:after="0" w:line="22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in costs associated with certain retained and managed services contracts for which revenue is included in one-time services and other revenue beginning January 1, 2020, as discussed above</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gross margin decreased by 0.4%, driven primarily by an increase in the mix of payments revenue, which generally have lower gross margins than our contractual recurring revenue, the impairment of previously capitalized software development costs, and incremental costs associated with our continued shift toward selling cloud solutions, including data center costs and amortization of software development costs. We expect continued pressure on recurring gross margin largely driven by duplicate data center costs as we migrate our cloud infrastructure to leading cloud service providers.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Recurring revenue increased by $69.4 million, or 9.1%, driven primarily by the following:</w:t>
      </w:r>
    </w:p>
    <w:p>
      <w:pPr>
        <w:spacing w:after="0" w:line="144" w:lineRule="exact"/>
        <w:rPr>
          <w:sz w:val="20"/>
          <w:szCs w:val="20"/>
          <w:color w:val="auto"/>
        </w:rPr>
      </w:pPr>
    </w:p>
    <w:p>
      <w:pPr>
        <w:jc w:val="both"/>
        <w:ind w:left="700" w:right="20" w:hanging="373"/>
        <w:spacing w:after="0" w:line="21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in subscriptions revenue of $87.8 million related to positive demand across our portfolio of cloud solutions and, to a lesser extent, the inclusion of YourCause, an increase in services embedded in our renewable cloud solution contracts and increased sales of subscription-based retained professional services</w:t>
      </w:r>
    </w:p>
    <w:p>
      <w:pPr>
        <w:spacing w:after="0" w:line="14" w:lineRule="exact"/>
        <w:rPr>
          <w:sz w:val="20"/>
          <w:szCs w:val="20"/>
          <w:color w:val="auto"/>
        </w:rPr>
      </w:pPr>
    </w:p>
    <w:p>
      <w:pPr>
        <w:ind w:left="700" w:right="20" w:hanging="359"/>
        <w:spacing w:after="0" w:line="227" w:lineRule="auto"/>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Decrease in maintenance revenue of $18.4 million primarily related to our continuing efforts to migrate customers from legacy on-premises solutions onto our solutions powered by Blackbaud SKY, our modern cloud platform</w:t>
      </w:r>
    </w:p>
    <w:p>
      <w:pPr>
        <w:spacing w:after="0" w:line="39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38  </w:t>
      </w:r>
      <w:r>
        <w:rPr>
          <w:sz w:val="1"/>
          <w:szCs w:val="1"/>
          <w:color w:val="auto"/>
        </w:rPr>
        <w:drawing>
          <wp:inline distT="0" distB="0" distL="0" distR="0">
            <wp:extent cx="728345" cy="18859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Cost of recurring revenue increased by $52.5 million, or 17.2%, driven primarily by the following:</w:t>
      </w:r>
    </w:p>
    <w:p>
      <w:pPr>
        <w:spacing w:after="0" w:line="144" w:lineRule="exact"/>
        <w:rPr>
          <w:sz w:val="20"/>
          <w:szCs w:val="20"/>
          <w:color w:val="auto"/>
        </w:rPr>
      </w:pPr>
    </w:p>
    <w:p>
      <w:pPr>
        <w:ind w:left="700" w:hanging="373"/>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in transaction-based costs of $13.0 million, related to payment services integrated in our cloud solutions</w:t>
      </w:r>
    </w:p>
    <w:p>
      <w:pPr>
        <w:spacing w:after="0" w:line="22"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in compensation costs of $11.2 million, primarily attributable to an increasing portion of our resources providing subscription-based retained services as opposed to one-time</w:t>
      </w:r>
    </w:p>
    <w:p>
      <w:pPr>
        <w:spacing w:after="0" w:line="13"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in hosting and data center costs of $5.4 million due to the migration of our cloud infrastructure to leading public cloud service providers</w:t>
      </w:r>
    </w:p>
    <w:p>
      <w:pPr>
        <w:spacing w:after="0" w:line="13" w:lineRule="exact"/>
        <w:rPr>
          <w:rFonts w:ascii="Arial" w:cs="Arial" w:eastAsia="Arial" w:hAnsi="Arial"/>
          <w:sz w:val="18"/>
          <w:szCs w:val="18"/>
          <w:color w:val="auto"/>
        </w:rPr>
      </w:pPr>
    </w:p>
    <w:p>
      <w:pPr>
        <w:ind w:left="700" w:hanging="373"/>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in third-party data and tool costs of $5.1 million</w:t>
      </w:r>
    </w:p>
    <w:p>
      <w:pPr>
        <w:spacing w:after="0" w:line="22"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in allocated corporate costs of $5.1 million primarily due to investments in corporate IT, including cyber security and increases in related headcount</w:t>
      </w:r>
    </w:p>
    <w:p>
      <w:pPr>
        <w:spacing w:after="0" w:line="13"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in amortization of software development costs of $4.1 million due to investments made on innovation, quality and the integration of our cloud solutions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Recurring gross margin decreased by 3.0%, driven primarily by incremental costs associated with our continued shift toward selling cloud solutions and retained services, including hosting and data center costs, compensation costs and amortization of software development costs.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One-time services and other</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Revenue ($M)</w:t>
            </w:r>
          </w:p>
        </w:tc>
        <w:tc>
          <w:tcPr>
            <w:tcW w:w="500" w:type="dxa"/>
            <w:vAlign w:val="bottom"/>
            <w:vMerge w:val="restart"/>
          </w:tcPr>
          <w:p>
            <w:pPr>
              <w:spacing w:after="0"/>
              <w:rPr>
                <w:sz w:val="24"/>
                <w:szCs w:val="24"/>
                <w:color w:val="auto"/>
              </w:rPr>
            </w:pPr>
          </w:p>
        </w:tc>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rPr>
              <w:t>Cost of revenue ($M)</w:t>
            </w:r>
          </w:p>
        </w:tc>
        <w:tc>
          <w:tcPr>
            <w:tcW w:w="500" w:type="dxa"/>
            <w:vAlign w:val="bottom"/>
            <w:vMerge w:val="restart"/>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and gross margin (%)</w:t>
            </w:r>
          </w:p>
        </w:tc>
        <w:tc>
          <w:tcPr>
            <w:tcW w:w="0" w:type="dxa"/>
            <w:vAlign w:val="bottom"/>
          </w:tcPr>
          <w:p>
            <w:pPr>
              <w:spacing w:after="0"/>
              <w:rPr>
                <w:sz w:val="1"/>
                <w:szCs w:val="1"/>
                <w:color w:val="auto"/>
              </w:rPr>
            </w:pPr>
          </w:p>
        </w:tc>
      </w:tr>
      <w:tr>
        <w:trPr>
          <w:trHeight w:val="251"/>
        </w:trPr>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812155" cy="1423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fees from user conferences and third-party software referral fees.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costs of user conferences, allocated depreciation, facilities and IT support costs and amortization of intangible assets from business combinations.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One-time services and other revenue decreased by $6.3 million, or 9.2%, driven primarily by the following:</w:t>
      </w:r>
    </w:p>
    <w:p>
      <w:pPr>
        <w:spacing w:after="0" w:line="144" w:lineRule="exact"/>
        <w:rPr>
          <w:sz w:val="20"/>
          <w:szCs w:val="20"/>
          <w:color w:val="auto"/>
        </w:rPr>
      </w:pPr>
    </w:p>
    <w:p>
      <w:pPr>
        <w:jc w:val="both"/>
        <w:ind w:left="700" w:right="60" w:hanging="373"/>
        <w:spacing w:after="0" w:line="213"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in the mix of retained and managed services contracts we present in one-time services and other. Revenue from retained and managed service contracts that we do not expect to have a term consistent with our cloud solution contracts is included in one-time services and other revenue beginning January 1, 2020. This change in presentation resulted in an increase to one-time services and other revenue and an offsetting decrease in recurring revenue of $16.7 million during the twelve months ended December 31, 2020.</w:t>
      </w:r>
    </w:p>
    <w:p>
      <w:pPr>
        <w:spacing w:after="0" w:line="13" w:lineRule="exact"/>
        <w:rPr>
          <w:sz w:val="20"/>
          <w:szCs w:val="20"/>
          <w:color w:val="auto"/>
        </w:rPr>
      </w:pPr>
    </w:p>
    <w:p>
      <w:pPr>
        <w:jc w:val="both"/>
        <w:ind w:left="700" w:right="60" w:hanging="351"/>
        <w:spacing w:after="0" w:line="215"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 in one-time consulting revenue of $12.1 million primarily from less one-time sales related to changes in our compensation plans to place greater emphasis on subscription sales of our cloud solutions. Services increasingly being embedded in our renewable cloud solution contracts also contributed to the decrease in one-time services revenue. Our embedded services are recorded as recurring revenue.</w:t>
      </w:r>
    </w:p>
    <w:p>
      <w:pPr>
        <w:spacing w:after="0" w:line="14" w:lineRule="exact"/>
        <w:rPr>
          <w:rFonts w:ascii="Arial" w:cs="Arial" w:eastAsia="Arial" w:hAnsi="Arial"/>
          <w:sz w:val="18"/>
          <w:szCs w:val="18"/>
          <w:color w:val="auto"/>
        </w:rPr>
      </w:pPr>
    </w:p>
    <w:p>
      <w:pPr>
        <w:ind w:left="700" w:hanging="351"/>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 in one-time analytics revenue of $4.2 million as analytics are generally integrated in our cloud solutions</w:t>
      </w:r>
    </w:p>
    <w:p>
      <w:pPr>
        <w:spacing w:after="0" w:line="22" w:lineRule="exact"/>
        <w:rPr>
          <w:rFonts w:ascii="Arial" w:cs="Arial" w:eastAsia="Arial" w:hAnsi="Arial"/>
          <w:sz w:val="18"/>
          <w:szCs w:val="18"/>
          <w:color w:val="auto"/>
        </w:rPr>
      </w:pPr>
    </w:p>
    <w:p>
      <w:pPr>
        <w:ind w:left="700" w:hanging="351"/>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 in conference revenue of $3.6 million as our annual conference, bbcon, was held virtually and provided free of charge</w:t>
      </w:r>
    </w:p>
    <w:p>
      <w:pPr>
        <w:spacing w:after="0" w:line="22" w:lineRule="exact"/>
        <w:rPr>
          <w:rFonts w:ascii="Arial" w:cs="Arial" w:eastAsia="Arial" w:hAnsi="Arial"/>
          <w:sz w:val="18"/>
          <w:szCs w:val="18"/>
          <w:color w:val="auto"/>
        </w:rPr>
      </w:pPr>
    </w:p>
    <w:p>
      <w:pPr>
        <w:ind w:left="700" w:hanging="351"/>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 in onsite training revenue of $1.3 million due to COVID-19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one-time services and other decreased $2.1 million or 3.4%, primarily driven by the following:</w:t>
      </w:r>
    </w:p>
    <w:p>
      <w:pPr>
        <w:spacing w:after="0" w:line="131" w:lineRule="exact"/>
        <w:rPr>
          <w:sz w:val="20"/>
          <w:szCs w:val="20"/>
          <w:color w:val="auto"/>
        </w:rPr>
      </w:pPr>
    </w:p>
    <w:p>
      <w:pPr>
        <w:ind w:left="700" w:right="60" w:hanging="373"/>
        <w:spacing w:after="0" w:line="22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in compensation costs of $3.4 million primarily related to an increase in stock-based compensation expense as we replaced our 2020 cash bonus plans and annual merit-based salary increases for our employees with grants of equity awards</w:t>
      </w:r>
    </w:p>
    <w:p>
      <w:pPr>
        <w:spacing w:after="0" w:line="13" w:lineRule="exact"/>
        <w:rPr>
          <w:sz w:val="20"/>
          <w:szCs w:val="20"/>
          <w:color w:val="auto"/>
        </w:rPr>
      </w:pPr>
    </w:p>
    <w:p>
      <w:pPr>
        <w:ind w:left="700" w:hanging="351"/>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 of $4.2 million in costs related to providing our annual user conference, bbcon, virtually</w:t>
      </w:r>
    </w:p>
    <w:p>
      <w:pPr>
        <w:spacing w:after="0" w:line="22" w:lineRule="exact"/>
        <w:rPr>
          <w:rFonts w:ascii="Arial" w:cs="Arial" w:eastAsia="Arial" w:hAnsi="Arial"/>
          <w:sz w:val="18"/>
          <w:szCs w:val="18"/>
          <w:color w:val="auto"/>
        </w:rPr>
      </w:pPr>
    </w:p>
    <w:p>
      <w:pPr>
        <w:ind w:left="700" w:hanging="351"/>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Insignificant decrease in travel costs due to our restriction on non-essential employee travel in response to COVID-19</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One-time services and other gross margin decreased by 5.6%, primarily as the reductions in one-time consulting and analytics revenue discussed above outpaced the decrease in related costs.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One-time services and other revenue decreased by $17.6 million, or 20.4%, driven primarily by the following:</w:t>
      </w:r>
    </w:p>
    <w:p>
      <w:pPr>
        <w:spacing w:after="0" w:line="144" w:lineRule="exact"/>
        <w:rPr>
          <w:sz w:val="20"/>
          <w:szCs w:val="20"/>
          <w:color w:val="auto"/>
        </w:rPr>
      </w:pPr>
    </w:p>
    <w:p>
      <w:pPr>
        <w:jc w:val="both"/>
        <w:ind w:left="700" w:right="20" w:hanging="351"/>
        <w:spacing w:after="0" w:line="219"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 in one-time consulting revenue of $12.6 million. Services are increasingly embedded in our renewable cloud solution contracts and we are selling more subscription-based contracts for retained professional services. Our embedded services are recorded as recurring revenue.</w:t>
      </w:r>
    </w:p>
    <w:p>
      <w:pPr>
        <w:spacing w:after="0" w:line="13" w:lineRule="exact"/>
        <w:rPr>
          <w:rFonts w:ascii="Arial" w:cs="Arial" w:eastAsia="Arial" w:hAnsi="Arial"/>
          <w:sz w:val="18"/>
          <w:szCs w:val="18"/>
          <w:color w:val="auto"/>
        </w:rPr>
      </w:pPr>
    </w:p>
    <w:p>
      <w:pPr>
        <w:ind w:left="700" w:hanging="35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 in one-time analytics revenue of $3.8 million as analytics are generally integrated in our cloud solutions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one-time services and other decreased by $15.8 million, or 20.8%, driven primarily by a decrease in compensation costs of $13.3 million. The decrease in compensation costs was in line with the decrease in one-time services sold and delivered as an increasing portion of our resources provided subscription-based retained services as opposed to one-time.</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One-time services and other gross margin increased by 0.4%, as the reductions in costs of one-time services and other discussed above slightly outpaced the declines in one-time consulting revenue and analytics revenue associated with the shift in our go-to-market strategy.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40  </w:t>
      </w:r>
      <w:r>
        <w:rPr>
          <w:sz w:val="1"/>
          <w:szCs w:val="1"/>
          <w:color w:val="auto"/>
        </w:rPr>
        <w:drawing>
          <wp:inline distT="0" distB="0" distL="0" distR="0">
            <wp:extent cx="728345" cy="18859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9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560" w:type="dxa"/>
            <w:vAlign w:val="bottom"/>
          </w:tcPr>
          <w:p>
            <w:pPr>
              <w:jc w:val="center"/>
              <w:ind w:left="30"/>
              <w:spacing w:after="0"/>
              <w:rPr>
                <w:sz w:val="20"/>
                <w:szCs w:val="20"/>
                <w:color w:val="auto"/>
              </w:rPr>
            </w:pPr>
            <w:r>
              <w:rPr>
                <w:rFonts w:ascii="Arial" w:cs="Arial" w:eastAsia="Arial" w:hAnsi="Arial"/>
                <w:sz w:val="18"/>
                <w:szCs w:val="18"/>
                <w:i w:val="1"/>
                <w:iCs w:val="1"/>
                <w:color w:val="auto"/>
                <w:w w:val="99"/>
              </w:rPr>
              <w:t>Sales, marketing and</w:t>
            </w:r>
          </w:p>
        </w:tc>
        <w:tc>
          <w:tcPr>
            <w:tcW w:w="3920" w:type="dxa"/>
            <w:vAlign w:val="bottom"/>
            <w:vMerge w:val="restart"/>
          </w:tcPr>
          <w:p>
            <w:pPr>
              <w:ind w:left="680"/>
              <w:spacing w:after="0"/>
              <w:rPr>
                <w:sz w:val="20"/>
                <w:szCs w:val="20"/>
                <w:color w:val="auto"/>
              </w:rPr>
            </w:pPr>
            <w:r>
              <w:rPr>
                <w:rFonts w:ascii="Arial" w:cs="Arial" w:eastAsia="Arial" w:hAnsi="Arial"/>
                <w:sz w:val="18"/>
                <w:szCs w:val="18"/>
                <w:i w:val="1"/>
                <w:iCs w:val="1"/>
                <w:color w:val="auto"/>
              </w:rPr>
              <w:t>Research and development ($M)</w:t>
            </w:r>
          </w:p>
        </w:tc>
        <w:tc>
          <w:tcPr>
            <w:tcW w:w="276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General and administrative ($M)</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i w:val="1"/>
                <w:iCs w:val="1"/>
                <w:color w:val="auto"/>
                <w:w w:val="99"/>
              </w:rPr>
              <w:t>customer success ($M)</w:t>
            </w:r>
          </w:p>
        </w:tc>
        <w:tc>
          <w:tcPr>
            <w:tcW w:w="3920" w:type="dxa"/>
            <w:vAlign w:val="bottom"/>
            <w:tcBorders>
              <w:bottom w:val="single" w:sz="8" w:color="auto"/>
            </w:tcBorders>
            <w:vMerge w:val="continue"/>
          </w:tcPr>
          <w:p>
            <w:pPr>
              <w:spacing w:after="0"/>
              <w:rPr>
                <w:sz w:val="19"/>
                <w:szCs w:val="19"/>
                <w:color w:val="auto"/>
              </w:rPr>
            </w:pPr>
          </w:p>
        </w:tc>
        <w:tc>
          <w:tcPr>
            <w:tcW w:w="2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3920" w:type="dxa"/>
            <w:vAlign w:val="bottom"/>
          </w:tcPr>
          <w:p>
            <w:pPr>
              <w:ind w:left="260"/>
              <w:spacing w:after="0"/>
              <w:rPr>
                <w:sz w:val="20"/>
                <w:szCs w:val="20"/>
                <w:color w:val="auto"/>
              </w:rPr>
            </w:pPr>
            <w:r>
              <w:rPr>
                <w:rFonts w:ascii="Arial" w:cs="Arial" w:eastAsia="Arial" w:hAnsi="Arial"/>
                <w:sz w:val="13"/>
                <w:szCs w:val="13"/>
                <w:i w:val="1"/>
                <w:iCs w:val="1"/>
                <w:color w:val="auto"/>
                <w:w w:val="98"/>
              </w:rPr>
              <w:t>Percentages indicate expenses as a percentage of total revenue</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5812155" cy="1423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 a large market opportunity in the long-term and will continue to make investments to drive sales effectiveness, which is a component of our four-point growth strategy. We have also implemented software tools to enhance our digital footprint and drive lead generation. In response to the COVID-19 pandemic, we implemented a modest and targeted headcount reduction during the second quarter, including a reduction in our sales headcount with a focus on retaining our most highly productive sales executives. The enhancements we are making in our go-to-market approach are expected to significantly reduce the payback period for our customer acquisition costs while increasing sales velocity. As a result, we do not expect our sales, marketing and customer success expense to return to pre-pandemic levels.</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marketing and customer success expenses decreased by $14.4 million, or 6.4%. The decreases in dollars and as a percentage of total revenue were primarily driven by the following:</w:t>
      </w:r>
    </w:p>
    <w:p>
      <w:pPr>
        <w:spacing w:after="0" w:line="117" w:lineRule="exact"/>
        <w:rPr>
          <w:sz w:val="20"/>
          <w:szCs w:val="20"/>
          <w:color w:val="auto"/>
        </w:rPr>
      </w:pPr>
    </w:p>
    <w:p>
      <w:pPr>
        <w:jc w:val="both"/>
        <w:ind w:left="700" w:right="20" w:hanging="351"/>
        <w:spacing w:after="0" w:line="215"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 in compensation costs of $6.5 million primarily related to the decision to replace our 2020 cash bonus plans with grants of performance-based equity awards, which are being recognized as stock-based compensation expense between May 1, 2020 and May 1, 2021. These awards may be earned and become eligible for vesting on May 1, 2021 subject to meeting certain performance conditions and the recipient's continued employment with us</w:t>
      </w:r>
    </w:p>
    <w:p>
      <w:pPr>
        <w:spacing w:after="0" w:line="14" w:lineRule="exact"/>
        <w:rPr>
          <w:rFonts w:ascii="Arial" w:cs="Arial" w:eastAsia="Arial" w:hAnsi="Arial"/>
          <w:sz w:val="18"/>
          <w:szCs w:val="18"/>
          <w:color w:val="auto"/>
        </w:rPr>
      </w:pPr>
    </w:p>
    <w:p>
      <w:pPr>
        <w:ind w:left="700" w:hanging="35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 in travel costs of $5.7 million due to our restriction on non-essential employee travel in response to COVID-19</w:t>
      </w:r>
    </w:p>
    <w:p>
      <w:pPr>
        <w:spacing w:after="0" w:line="22" w:lineRule="exact"/>
        <w:rPr>
          <w:rFonts w:ascii="Arial" w:cs="Arial" w:eastAsia="Arial" w:hAnsi="Arial"/>
          <w:sz w:val="18"/>
          <w:szCs w:val="18"/>
          <w:color w:val="auto"/>
        </w:rPr>
      </w:pPr>
    </w:p>
    <w:p>
      <w:pPr>
        <w:ind w:left="700" w:hanging="35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 in commissions costs of $1.4 million related to a decrease in commissionable sales</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Sales, marketing and customer success expenses increased by $31.3 million, or 16.2%. The increases in dollars and as a percentage of total revenue were primarily driven by the following:</w:t>
      </w:r>
    </w:p>
    <w:p>
      <w:pPr>
        <w:spacing w:after="0" w:line="103" w:lineRule="exact"/>
        <w:rPr>
          <w:sz w:val="20"/>
          <w:szCs w:val="20"/>
          <w:color w:val="auto"/>
        </w:rPr>
      </w:pPr>
    </w:p>
    <w:p>
      <w:pPr>
        <w:jc w:val="both"/>
        <w:ind w:left="700" w:right="20" w:hanging="373"/>
        <w:spacing w:after="0" w:line="219"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in compensation costs of $21.2 million primarily associated with our efforts beginning in the second half of 2018 to increase our direct sales force as well as incremental headcount associated with the inclusion of YourCause. As a result, our direct sales headcount increased 8% during 2019.</w:t>
      </w:r>
    </w:p>
    <w:p>
      <w:pPr>
        <w:spacing w:after="0" w:line="13"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Increases in allocated corporate costs of $7.0 million primarily driven by investments made in corporate IT, including cyber security and increases in related headcount</w:t>
      </w:r>
    </w:p>
    <w:p>
      <w:pPr>
        <w:spacing w:after="0" w:line="13" w:lineRule="exact"/>
        <w:rPr>
          <w:rFonts w:ascii="Arial" w:cs="Arial" w:eastAsia="Arial" w:hAnsi="Arial"/>
          <w:sz w:val="18"/>
          <w:szCs w:val="18"/>
          <w:color w:val="auto"/>
        </w:rPr>
      </w:pPr>
    </w:p>
    <w:p>
      <w:pPr>
        <w:ind w:left="700" w:hanging="373"/>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in commission expense of $2.2 million primarily driven by an increase in commissionable sales</w:t>
      </w:r>
    </w:p>
    <w:p>
      <w:pPr>
        <w:spacing w:after="0" w:line="399"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make investments to delight our customers with innovative cloud solutions, which is a component of our four-point growth strategy. We also increased engineering hiring during the fourth quarter of 2020. Research and development expenses decreased by $6.0 million, or 5.7%. The decreases in dollars and as a percentage of total revenue were primarily driven by the following:</w:t>
      </w:r>
    </w:p>
    <w:p>
      <w:pPr>
        <w:spacing w:after="0" w:line="121" w:lineRule="exact"/>
        <w:rPr>
          <w:sz w:val="20"/>
          <w:szCs w:val="20"/>
          <w:color w:val="auto"/>
        </w:rPr>
      </w:pPr>
    </w:p>
    <w:p>
      <w:pPr>
        <w:jc w:val="both"/>
        <w:ind w:left="700" w:right="20" w:hanging="351"/>
        <w:spacing w:after="0" w:line="215"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in compensation costs of $5.8 million primarily associated with the decision to replace our 2020 cash bonus plans with grants of performance-based equity awards, which are being recognized as stock-based compensation expense between May 1, 2020 and May 1, 2021. These awards may be earned and become eligible for vesting on May 1, 2021 subject to meeting certain performance conditions and the recipient's continued employment with us</w:t>
      </w:r>
    </w:p>
    <w:p>
      <w:pPr>
        <w:spacing w:after="0" w:line="14" w:lineRule="exact"/>
        <w:rPr>
          <w:rFonts w:ascii="Arial" w:cs="Arial" w:eastAsia="Arial" w:hAnsi="Arial"/>
          <w:sz w:val="18"/>
          <w:szCs w:val="18"/>
          <w:color w:val="auto"/>
        </w:rPr>
      </w:pPr>
    </w:p>
    <w:p>
      <w:pPr>
        <w:ind w:left="700" w:hanging="35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in third-party contractor costs of $1.5 million</w:t>
      </w:r>
    </w:p>
    <w:p>
      <w:pPr>
        <w:spacing w:after="0" w:line="22" w:lineRule="exact"/>
        <w:rPr>
          <w:rFonts w:ascii="Arial" w:cs="Arial" w:eastAsia="Arial" w:hAnsi="Arial"/>
          <w:sz w:val="18"/>
          <w:szCs w:val="18"/>
          <w:color w:val="auto"/>
        </w:rPr>
      </w:pPr>
    </w:p>
    <w:p>
      <w:pPr>
        <w:ind w:left="700" w:hanging="35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in travel costs of $1.2 million due to our restriction on non-essential employee travel in response to COVID-19</w:t>
      </w:r>
    </w:p>
    <w:p>
      <w:pPr>
        <w:spacing w:after="0" w:line="23" w:lineRule="exact"/>
        <w:rPr>
          <w:sz w:val="20"/>
          <w:szCs w:val="20"/>
          <w:color w:val="auto"/>
        </w:rPr>
      </w:pPr>
    </w:p>
    <w:p>
      <w:pPr>
        <w:ind w:left="700" w:right="20" w:hanging="373"/>
        <w:spacing w:after="0" w:line="22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Partially offset by a decrease in software development costs of $4.5 million that were required to be capitalized under the internal-use software guidance</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 included in research and development expense for 2020 and 2019 were $41.5 million and $46.0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 useful life, which generally range from three to seven years. We expect that the amount of software development costs capitalized will be relatively consistent in the near-term as we continue making investments in innovation, quality and the integration of our solutions, which we believe will drive long-term revenue growth.</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by $7.4 million, or 7.4%, primarily driven by the following:</w:t>
      </w:r>
    </w:p>
    <w:p>
      <w:pPr>
        <w:spacing w:after="0" w:line="144" w:lineRule="exact"/>
        <w:rPr>
          <w:sz w:val="20"/>
          <w:szCs w:val="20"/>
          <w:color w:val="auto"/>
        </w:rPr>
      </w:pPr>
    </w:p>
    <w:p>
      <w:pPr>
        <w:ind w:left="700" w:hanging="373"/>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in compensation costs of $11.6 million primarily associated with the inclusion of YourCause's engineering resources</w:t>
      </w:r>
    </w:p>
    <w:p>
      <w:pPr>
        <w:spacing w:after="0" w:line="22" w:lineRule="exact"/>
        <w:rPr>
          <w:rFonts w:ascii="Arial" w:cs="Arial" w:eastAsia="Arial" w:hAnsi="Arial"/>
          <w:sz w:val="18"/>
          <w:szCs w:val="18"/>
          <w:color w:val="auto"/>
        </w:rPr>
      </w:pPr>
    </w:p>
    <w:p>
      <w:pPr>
        <w:ind w:left="700" w:right="60" w:hanging="373"/>
        <w:spacing w:after="0" w:line="22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allocations of depreciation, facilities and IT support costs of $3.5 million primarily driven by investments made in corporate IT, including cyber security and increases in related headcount</w:t>
      </w:r>
    </w:p>
    <w:p>
      <w:pPr>
        <w:spacing w:after="0" w:line="13" w:lineRule="exact"/>
        <w:rPr>
          <w:sz w:val="20"/>
          <w:szCs w:val="20"/>
          <w:color w:val="auto"/>
        </w:rPr>
      </w:pPr>
    </w:p>
    <w:p>
      <w:pPr>
        <w:ind w:left="700" w:right="60" w:hanging="359"/>
        <w:spacing w:after="0" w:line="227" w:lineRule="auto"/>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Partially offset by an increase in software development costs of $9.5 million that were required to be capitalized under the internal-use software guidance</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 included in research and development expense for 2019 and 2018 were $46.0 million and $36.5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 useful life, which generally range from three to seven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42  </w:t>
      </w:r>
      <w:r>
        <w:rPr>
          <w:sz w:val="1"/>
          <w:szCs w:val="1"/>
          <w:color w:val="auto"/>
        </w:rPr>
        <w:drawing>
          <wp:inline distT="0" distB="0" distL="0" distR="0">
            <wp:extent cx="728345" cy="18859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third quarter of 2020, we adjusted our workforce strategy to provide more flexibility for our employees after our offices reopen and we expect to have more employees working remotely either part-time or full time, even within our hub locations. This change is expected to create efficiencies within our real estate footprint as we shift toward more collaborative workspaces within our offices. As a result, during the three months ended September 30, 2020, we reduced the estimated useful lives of our operating lease ROU assets for certain of our office locations we expected to exit, which resulted in an increase in operating lease costs during the third and fourth quarters of 2020. For these same office locations, we also reduced the estimated useful lives of certain facilities-related fixed assets, which resulted in an increase in depreciation expense. We incurred approximately $23.1 million of pre-tax costs related to these real estate activities during the third and fourth quarters of 2020, which we do not expect to recur in 2021. These activities are expected to result in future annual before-tax savings of approximately $14.0 million beginning in 2021.</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 and administrative expenses increased by $21.4 million, or 18.9%. The increases in dollars and as a percentage of total revenue were primarily driven by the following:</w:t>
      </w:r>
    </w:p>
    <w:p>
      <w:pPr>
        <w:spacing w:after="0" w:line="117" w:lineRule="exact"/>
        <w:rPr>
          <w:sz w:val="20"/>
          <w:szCs w:val="20"/>
          <w:color w:val="auto"/>
        </w:rPr>
      </w:pPr>
    </w:p>
    <w:p>
      <w:pPr>
        <w:ind w:left="700" w:right="20" w:hanging="373"/>
        <w:spacing w:after="0" w:line="22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in real estate activity costs of $23.1 million due to our workforce strategy changes in response to COVID-19, as discussed above</w:t>
      </w:r>
    </w:p>
    <w:p>
      <w:pPr>
        <w:spacing w:after="0" w:line="13" w:lineRule="exact"/>
        <w:rPr>
          <w:rFonts w:ascii="Arial" w:cs="Arial" w:eastAsia="Arial" w:hAnsi="Arial"/>
          <w:sz w:val="18"/>
          <w:szCs w:val="18"/>
          <w:color w:val="auto"/>
        </w:rPr>
      </w:pPr>
    </w:p>
    <w:p>
      <w:pPr>
        <w:ind w:left="700" w:right="40" w:hanging="373"/>
        <w:spacing w:after="0" w:line="22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in corporate costs $5.9 million primarily related to an increase in bad debt expense; for additional details, see Note 2 to our consolidated financial statements in this report</w:t>
      </w:r>
    </w:p>
    <w:p>
      <w:pPr>
        <w:spacing w:after="0" w:line="13" w:lineRule="exact"/>
        <w:rPr>
          <w:sz w:val="20"/>
          <w:szCs w:val="20"/>
          <w:color w:val="auto"/>
        </w:rPr>
      </w:pPr>
    </w:p>
    <w:p>
      <w:pPr>
        <w:ind w:left="700" w:right="20" w:hanging="351"/>
        <w:spacing w:after="0" w:line="22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 in rent expense of $4.1 million primarily related to the purchase of our Global Headquarters Facility, see Note 7 to our consolidated financial statements in this report</w:t>
      </w:r>
    </w:p>
    <w:p>
      <w:pPr>
        <w:spacing w:after="0" w:line="13" w:lineRule="exact"/>
        <w:rPr>
          <w:rFonts w:ascii="Arial" w:cs="Arial" w:eastAsia="Arial" w:hAnsi="Arial"/>
          <w:sz w:val="18"/>
          <w:szCs w:val="18"/>
          <w:color w:val="auto"/>
        </w:rPr>
      </w:pPr>
    </w:p>
    <w:p>
      <w:pPr>
        <w:ind w:left="700" w:hanging="351"/>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 in travel costs of $2.4 million due to our restriction on non-essential employee travel in response to COVID-19</w:t>
      </w:r>
    </w:p>
    <w:p>
      <w:pPr>
        <w:spacing w:after="0" w:line="22" w:lineRule="exact"/>
        <w:rPr>
          <w:rFonts w:ascii="Arial" w:cs="Arial" w:eastAsia="Arial" w:hAnsi="Arial"/>
          <w:sz w:val="18"/>
          <w:szCs w:val="18"/>
          <w:color w:val="auto"/>
        </w:rPr>
      </w:pPr>
    </w:p>
    <w:p>
      <w:pPr>
        <w:jc w:val="both"/>
        <w:ind w:left="700" w:right="20" w:hanging="351"/>
        <w:spacing w:after="0" w:line="215"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 in compensation costs of $1.8 million primarily related to the decision to replace our 2020 cash bonus plans with grants of performance-based equity awards, which are being recognized as stock-based compensation expense between May 1, 2020 and May 1, 2021. These awards may be earned and become eligible for vesting on May 1, 2021 subject to meeting certain performance conditions and the recipient's continued employment with us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by $7.1 million, or 6.6%, primarily driven by the following:</w:t>
      </w:r>
    </w:p>
    <w:p>
      <w:pPr>
        <w:spacing w:after="0" w:line="144" w:lineRule="exact"/>
        <w:rPr>
          <w:sz w:val="20"/>
          <w:szCs w:val="20"/>
          <w:color w:val="auto"/>
        </w:rPr>
      </w:pPr>
    </w:p>
    <w:p>
      <w:pPr>
        <w:jc w:val="both"/>
        <w:ind w:left="700" w:right="60" w:hanging="373"/>
        <w:spacing w:after="0" w:line="219"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 in compensation costs of $13.2 million primarily related to stock-based compensation and our acquisition of YourCause. The increase in stock-based compensation was primarily driven by increases in the grant date fair values of our annual equity awards granted to employees between 2017 and 2019 as our headcount had grown.</w:t>
      </w:r>
    </w:p>
    <w:p>
      <w:pPr>
        <w:spacing w:after="0" w:line="14" w:lineRule="exact"/>
        <w:rPr>
          <w:sz w:val="20"/>
          <w:szCs w:val="20"/>
          <w:color w:val="auto"/>
        </w:rPr>
      </w:pPr>
    </w:p>
    <w:p>
      <w:pPr>
        <w:ind w:left="700" w:hanging="351"/>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 in acquisition-related expenses and integration costs of $3.0 million related to our purchase of YourCause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We substantially completed our facilities optimization restructuring plan as of December 2019. During the years ended December 31, 2019 and 2018, we incurred $5.8 million and $4.6 million, respectively, in before-tax restructuring charges related to these activities. Such charges during the year ended December 31, 2020 were insignificant.</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Restructuring costs incurred prior to our adoption of ASU 2016-02 on January 1, 2019 consisted primarily of costs to terminate lease agreements, contractual lease payments, net of estimated sublease income, upon vacating space as part of the plan, as well as insignificant costs to relocate affected employees and write-off facilities-related fixed assets that we would no longer use.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Upon adoption of ASU 2016-02 at January 1, 2019, we reduced our operating lease ROU assets recognized at transition by the carrying amounts of the restructuring liabilities for certain leased office spaces that we ceased using prior to December 31, 2018. Restructuring costs incurred during the year ended December 31, 2019 consisted primarily of</w:t>
      </w:r>
    </w:p>
    <w:p>
      <w:pPr>
        <w:spacing w:after="0" w:line="281"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lease ROU asset impairment costs and, to a lesser extent, lease payments for offices we had ceased using and write-offs of facilities-related fixed assets that we would no longer use.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260" w:type="dxa"/>
            <w:vAlign w:val="bottom"/>
            <w:shd w:val="clear" w:color="auto" w:fill="ACACAC"/>
          </w:tcPr>
          <w:p>
            <w:pPr>
              <w:spacing w:after="0"/>
              <w:rPr>
                <w:sz w:val="16"/>
                <w:szCs w:val="16"/>
                <w:color w:val="auto"/>
              </w:rPr>
            </w:pPr>
          </w:p>
        </w:tc>
        <w:tc>
          <w:tcPr>
            <w:tcW w:w="1480" w:type="dxa"/>
            <w:vAlign w:val="bottom"/>
            <w:shd w:val="clear" w:color="auto" w:fill="ACACAC"/>
          </w:tcPr>
          <w:p>
            <w:pPr>
              <w:spacing w:after="0"/>
              <w:rPr>
                <w:sz w:val="16"/>
                <w:szCs w:val="16"/>
                <w:color w:val="auto"/>
              </w:rPr>
            </w:pPr>
          </w:p>
        </w:tc>
        <w:tc>
          <w:tcPr>
            <w:tcW w:w="1280" w:type="dxa"/>
            <w:vAlign w:val="bottom"/>
            <w:shd w:val="clear" w:color="auto" w:fill="ACACAC"/>
          </w:tcPr>
          <w:p>
            <w:pPr>
              <w:spacing w:after="0"/>
              <w:rPr>
                <w:sz w:val="16"/>
                <w:szCs w:val="16"/>
                <w:color w:val="auto"/>
              </w:rPr>
            </w:pPr>
          </w:p>
        </w:tc>
        <w:tc>
          <w:tcPr>
            <w:tcW w:w="23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44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shd w:val="clear" w:color="auto" w:fill="ACACAC"/>
          </w:tcPr>
          <w:p>
            <w:pPr>
              <w:spacing w:after="0"/>
              <w:rPr>
                <w:sz w:val="17"/>
                <w:szCs w:val="17"/>
                <w:color w:val="auto"/>
              </w:rPr>
            </w:pPr>
          </w:p>
        </w:tc>
        <w:tc>
          <w:tcPr>
            <w:tcW w:w="1260" w:type="dxa"/>
            <w:vAlign w:val="bottom"/>
            <w:shd w:val="clear" w:color="auto" w:fill="ACACAC"/>
          </w:tcPr>
          <w:p>
            <w:pPr>
              <w:jc w:val="right"/>
              <w:ind w:right="476"/>
              <w:spacing w:after="0"/>
              <w:rPr>
                <w:sz w:val="20"/>
                <w:szCs w:val="20"/>
                <w:color w:val="auto"/>
              </w:rPr>
            </w:pPr>
            <w:r>
              <w:rPr>
                <w:rFonts w:ascii="Arial" w:cs="Arial" w:eastAsia="Arial" w:hAnsi="Arial"/>
                <w:sz w:val="14"/>
                <w:szCs w:val="14"/>
                <w:b w:val="1"/>
                <w:bCs w:val="1"/>
                <w:color w:val="FFFFFF"/>
              </w:rPr>
              <w:t>2020</w:t>
            </w:r>
          </w:p>
        </w:tc>
        <w:tc>
          <w:tcPr>
            <w:tcW w:w="148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Change</w:t>
            </w:r>
          </w:p>
        </w:tc>
        <w:tc>
          <w:tcPr>
            <w:tcW w:w="1280" w:type="dxa"/>
            <w:vAlign w:val="bottom"/>
            <w:shd w:val="clear" w:color="auto" w:fill="ACACAC"/>
          </w:tcPr>
          <w:p>
            <w:pPr>
              <w:jc w:val="right"/>
              <w:ind w:right="516"/>
              <w:spacing w:after="0"/>
              <w:rPr>
                <w:sz w:val="20"/>
                <w:szCs w:val="20"/>
                <w:color w:val="auto"/>
              </w:rPr>
            </w:pPr>
            <w:r>
              <w:rPr>
                <w:rFonts w:ascii="Arial" w:cs="Arial" w:eastAsia="Arial" w:hAnsi="Arial"/>
                <w:sz w:val="14"/>
                <w:szCs w:val="14"/>
                <w:b w:val="1"/>
                <w:bCs w:val="1"/>
                <w:color w:val="FFFFFF"/>
              </w:rPr>
              <w:t>2019</w:t>
            </w:r>
          </w:p>
        </w:tc>
        <w:tc>
          <w:tcPr>
            <w:tcW w:w="1440" w:type="dxa"/>
            <w:vAlign w:val="bottom"/>
            <w:shd w:val="clear" w:color="auto" w:fill="ACACAC"/>
          </w:tcPr>
          <w:p>
            <w:pPr>
              <w:jc w:val="right"/>
              <w:ind w:right="402"/>
              <w:spacing w:after="0"/>
              <w:rPr>
                <w:sz w:val="20"/>
                <w:szCs w:val="20"/>
                <w:color w:val="auto"/>
              </w:rPr>
            </w:pPr>
            <w:r>
              <w:rPr>
                <w:rFonts w:ascii="Arial" w:cs="Arial" w:eastAsia="Arial" w:hAnsi="Arial"/>
                <w:sz w:val="14"/>
                <w:szCs w:val="14"/>
                <w:b w:val="1"/>
                <w:bCs w:val="1"/>
                <w:color w:val="FFFFFF"/>
              </w:rPr>
              <w:t>Change</w:t>
            </w:r>
          </w:p>
        </w:tc>
        <w:tc>
          <w:tcPr>
            <w:tcW w:w="920" w:type="dxa"/>
            <w:vAlign w:val="bottom"/>
            <w:shd w:val="clear" w:color="auto" w:fill="ACACAC"/>
          </w:tcPr>
          <w:p>
            <w:pPr>
              <w:jc w:val="right"/>
              <w:ind w:right="136"/>
              <w:spacing w:after="0"/>
              <w:rPr>
                <w:sz w:val="20"/>
                <w:szCs w:val="20"/>
                <w:color w:val="auto"/>
              </w:rPr>
            </w:pPr>
            <w:r>
              <w:rPr>
                <w:rFonts w:ascii="Arial" w:cs="Arial" w:eastAsia="Arial" w:hAnsi="Arial"/>
                <w:sz w:val="14"/>
                <w:szCs w:val="14"/>
                <w:b w:val="1"/>
                <w:bCs w:val="1"/>
                <w:color w:val="FFFFFF"/>
              </w:rPr>
              <w:t>2018</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496"/>
              <w:spacing w:after="0"/>
              <w:rPr>
                <w:sz w:val="20"/>
                <w:szCs w:val="20"/>
                <w:color w:val="auto"/>
              </w:rPr>
            </w:pPr>
            <w:r>
              <w:rPr>
                <w:rFonts w:ascii="Arial" w:cs="Arial" w:eastAsia="Arial" w:hAnsi="Arial"/>
                <w:sz w:val="18"/>
                <w:szCs w:val="18"/>
                <w:color w:val="auto"/>
              </w:rPr>
              <w:t>17.3</w:t>
            </w:r>
          </w:p>
        </w:tc>
        <w:tc>
          <w:tcPr>
            <w:tcW w:w="1480" w:type="dxa"/>
            <w:vAlign w:val="bottom"/>
          </w:tcPr>
          <w:p>
            <w:pPr>
              <w:jc w:val="right"/>
              <w:ind w:right="259"/>
              <w:spacing w:after="0"/>
              <w:rPr>
                <w:sz w:val="20"/>
                <w:szCs w:val="20"/>
                <w:color w:val="auto"/>
              </w:rPr>
            </w:pPr>
            <w:r>
              <w:rPr>
                <w:rFonts w:ascii="Arial" w:cs="Arial" w:eastAsia="Arial" w:hAnsi="Arial"/>
                <w:sz w:val="18"/>
                <w:szCs w:val="18"/>
                <w:color w:val="auto"/>
              </w:rPr>
              <w:t>(16.2)% $</w:t>
            </w:r>
          </w:p>
        </w:tc>
        <w:tc>
          <w:tcPr>
            <w:tcW w:w="1280" w:type="dxa"/>
            <w:vAlign w:val="bottom"/>
          </w:tcPr>
          <w:p>
            <w:pPr>
              <w:jc w:val="right"/>
              <w:ind w:right="516"/>
              <w:spacing w:after="0"/>
              <w:rPr>
                <w:sz w:val="20"/>
                <w:szCs w:val="20"/>
                <w:color w:val="auto"/>
              </w:rPr>
            </w:pPr>
            <w:r>
              <w:rPr>
                <w:rFonts w:ascii="Arial" w:cs="Arial" w:eastAsia="Arial" w:hAnsi="Arial"/>
                <w:sz w:val="18"/>
                <w:szCs w:val="18"/>
                <w:color w:val="auto"/>
              </w:rPr>
              <w:t>20.6</w:t>
            </w:r>
          </w:p>
        </w:tc>
        <w:tc>
          <w:tcPr>
            <w:tcW w:w="1440" w:type="dxa"/>
            <w:vAlign w:val="bottom"/>
          </w:tcPr>
          <w:p>
            <w:pPr>
              <w:jc w:val="right"/>
              <w:ind w:right="262"/>
              <w:spacing w:after="0"/>
              <w:rPr>
                <w:sz w:val="20"/>
                <w:szCs w:val="20"/>
                <w:color w:val="auto"/>
              </w:rPr>
            </w:pPr>
            <w:r>
              <w:rPr>
                <w:rFonts w:ascii="Arial" w:cs="Arial" w:eastAsia="Arial" w:hAnsi="Arial"/>
                <w:sz w:val="18"/>
                <w:szCs w:val="18"/>
                <w:color w:val="auto"/>
              </w:rPr>
              <w:t>29.7 % $</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15.9</w:t>
            </w:r>
          </w:p>
        </w:tc>
      </w:tr>
      <w:tr>
        <w:trPr>
          <w:trHeight w:val="229"/>
        </w:trPr>
        <w:tc>
          <w:tcPr>
            <w:tcW w:w="44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 of total revenue</w:t>
            </w:r>
          </w:p>
        </w:tc>
        <w:tc>
          <w:tcPr>
            <w:tcW w:w="440" w:type="dxa"/>
            <w:vAlign w:val="bottom"/>
            <w:tcBorders>
              <w:bottom w:val="single" w:sz="8" w:color="71BF43"/>
            </w:tcBorders>
            <w:shd w:val="clear" w:color="auto" w:fill="F4F4F4"/>
          </w:tcPr>
          <w:p>
            <w:pPr>
              <w:spacing w:after="0"/>
              <w:rPr>
                <w:sz w:val="19"/>
                <w:szCs w:val="19"/>
                <w:color w:val="auto"/>
              </w:rPr>
            </w:pPr>
          </w:p>
        </w:tc>
        <w:tc>
          <w:tcPr>
            <w:tcW w:w="1260" w:type="dxa"/>
            <w:vAlign w:val="bottom"/>
            <w:tcBorders>
              <w:bottom w:val="single" w:sz="8" w:color="71BF43"/>
            </w:tcBorders>
            <w:shd w:val="clear" w:color="auto" w:fill="F4F4F4"/>
          </w:tcPr>
          <w:p>
            <w:pPr>
              <w:jc w:val="right"/>
              <w:ind w:right="276"/>
              <w:spacing w:after="0"/>
              <w:rPr>
                <w:sz w:val="20"/>
                <w:szCs w:val="20"/>
                <w:color w:val="auto"/>
              </w:rPr>
            </w:pPr>
            <w:r>
              <w:rPr>
                <w:rFonts w:ascii="Arial" w:cs="Arial" w:eastAsia="Arial" w:hAnsi="Arial"/>
                <w:sz w:val="18"/>
                <w:szCs w:val="18"/>
                <w:color w:val="auto"/>
              </w:rPr>
              <w:t>1.9 %</w:t>
            </w:r>
          </w:p>
        </w:tc>
        <w:tc>
          <w:tcPr>
            <w:tcW w:w="1480" w:type="dxa"/>
            <w:vAlign w:val="bottom"/>
            <w:tcBorders>
              <w:bottom w:val="single" w:sz="8" w:color="71BF43"/>
            </w:tcBorders>
            <w:shd w:val="clear" w:color="auto" w:fill="F4F4F4"/>
          </w:tcPr>
          <w:p>
            <w:pPr>
              <w:spacing w:after="0"/>
              <w:rPr>
                <w:sz w:val="19"/>
                <w:szCs w:val="19"/>
                <w:color w:val="auto"/>
              </w:rPr>
            </w:pPr>
          </w:p>
        </w:tc>
        <w:tc>
          <w:tcPr>
            <w:tcW w:w="1280" w:type="dxa"/>
            <w:vAlign w:val="bottom"/>
            <w:tcBorders>
              <w:bottom w:val="single" w:sz="8" w:color="71BF43"/>
            </w:tcBorders>
            <w:shd w:val="clear" w:color="auto" w:fill="F4F4F4"/>
          </w:tcPr>
          <w:p>
            <w:pPr>
              <w:jc w:val="right"/>
              <w:ind w:right="296"/>
              <w:spacing w:after="0"/>
              <w:rPr>
                <w:sz w:val="20"/>
                <w:szCs w:val="20"/>
                <w:color w:val="auto"/>
              </w:rPr>
            </w:pPr>
            <w:r>
              <w:rPr>
                <w:rFonts w:ascii="Arial" w:cs="Arial" w:eastAsia="Arial" w:hAnsi="Arial"/>
                <w:sz w:val="18"/>
                <w:szCs w:val="18"/>
                <w:color w:val="auto"/>
              </w:rPr>
              <w:t>2.3 %</w:t>
            </w:r>
          </w:p>
        </w:tc>
        <w:tc>
          <w:tcPr>
            <w:tcW w:w="1440" w:type="dxa"/>
            <w:vAlign w:val="bottom"/>
            <w:tcBorders>
              <w:bottom w:val="single" w:sz="8" w:color="71BF43"/>
            </w:tcBorders>
            <w:shd w:val="clear" w:color="auto" w:fill="F4F4F4"/>
          </w:tcPr>
          <w:p>
            <w:pPr>
              <w:spacing w:after="0"/>
              <w:rPr>
                <w:sz w:val="19"/>
                <w:szCs w:val="19"/>
                <w:color w:val="auto"/>
              </w:rPr>
            </w:pPr>
          </w:p>
        </w:tc>
        <w:tc>
          <w:tcPr>
            <w:tcW w:w="9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-427990</wp:posOffset>
            </wp:positionV>
            <wp:extent cx="43287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expense decreased in dollars and as a percentage of revenue during 2020, when compared to 2019, primarily due to a decrease in our average daily borrowings. Our acquisition of YourCause in January 2019 drove the increase in borrowings during 2019 and no business acquisitions were made in 2020.</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increased during 2019, when compared to 2018, primarily due to an increase in our average daily borrowings related to our acquisition of YourCause in January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200" w:type="dxa"/>
            <w:vAlign w:val="bottom"/>
            <w:gridSpan w:val="2"/>
            <w:vMerge w:val="restart"/>
            <w:shd w:val="clear" w:color="auto" w:fill="ACACAC"/>
          </w:tcPr>
          <w:p>
            <w:pPr>
              <w:jc w:val="right"/>
              <w:ind w:right="360"/>
              <w:spacing w:after="0"/>
              <w:rPr>
                <w:sz w:val="20"/>
                <w:szCs w:val="20"/>
                <w:color w:val="auto"/>
              </w:rPr>
            </w:pPr>
            <w:r>
              <w:rPr>
                <w:rFonts w:ascii="Arial" w:cs="Arial" w:eastAsia="Arial" w:hAnsi="Arial"/>
                <w:sz w:val="14"/>
                <w:szCs w:val="14"/>
                <w:b w:val="1"/>
                <w:bCs w:val="1"/>
                <w:color w:val="FFFFFF"/>
              </w:rPr>
              <w:t>Timing of recognition</w:t>
            </w: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340" w:type="dxa"/>
            <w:vAlign w:val="bottom"/>
            <w:shd w:val="clear" w:color="auto" w:fill="ACACAC"/>
          </w:tcPr>
          <w:p>
            <w:pPr>
              <w:spacing w:after="0"/>
              <w:rPr>
                <w:sz w:val="14"/>
                <w:szCs w:val="14"/>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6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175"/>
        </w:trPr>
        <w:tc>
          <w:tcPr>
            <w:tcW w:w="2660" w:type="dxa"/>
            <w:vAlign w:val="bottom"/>
            <w:vMerge w:val="continue"/>
            <w:shd w:val="clear" w:color="auto" w:fill="ACACAC"/>
          </w:tcPr>
          <w:p>
            <w:pPr>
              <w:spacing w:after="0"/>
              <w:rPr>
                <w:sz w:val="15"/>
                <w:szCs w:val="15"/>
                <w:color w:val="auto"/>
              </w:rPr>
            </w:pPr>
          </w:p>
        </w:tc>
        <w:tc>
          <w:tcPr>
            <w:tcW w:w="4200" w:type="dxa"/>
            <w:vAlign w:val="bottom"/>
            <w:gridSpan w:val="2"/>
            <w:vMerge w:val="continue"/>
            <w:shd w:val="clear" w:color="auto" w:fill="ACACAC"/>
          </w:tcPr>
          <w:p>
            <w:pPr>
              <w:spacing w:after="0"/>
              <w:rPr>
                <w:sz w:val="15"/>
                <w:szCs w:val="15"/>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40" w:type="dxa"/>
            <w:vAlign w:val="bottom"/>
            <w:shd w:val="clear" w:color="auto" w:fill="ACACAC"/>
          </w:tcPr>
          <w:p>
            <w:pPr>
              <w:spacing w:after="0"/>
              <w:rPr>
                <w:sz w:val="15"/>
                <w:szCs w:val="15"/>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680" w:type="dxa"/>
            <w:vAlign w:val="bottom"/>
            <w:vMerge w:val="continue"/>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Recurring</w:t>
            </w:r>
          </w:p>
        </w:tc>
        <w:tc>
          <w:tcPr>
            <w:tcW w:w="4200" w:type="dxa"/>
            <w:vAlign w:val="bottom"/>
            <w:gridSpan w:val="2"/>
            <w:shd w:val="clear" w:color="auto" w:fill="F4F4F4"/>
          </w:tcPr>
          <w:p>
            <w:pPr>
              <w:jc w:val="right"/>
              <w:ind w:right="360"/>
              <w:spacing w:after="0" w:line="189" w:lineRule="exact"/>
              <w:rPr>
                <w:sz w:val="20"/>
                <w:szCs w:val="20"/>
                <w:color w:val="auto"/>
              </w:rPr>
            </w:pPr>
            <w:r>
              <w:rPr>
                <w:rFonts w:ascii="Arial" w:cs="Arial" w:eastAsia="Arial" w:hAnsi="Arial"/>
                <w:sz w:val="18"/>
                <w:szCs w:val="18"/>
                <w:color w:val="auto"/>
              </w:rPr>
              <w:t>Over the period billed in advance, generally</w:t>
            </w:r>
          </w:p>
        </w:tc>
        <w:tc>
          <w:tcPr>
            <w:tcW w:w="1180" w:type="dxa"/>
            <w:vAlign w:val="bottom"/>
            <w:shd w:val="clear" w:color="auto" w:fill="F4F4F4"/>
          </w:tcPr>
          <w:p>
            <w:pPr>
              <w:spacing w:after="0"/>
              <w:rPr>
                <w:sz w:val="16"/>
                <w:szCs w:val="16"/>
                <w:color w:val="auto"/>
              </w:rPr>
            </w:pPr>
          </w:p>
        </w:tc>
        <w:tc>
          <w:tcPr>
            <w:tcW w:w="340" w:type="dxa"/>
            <w:vAlign w:val="bottom"/>
            <w:shd w:val="clear" w:color="auto" w:fill="F4F4F4"/>
          </w:tcPr>
          <w:p>
            <w:pPr>
              <w:spacing w:after="0"/>
              <w:rPr>
                <w:sz w:val="16"/>
                <w:szCs w:val="16"/>
                <w:color w:val="auto"/>
              </w:rPr>
            </w:pPr>
          </w:p>
        </w:tc>
        <w:tc>
          <w:tcPr>
            <w:tcW w:w="1180" w:type="dxa"/>
            <w:vAlign w:val="bottom"/>
            <w:shd w:val="clear" w:color="auto" w:fill="F4F4F4"/>
          </w:tcPr>
          <w:p>
            <w:pPr>
              <w:spacing w:after="0"/>
              <w:rPr>
                <w:sz w:val="16"/>
                <w:szCs w:val="16"/>
                <w:color w:val="auto"/>
              </w:rPr>
            </w:pPr>
          </w:p>
        </w:tc>
        <w:tc>
          <w:tcPr>
            <w:tcW w:w="168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F4F4F4"/>
          </w:tcPr>
          <w:p>
            <w:pPr>
              <w:spacing w:after="0"/>
              <w:rPr>
                <w:sz w:val="18"/>
                <w:szCs w:val="18"/>
                <w:color w:val="auto"/>
              </w:rPr>
            </w:pPr>
          </w:p>
        </w:tc>
        <w:tc>
          <w:tcPr>
            <w:tcW w:w="4200" w:type="dxa"/>
            <w:vAlign w:val="bottom"/>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one year $</w:t>
            </w: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303.8</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302.8</w:t>
            </w:r>
          </w:p>
        </w:tc>
        <w:tc>
          <w:tcPr>
            <w:tcW w:w="16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One-time services and other</w:t>
            </w:r>
          </w:p>
        </w:tc>
        <w:tc>
          <w:tcPr>
            <w:tcW w:w="4200" w:type="dxa"/>
            <w:vAlign w:val="bottom"/>
            <w:gridSpan w:val="2"/>
          </w:tcPr>
          <w:p>
            <w:pPr>
              <w:jc w:val="right"/>
              <w:ind w:right="360"/>
              <w:spacing w:after="0"/>
              <w:rPr>
                <w:sz w:val="20"/>
                <w:szCs w:val="20"/>
                <w:color w:val="auto"/>
              </w:rPr>
            </w:pPr>
            <w:r>
              <w:rPr>
                <w:rFonts w:ascii="Arial" w:cs="Arial" w:eastAsia="Arial" w:hAnsi="Arial"/>
                <w:sz w:val="18"/>
                <w:szCs w:val="18"/>
                <w:color w:val="auto"/>
              </w:rPr>
              <w:t>As services are delivered</w:t>
            </w: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660" w:type="dxa"/>
            <w:vAlign w:val="bottom"/>
            <w:tcBorders>
              <w:top w:val="single" w:sz="8" w:color="F4F4F4"/>
            </w:tcBorders>
            <w:shd w:val="clear" w:color="auto" w:fill="F4F4F4"/>
          </w:tcPr>
          <w:p>
            <w:pPr>
              <w:ind w:left="140"/>
              <w:spacing w:after="0" w:line="223" w:lineRule="exact"/>
              <w:rPr>
                <w:sz w:val="20"/>
                <w:szCs w:val="20"/>
                <w:color w:val="auto"/>
              </w:rPr>
            </w:pPr>
            <w:r>
              <w:rPr>
                <w:rFonts w:ascii="Arial" w:cs="Arial" w:eastAsia="Arial" w:hAnsi="Arial"/>
                <w:sz w:val="18"/>
                <w:szCs w:val="18"/>
                <w:color w:val="auto"/>
              </w:rPr>
              <w:t>Total deferred revenue</w:t>
            </w:r>
            <w:r>
              <w:rPr>
                <w:rFonts w:ascii="Arial" w:cs="Arial" w:eastAsia="Arial" w:hAnsi="Arial"/>
                <w:sz w:val="23"/>
                <w:szCs w:val="23"/>
                <w:color w:val="auto"/>
                <w:vertAlign w:val="superscript"/>
              </w:rPr>
              <w:t>(1)</w:t>
            </w:r>
          </w:p>
        </w:tc>
        <w:tc>
          <w:tcPr>
            <w:tcW w:w="3860" w:type="dxa"/>
            <w:vAlign w:val="bottom"/>
            <w:tcBorders>
              <w:top w:val="single" w:sz="8" w:color="F4F4F4"/>
            </w:tcBorders>
            <w:shd w:val="clear" w:color="auto" w:fill="F4F4F4"/>
          </w:tcPr>
          <w:p>
            <w:pPr>
              <w:spacing w:after="0"/>
              <w:rPr>
                <w:sz w:val="19"/>
                <w:szCs w:val="19"/>
                <w:color w:val="auto"/>
              </w:rPr>
            </w:pPr>
          </w:p>
        </w:tc>
        <w:tc>
          <w:tcPr>
            <w:tcW w:w="340" w:type="dxa"/>
            <w:vAlign w:val="bottom"/>
            <w:tcBorders>
              <w:top w:val="single" w:sz="8" w:color="auto"/>
            </w:tcBorders>
            <w:shd w:val="clear" w:color="auto" w:fill="F4F4F4"/>
          </w:tcPr>
          <w:p>
            <w:pPr>
              <w:spacing w:after="0"/>
              <w:rPr>
                <w:sz w:val="19"/>
                <w:szCs w:val="19"/>
                <w:color w:val="auto"/>
              </w:rPr>
            </w:pPr>
          </w:p>
        </w:tc>
        <w:tc>
          <w:tcPr>
            <w:tcW w:w="118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316.9</w:t>
            </w:r>
          </w:p>
        </w:tc>
        <w:tc>
          <w:tcPr>
            <w:tcW w:w="340" w:type="dxa"/>
            <w:vAlign w:val="bottom"/>
            <w:tcBorders>
              <w:top w:val="single" w:sz="8" w:color="auto"/>
            </w:tcBorders>
            <w:shd w:val="clear" w:color="auto" w:fill="F4F4F4"/>
          </w:tcPr>
          <w:p>
            <w:pPr>
              <w:spacing w:after="0"/>
              <w:rPr>
                <w:sz w:val="19"/>
                <w:szCs w:val="19"/>
                <w:color w:val="auto"/>
              </w:rPr>
            </w:pPr>
          </w:p>
        </w:tc>
        <w:tc>
          <w:tcPr>
            <w:tcW w:w="118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316.1</w:t>
            </w:r>
          </w:p>
        </w:tc>
        <w:tc>
          <w:tcPr>
            <w:tcW w:w="1680" w:type="dxa"/>
            <w:vAlign w:val="bottom"/>
            <w:tcBorders>
              <w:top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Long-term portion</w:t>
            </w:r>
          </w:p>
        </w:tc>
        <w:tc>
          <w:tcPr>
            <w:tcW w:w="3860" w:type="dxa"/>
            <w:vAlign w:val="bottom"/>
            <w:tcBorders>
              <w:bottom w:val="single" w:sz="8" w:color="F4F4F4"/>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8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159.6 %</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71BF43"/>
            </w:tcBorders>
            <w:shd w:val="clear" w:color="auto" w:fill="F4F4F4"/>
          </w:tcPr>
          <w:p>
            <w:pPr>
              <w:ind w:left="20"/>
              <w:spacing w:after="0" w:line="223" w:lineRule="exact"/>
              <w:rPr>
                <w:sz w:val="20"/>
                <w:szCs w:val="20"/>
                <w:color w:val="auto"/>
              </w:rPr>
            </w:pPr>
            <w:r>
              <w:rPr>
                <w:rFonts w:ascii="Arial" w:cs="Arial" w:eastAsia="Arial" w:hAnsi="Arial"/>
                <w:sz w:val="18"/>
                <w:szCs w:val="18"/>
                <w:color w:val="auto"/>
              </w:rPr>
              <w:t>Current portion</w:t>
            </w:r>
            <w:r>
              <w:rPr>
                <w:rFonts w:ascii="Arial" w:cs="Arial" w:eastAsia="Arial" w:hAnsi="Arial"/>
                <w:sz w:val="23"/>
                <w:szCs w:val="23"/>
                <w:color w:val="auto"/>
                <w:vertAlign w:val="superscript"/>
              </w:rPr>
              <w:t>(1)</w:t>
            </w:r>
          </w:p>
        </w:tc>
        <w:tc>
          <w:tcPr>
            <w:tcW w:w="4200" w:type="dxa"/>
            <w:vAlign w:val="bottom"/>
            <w:tcBorders>
              <w:bottom w:val="single" w:sz="8" w:color="71BF43"/>
            </w:tcBorders>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312.2</w:t>
            </w:r>
          </w:p>
        </w:tc>
        <w:tc>
          <w:tcPr>
            <w:tcW w:w="340" w:type="dxa"/>
            <w:vAlign w:val="bottom"/>
            <w:tcBorders>
              <w:bottom w:val="single" w:sz="8" w:color="71BF43"/>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314.3</w:t>
            </w:r>
          </w:p>
        </w:tc>
        <w:tc>
          <w:tcPr>
            <w:tcW w:w="16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total deferred revenue or current portion of deferred revenue due to rounding.</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that our customers are billed for our solutions and services in advance of delivery, we record such amounts in deferred revenue. Our recurring revenue contracts are generally for a term of three years at contract inception with one to three-year renewals thereafter, billed annually in advance and non-cancelable. We generally invoice our customers with recurring revenue contracts in annual cycles 30 days prior to the end of the contract term.</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Deferred revenue from recurring revenue contracts as well as one-time services and other were held flat during 2020, primarily due to declines in our 2020 bookings performance compared to our budgeted expectations as a result of COVID-19.</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acquired businesses whose net tangible assets include deferred revenue. In accordance with GAAP reporting requirements, we recorded write-downs of deferred revenue from customer arrangements predating the acquisition to fair value, which resulted in lower recorded deferred revenue as of the acquisition date than the actual amounts paid in advance for solutions and services under those customer arrangements. Therefore, our deferred revenue after an acquisition will not reflect the full amount of deferred revenue that would have been reported if the acquired deferred revenue was not written down to fair value. Further explanation of this impact is included below under the caption "Non-GAAP financial measures".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44  </w:t>
      </w:r>
      <w:r>
        <w:rPr>
          <w:sz w:val="1"/>
          <w:szCs w:val="1"/>
          <w:color w:val="auto"/>
        </w:rPr>
        <w:drawing>
          <wp:inline distT="0" distB="0" distL="0" distR="0">
            <wp:extent cx="728345" cy="18859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(benefit) and effective income tax rates, including the effects of period-specific events, were: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94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2380" w:type="dxa"/>
            <w:vAlign w:val="bottom"/>
            <w:gridSpan w:val="3"/>
            <w:shd w:val="clear" w:color="auto" w:fill="ACACAC"/>
          </w:tcPr>
          <w:p>
            <w:pPr>
              <w:ind w:left="540"/>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70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80" w:type="dxa"/>
            <w:vAlign w:val="bottom"/>
            <w:shd w:val="clear" w:color="auto" w:fill="ACACAC"/>
          </w:tcPr>
          <w:p>
            <w:pPr>
              <w:spacing w:after="0"/>
              <w:rPr>
                <w:sz w:val="17"/>
                <w:szCs w:val="17"/>
                <w:color w:val="auto"/>
              </w:rPr>
            </w:pPr>
          </w:p>
        </w:tc>
        <w:tc>
          <w:tcPr>
            <w:tcW w:w="940" w:type="dxa"/>
            <w:vAlign w:val="bottom"/>
            <w:shd w:val="clear" w:color="auto" w:fill="ACACAC"/>
          </w:tcPr>
          <w:p>
            <w:pPr>
              <w:jc w:val="right"/>
              <w:ind w:right="156"/>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ACACAC"/>
          </w:tcPr>
          <w:p>
            <w:pPr>
              <w:spacing w:after="0"/>
              <w:rPr>
                <w:sz w:val="17"/>
                <w:szCs w:val="17"/>
                <w:color w:val="auto"/>
              </w:rPr>
            </w:pPr>
          </w:p>
        </w:tc>
        <w:tc>
          <w:tcPr>
            <w:tcW w:w="980" w:type="dxa"/>
            <w:vAlign w:val="bottom"/>
            <w:shd w:val="clear" w:color="auto" w:fill="ACACAC"/>
          </w:tcPr>
          <w:p>
            <w:pPr>
              <w:jc w:val="right"/>
              <w:ind w:right="159"/>
              <w:spacing w:after="0"/>
              <w:rPr>
                <w:sz w:val="20"/>
                <w:szCs w:val="20"/>
                <w:color w:val="auto"/>
              </w:rPr>
            </w:pPr>
            <w:r>
              <w:rPr>
                <w:rFonts w:ascii="Arial" w:cs="Arial" w:eastAsia="Arial" w:hAnsi="Arial"/>
                <w:sz w:val="14"/>
                <w:szCs w:val="14"/>
                <w:b w:val="1"/>
                <w:bCs w:val="1"/>
                <w:color w:val="FFFFFF"/>
              </w:rPr>
              <w:t>2019</w:t>
            </w:r>
          </w:p>
        </w:tc>
        <w:tc>
          <w:tcPr>
            <w:tcW w:w="480" w:type="dxa"/>
            <w:vAlign w:val="bottom"/>
            <w:shd w:val="clear" w:color="auto" w:fill="ACACAC"/>
          </w:tcPr>
          <w:p>
            <w:pPr>
              <w:spacing w:after="0"/>
              <w:rPr>
                <w:sz w:val="17"/>
                <w:szCs w:val="17"/>
                <w:color w:val="auto"/>
              </w:rPr>
            </w:pPr>
          </w:p>
        </w:tc>
        <w:tc>
          <w:tcPr>
            <w:tcW w:w="920" w:type="dxa"/>
            <w:vAlign w:val="bottom"/>
            <w:shd w:val="clear" w:color="auto" w:fill="ACACAC"/>
          </w:tcPr>
          <w:p>
            <w:pPr>
              <w:ind w:left="380"/>
              <w:spacing w:after="0"/>
              <w:rPr>
                <w:sz w:val="20"/>
                <w:szCs w:val="20"/>
                <w:color w:val="auto"/>
              </w:rPr>
            </w:pPr>
            <w:r>
              <w:rPr>
                <w:rFonts w:ascii="Arial" w:cs="Arial" w:eastAsia="Arial" w:hAnsi="Arial"/>
                <w:sz w:val="14"/>
                <w:szCs w:val="14"/>
                <w:b w:val="1"/>
                <w:bCs w:val="1"/>
                <w:color w:val="FFFFFF"/>
              </w:rPr>
              <w:t>2018</w:t>
            </w:r>
          </w:p>
        </w:tc>
      </w:tr>
      <w:tr>
        <w:trPr>
          <w:trHeight w:val="230"/>
        </w:trPr>
        <w:tc>
          <w:tcPr>
            <w:tcW w:w="702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Income tax expense (benefit)</w:t>
            </w:r>
          </w:p>
        </w:tc>
        <w:tc>
          <w:tcPr>
            <w:tcW w:w="480" w:type="dxa"/>
            <w:vAlign w:val="bottom"/>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F4F4F4"/>
          </w:tcPr>
          <w:p>
            <w:pPr>
              <w:ind w:left="340"/>
              <w:spacing w:after="0"/>
              <w:rPr>
                <w:sz w:val="20"/>
                <w:szCs w:val="20"/>
                <w:color w:val="auto"/>
              </w:rPr>
            </w:pPr>
            <w:r>
              <w:rPr>
                <w:rFonts w:ascii="Arial" w:cs="Arial" w:eastAsia="Arial" w:hAnsi="Arial"/>
                <w:sz w:val="18"/>
                <w:szCs w:val="18"/>
                <w:color w:val="auto"/>
              </w:rPr>
              <w:t>13.9</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4F4F4"/>
          </w:tcPr>
          <w:p>
            <w:pPr>
              <w:jc w:val="right"/>
              <w:ind w:right="119"/>
              <w:spacing w:after="0"/>
              <w:rPr>
                <w:sz w:val="20"/>
                <w:szCs w:val="20"/>
                <w:color w:val="auto"/>
              </w:rPr>
            </w:pPr>
            <w:r>
              <w:rPr>
                <w:rFonts w:ascii="Arial" w:cs="Arial" w:eastAsia="Arial" w:hAnsi="Arial"/>
                <w:sz w:val="18"/>
                <w:szCs w:val="18"/>
                <w:color w:val="auto"/>
              </w:rPr>
              <w:t>(1.3)</w:t>
            </w:r>
          </w:p>
        </w:tc>
        <w:tc>
          <w:tcPr>
            <w:tcW w:w="480" w:type="dxa"/>
            <w:vAlign w:val="bottom"/>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4F4F4"/>
          </w:tcPr>
          <w:p>
            <w:pPr>
              <w:ind w:left="360"/>
              <w:spacing w:after="0"/>
              <w:rPr>
                <w:sz w:val="20"/>
                <w:szCs w:val="20"/>
                <w:color w:val="auto"/>
              </w:rPr>
            </w:pPr>
            <w:r>
              <w:rPr>
                <w:rFonts w:ascii="Arial" w:cs="Arial" w:eastAsia="Arial" w:hAnsi="Arial"/>
                <w:sz w:val="18"/>
                <w:szCs w:val="18"/>
                <w:color w:val="auto"/>
              </w:rPr>
              <w:t>(0.2)</w:t>
            </w:r>
          </w:p>
        </w:tc>
      </w:tr>
      <w:tr>
        <w:trPr>
          <w:trHeight w:val="229"/>
        </w:trPr>
        <w:tc>
          <w:tcPr>
            <w:tcW w:w="702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Effective income tax rate</w:t>
            </w:r>
          </w:p>
        </w:tc>
        <w:tc>
          <w:tcPr>
            <w:tcW w:w="480" w:type="dxa"/>
            <w:vAlign w:val="bottom"/>
            <w:tcBorders>
              <w:bottom w:val="single" w:sz="8" w:color="71BF43"/>
            </w:tcBorders>
          </w:tcPr>
          <w:p>
            <w:pPr>
              <w:spacing w:after="0"/>
              <w:rPr>
                <w:sz w:val="19"/>
                <w:szCs w:val="19"/>
                <w:color w:val="auto"/>
              </w:rPr>
            </w:pPr>
          </w:p>
        </w:tc>
        <w:tc>
          <w:tcPr>
            <w:tcW w:w="940" w:type="dxa"/>
            <w:vAlign w:val="bottom"/>
            <w:tcBorders>
              <w:bottom w:val="single" w:sz="8" w:color="71BF43"/>
            </w:tcBorders>
          </w:tcPr>
          <w:p>
            <w:pPr>
              <w:ind w:left="340"/>
              <w:spacing w:after="0"/>
              <w:rPr>
                <w:sz w:val="20"/>
                <w:szCs w:val="20"/>
                <w:color w:val="auto"/>
              </w:rPr>
            </w:pPr>
            <w:r>
              <w:rPr>
                <w:rFonts w:ascii="Arial" w:cs="Arial" w:eastAsia="Arial" w:hAnsi="Arial"/>
                <w:sz w:val="18"/>
                <w:szCs w:val="18"/>
                <w:color w:val="auto"/>
              </w:rPr>
              <w:t>64.3 %</w:t>
            </w:r>
          </w:p>
        </w:tc>
        <w:tc>
          <w:tcPr>
            <w:tcW w:w="420" w:type="dxa"/>
            <w:vAlign w:val="bottom"/>
            <w:tcBorders>
              <w:bottom w:val="single" w:sz="8" w:color="71BF43"/>
            </w:tcBorders>
          </w:tcPr>
          <w:p>
            <w:pPr>
              <w:spacing w:after="0"/>
              <w:rPr>
                <w:sz w:val="19"/>
                <w:szCs w:val="19"/>
                <w:color w:val="auto"/>
              </w:rPr>
            </w:pPr>
          </w:p>
        </w:tc>
        <w:tc>
          <w:tcPr>
            <w:tcW w:w="9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(12.5)%</w:t>
            </w:r>
          </w:p>
        </w:tc>
        <w:tc>
          <w:tcPr>
            <w:tcW w:w="480" w:type="dxa"/>
            <w:vAlign w:val="bottom"/>
            <w:tcBorders>
              <w:bottom w:val="single" w:sz="8" w:color="71BF43"/>
            </w:tcBorders>
          </w:tcPr>
          <w:p>
            <w:pPr>
              <w:spacing w:after="0"/>
              <w:rPr>
                <w:sz w:val="19"/>
                <w:szCs w:val="19"/>
                <w:color w:val="auto"/>
              </w:rPr>
            </w:pPr>
          </w:p>
        </w:tc>
        <w:tc>
          <w:tcPr>
            <w:tcW w:w="920" w:type="dxa"/>
            <w:vAlign w:val="bottom"/>
            <w:tcBorders>
              <w:bottom w:val="single" w:sz="8" w:color="71BF43"/>
            </w:tcBorders>
          </w:tcPr>
          <w:p>
            <w:pPr>
              <w:ind w:left="360"/>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-427990</wp:posOffset>
            </wp:positionV>
            <wp:extent cx="2674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effective income tax rate may fluctuate quarterly and annually as a result of factors, including changes in tax law in jurisdictions where we conduct business, transactions entered into, changes in the geographic distribution of our earnings or losses, and our assessment of certain tax contingencies and valuation allowances.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deferred tax assets for federal, state, and international net operating loss carryforwards and tax credits. The federal and state net operating loss carryforwards are subject to various Internal Revenue Code limitations and applicable state tax laws. A portion of the foreign and state net operating loss carryforwards and a portion of state tax credits have a valuation reserve due to the uncertainty of realizing such carryforwards and credits in the future.</w:t>
      </w:r>
    </w:p>
    <w:p>
      <w:pPr>
        <w:spacing w:after="0" w:line="1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file income tax returns in the U.S. for federal and various state jurisdictions as well as in foreign jurisdictions including Canada, the U.K., Australia, Ireland and Costa Rica. We are generally subject to U.S. federal income tax examination for calendar tax years ending 2016 through 2020, as well as state and foreign income tax examinations for various years depending on statute of limitations of those jurisdictions.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taken federal and state tax positions for which it is reasonably possible that the total amount of unrecognized tax benefits may decrease within the next twelve months. The possible decrease could result from the expiration of statutes of limitations. The reasonably possible decrease at December 31, 2020 was $1.1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recognize accrued interest and penalties, if any, related to unrecognized tax benefits as a component of income tax expense.</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increase in our effective tax rate in 2020 when compared to 2019, was primarily due to increase in valuation allowance attributable to state tax credit carryforwards for which we do not expect to realize benefit. Furthermore, our 2020 effective tax rate was negatively impacted by reduced benefit attributable to research tax credit and stock based compensation deduction. Lastly, higher 2020 earnings lessened impact of other non-deductible items.</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total amount of unrecognized tax benefit that, if recognized, would favorably affect the effective income tax rate, was $4.2 million and $3.9 million at December 31, 2020 and December 31, 2019, respectively.</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our effective income tax rate in 2019, when compared to 2018, was primarily due to the heightened impact of research credit generation net of Section 162(m) nondeductible compensation. Furthermore, the 2019 effective tax rate was favorably impacted by other state tax credits net of an overall increase to uncertain tax positions. Lastly, the effective tax rate was negatively impacted by Global Intangible Low-Tax Income ("GILTI"), net of Foreign-Derived Intangible Income ("FDII") benefit, resulting from an increase in non-US earnings. The reduced base further magnified the impact of other nondeductible items.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28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acquired businesses whose net tangible assets include deferred revenue. In accordance with GAAP reporting requirements, we recorded write-downs of deferred revenue under arrangements predating the acquisition to fair value, which resulted in lower recognized revenue than the contributed purchase price until the related obligations to provide services under such arrangements are fulfilled. Therefore, our GAAP revenues after the acquisitions will not reflect the full amount of revenue that would have been reported if the acquired deferred revenue was not written down to fair value. The non-GAAP measures described below reverse the acquisition-related deferred revenue write-downs so that the full amount of revenue booked by the acquired companies is included, which we believe provides a more accurate representation of a revenue run-rate in a given period and, therefore, will provide more meaningful comparative results in future periods.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272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44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0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760" w:type="dxa"/>
            <w:vAlign w:val="bottom"/>
            <w:gridSpan w:val="2"/>
            <w:shd w:val="clear" w:color="auto" w:fill="ACACAC"/>
          </w:tcPr>
          <w:p>
            <w:pPr>
              <w:jc w:val="right"/>
              <w:ind w:right="400"/>
              <w:spacing w:after="0"/>
              <w:rPr>
                <w:sz w:val="20"/>
                <w:szCs w:val="20"/>
                <w:color w:val="auto"/>
              </w:rPr>
            </w:pPr>
            <w:r>
              <w:rPr>
                <w:rFonts w:ascii="Arial" w:cs="Arial" w:eastAsia="Arial" w:hAnsi="Arial"/>
                <w:sz w:val="14"/>
                <w:szCs w:val="14"/>
                <w:b w:val="1"/>
                <w:bCs w:val="1"/>
                <w:color w:val="FFFFFF"/>
              </w:rPr>
              <w:t>Change</w:t>
            </w: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740" w:type="dxa"/>
            <w:vAlign w:val="bottom"/>
            <w:gridSpan w:val="2"/>
            <w:shd w:val="clear" w:color="auto" w:fill="ACACAC"/>
          </w:tcPr>
          <w:p>
            <w:pPr>
              <w:jc w:val="right"/>
              <w:ind w:right="420"/>
              <w:spacing w:after="0"/>
              <w:rPr>
                <w:sz w:val="20"/>
                <w:szCs w:val="20"/>
                <w:color w:val="auto"/>
              </w:rPr>
            </w:pPr>
            <w:r>
              <w:rPr>
                <w:rFonts w:ascii="Arial" w:cs="Arial" w:eastAsia="Arial" w:hAnsi="Arial"/>
                <w:sz w:val="14"/>
                <w:szCs w:val="14"/>
                <w:b w:val="1"/>
                <w:bCs w:val="1"/>
                <w:color w:val="FFFFFF"/>
              </w:rPr>
              <w:t>Change</w:t>
            </w: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29"/>
        </w:trPr>
        <w:tc>
          <w:tcPr>
            <w:tcW w:w="44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GAAP Revenue</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913.2</w:t>
            </w:r>
          </w:p>
        </w:tc>
        <w:tc>
          <w:tcPr>
            <w:tcW w:w="1760" w:type="dxa"/>
            <w:vAlign w:val="bottom"/>
            <w:gridSpan w:val="2"/>
            <w:shd w:val="clear" w:color="auto" w:fill="F4F4F4"/>
          </w:tcPr>
          <w:p>
            <w:pPr>
              <w:jc w:val="right"/>
              <w:ind w:right="280"/>
              <w:spacing w:after="0"/>
              <w:rPr>
                <w:sz w:val="20"/>
                <w:szCs w:val="20"/>
                <w:color w:val="auto"/>
              </w:rPr>
            </w:pPr>
            <w:r>
              <w:rPr>
                <w:rFonts w:ascii="Arial" w:cs="Arial" w:eastAsia="Arial" w:hAnsi="Arial"/>
                <w:sz w:val="18"/>
                <w:szCs w:val="18"/>
                <w:color w:val="auto"/>
              </w:rPr>
              <w:t>1.4 %$</w:t>
            </w:r>
          </w:p>
        </w:tc>
        <w:tc>
          <w:tcPr>
            <w:tcW w:w="98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900.4</w:t>
            </w:r>
          </w:p>
        </w:tc>
        <w:tc>
          <w:tcPr>
            <w:tcW w:w="1740" w:type="dxa"/>
            <w:vAlign w:val="bottom"/>
            <w:gridSpan w:val="2"/>
            <w:shd w:val="clear" w:color="auto" w:fill="F4F4F4"/>
          </w:tcPr>
          <w:p>
            <w:pPr>
              <w:jc w:val="right"/>
              <w:ind w:right="280"/>
              <w:spacing w:after="0"/>
              <w:rPr>
                <w:sz w:val="20"/>
                <w:szCs w:val="20"/>
                <w:color w:val="auto"/>
              </w:rPr>
            </w:pPr>
            <w:r>
              <w:rPr>
                <w:rFonts w:ascii="Arial" w:cs="Arial" w:eastAsia="Arial" w:hAnsi="Arial"/>
                <w:sz w:val="18"/>
                <w:szCs w:val="18"/>
                <w:color w:val="auto"/>
              </w:rPr>
              <w:t>6.1 %$</w:t>
            </w:r>
          </w:p>
        </w:tc>
        <w:tc>
          <w:tcPr>
            <w:tcW w:w="98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848.6</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8"/>
        </w:trPr>
        <w:tc>
          <w:tcPr>
            <w:tcW w:w="4420" w:type="dxa"/>
            <w:vAlign w:val="bottom"/>
            <w:shd w:val="clear" w:color="auto" w:fill="F4F4F4"/>
          </w:tcPr>
          <w:p>
            <w:pPr>
              <w:ind w:left="180"/>
              <w:spacing w:after="0" w:line="189" w:lineRule="exact"/>
              <w:rPr>
                <w:sz w:val="20"/>
                <w:szCs w:val="20"/>
                <w:color w:val="auto"/>
              </w:rPr>
            </w:pPr>
            <w:r>
              <w:rPr>
                <w:rFonts w:ascii="Arial" w:cs="Arial" w:eastAsia="Arial" w:hAnsi="Arial"/>
                <w:sz w:val="18"/>
                <w:szCs w:val="18"/>
                <w:color w:val="auto"/>
              </w:rPr>
              <w:t>Add: Acquisition-related deferred revenue write-</w:t>
            </w:r>
          </w:p>
        </w:tc>
        <w:tc>
          <w:tcPr>
            <w:tcW w:w="400" w:type="dxa"/>
            <w:vAlign w:val="bottom"/>
            <w:shd w:val="clear" w:color="auto" w:fill="F4F4F4"/>
          </w:tcPr>
          <w:p>
            <w:pPr>
              <w:spacing w:after="0"/>
              <w:rPr>
                <w:sz w:val="16"/>
                <w:szCs w:val="16"/>
                <w:color w:val="auto"/>
              </w:rPr>
            </w:pPr>
          </w:p>
        </w:tc>
        <w:tc>
          <w:tcPr>
            <w:tcW w:w="960" w:type="dxa"/>
            <w:vAlign w:val="bottom"/>
            <w:shd w:val="clear" w:color="auto" w:fill="F4F4F4"/>
          </w:tcPr>
          <w:p>
            <w:pPr>
              <w:spacing w:after="0"/>
              <w:rPr>
                <w:sz w:val="16"/>
                <w:szCs w:val="16"/>
                <w:color w:val="auto"/>
              </w:rPr>
            </w:pPr>
          </w:p>
        </w:tc>
        <w:tc>
          <w:tcPr>
            <w:tcW w:w="136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980" w:type="dxa"/>
            <w:vAlign w:val="bottom"/>
            <w:shd w:val="clear" w:color="auto" w:fill="F4F4F4"/>
          </w:tcPr>
          <w:p>
            <w:pPr>
              <w:spacing w:after="0"/>
              <w:rPr>
                <w:sz w:val="16"/>
                <w:szCs w:val="16"/>
                <w:color w:val="auto"/>
              </w:rPr>
            </w:pPr>
          </w:p>
        </w:tc>
        <w:tc>
          <w:tcPr>
            <w:tcW w:w="134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980" w:type="dxa"/>
            <w:vAlign w:val="bottom"/>
            <w:shd w:val="clear" w:color="auto" w:fill="F4F4F4"/>
          </w:tcPr>
          <w:p>
            <w:pPr>
              <w:spacing w:after="0"/>
              <w:rPr>
                <w:sz w:val="16"/>
                <w:szCs w:val="16"/>
                <w:color w:val="auto"/>
              </w:rPr>
            </w:pPr>
          </w:p>
        </w:tc>
      </w:tr>
      <w:tr>
        <w:trPr>
          <w:trHeight w:val="217"/>
        </w:trPr>
        <w:tc>
          <w:tcPr>
            <w:tcW w:w="44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down</w:t>
            </w:r>
          </w:p>
        </w:tc>
        <w:tc>
          <w:tcPr>
            <w:tcW w:w="400" w:type="dxa"/>
            <w:vAlign w:val="bottom"/>
            <w:tcBorders>
              <w:bottom w:val="single" w:sz="8" w:color="auto"/>
            </w:tcBorders>
            <w:shd w:val="clear" w:color="auto" w:fill="F4F4F4"/>
          </w:tcPr>
          <w:p>
            <w:pPr>
              <w:spacing w:after="0"/>
              <w:rPr>
                <w:sz w:val="18"/>
                <w:szCs w:val="18"/>
                <w:color w:val="auto"/>
              </w:rPr>
            </w:pPr>
          </w:p>
        </w:tc>
        <w:tc>
          <w:tcPr>
            <w:tcW w:w="96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auto"/>
            </w:tcBorders>
            <w:shd w:val="clear" w:color="auto" w:fill="F4F4F4"/>
          </w:tcPr>
          <w:p>
            <w:pPr>
              <w:spacing w:after="0"/>
              <w:rPr>
                <w:sz w:val="18"/>
                <w:szCs w:val="18"/>
                <w:color w:val="auto"/>
              </w:rPr>
            </w:pPr>
          </w:p>
        </w:tc>
        <w:tc>
          <w:tcPr>
            <w:tcW w:w="98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1.9</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(19.8)%</w:t>
            </w:r>
          </w:p>
        </w:tc>
        <w:tc>
          <w:tcPr>
            <w:tcW w:w="400" w:type="dxa"/>
            <w:vAlign w:val="bottom"/>
            <w:tcBorders>
              <w:bottom w:val="single" w:sz="8" w:color="auto"/>
            </w:tcBorders>
            <w:shd w:val="clear" w:color="auto" w:fill="F4F4F4"/>
          </w:tcPr>
          <w:p>
            <w:pPr>
              <w:spacing w:after="0"/>
              <w:rPr>
                <w:sz w:val="18"/>
                <w:szCs w:val="18"/>
                <w:color w:val="auto"/>
              </w:rPr>
            </w:pPr>
          </w:p>
        </w:tc>
        <w:tc>
          <w:tcPr>
            <w:tcW w:w="98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2.4</w:t>
            </w:r>
          </w:p>
        </w:tc>
      </w:tr>
      <w:tr>
        <w:trPr>
          <w:trHeight w:val="223"/>
        </w:trPr>
        <w:tc>
          <w:tcPr>
            <w:tcW w:w="44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Non-GAAP revenue</w:t>
            </w:r>
            <w:r>
              <w:rPr>
                <w:rFonts w:ascii="Arial" w:cs="Arial" w:eastAsia="Arial" w:hAnsi="Arial"/>
                <w:sz w:val="23"/>
                <w:szCs w:val="23"/>
                <w:color w:val="auto"/>
                <w:vertAlign w:val="superscript"/>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913.2</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1.2 %$</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902.4</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6.0 %$</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851.0</w:t>
            </w:r>
          </w:p>
        </w:tc>
      </w:tr>
      <w:tr>
        <w:trPr>
          <w:trHeight w:val="128"/>
        </w:trPr>
        <w:tc>
          <w:tcPr>
            <w:tcW w:w="4420" w:type="dxa"/>
            <w:vAlign w:val="bottom"/>
            <w:tcBorders>
              <w:top w:val="single" w:sz="8" w:color="F4F4F4"/>
            </w:tcBorders>
            <w:shd w:val="clear" w:color="auto" w:fill="F4F4F4"/>
          </w:tcPr>
          <w:p>
            <w:pPr>
              <w:spacing w:after="0"/>
              <w:rPr>
                <w:sz w:val="11"/>
                <w:szCs w:val="11"/>
                <w:color w:val="auto"/>
              </w:rPr>
            </w:pPr>
          </w:p>
        </w:tc>
        <w:tc>
          <w:tcPr>
            <w:tcW w:w="400" w:type="dxa"/>
            <w:vAlign w:val="bottom"/>
            <w:tcBorders>
              <w:top w:val="single" w:sz="8" w:color="auto"/>
            </w:tcBorders>
            <w:shd w:val="clear" w:color="auto" w:fill="F4F4F4"/>
          </w:tcPr>
          <w:p>
            <w:pPr>
              <w:spacing w:after="0"/>
              <w:rPr>
                <w:sz w:val="11"/>
                <w:szCs w:val="11"/>
                <w:color w:val="auto"/>
              </w:rPr>
            </w:pPr>
          </w:p>
        </w:tc>
        <w:tc>
          <w:tcPr>
            <w:tcW w:w="960" w:type="dxa"/>
            <w:vAlign w:val="bottom"/>
            <w:tcBorders>
              <w:top w:val="single" w:sz="8" w:color="auto"/>
            </w:tcBorders>
            <w:shd w:val="clear" w:color="auto" w:fill="F4F4F4"/>
          </w:tcPr>
          <w:p>
            <w:pPr>
              <w:spacing w:after="0"/>
              <w:rPr>
                <w:sz w:val="11"/>
                <w:szCs w:val="11"/>
                <w:color w:val="auto"/>
              </w:rPr>
            </w:pPr>
          </w:p>
        </w:tc>
        <w:tc>
          <w:tcPr>
            <w:tcW w:w="1360" w:type="dxa"/>
            <w:vAlign w:val="bottom"/>
            <w:tcBorders>
              <w:top w:val="single" w:sz="8" w:color="F4F4F4"/>
            </w:tcBorders>
            <w:shd w:val="clear" w:color="auto" w:fill="F4F4F4"/>
          </w:tcPr>
          <w:p>
            <w:pPr>
              <w:spacing w:after="0"/>
              <w:rPr>
                <w:sz w:val="11"/>
                <w:szCs w:val="11"/>
                <w:color w:val="auto"/>
              </w:rPr>
            </w:pPr>
          </w:p>
        </w:tc>
        <w:tc>
          <w:tcPr>
            <w:tcW w:w="400" w:type="dxa"/>
            <w:vAlign w:val="bottom"/>
            <w:tcBorders>
              <w:top w:val="single" w:sz="8" w:color="auto"/>
            </w:tcBorders>
            <w:shd w:val="clear" w:color="auto" w:fill="F4F4F4"/>
          </w:tcPr>
          <w:p>
            <w:pPr>
              <w:spacing w:after="0"/>
              <w:rPr>
                <w:sz w:val="11"/>
                <w:szCs w:val="11"/>
                <w:color w:val="auto"/>
              </w:rPr>
            </w:pPr>
          </w:p>
        </w:tc>
        <w:tc>
          <w:tcPr>
            <w:tcW w:w="980" w:type="dxa"/>
            <w:vAlign w:val="bottom"/>
            <w:tcBorders>
              <w:top w:val="single" w:sz="8" w:color="auto"/>
            </w:tcBorders>
            <w:shd w:val="clear" w:color="auto" w:fill="F4F4F4"/>
          </w:tcPr>
          <w:p>
            <w:pPr>
              <w:spacing w:after="0"/>
              <w:rPr>
                <w:sz w:val="11"/>
                <w:szCs w:val="11"/>
                <w:color w:val="auto"/>
              </w:rPr>
            </w:pPr>
          </w:p>
        </w:tc>
        <w:tc>
          <w:tcPr>
            <w:tcW w:w="1340" w:type="dxa"/>
            <w:vAlign w:val="bottom"/>
            <w:tcBorders>
              <w:top w:val="single" w:sz="8" w:color="F4F4F4"/>
            </w:tcBorders>
            <w:shd w:val="clear" w:color="auto" w:fill="F4F4F4"/>
          </w:tcPr>
          <w:p>
            <w:pPr>
              <w:spacing w:after="0"/>
              <w:rPr>
                <w:sz w:val="11"/>
                <w:szCs w:val="11"/>
                <w:color w:val="auto"/>
              </w:rPr>
            </w:pPr>
          </w:p>
        </w:tc>
        <w:tc>
          <w:tcPr>
            <w:tcW w:w="400" w:type="dxa"/>
            <w:vAlign w:val="bottom"/>
            <w:tcBorders>
              <w:top w:val="single" w:sz="8" w:color="auto"/>
            </w:tcBorders>
            <w:shd w:val="clear" w:color="auto" w:fill="F4F4F4"/>
          </w:tcPr>
          <w:p>
            <w:pPr>
              <w:spacing w:after="0"/>
              <w:rPr>
                <w:sz w:val="11"/>
                <w:szCs w:val="11"/>
                <w:color w:val="auto"/>
              </w:rPr>
            </w:pPr>
          </w:p>
        </w:tc>
        <w:tc>
          <w:tcPr>
            <w:tcW w:w="980" w:type="dxa"/>
            <w:vAlign w:val="bottom"/>
            <w:tcBorders>
              <w:top w:val="single" w:sz="8" w:color="auto"/>
            </w:tcBorders>
            <w:shd w:val="clear" w:color="auto" w:fill="F4F4F4"/>
          </w:tcPr>
          <w:p>
            <w:pPr>
              <w:spacing w:after="0"/>
              <w:rPr>
                <w:sz w:val="11"/>
                <w:szCs w:val="1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GAAP gross profit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485.2</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0.7 %$</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482.0</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3.2 %$</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466.9</w:t>
            </w:r>
          </w:p>
        </w:tc>
      </w:tr>
      <w:tr>
        <w:trPr>
          <w:trHeight w:val="229"/>
        </w:trPr>
        <w:tc>
          <w:tcPr>
            <w:tcW w:w="442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GAAP gross margin</w:t>
            </w:r>
          </w:p>
        </w:tc>
        <w:tc>
          <w:tcPr>
            <w:tcW w:w="40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53.1 %</w:t>
            </w:r>
          </w:p>
        </w:tc>
        <w:tc>
          <w:tcPr>
            <w:tcW w:w="13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53.5 %</w:t>
            </w:r>
          </w:p>
        </w:tc>
        <w:tc>
          <w:tcPr>
            <w:tcW w:w="134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55.0 %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4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Acquisition-related deferred revenue write-down</w:t>
            </w:r>
          </w:p>
        </w:tc>
        <w:tc>
          <w:tcPr>
            <w:tcW w:w="400" w:type="dxa"/>
            <w:vAlign w:val="bottom"/>
            <w:shd w:val="clear" w:color="auto" w:fill="F4F4F4"/>
          </w:tcPr>
          <w:p>
            <w:pPr>
              <w:spacing w:after="0"/>
              <w:rPr>
                <w:sz w:val="19"/>
                <w:szCs w:val="19"/>
                <w:color w:val="auto"/>
              </w:rPr>
            </w:pPr>
          </w:p>
        </w:tc>
        <w:tc>
          <w:tcPr>
            <w:tcW w:w="96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1.9</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2.4</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Add: Stock-based compensation expense</w:t>
            </w:r>
          </w:p>
        </w:tc>
        <w:tc>
          <w:tcPr>
            <w:tcW w:w="40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13.4</w:t>
            </w:r>
          </w:p>
        </w:tc>
        <w:tc>
          <w:tcPr>
            <w:tcW w:w="1360" w:type="dxa"/>
            <w:vAlign w:val="bottom"/>
          </w:tcPr>
          <w:p>
            <w:pPr>
              <w:jc w:val="right"/>
              <w:spacing w:after="0"/>
              <w:rPr>
                <w:sz w:val="20"/>
                <w:szCs w:val="20"/>
                <w:color w:val="auto"/>
              </w:rPr>
            </w:pPr>
            <w:r>
              <w:rPr>
                <w:rFonts w:ascii="Arial" w:cs="Arial" w:eastAsia="Arial" w:hAnsi="Arial"/>
                <w:sz w:val="18"/>
                <w:szCs w:val="18"/>
                <w:color w:val="auto"/>
              </w:rPr>
              <w:t>297.3 %</w:t>
            </w:r>
          </w:p>
        </w:tc>
        <w:tc>
          <w:tcPr>
            <w:tcW w:w="4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1340" w:type="dxa"/>
            <w:vAlign w:val="bottom"/>
          </w:tcPr>
          <w:p>
            <w:pPr>
              <w:jc w:val="right"/>
              <w:spacing w:after="0"/>
              <w:rPr>
                <w:sz w:val="20"/>
                <w:szCs w:val="20"/>
                <w:color w:val="auto"/>
              </w:rPr>
            </w:pPr>
            <w:r>
              <w:rPr>
                <w:rFonts w:ascii="Arial" w:cs="Arial" w:eastAsia="Arial" w:hAnsi="Arial"/>
                <w:sz w:val="18"/>
                <w:szCs w:val="18"/>
                <w:color w:val="auto"/>
              </w:rPr>
              <w:t>(35.8)%</w:t>
            </w:r>
          </w:p>
        </w:tc>
        <w:tc>
          <w:tcPr>
            <w:tcW w:w="40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5.2</w:t>
            </w:r>
          </w:p>
        </w:tc>
      </w:tr>
      <w:tr>
        <w:trPr>
          <w:trHeight w:val="188"/>
        </w:trPr>
        <w:tc>
          <w:tcPr>
            <w:tcW w:w="4420" w:type="dxa"/>
            <w:vAlign w:val="bottom"/>
            <w:shd w:val="clear" w:color="auto" w:fill="F4F4F4"/>
          </w:tcPr>
          <w:p>
            <w:pPr>
              <w:ind w:left="140"/>
              <w:spacing w:after="0" w:line="189" w:lineRule="exact"/>
              <w:rPr>
                <w:sz w:val="20"/>
                <w:szCs w:val="20"/>
                <w:color w:val="auto"/>
              </w:rPr>
            </w:pPr>
            <w:r>
              <w:rPr>
                <w:rFonts w:ascii="Arial" w:cs="Arial" w:eastAsia="Arial" w:hAnsi="Arial"/>
                <w:sz w:val="18"/>
                <w:szCs w:val="18"/>
                <w:color w:val="auto"/>
              </w:rPr>
              <w:t>Add: Amortization of intangibles from business</w:t>
            </w:r>
          </w:p>
        </w:tc>
        <w:tc>
          <w:tcPr>
            <w:tcW w:w="400" w:type="dxa"/>
            <w:vAlign w:val="bottom"/>
            <w:shd w:val="clear" w:color="auto" w:fill="F4F4F4"/>
          </w:tcPr>
          <w:p>
            <w:pPr>
              <w:spacing w:after="0"/>
              <w:rPr>
                <w:sz w:val="16"/>
                <w:szCs w:val="16"/>
                <w:color w:val="auto"/>
              </w:rPr>
            </w:pPr>
          </w:p>
        </w:tc>
        <w:tc>
          <w:tcPr>
            <w:tcW w:w="960" w:type="dxa"/>
            <w:vAlign w:val="bottom"/>
            <w:shd w:val="clear" w:color="auto" w:fill="F4F4F4"/>
          </w:tcPr>
          <w:p>
            <w:pPr>
              <w:spacing w:after="0"/>
              <w:rPr>
                <w:sz w:val="16"/>
                <w:szCs w:val="16"/>
                <w:color w:val="auto"/>
              </w:rPr>
            </w:pPr>
          </w:p>
        </w:tc>
        <w:tc>
          <w:tcPr>
            <w:tcW w:w="136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980" w:type="dxa"/>
            <w:vAlign w:val="bottom"/>
            <w:shd w:val="clear" w:color="auto" w:fill="F4F4F4"/>
          </w:tcPr>
          <w:p>
            <w:pPr>
              <w:spacing w:after="0"/>
              <w:rPr>
                <w:sz w:val="16"/>
                <w:szCs w:val="16"/>
                <w:color w:val="auto"/>
              </w:rPr>
            </w:pPr>
          </w:p>
        </w:tc>
        <w:tc>
          <w:tcPr>
            <w:tcW w:w="134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980" w:type="dxa"/>
            <w:vAlign w:val="bottom"/>
            <w:shd w:val="clear" w:color="auto" w:fill="F4F4F4"/>
          </w:tcPr>
          <w:p>
            <w:pPr>
              <w:spacing w:after="0"/>
              <w:rPr>
                <w:sz w:val="16"/>
                <w:szCs w:val="16"/>
                <w:color w:val="auto"/>
              </w:rPr>
            </w:pPr>
          </w:p>
        </w:tc>
      </w:tr>
      <w:tr>
        <w:trPr>
          <w:trHeight w:val="217"/>
        </w:trPr>
        <w:tc>
          <w:tcPr>
            <w:tcW w:w="44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combinations</w:t>
            </w:r>
          </w:p>
        </w:tc>
        <w:tc>
          <w:tcPr>
            <w:tcW w:w="400" w:type="dxa"/>
            <w:vAlign w:val="bottom"/>
            <w:shd w:val="clear" w:color="auto" w:fill="F4F4F4"/>
          </w:tcPr>
          <w:p>
            <w:pPr>
              <w:spacing w:after="0"/>
              <w:rPr>
                <w:sz w:val="18"/>
                <w:szCs w:val="18"/>
                <w:color w:val="auto"/>
              </w:rPr>
            </w:pPr>
          </w:p>
        </w:tc>
        <w:tc>
          <w:tcPr>
            <w:tcW w:w="96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39.0</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F4F4F4"/>
          </w:tcPr>
          <w:p>
            <w:pPr>
              <w:spacing w:after="0"/>
              <w:rPr>
                <w:sz w:val="18"/>
                <w:szCs w:val="18"/>
                <w:color w:val="auto"/>
              </w:rPr>
            </w:pPr>
          </w:p>
        </w:tc>
        <w:tc>
          <w:tcPr>
            <w:tcW w:w="98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44.8</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6.0 %</w:t>
            </w:r>
          </w:p>
        </w:tc>
        <w:tc>
          <w:tcPr>
            <w:tcW w:w="400" w:type="dxa"/>
            <w:vAlign w:val="bottom"/>
            <w:shd w:val="clear" w:color="auto" w:fill="F4F4F4"/>
          </w:tcPr>
          <w:p>
            <w:pPr>
              <w:spacing w:after="0"/>
              <w:rPr>
                <w:sz w:val="18"/>
                <w:szCs w:val="18"/>
                <w:color w:val="auto"/>
              </w:rPr>
            </w:pPr>
          </w:p>
        </w:tc>
        <w:tc>
          <w:tcPr>
            <w:tcW w:w="98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42.2</w:t>
            </w:r>
          </w:p>
        </w:tc>
      </w:tr>
      <w:tr>
        <w:trPr>
          <w:trHeight w:val="229"/>
        </w:trPr>
        <w:tc>
          <w:tcPr>
            <w:tcW w:w="442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Add: Employee severance</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0.9</w:t>
            </w:r>
          </w:p>
        </w:tc>
        <w:tc>
          <w:tcPr>
            <w:tcW w:w="136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(25.7)%</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w:t>
            </w:r>
          </w:p>
        </w:tc>
        <w:tc>
          <w:tcPr>
            <w:tcW w:w="134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33.0 %</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0.9</w:t>
            </w:r>
          </w:p>
        </w:tc>
      </w:tr>
      <w:tr>
        <w:trPr>
          <w:trHeight w:val="223"/>
        </w:trPr>
        <w:tc>
          <w:tcPr>
            <w:tcW w:w="4420" w:type="dxa"/>
            <w:vAlign w:val="bottom"/>
            <w:shd w:val="clear" w:color="auto" w:fill="F4F4F4"/>
          </w:tcPr>
          <w:p>
            <w:pPr>
              <w:ind w:left="360"/>
              <w:spacing w:after="0" w:line="223" w:lineRule="exact"/>
              <w:rPr>
                <w:sz w:val="20"/>
                <w:szCs w:val="20"/>
                <w:color w:val="auto"/>
              </w:rPr>
            </w:pPr>
            <w:r>
              <w:rPr>
                <w:rFonts w:ascii="Arial" w:cs="Arial" w:eastAsia="Arial" w:hAnsi="Arial"/>
                <w:sz w:val="18"/>
                <w:szCs w:val="18"/>
                <w:color w:val="auto"/>
              </w:rPr>
              <w:t>Subtotal</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53.2</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3.8 %</w:t>
            </w:r>
          </w:p>
        </w:tc>
        <w:tc>
          <w:tcPr>
            <w:tcW w:w="40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51.3</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0.9 %</w:t>
            </w:r>
          </w:p>
        </w:tc>
        <w:tc>
          <w:tcPr>
            <w:tcW w:w="40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50.8</w:t>
            </w:r>
          </w:p>
        </w:tc>
      </w:tr>
      <w:tr>
        <w:trPr>
          <w:trHeight w:val="223"/>
        </w:trPr>
        <w:tc>
          <w:tcPr>
            <w:tcW w:w="44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Non-GAAP gross profit</w:t>
            </w:r>
            <w:r>
              <w:rPr>
                <w:rFonts w:ascii="Arial" w:cs="Arial" w:eastAsia="Arial" w:hAnsi="Arial"/>
                <w:sz w:val="23"/>
                <w:szCs w:val="23"/>
                <w:color w:val="auto"/>
                <w:vertAlign w:val="superscript"/>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538.4</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1.0 %$</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533.3</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3.0 %$</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517.7</w:t>
            </w:r>
          </w:p>
        </w:tc>
      </w:tr>
      <w:tr>
        <w:trPr>
          <w:trHeight w:val="223"/>
        </w:trPr>
        <w:tc>
          <w:tcPr>
            <w:tcW w:w="4420" w:type="dxa"/>
            <w:vAlign w:val="bottom"/>
            <w:tcBorders>
              <w:top w:val="single" w:sz="8" w:color="F4F4F4"/>
              <w:bottom w:val="single" w:sz="8" w:color="71BF43"/>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Non-GAAP gross margin</w:t>
            </w:r>
          </w:p>
        </w:tc>
        <w:tc>
          <w:tcPr>
            <w:tcW w:w="400" w:type="dxa"/>
            <w:vAlign w:val="bottom"/>
            <w:tcBorders>
              <w:top w:val="single" w:sz="8" w:color="auto"/>
              <w:bottom w:val="single" w:sz="8" w:color="71BF43"/>
            </w:tcBorders>
            <w:shd w:val="clear" w:color="auto" w:fill="F4F4F4"/>
          </w:tcPr>
          <w:p>
            <w:pPr>
              <w:spacing w:after="0"/>
              <w:rPr>
                <w:sz w:val="19"/>
                <w:szCs w:val="19"/>
                <w:color w:val="auto"/>
              </w:rPr>
            </w:pPr>
          </w:p>
        </w:tc>
        <w:tc>
          <w:tcPr>
            <w:tcW w:w="960" w:type="dxa"/>
            <w:vAlign w:val="bottom"/>
            <w:tcBorders>
              <w:top w:val="single" w:sz="8" w:color="auto"/>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59.0 %</w:t>
            </w:r>
          </w:p>
        </w:tc>
        <w:tc>
          <w:tcPr>
            <w:tcW w:w="1360" w:type="dxa"/>
            <w:vAlign w:val="bottom"/>
            <w:tcBorders>
              <w:top w:val="single" w:sz="8" w:color="F4F4F4"/>
              <w:bottom w:val="single" w:sz="8" w:color="71BF43"/>
            </w:tcBorders>
            <w:shd w:val="clear" w:color="auto" w:fill="F4F4F4"/>
          </w:tcPr>
          <w:p>
            <w:pPr>
              <w:spacing w:after="0"/>
              <w:rPr>
                <w:sz w:val="19"/>
                <w:szCs w:val="19"/>
                <w:color w:val="auto"/>
              </w:rPr>
            </w:pPr>
          </w:p>
        </w:tc>
        <w:tc>
          <w:tcPr>
            <w:tcW w:w="400" w:type="dxa"/>
            <w:vAlign w:val="bottom"/>
            <w:tcBorders>
              <w:top w:val="single" w:sz="8" w:color="auto"/>
              <w:bottom w:val="single" w:sz="8" w:color="71BF43"/>
            </w:tcBorders>
            <w:shd w:val="clear" w:color="auto" w:fill="F4F4F4"/>
          </w:tcPr>
          <w:p>
            <w:pPr>
              <w:spacing w:after="0"/>
              <w:rPr>
                <w:sz w:val="19"/>
                <w:szCs w:val="19"/>
                <w:color w:val="auto"/>
              </w:rPr>
            </w:pPr>
          </w:p>
        </w:tc>
        <w:tc>
          <w:tcPr>
            <w:tcW w:w="980" w:type="dxa"/>
            <w:vAlign w:val="bottom"/>
            <w:tcBorders>
              <w:top w:val="single" w:sz="8" w:color="auto"/>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59.1 %</w:t>
            </w:r>
          </w:p>
        </w:tc>
        <w:tc>
          <w:tcPr>
            <w:tcW w:w="1340" w:type="dxa"/>
            <w:vAlign w:val="bottom"/>
            <w:tcBorders>
              <w:top w:val="single" w:sz="8" w:color="F4F4F4"/>
              <w:bottom w:val="single" w:sz="8" w:color="71BF43"/>
            </w:tcBorders>
            <w:shd w:val="clear" w:color="auto" w:fill="F4F4F4"/>
          </w:tcPr>
          <w:p>
            <w:pPr>
              <w:spacing w:after="0"/>
              <w:rPr>
                <w:sz w:val="19"/>
                <w:szCs w:val="19"/>
                <w:color w:val="auto"/>
              </w:rPr>
            </w:pPr>
          </w:p>
        </w:tc>
        <w:tc>
          <w:tcPr>
            <w:tcW w:w="400" w:type="dxa"/>
            <w:vAlign w:val="bottom"/>
            <w:tcBorders>
              <w:top w:val="single" w:sz="8" w:color="auto"/>
              <w:bottom w:val="single" w:sz="8" w:color="71BF43"/>
            </w:tcBorders>
            <w:shd w:val="clear" w:color="auto" w:fill="F4F4F4"/>
          </w:tcPr>
          <w:p>
            <w:pPr>
              <w:spacing w:after="0"/>
              <w:rPr>
                <w:sz w:val="19"/>
                <w:szCs w:val="19"/>
                <w:color w:val="auto"/>
              </w:rPr>
            </w:pPr>
          </w:p>
        </w:tc>
        <w:tc>
          <w:tcPr>
            <w:tcW w:w="980" w:type="dxa"/>
            <w:vAlign w:val="bottom"/>
            <w:tcBorders>
              <w:top w:val="single" w:sz="8" w:color="auto"/>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-2527935</wp:posOffset>
            </wp:positionV>
            <wp:extent cx="43287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revenue, subtotal or non-GAAP gross profit due to rounding.</w:t>
      </w:r>
    </w:p>
    <w:p>
      <w:pPr>
        <w:spacing w:after="0" w:line="304"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4"/>
          <w:szCs w:val="14"/>
          <w:color w:val="auto"/>
        </w:rPr>
        <w:t xml:space="preserve">46  </w:t>
      </w:r>
      <w:r>
        <w:rPr>
          <w:rFonts w:ascii="Arial" w:cs="Arial" w:eastAsia="Arial" w:hAnsi="Arial"/>
          <w:sz w:val="1"/>
          <w:szCs w:val="1"/>
          <w:color w:val="auto"/>
        </w:rPr>
        <w:drawing>
          <wp:inline distT="0" distB="0" distL="0" distR="0">
            <wp:extent cx="728345" cy="18859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shd w:val="clear" w:color="auto" w:fill="ACACAC"/>
          </w:tcPr>
          <w:p>
            <w:pPr>
              <w:spacing w:after="0"/>
              <w:rPr>
                <w:sz w:val="16"/>
                <w:szCs w:val="16"/>
                <w:color w:val="auto"/>
              </w:rPr>
            </w:pPr>
          </w:p>
        </w:tc>
        <w:tc>
          <w:tcPr>
            <w:tcW w:w="180" w:type="dxa"/>
            <w:vAlign w:val="bottom"/>
            <w:shd w:val="clear" w:color="auto" w:fill="ACACAC"/>
          </w:tcPr>
          <w:p>
            <w:pPr>
              <w:spacing w:after="0"/>
              <w:rPr>
                <w:sz w:val="16"/>
                <w:szCs w:val="16"/>
                <w:color w:val="auto"/>
              </w:rPr>
            </w:pPr>
          </w:p>
        </w:tc>
        <w:tc>
          <w:tcPr>
            <w:tcW w:w="122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200" w:type="dxa"/>
            <w:vAlign w:val="bottom"/>
            <w:shd w:val="clear" w:color="auto" w:fill="ACACAC"/>
          </w:tcPr>
          <w:p>
            <w:pPr>
              <w:spacing w:after="0"/>
              <w:rPr>
                <w:sz w:val="16"/>
                <w:szCs w:val="16"/>
                <w:color w:val="auto"/>
              </w:rPr>
            </w:pPr>
          </w:p>
        </w:tc>
        <w:tc>
          <w:tcPr>
            <w:tcW w:w="27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4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180" w:type="dxa"/>
            <w:vAlign w:val="bottom"/>
            <w:shd w:val="clear" w:color="auto" w:fill="ACACAC"/>
          </w:tcPr>
          <w:p>
            <w:pPr>
              <w:spacing w:after="0"/>
              <w:rPr>
                <w:sz w:val="17"/>
                <w:szCs w:val="17"/>
                <w:color w:val="auto"/>
              </w:rPr>
            </w:pPr>
          </w:p>
        </w:tc>
        <w:tc>
          <w:tcPr>
            <w:tcW w:w="1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0" w:type="dxa"/>
            <w:vAlign w:val="bottom"/>
            <w:shd w:val="clear" w:color="auto" w:fill="ACACAC"/>
          </w:tcPr>
          <w:p>
            <w:pPr>
              <w:spacing w:after="0"/>
              <w:rPr>
                <w:sz w:val="17"/>
                <w:szCs w:val="17"/>
                <w:color w:val="auto"/>
              </w:rPr>
            </w:pPr>
          </w:p>
        </w:tc>
        <w:tc>
          <w:tcPr>
            <w:tcW w:w="12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0" w:type="dxa"/>
            <w:vAlign w:val="bottom"/>
            <w:shd w:val="clear" w:color="auto" w:fill="ACACAC"/>
          </w:tcPr>
          <w:p>
            <w:pPr>
              <w:spacing w:after="0"/>
              <w:rPr>
                <w:sz w:val="17"/>
                <w:szCs w:val="17"/>
                <w:color w:val="auto"/>
              </w:rPr>
            </w:pPr>
          </w:p>
        </w:tc>
        <w:tc>
          <w:tcPr>
            <w:tcW w:w="1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30"/>
        </w:trPr>
        <w:tc>
          <w:tcPr>
            <w:tcW w:w="43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GAAP income from operations</w:t>
            </w:r>
          </w:p>
        </w:tc>
        <w:tc>
          <w:tcPr>
            <w:tcW w:w="18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37.2</w:t>
            </w:r>
          </w:p>
        </w:tc>
        <w:tc>
          <w:tcPr>
            <w:tcW w:w="1560" w:type="dxa"/>
            <w:vAlign w:val="bottom"/>
            <w:gridSpan w:val="2"/>
            <w:shd w:val="clear" w:color="auto" w:fill="F4F4F4"/>
          </w:tcPr>
          <w:p>
            <w:pPr>
              <w:jc w:val="right"/>
              <w:spacing w:after="0"/>
              <w:rPr>
                <w:sz w:val="20"/>
                <w:szCs w:val="20"/>
                <w:color w:val="auto"/>
              </w:rPr>
            </w:pPr>
            <w:r>
              <w:rPr>
                <w:rFonts w:ascii="Arial" w:cs="Arial" w:eastAsia="Arial" w:hAnsi="Arial"/>
                <w:sz w:val="18"/>
                <w:szCs w:val="18"/>
                <w:color w:val="auto"/>
              </w:rPr>
              <w:t>37.2 % $</w:t>
            </w:r>
          </w:p>
        </w:tc>
        <w:tc>
          <w:tcPr>
            <w:tcW w:w="120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27.1</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59.4</w:t>
            </w: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b w:val="1"/>
                <w:bCs w:val="1"/>
                <w:color w:val="auto"/>
              </w:rPr>
              <w:t>GAAP operating margin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4.1 %</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3.0 %</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43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180" w:type="dxa"/>
            <w:vAlign w:val="bottom"/>
            <w:shd w:val="clear" w:color="auto" w:fill="F4F4F4"/>
          </w:tcPr>
          <w:p>
            <w:pPr>
              <w:spacing w:after="0"/>
              <w:rPr>
                <w:sz w:val="19"/>
                <w:szCs w:val="19"/>
                <w:color w:val="auto"/>
              </w:rPr>
            </w:pPr>
          </w:p>
        </w:tc>
        <w:tc>
          <w:tcPr>
            <w:tcW w:w="1220" w:type="dxa"/>
            <w:vAlign w:val="bottom"/>
            <w:shd w:val="clear" w:color="auto" w:fill="F4F4F4"/>
          </w:tcPr>
          <w:p>
            <w:pPr>
              <w:spacing w:after="0"/>
              <w:rPr>
                <w:sz w:val="19"/>
                <w:szCs w:val="19"/>
                <w:color w:val="auto"/>
              </w:rPr>
            </w:pPr>
          </w:p>
        </w:tc>
        <w:tc>
          <w:tcPr>
            <w:tcW w:w="136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200" w:type="dxa"/>
            <w:vAlign w:val="bottom"/>
            <w:shd w:val="clear" w:color="auto" w:fill="F4F4F4"/>
          </w:tcPr>
          <w:p>
            <w:pPr>
              <w:spacing w:after="0"/>
              <w:rPr>
                <w:sz w:val="19"/>
                <w:szCs w:val="19"/>
                <w:color w:val="auto"/>
              </w:rPr>
            </w:pPr>
          </w:p>
        </w:tc>
        <w:tc>
          <w:tcPr>
            <w:tcW w:w="134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220" w:type="dxa"/>
            <w:vAlign w:val="bottom"/>
            <w:shd w:val="clear" w:color="auto" w:fill="F4F4F4"/>
          </w:tcPr>
          <w:p>
            <w:pPr>
              <w:spacing w:after="0"/>
              <w:rPr>
                <w:sz w:val="19"/>
                <w:szCs w:val="19"/>
                <w:color w:val="auto"/>
              </w:rPr>
            </w:pPr>
          </w:p>
        </w:tc>
      </w:tr>
      <w:tr>
        <w:trPr>
          <w:trHeight w:val="188"/>
        </w:trPr>
        <w:tc>
          <w:tcPr>
            <w:tcW w:w="4320" w:type="dxa"/>
            <w:vAlign w:val="bottom"/>
          </w:tcPr>
          <w:p>
            <w:pPr>
              <w:ind w:left="140"/>
              <w:spacing w:after="0" w:line="189" w:lineRule="exact"/>
              <w:rPr>
                <w:sz w:val="20"/>
                <w:szCs w:val="20"/>
                <w:color w:val="auto"/>
              </w:rPr>
            </w:pPr>
            <w:r>
              <w:rPr>
                <w:rFonts w:ascii="Arial" w:cs="Arial" w:eastAsia="Arial" w:hAnsi="Arial"/>
                <w:sz w:val="18"/>
                <w:szCs w:val="18"/>
                <w:color w:val="auto"/>
              </w:rPr>
              <w:t>Add: Acquisition-related deferred revenue write-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4320" w:type="dxa"/>
            <w:vAlign w:val="bottom"/>
          </w:tcPr>
          <w:p>
            <w:pPr>
              <w:ind w:left="140"/>
              <w:spacing w:after="0"/>
              <w:rPr>
                <w:sz w:val="20"/>
                <w:szCs w:val="20"/>
                <w:color w:val="auto"/>
              </w:rPr>
            </w:pPr>
            <w:r>
              <w:rPr>
                <w:rFonts w:ascii="Arial" w:cs="Arial" w:eastAsia="Arial" w:hAnsi="Arial"/>
                <w:sz w:val="18"/>
                <w:szCs w:val="18"/>
                <w:color w:val="auto"/>
              </w:rPr>
              <w:t>down</w:t>
            </w:r>
          </w:p>
        </w:tc>
        <w:tc>
          <w:tcPr>
            <w:tcW w:w="180" w:type="dxa"/>
            <w:vAlign w:val="bottom"/>
          </w:tcPr>
          <w:p>
            <w:pPr>
              <w:spacing w:after="0"/>
              <w:rPr>
                <w:sz w:val="18"/>
                <w:szCs w:val="18"/>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2.4</w:t>
            </w:r>
          </w:p>
        </w:tc>
      </w:tr>
      <w:tr>
        <w:trPr>
          <w:trHeight w:val="230"/>
        </w:trPr>
        <w:tc>
          <w:tcPr>
            <w:tcW w:w="43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Stock-based compensation expense</w:t>
            </w:r>
          </w:p>
        </w:tc>
        <w:tc>
          <w:tcPr>
            <w:tcW w:w="180" w:type="dxa"/>
            <w:vAlign w:val="bottom"/>
            <w:shd w:val="clear" w:color="auto" w:fill="F4F4F4"/>
          </w:tcPr>
          <w:p>
            <w:pPr>
              <w:spacing w:after="0"/>
              <w:rPr>
                <w:sz w:val="19"/>
                <w:szCs w:val="19"/>
                <w:color w:val="auto"/>
              </w:rPr>
            </w:pP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87.3</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48.8 %</w:t>
            </w:r>
          </w:p>
        </w:tc>
        <w:tc>
          <w:tcPr>
            <w:tcW w:w="200" w:type="dxa"/>
            <w:vAlign w:val="bottom"/>
            <w:shd w:val="clear" w:color="auto" w:fill="F4F4F4"/>
          </w:tcPr>
          <w:p>
            <w:pPr>
              <w:spacing w:after="0"/>
              <w:rPr>
                <w:sz w:val="19"/>
                <w:szCs w:val="19"/>
                <w:color w:val="auto"/>
              </w:rPr>
            </w:pPr>
          </w:p>
        </w:tc>
        <w:tc>
          <w:tcPr>
            <w:tcW w:w="120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58.6</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21.5 %</w:t>
            </w:r>
          </w:p>
        </w:tc>
        <w:tc>
          <w:tcPr>
            <w:tcW w:w="200" w:type="dxa"/>
            <w:vAlign w:val="bottom"/>
            <w:shd w:val="clear" w:color="auto" w:fill="F4F4F4"/>
          </w:tcPr>
          <w:p>
            <w:pPr>
              <w:spacing w:after="0"/>
              <w:rPr>
                <w:sz w:val="19"/>
                <w:szCs w:val="19"/>
                <w:color w:val="auto"/>
              </w:rPr>
            </w:pP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48.3</w:t>
            </w:r>
          </w:p>
        </w:tc>
      </w:tr>
      <w:tr>
        <w:trPr>
          <w:trHeight w:val="188"/>
        </w:trPr>
        <w:tc>
          <w:tcPr>
            <w:tcW w:w="4320" w:type="dxa"/>
            <w:vAlign w:val="bottom"/>
          </w:tcPr>
          <w:p>
            <w:pPr>
              <w:ind w:left="140"/>
              <w:spacing w:after="0" w:line="189" w:lineRule="exact"/>
              <w:rPr>
                <w:sz w:val="20"/>
                <w:szCs w:val="20"/>
                <w:color w:val="auto"/>
              </w:rPr>
            </w:pPr>
            <w:r>
              <w:rPr>
                <w:rFonts w:ascii="Arial" w:cs="Arial" w:eastAsia="Arial" w:hAnsi="Arial"/>
                <w:sz w:val="18"/>
                <w:szCs w:val="18"/>
                <w:color w:val="auto"/>
              </w:rPr>
              <w:t>Add: Amortization of intangibles from business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4320" w:type="dxa"/>
            <w:vAlign w:val="bottom"/>
          </w:tcPr>
          <w:p>
            <w:pPr>
              <w:ind w:left="140"/>
              <w:spacing w:after="0"/>
              <w:rPr>
                <w:sz w:val="20"/>
                <w:szCs w:val="20"/>
                <w:color w:val="auto"/>
              </w:rPr>
            </w:pPr>
            <w:r>
              <w:rPr>
                <w:rFonts w:ascii="Arial" w:cs="Arial" w:eastAsia="Arial" w:hAnsi="Arial"/>
                <w:sz w:val="18"/>
                <w:szCs w:val="18"/>
                <w:color w:val="auto"/>
              </w:rPr>
              <w:t>combinations</w:t>
            </w:r>
          </w:p>
        </w:tc>
        <w:tc>
          <w:tcPr>
            <w:tcW w:w="180" w:type="dxa"/>
            <w:vAlign w:val="bottom"/>
          </w:tcPr>
          <w:p>
            <w:pPr>
              <w:spacing w:after="0"/>
              <w:rPr>
                <w:sz w:val="18"/>
                <w:szCs w:val="18"/>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41.9</w:t>
            </w:r>
          </w:p>
        </w:tc>
        <w:tc>
          <w:tcPr>
            <w:tcW w:w="136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50.1</w:t>
            </w:r>
          </w:p>
        </w:tc>
        <w:tc>
          <w:tcPr>
            <w:tcW w:w="1340" w:type="dxa"/>
            <w:vAlign w:val="bottom"/>
          </w:tcPr>
          <w:p>
            <w:pPr>
              <w:jc w:val="right"/>
              <w:spacing w:after="0"/>
              <w:rPr>
                <w:sz w:val="20"/>
                <w:szCs w:val="20"/>
                <w:color w:val="auto"/>
              </w:rPr>
            </w:pPr>
            <w:r>
              <w:rPr>
                <w:rFonts w:ascii="Arial" w:cs="Arial" w:eastAsia="Arial" w:hAnsi="Arial"/>
                <w:sz w:val="18"/>
                <w:szCs w:val="18"/>
                <w:color w:val="auto"/>
              </w:rPr>
              <w:t>6.4 %</w:t>
            </w:r>
          </w:p>
        </w:tc>
        <w:tc>
          <w:tcPr>
            <w:tcW w:w="200" w:type="dxa"/>
            <w:vAlign w:val="bottom"/>
          </w:tcPr>
          <w:p>
            <w:pPr>
              <w:spacing w:after="0"/>
              <w:rPr>
                <w:sz w:val="18"/>
                <w:szCs w:val="18"/>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47.1</w:t>
            </w:r>
          </w:p>
        </w:tc>
      </w:tr>
      <w:tr>
        <w:trPr>
          <w:trHeight w:val="229"/>
        </w:trPr>
        <w:tc>
          <w:tcPr>
            <w:tcW w:w="43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Employee severance</w:t>
            </w:r>
          </w:p>
        </w:tc>
        <w:tc>
          <w:tcPr>
            <w:tcW w:w="180" w:type="dxa"/>
            <w:vAlign w:val="bottom"/>
            <w:shd w:val="clear" w:color="auto" w:fill="F4F4F4"/>
          </w:tcPr>
          <w:p>
            <w:pPr>
              <w:spacing w:after="0"/>
              <w:rPr>
                <w:sz w:val="19"/>
                <w:szCs w:val="19"/>
                <w:color w:val="auto"/>
              </w:rPr>
            </w:pP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4.9</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10.2 %</w:t>
            </w:r>
          </w:p>
        </w:tc>
        <w:tc>
          <w:tcPr>
            <w:tcW w:w="200" w:type="dxa"/>
            <w:vAlign w:val="bottom"/>
            <w:shd w:val="clear" w:color="auto" w:fill="F4F4F4"/>
          </w:tcPr>
          <w:p>
            <w:pPr>
              <w:spacing w:after="0"/>
              <w:rPr>
                <w:sz w:val="19"/>
                <w:szCs w:val="19"/>
                <w:color w:val="auto"/>
              </w:rPr>
            </w:pPr>
          </w:p>
        </w:tc>
        <w:tc>
          <w:tcPr>
            <w:tcW w:w="120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4.4</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97.0 %</w:t>
            </w:r>
          </w:p>
        </w:tc>
        <w:tc>
          <w:tcPr>
            <w:tcW w:w="200" w:type="dxa"/>
            <w:vAlign w:val="bottom"/>
            <w:shd w:val="clear" w:color="auto" w:fill="F4F4F4"/>
          </w:tcPr>
          <w:p>
            <w:pPr>
              <w:spacing w:after="0"/>
              <w:rPr>
                <w:sz w:val="19"/>
                <w:szCs w:val="19"/>
                <w:color w:val="auto"/>
              </w:rPr>
            </w:pP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2.2</w:t>
            </w: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Add: Acquisition-related integration costs</w:t>
            </w:r>
          </w:p>
        </w:tc>
        <w:tc>
          <w:tcPr>
            <w:tcW w:w="18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360" w:type="dxa"/>
            <w:vAlign w:val="bottom"/>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134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3.7</w:t>
            </w:r>
          </w:p>
        </w:tc>
      </w:tr>
      <w:tr>
        <w:trPr>
          <w:trHeight w:val="230"/>
        </w:trPr>
        <w:tc>
          <w:tcPr>
            <w:tcW w:w="43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Acquisition-related expenses</w:t>
            </w:r>
          </w:p>
        </w:tc>
        <w:tc>
          <w:tcPr>
            <w:tcW w:w="180" w:type="dxa"/>
            <w:vAlign w:val="bottom"/>
            <w:shd w:val="clear" w:color="auto" w:fill="F4F4F4"/>
          </w:tcPr>
          <w:p>
            <w:pPr>
              <w:spacing w:after="0"/>
              <w:rPr>
                <w:sz w:val="19"/>
                <w:szCs w:val="19"/>
                <w:color w:val="auto"/>
              </w:rPr>
            </w:pP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F4F4F4"/>
          </w:tcPr>
          <w:p>
            <w:pPr>
              <w:spacing w:after="0"/>
              <w:rPr>
                <w:sz w:val="19"/>
                <w:szCs w:val="19"/>
                <w:color w:val="auto"/>
              </w:rPr>
            </w:pPr>
          </w:p>
        </w:tc>
        <w:tc>
          <w:tcPr>
            <w:tcW w:w="120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1.2</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(59.2)%</w:t>
            </w:r>
          </w:p>
        </w:tc>
        <w:tc>
          <w:tcPr>
            <w:tcW w:w="200" w:type="dxa"/>
            <w:vAlign w:val="bottom"/>
            <w:shd w:val="clear" w:color="auto" w:fill="F4F4F4"/>
          </w:tcPr>
          <w:p>
            <w:pPr>
              <w:spacing w:after="0"/>
              <w:rPr>
                <w:sz w:val="19"/>
                <w:szCs w:val="19"/>
                <w:color w:val="auto"/>
              </w:rPr>
            </w:pP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2.8</w:t>
            </w:r>
          </w:p>
        </w:tc>
      </w:tr>
      <w:tr>
        <w:trPr>
          <w:trHeight w:val="229"/>
        </w:trPr>
        <w:tc>
          <w:tcPr>
            <w:tcW w:w="432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Add: Restructuring and other real estate activities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23.3</w:t>
            </w:r>
          </w:p>
        </w:tc>
        <w:tc>
          <w:tcPr>
            <w:tcW w:w="136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301.0 %</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5.8</w:t>
            </w:r>
          </w:p>
        </w:tc>
        <w:tc>
          <w:tcPr>
            <w:tcW w:w="134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26.5 %</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w:t>
            </w:r>
          </w:p>
        </w:tc>
      </w:tr>
      <w:tr>
        <w:trPr>
          <w:trHeight w:val="223"/>
        </w:trPr>
        <w:tc>
          <w:tcPr>
            <w:tcW w:w="4320" w:type="dxa"/>
            <w:vAlign w:val="bottom"/>
            <w:shd w:val="clear" w:color="auto" w:fill="F4F4F4"/>
          </w:tcPr>
          <w:p>
            <w:pPr>
              <w:ind w:left="360"/>
              <w:spacing w:after="0" w:line="223" w:lineRule="exact"/>
              <w:rPr>
                <w:sz w:val="20"/>
                <w:szCs w:val="20"/>
                <w:color w:val="auto"/>
              </w:rPr>
            </w:pPr>
            <w:r>
              <w:rPr>
                <w:rFonts w:ascii="Arial" w:cs="Arial" w:eastAsia="Arial" w:hAnsi="Arial"/>
                <w:sz w:val="18"/>
                <w:szCs w:val="18"/>
                <w:color w:val="auto"/>
              </w:rPr>
              <w:t>Subtotal</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F4F4F4"/>
          </w:tcPr>
          <w:p>
            <w:pPr>
              <w:spacing w:after="0"/>
              <w:rPr>
                <w:sz w:val="19"/>
                <w:szCs w:val="19"/>
                <w:color w:val="auto"/>
              </w:rPr>
            </w:pPr>
          </w:p>
        </w:tc>
        <w:tc>
          <w:tcPr>
            <w:tcW w:w="122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157.5</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26.6 %</w:t>
            </w:r>
          </w:p>
        </w:tc>
        <w:tc>
          <w:tcPr>
            <w:tcW w:w="200" w:type="dxa"/>
            <w:vAlign w:val="bottom"/>
            <w:tcBorders>
              <w:bottom w:val="single" w:sz="8" w:color="auto"/>
            </w:tcBorders>
            <w:shd w:val="clear" w:color="auto" w:fill="F4F4F4"/>
          </w:tcPr>
          <w:p>
            <w:pPr>
              <w:spacing w:after="0"/>
              <w:rPr>
                <w:sz w:val="19"/>
                <w:szCs w:val="19"/>
                <w:color w:val="auto"/>
              </w:rPr>
            </w:pPr>
          </w:p>
        </w:tc>
        <w:tc>
          <w:tcPr>
            <w:tcW w:w="120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124.4</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12.0 %</w:t>
            </w:r>
          </w:p>
        </w:tc>
        <w:tc>
          <w:tcPr>
            <w:tcW w:w="200" w:type="dxa"/>
            <w:vAlign w:val="bottom"/>
            <w:tcBorders>
              <w:bottom w:val="single" w:sz="8" w:color="auto"/>
            </w:tcBorders>
            <w:shd w:val="clear" w:color="auto" w:fill="F4F4F4"/>
          </w:tcPr>
          <w:p>
            <w:pPr>
              <w:spacing w:after="0"/>
              <w:rPr>
                <w:sz w:val="19"/>
                <w:szCs w:val="19"/>
                <w:color w:val="auto"/>
              </w:rPr>
            </w:pPr>
          </w:p>
        </w:tc>
        <w:tc>
          <w:tcPr>
            <w:tcW w:w="122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111.1</w:t>
            </w:r>
          </w:p>
        </w:tc>
      </w:tr>
      <w:tr>
        <w:trPr>
          <w:trHeight w:val="223"/>
        </w:trPr>
        <w:tc>
          <w:tcPr>
            <w:tcW w:w="43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Non-GAAP income from operations</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194.8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28.5 % $</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151.6</w:t>
            </w:r>
          </w:p>
        </w:tc>
        <w:tc>
          <w:tcPr>
            <w:tcW w:w="134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170.5</w:t>
            </w:r>
          </w:p>
        </w:tc>
      </w:tr>
      <w:tr>
        <w:trPr>
          <w:trHeight w:val="223"/>
        </w:trPr>
        <w:tc>
          <w:tcPr>
            <w:tcW w:w="432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Non-GAAP operating margin</w:t>
            </w:r>
          </w:p>
        </w:tc>
        <w:tc>
          <w:tcPr>
            <w:tcW w:w="180" w:type="dxa"/>
            <w:vAlign w:val="bottom"/>
            <w:tcBorders>
              <w:top w:val="single" w:sz="8" w:color="auto"/>
            </w:tcBorders>
            <w:shd w:val="clear" w:color="auto" w:fill="F4F4F4"/>
          </w:tcPr>
          <w:p>
            <w:pPr>
              <w:spacing w:after="0"/>
              <w:rPr>
                <w:sz w:val="19"/>
                <w:szCs w:val="19"/>
                <w:color w:val="auto"/>
              </w:rPr>
            </w:pPr>
          </w:p>
        </w:tc>
        <w:tc>
          <w:tcPr>
            <w:tcW w:w="12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21.3 %</w:t>
            </w:r>
          </w:p>
        </w:tc>
        <w:tc>
          <w:tcPr>
            <w:tcW w:w="1360" w:type="dxa"/>
            <w:vAlign w:val="bottom"/>
            <w:tcBorders>
              <w:top w:val="single" w:sz="8" w:color="F4F4F4"/>
            </w:tcBorders>
            <w:shd w:val="clear" w:color="auto" w:fill="F4F4F4"/>
          </w:tcPr>
          <w:p>
            <w:pPr>
              <w:spacing w:after="0"/>
              <w:rPr>
                <w:sz w:val="19"/>
                <w:szCs w:val="19"/>
                <w:color w:val="auto"/>
              </w:rPr>
            </w:pPr>
          </w:p>
        </w:tc>
        <w:tc>
          <w:tcPr>
            <w:tcW w:w="200" w:type="dxa"/>
            <w:vAlign w:val="bottom"/>
            <w:tcBorders>
              <w:top w:val="single" w:sz="8" w:color="auto"/>
            </w:tcBorders>
            <w:shd w:val="clear" w:color="auto" w:fill="F4F4F4"/>
          </w:tcPr>
          <w:p>
            <w:pPr>
              <w:spacing w:after="0"/>
              <w:rPr>
                <w:sz w:val="19"/>
                <w:szCs w:val="19"/>
                <w:color w:val="auto"/>
              </w:rPr>
            </w:pPr>
          </w:p>
        </w:tc>
        <w:tc>
          <w:tcPr>
            <w:tcW w:w="12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16.8 %</w:t>
            </w:r>
          </w:p>
        </w:tc>
        <w:tc>
          <w:tcPr>
            <w:tcW w:w="1340" w:type="dxa"/>
            <w:vAlign w:val="bottom"/>
            <w:tcBorders>
              <w:top w:val="single" w:sz="8" w:color="F4F4F4"/>
            </w:tcBorders>
            <w:shd w:val="clear" w:color="auto" w:fill="F4F4F4"/>
          </w:tcPr>
          <w:p>
            <w:pPr>
              <w:spacing w:after="0"/>
              <w:rPr>
                <w:sz w:val="19"/>
                <w:szCs w:val="19"/>
                <w:color w:val="auto"/>
              </w:rPr>
            </w:pPr>
          </w:p>
        </w:tc>
        <w:tc>
          <w:tcPr>
            <w:tcW w:w="200" w:type="dxa"/>
            <w:vAlign w:val="bottom"/>
            <w:tcBorders>
              <w:top w:val="single" w:sz="8" w:color="auto"/>
            </w:tcBorders>
            <w:shd w:val="clear" w:color="auto" w:fill="F4F4F4"/>
          </w:tcPr>
          <w:p>
            <w:pPr>
              <w:spacing w:after="0"/>
              <w:rPr>
                <w:sz w:val="19"/>
                <w:szCs w:val="19"/>
                <w:color w:val="auto"/>
              </w:rPr>
            </w:pPr>
          </w:p>
        </w:tc>
        <w:tc>
          <w:tcPr>
            <w:tcW w:w="12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20.0 %</w:t>
            </w:r>
          </w:p>
        </w:tc>
      </w:tr>
      <w:tr>
        <w:trPr>
          <w:trHeight w:val="14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43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GAAP income before provision for income taxes</w:t>
            </w:r>
          </w:p>
        </w:tc>
        <w:tc>
          <w:tcPr>
            <w:tcW w:w="18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21.6</w:t>
            </w:r>
          </w:p>
        </w:tc>
        <w:tc>
          <w:tcPr>
            <w:tcW w:w="1560" w:type="dxa"/>
            <w:vAlign w:val="bottom"/>
            <w:gridSpan w:val="2"/>
            <w:shd w:val="clear" w:color="auto" w:fill="F4F4F4"/>
          </w:tcPr>
          <w:p>
            <w:pPr>
              <w:jc w:val="right"/>
              <w:spacing w:after="0"/>
              <w:rPr>
                <w:sz w:val="20"/>
                <w:szCs w:val="20"/>
                <w:color w:val="auto"/>
              </w:rPr>
            </w:pPr>
            <w:r>
              <w:rPr>
                <w:rFonts w:ascii="Arial" w:cs="Arial" w:eastAsia="Arial" w:hAnsi="Arial"/>
                <w:sz w:val="18"/>
                <w:szCs w:val="18"/>
                <w:color w:val="auto"/>
              </w:rPr>
              <w:t>104.2 % $</w:t>
            </w:r>
          </w:p>
        </w:tc>
        <w:tc>
          <w:tcPr>
            <w:tcW w:w="120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10.6</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44.6</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GAAP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7.7</w:t>
            </w:r>
          </w:p>
        </w:tc>
        <w:tc>
          <w:tcPr>
            <w:tcW w:w="136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11.9</w:t>
            </w:r>
          </w:p>
        </w:tc>
        <w:tc>
          <w:tcPr>
            <w:tcW w:w="1340" w:type="dxa"/>
            <w:vAlign w:val="bottom"/>
          </w:tcPr>
          <w:p>
            <w:pPr>
              <w:jc w:val="right"/>
              <w:spacing w:after="0"/>
              <w:rPr>
                <w:sz w:val="20"/>
                <w:szCs w:val="20"/>
                <w:color w:val="auto"/>
              </w:rPr>
            </w:pPr>
            <w:r>
              <w:rPr>
                <w:rFonts w:ascii="Arial" w:cs="Arial" w:eastAsia="Arial" w:hAnsi="Arial"/>
                <w:sz w:val="18"/>
                <w:szCs w:val="18"/>
                <w:color w:val="auto"/>
              </w:rPr>
              <w:t>(73.4)%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44.8</w:t>
            </w:r>
          </w:p>
        </w:tc>
      </w:tr>
      <w:tr>
        <w:trPr>
          <w:trHeight w:val="188"/>
        </w:trPr>
        <w:tc>
          <w:tcPr>
            <w:tcW w:w="432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Shares used in computing GAAP diluted earnings per</w:t>
            </w:r>
          </w:p>
        </w:tc>
        <w:tc>
          <w:tcPr>
            <w:tcW w:w="180" w:type="dxa"/>
            <w:vAlign w:val="bottom"/>
            <w:shd w:val="clear" w:color="auto" w:fill="F4F4F4"/>
          </w:tcPr>
          <w:p>
            <w:pPr>
              <w:spacing w:after="0"/>
              <w:rPr>
                <w:sz w:val="16"/>
                <w:szCs w:val="16"/>
                <w:color w:val="auto"/>
              </w:rPr>
            </w:pPr>
          </w:p>
        </w:tc>
        <w:tc>
          <w:tcPr>
            <w:tcW w:w="1220" w:type="dxa"/>
            <w:vAlign w:val="bottom"/>
            <w:shd w:val="clear" w:color="auto" w:fill="F4F4F4"/>
          </w:tcPr>
          <w:p>
            <w:pPr>
              <w:spacing w:after="0"/>
              <w:rPr>
                <w:sz w:val="16"/>
                <w:szCs w:val="16"/>
                <w:color w:val="auto"/>
              </w:rPr>
            </w:pPr>
          </w:p>
        </w:tc>
        <w:tc>
          <w:tcPr>
            <w:tcW w:w="1360" w:type="dxa"/>
            <w:vAlign w:val="bottom"/>
            <w:shd w:val="clear" w:color="auto" w:fill="F4F4F4"/>
          </w:tcPr>
          <w:p>
            <w:pPr>
              <w:spacing w:after="0"/>
              <w:rPr>
                <w:sz w:val="16"/>
                <w:szCs w:val="16"/>
                <w:color w:val="auto"/>
              </w:rPr>
            </w:pPr>
          </w:p>
        </w:tc>
        <w:tc>
          <w:tcPr>
            <w:tcW w:w="200" w:type="dxa"/>
            <w:vAlign w:val="bottom"/>
            <w:shd w:val="clear" w:color="auto" w:fill="F4F4F4"/>
          </w:tcPr>
          <w:p>
            <w:pPr>
              <w:spacing w:after="0"/>
              <w:rPr>
                <w:sz w:val="16"/>
                <w:szCs w:val="16"/>
                <w:color w:val="auto"/>
              </w:rPr>
            </w:pPr>
          </w:p>
        </w:tc>
        <w:tc>
          <w:tcPr>
            <w:tcW w:w="1200" w:type="dxa"/>
            <w:vAlign w:val="bottom"/>
            <w:shd w:val="clear" w:color="auto" w:fill="F4F4F4"/>
          </w:tcPr>
          <w:p>
            <w:pPr>
              <w:spacing w:after="0"/>
              <w:rPr>
                <w:sz w:val="16"/>
                <w:szCs w:val="16"/>
                <w:color w:val="auto"/>
              </w:rPr>
            </w:pPr>
          </w:p>
        </w:tc>
        <w:tc>
          <w:tcPr>
            <w:tcW w:w="1340" w:type="dxa"/>
            <w:vAlign w:val="bottom"/>
            <w:shd w:val="clear" w:color="auto" w:fill="F4F4F4"/>
          </w:tcPr>
          <w:p>
            <w:pPr>
              <w:spacing w:after="0"/>
              <w:rPr>
                <w:sz w:val="16"/>
                <w:szCs w:val="16"/>
                <w:color w:val="auto"/>
              </w:rPr>
            </w:pPr>
          </w:p>
        </w:tc>
        <w:tc>
          <w:tcPr>
            <w:tcW w:w="200" w:type="dxa"/>
            <w:vAlign w:val="bottom"/>
            <w:shd w:val="clear" w:color="auto" w:fill="F4F4F4"/>
          </w:tcPr>
          <w:p>
            <w:pPr>
              <w:spacing w:after="0"/>
              <w:rPr>
                <w:sz w:val="16"/>
                <w:szCs w:val="16"/>
                <w:color w:val="auto"/>
              </w:rPr>
            </w:pPr>
          </w:p>
        </w:tc>
        <w:tc>
          <w:tcPr>
            <w:tcW w:w="1220" w:type="dxa"/>
            <w:vAlign w:val="bottom"/>
            <w:shd w:val="clear" w:color="auto" w:fill="F4F4F4"/>
          </w:tcPr>
          <w:p>
            <w:pPr>
              <w:spacing w:after="0"/>
              <w:rPr>
                <w:sz w:val="16"/>
                <w:szCs w:val="16"/>
                <w:color w:val="auto"/>
              </w:rPr>
            </w:pPr>
          </w:p>
        </w:tc>
      </w:tr>
      <w:tr>
        <w:trPr>
          <w:trHeight w:val="217"/>
        </w:trPr>
        <w:tc>
          <w:tcPr>
            <w:tcW w:w="4320" w:type="dxa"/>
            <w:vAlign w:val="bottom"/>
            <w:shd w:val="clear" w:color="auto" w:fill="F4F4F4"/>
          </w:tcPr>
          <w:p>
            <w:pPr>
              <w:ind w:left="20"/>
              <w:spacing w:after="0"/>
              <w:rPr>
                <w:sz w:val="20"/>
                <w:szCs w:val="20"/>
                <w:color w:val="auto"/>
              </w:rPr>
            </w:pPr>
            <w:r>
              <w:rPr>
                <w:rFonts w:ascii="Arial" w:cs="Arial" w:eastAsia="Arial" w:hAnsi="Arial"/>
                <w:sz w:val="18"/>
                <w:szCs w:val="18"/>
                <w:color w:val="auto"/>
              </w:rPr>
              <w:t>share</w:t>
            </w:r>
          </w:p>
        </w:tc>
        <w:tc>
          <w:tcPr>
            <w:tcW w:w="180" w:type="dxa"/>
            <w:vAlign w:val="bottom"/>
            <w:shd w:val="clear" w:color="auto" w:fill="F4F4F4"/>
          </w:tcPr>
          <w:p>
            <w:pPr>
              <w:spacing w:after="0"/>
              <w:rPr>
                <w:sz w:val="18"/>
                <w:szCs w:val="18"/>
                <w:color w:val="auto"/>
              </w:rPr>
            </w:pP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48,696,341</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0.8 %</w:t>
            </w:r>
          </w:p>
        </w:tc>
        <w:tc>
          <w:tcPr>
            <w:tcW w:w="200" w:type="dxa"/>
            <w:vAlign w:val="bottom"/>
            <w:shd w:val="clear" w:color="auto" w:fill="F4F4F4"/>
          </w:tcPr>
          <w:p>
            <w:pPr>
              <w:spacing w:after="0"/>
              <w:rPr>
                <w:sz w:val="18"/>
                <w:szCs w:val="18"/>
                <w:color w:val="auto"/>
              </w:rPr>
            </w:pPr>
          </w:p>
        </w:tc>
        <w:tc>
          <w:tcPr>
            <w:tcW w:w="120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48,312,271</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0.6 %</w:t>
            </w:r>
          </w:p>
        </w:tc>
        <w:tc>
          <w:tcPr>
            <w:tcW w:w="200" w:type="dxa"/>
            <w:vAlign w:val="bottom"/>
            <w:shd w:val="clear" w:color="auto" w:fill="F4F4F4"/>
          </w:tcPr>
          <w:p>
            <w:pPr>
              <w:spacing w:after="0"/>
              <w:rPr>
                <w:sz w:val="18"/>
                <w:szCs w:val="18"/>
                <w:color w:val="auto"/>
              </w:rPr>
            </w:pPr>
          </w:p>
        </w:tc>
        <w:tc>
          <w:tcPr>
            <w:tcW w:w="122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48,045,084</w:t>
            </w: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b w:val="1"/>
                <w:bCs w:val="1"/>
                <w:color w:val="auto"/>
              </w:rPr>
              <w:t>GAAP 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0.16</w:t>
            </w:r>
          </w:p>
        </w:tc>
        <w:tc>
          <w:tcPr>
            <w:tcW w:w="136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0.25</w:t>
            </w:r>
          </w:p>
        </w:tc>
        <w:tc>
          <w:tcPr>
            <w:tcW w:w="1340" w:type="dxa"/>
            <w:vAlign w:val="bottom"/>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0.93</w:t>
            </w:r>
          </w:p>
        </w:tc>
      </w:tr>
      <w:tr>
        <w:trPr>
          <w:trHeight w:val="230"/>
        </w:trPr>
        <w:tc>
          <w:tcPr>
            <w:tcW w:w="43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180" w:type="dxa"/>
            <w:vAlign w:val="bottom"/>
            <w:shd w:val="clear" w:color="auto" w:fill="F4F4F4"/>
          </w:tcPr>
          <w:p>
            <w:pPr>
              <w:spacing w:after="0"/>
              <w:rPr>
                <w:sz w:val="19"/>
                <w:szCs w:val="19"/>
                <w:color w:val="auto"/>
              </w:rPr>
            </w:pPr>
          </w:p>
        </w:tc>
        <w:tc>
          <w:tcPr>
            <w:tcW w:w="1220" w:type="dxa"/>
            <w:vAlign w:val="bottom"/>
            <w:shd w:val="clear" w:color="auto" w:fill="F4F4F4"/>
          </w:tcPr>
          <w:p>
            <w:pPr>
              <w:spacing w:after="0"/>
              <w:rPr>
                <w:sz w:val="19"/>
                <w:szCs w:val="19"/>
                <w:color w:val="auto"/>
              </w:rPr>
            </w:pPr>
          </w:p>
        </w:tc>
        <w:tc>
          <w:tcPr>
            <w:tcW w:w="136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200" w:type="dxa"/>
            <w:vAlign w:val="bottom"/>
            <w:shd w:val="clear" w:color="auto" w:fill="F4F4F4"/>
          </w:tcPr>
          <w:p>
            <w:pPr>
              <w:spacing w:after="0"/>
              <w:rPr>
                <w:sz w:val="19"/>
                <w:szCs w:val="19"/>
                <w:color w:val="auto"/>
              </w:rPr>
            </w:pPr>
          </w:p>
        </w:tc>
        <w:tc>
          <w:tcPr>
            <w:tcW w:w="134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220" w:type="dxa"/>
            <w:vAlign w:val="bottom"/>
            <w:shd w:val="clear" w:color="auto" w:fill="F4F4F4"/>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Add: GAAP income tax provision (benefit)</w:t>
            </w:r>
          </w:p>
        </w:tc>
        <w:tc>
          <w:tcPr>
            <w:tcW w:w="1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13.9</w:t>
            </w:r>
          </w:p>
        </w:tc>
        <w:tc>
          <w:tcPr>
            <w:tcW w:w="1360" w:type="dxa"/>
            <w:vAlign w:val="bottom"/>
          </w:tcPr>
          <w:p>
            <w:pPr>
              <w:jc w:val="right"/>
              <w:spacing w:after="0"/>
              <w:rPr>
                <w:sz w:val="20"/>
                <w:szCs w:val="20"/>
                <w:color w:val="auto"/>
              </w:rPr>
            </w:pPr>
            <w:r>
              <w:rPr>
                <w:rFonts w:ascii="Arial" w:cs="Arial" w:eastAsia="Arial" w:hAnsi="Arial"/>
                <w:sz w:val="18"/>
                <w:szCs w:val="18"/>
                <w:color w:val="auto"/>
              </w:rPr>
              <w:t>(1,150.4)%</w:t>
            </w:r>
          </w:p>
        </w:tc>
        <w:tc>
          <w:tcPr>
            <w:tcW w:w="20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1340" w:type="dxa"/>
            <w:vAlign w:val="bottom"/>
          </w:tcPr>
          <w:p>
            <w:pPr>
              <w:jc w:val="right"/>
              <w:spacing w:after="0"/>
              <w:rPr>
                <w:sz w:val="20"/>
                <w:szCs w:val="20"/>
                <w:color w:val="auto"/>
              </w:rPr>
            </w:pPr>
            <w:r>
              <w:rPr>
                <w:rFonts w:ascii="Arial" w:cs="Arial" w:eastAsia="Arial" w:hAnsi="Arial"/>
                <w:sz w:val="18"/>
                <w:szCs w:val="18"/>
                <w:color w:val="auto"/>
              </w:rPr>
              <w:t>504.1 %</w:t>
            </w:r>
          </w:p>
        </w:tc>
        <w:tc>
          <w:tcPr>
            <w:tcW w:w="20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188"/>
        </w:trPr>
        <w:tc>
          <w:tcPr>
            <w:tcW w:w="432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w w:val="99"/>
              </w:rPr>
              <w:t>Add: Total Non-GAAP adjustments affecting loss from</w:t>
            </w:r>
          </w:p>
        </w:tc>
        <w:tc>
          <w:tcPr>
            <w:tcW w:w="180" w:type="dxa"/>
            <w:vAlign w:val="bottom"/>
            <w:shd w:val="clear" w:color="auto" w:fill="F4F4F4"/>
          </w:tcPr>
          <w:p>
            <w:pPr>
              <w:spacing w:after="0"/>
              <w:rPr>
                <w:sz w:val="16"/>
                <w:szCs w:val="16"/>
                <w:color w:val="auto"/>
              </w:rPr>
            </w:pPr>
          </w:p>
        </w:tc>
        <w:tc>
          <w:tcPr>
            <w:tcW w:w="1220" w:type="dxa"/>
            <w:vAlign w:val="bottom"/>
            <w:shd w:val="clear" w:color="auto" w:fill="F4F4F4"/>
          </w:tcPr>
          <w:p>
            <w:pPr>
              <w:spacing w:after="0"/>
              <w:rPr>
                <w:sz w:val="16"/>
                <w:szCs w:val="16"/>
                <w:color w:val="auto"/>
              </w:rPr>
            </w:pPr>
          </w:p>
        </w:tc>
        <w:tc>
          <w:tcPr>
            <w:tcW w:w="1360" w:type="dxa"/>
            <w:vAlign w:val="bottom"/>
            <w:shd w:val="clear" w:color="auto" w:fill="F4F4F4"/>
          </w:tcPr>
          <w:p>
            <w:pPr>
              <w:spacing w:after="0"/>
              <w:rPr>
                <w:sz w:val="16"/>
                <w:szCs w:val="16"/>
                <w:color w:val="auto"/>
              </w:rPr>
            </w:pPr>
          </w:p>
        </w:tc>
        <w:tc>
          <w:tcPr>
            <w:tcW w:w="200" w:type="dxa"/>
            <w:vAlign w:val="bottom"/>
            <w:shd w:val="clear" w:color="auto" w:fill="F4F4F4"/>
          </w:tcPr>
          <w:p>
            <w:pPr>
              <w:spacing w:after="0"/>
              <w:rPr>
                <w:sz w:val="16"/>
                <w:szCs w:val="16"/>
                <w:color w:val="auto"/>
              </w:rPr>
            </w:pPr>
          </w:p>
        </w:tc>
        <w:tc>
          <w:tcPr>
            <w:tcW w:w="1200" w:type="dxa"/>
            <w:vAlign w:val="bottom"/>
            <w:shd w:val="clear" w:color="auto" w:fill="F4F4F4"/>
          </w:tcPr>
          <w:p>
            <w:pPr>
              <w:spacing w:after="0"/>
              <w:rPr>
                <w:sz w:val="16"/>
                <w:szCs w:val="16"/>
                <w:color w:val="auto"/>
              </w:rPr>
            </w:pPr>
          </w:p>
        </w:tc>
        <w:tc>
          <w:tcPr>
            <w:tcW w:w="1340" w:type="dxa"/>
            <w:vAlign w:val="bottom"/>
            <w:shd w:val="clear" w:color="auto" w:fill="F4F4F4"/>
          </w:tcPr>
          <w:p>
            <w:pPr>
              <w:spacing w:after="0"/>
              <w:rPr>
                <w:sz w:val="16"/>
                <w:szCs w:val="16"/>
                <w:color w:val="auto"/>
              </w:rPr>
            </w:pPr>
          </w:p>
        </w:tc>
        <w:tc>
          <w:tcPr>
            <w:tcW w:w="200" w:type="dxa"/>
            <w:vAlign w:val="bottom"/>
            <w:shd w:val="clear" w:color="auto" w:fill="F4F4F4"/>
          </w:tcPr>
          <w:p>
            <w:pPr>
              <w:spacing w:after="0"/>
              <w:rPr>
                <w:sz w:val="16"/>
                <w:szCs w:val="16"/>
                <w:color w:val="auto"/>
              </w:rPr>
            </w:pPr>
          </w:p>
        </w:tc>
        <w:tc>
          <w:tcPr>
            <w:tcW w:w="1220" w:type="dxa"/>
            <w:vAlign w:val="bottom"/>
            <w:shd w:val="clear" w:color="auto" w:fill="F4F4F4"/>
          </w:tcPr>
          <w:p>
            <w:pPr>
              <w:spacing w:after="0"/>
              <w:rPr>
                <w:sz w:val="16"/>
                <w:szCs w:val="16"/>
                <w:color w:val="auto"/>
              </w:rPr>
            </w:pPr>
          </w:p>
        </w:tc>
      </w:tr>
      <w:tr>
        <w:trPr>
          <w:trHeight w:val="217"/>
        </w:trPr>
        <w:tc>
          <w:tcPr>
            <w:tcW w:w="4320" w:type="dxa"/>
            <w:vAlign w:val="bottom"/>
            <w:shd w:val="clear" w:color="auto" w:fill="F4F4F4"/>
          </w:tcPr>
          <w:p>
            <w:pPr>
              <w:ind w:left="2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auto"/>
            </w:tcBorders>
            <w:shd w:val="clear" w:color="auto" w:fill="F4F4F4"/>
          </w:tcPr>
          <w:p>
            <w:pPr>
              <w:spacing w:after="0"/>
              <w:rPr>
                <w:sz w:val="18"/>
                <w:szCs w:val="18"/>
                <w:color w:val="auto"/>
              </w:rPr>
            </w:pPr>
          </w:p>
        </w:tc>
        <w:tc>
          <w:tcPr>
            <w:tcW w:w="122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157.5</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26.6 %</w:t>
            </w:r>
          </w:p>
        </w:tc>
        <w:tc>
          <w:tcPr>
            <w:tcW w:w="200" w:type="dxa"/>
            <w:vAlign w:val="bottom"/>
            <w:tcBorders>
              <w:bottom w:val="single" w:sz="8" w:color="auto"/>
            </w:tcBorders>
            <w:shd w:val="clear" w:color="auto" w:fill="F4F4F4"/>
          </w:tcPr>
          <w:p>
            <w:pPr>
              <w:spacing w:after="0"/>
              <w:rPr>
                <w:sz w:val="18"/>
                <w:szCs w:val="18"/>
                <w:color w:val="auto"/>
              </w:rPr>
            </w:pPr>
          </w:p>
        </w:tc>
        <w:tc>
          <w:tcPr>
            <w:tcW w:w="120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124.4</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12.0 %</w:t>
            </w:r>
          </w:p>
        </w:tc>
        <w:tc>
          <w:tcPr>
            <w:tcW w:w="200" w:type="dxa"/>
            <w:vAlign w:val="bottom"/>
            <w:tcBorders>
              <w:bottom w:val="single" w:sz="8" w:color="auto"/>
            </w:tcBorders>
            <w:shd w:val="clear" w:color="auto" w:fill="F4F4F4"/>
          </w:tcPr>
          <w:p>
            <w:pPr>
              <w:spacing w:after="0"/>
              <w:rPr>
                <w:sz w:val="18"/>
                <w:szCs w:val="18"/>
                <w:color w:val="auto"/>
              </w:rPr>
            </w:pPr>
          </w:p>
        </w:tc>
        <w:tc>
          <w:tcPr>
            <w:tcW w:w="122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111.1</w:t>
            </w:r>
          </w:p>
        </w:tc>
      </w:tr>
      <w:tr>
        <w:trPr>
          <w:trHeight w:val="155"/>
        </w:trPr>
        <w:tc>
          <w:tcPr>
            <w:tcW w:w="43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Non-GAAP income before provision for income</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179.1</w:t>
            </w:r>
          </w:p>
        </w:tc>
        <w:tc>
          <w:tcPr>
            <w:tcW w:w="1360" w:type="dxa"/>
            <w:vAlign w:val="bottom"/>
          </w:tcPr>
          <w:p>
            <w:pPr>
              <w:jc w:val="right"/>
              <w:spacing w:after="0"/>
              <w:rPr>
                <w:sz w:val="20"/>
                <w:szCs w:val="20"/>
                <w:color w:val="auto"/>
              </w:rPr>
            </w:pPr>
            <w:r>
              <w:rPr>
                <w:rFonts w:ascii="Arial" w:cs="Arial" w:eastAsia="Arial" w:hAnsi="Arial"/>
                <w:sz w:val="18"/>
                <w:szCs w:val="18"/>
                <w:color w:val="auto"/>
              </w:rPr>
              <w:t>32.7 %</w:t>
            </w:r>
          </w:p>
        </w:tc>
        <w:tc>
          <w:tcPr>
            <w:tcW w:w="2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135.0</w:t>
            </w:r>
          </w:p>
        </w:tc>
        <w:tc>
          <w:tcPr>
            <w:tcW w:w="13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155.7</w:t>
            </w:r>
          </w:p>
        </w:tc>
      </w:tr>
      <w:tr>
        <w:trPr>
          <w:trHeight w:val="230"/>
        </w:trPr>
        <w:tc>
          <w:tcPr>
            <w:tcW w:w="432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Assumed non-GAAP income tax provision</w:t>
            </w:r>
            <w:r>
              <w:rPr>
                <w:rFonts w:ascii="Arial" w:cs="Arial" w:eastAsia="Arial" w:hAnsi="Arial"/>
                <w:sz w:val="23"/>
                <w:szCs w:val="23"/>
                <w:color w:val="auto"/>
                <w:vertAlign w:val="superscript"/>
              </w:rPr>
              <w:t>(2)</w:t>
            </w:r>
          </w:p>
        </w:tc>
        <w:tc>
          <w:tcPr>
            <w:tcW w:w="180" w:type="dxa"/>
            <w:vAlign w:val="bottom"/>
            <w:tcBorders>
              <w:bottom w:val="single" w:sz="8" w:color="auto"/>
            </w:tcBorders>
            <w:shd w:val="clear" w:color="auto" w:fill="F4F4F4"/>
          </w:tcPr>
          <w:p>
            <w:pPr>
              <w:spacing w:after="0"/>
              <w:rPr>
                <w:sz w:val="19"/>
                <w:szCs w:val="19"/>
                <w:color w:val="auto"/>
              </w:rPr>
            </w:pPr>
          </w:p>
        </w:tc>
        <w:tc>
          <w:tcPr>
            <w:tcW w:w="122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35.8</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32.7 %</w:t>
            </w:r>
          </w:p>
        </w:tc>
        <w:tc>
          <w:tcPr>
            <w:tcW w:w="200" w:type="dxa"/>
            <w:vAlign w:val="bottom"/>
            <w:tcBorders>
              <w:bottom w:val="single" w:sz="8" w:color="auto"/>
            </w:tcBorders>
            <w:shd w:val="clear" w:color="auto" w:fill="F4F4F4"/>
          </w:tcPr>
          <w:p>
            <w:pPr>
              <w:spacing w:after="0"/>
              <w:rPr>
                <w:sz w:val="19"/>
                <w:szCs w:val="19"/>
                <w:color w:val="auto"/>
              </w:rPr>
            </w:pPr>
          </w:p>
        </w:tc>
        <w:tc>
          <w:tcPr>
            <w:tcW w:w="120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27.0</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auto"/>
            </w:tcBorders>
            <w:shd w:val="clear" w:color="auto" w:fill="F4F4F4"/>
          </w:tcPr>
          <w:p>
            <w:pPr>
              <w:spacing w:after="0"/>
              <w:rPr>
                <w:sz w:val="19"/>
                <w:szCs w:val="19"/>
                <w:color w:val="auto"/>
              </w:rPr>
            </w:pPr>
          </w:p>
        </w:tc>
        <w:tc>
          <w:tcPr>
            <w:tcW w:w="1220" w:type="dxa"/>
            <w:vAlign w:val="bottom"/>
            <w:tcBorders>
              <w:bottom w:val="single" w:sz="8" w:color="auto"/>
            </w:tcBorders>
            <w:shd w:val="clear" w:color="auto" w:fill="F4F4F4"/>
          </w:tcPr>
          <w:p>
            <w:pPr>
              <w:jc w:val="right"/>
              <w:ind w:right="151"/>
              <w:spacing w:after="0"/>
              <w:rPr>
                <w:sz w:val="20"/>
                <w:szCs w:val="20"/>
                <w:color w:val="auto"/>
              </w:rPr>
            </w:pPr>
            <w:r>
              <w:rPr>
                <w:rFonts w:ascii="Arial" w:cs="Arial" w:eastAsia="Arial" w:hAnsi="Arial"/>
                <w:sz w:val="18"/>
                <w:szCs w:val="18"/>
                <w:color w:val="auto"/>
              </w:rPr>
              <w:t>31.1</w:t>
            </w:r>
          </w:p>
        </w:tc>
      </w:tr>
      <w:tr>
        <w:trPr>
          <w:trHeight w:val="223"/>
        </w:trPr>
        <w:tc>
          <w:tcPr>
            <w:tcW w:w="43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Non-GAAP net income</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143.3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32.7 % $</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108.0</w:t>
            </w:r>
          </w:p>
        </w:tc>
        <w:tc>
          <w:tcPr>
            <w:tcW w:w="13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124.6</w:t>
            </w:r>
          </w:p>
        </w:tc>
      </w:tr>
      <w:tr>
        <w:trPr>
          <w:trHeight w:val="128"/>
        </w:trPr>
        <w:tc>
          <w:tcPr>
            <w:tcW w:w="4320" w:type="dxa"/>
            <w:vAlign w:val="bottom"/>
            <w:tcBorders>
              <w:top w:val="single" w:sz="8" w:color="F4F4F4"/>
            </w:tcBorders>
            <w:shd w:val="clear" w:color="auto" w:fill="F4F4F4"/>
          </w:tcPr>
          <w:p>
            <w:pPr>
              <w:spacing w:after="0"/>
              <w:rPr>
                <w:sz w:val="11"/>
                <w:szCs w:val="11"/>
                <w:color w:val="auto"/>
              </w:rPr>
            </w:pPr>
          </w:p>
        </w:tc>
        <w:tc>
          <w:tcPr>
            <w:tcW w:w="180" w:type="dxa"/>
            <w:vAlign w:val="bottom"/>
            <w:tcBorders>
              <w:top w:val="single" w:sz="8" w:color="auto"/>
            </w:tcBorders>
            <w:shd w:val="clear" w:color="auto" w:fill="F4F4F4"/>
          </w:tcPr>
          <w:p>
            <w:pPr>
              <w:spacing w:after="0"/>
              <w:rPr>
                <w:sz w:val="11"/>
                <w:szCs w:val="11"/>
                <w:color w:val="auto"/>
              </w:rPr>
            </w:pPr>
          </w:p>
        </w:tc>
        <w:tc>
          <w:tcPr>
            <w:tcW w:w="1220" w:type="dxa"/>
            <w:vAlign w:val="bottom"/>
            <w:tcBorders>
              <w:top w:val="single" w:sz="8" w:color="auto"/>
            </w:tcBorders>
            <w:shd w:val="clear" w:color="auto" w:fill="F4F4F4"/>
          </w:tcPr>
          <w:p>
            <w:pPr>
              <w:spacing w:after="0"/>
              <w:rPr>
                <w:sz w:val="11"/>
                <w:szCs w:val="11"/>
                <w:color w:val="auto"/>
              </w:rPr>
            </w:pPr>
          </w:p>
        </w:tc>
        <w:tc>
          <w:tcPr>
            <w:tcW w:w="1360" w:type="dxa"/>
            <w:vAlign w:val="bottom"/>
            <w:tcBorders>
              <w:top w:val="single" w:sz="8" w:color="F4F4F4"/>
            </w:tcBorders>
            <w:shd w:val="clear" w:color="auto" w:fill="F4F4F4"/>
          </w:tcPr>
          <w:p>
            <w:pPr>
              <w:spacing w:after="0"/>
              <w:rPr>
                <w:sz w:val="11"/>
                <w:szCs w:val="11"/>
                <w:color w:val="auto"/>
              </w:rPr>
            </w:pPr>
          </w:p>
        </w:tc>
        <w:tc>
          <w:tcPr>
            <w:tcW w:w="200" w:type="dxa"/>
            <w:vAlign w:val="bottom"/>
            <w:tcBorders>
              <w:top w:val="single" w:sz="8" w:color="auto"/>
            </w:tcBorders>
            <w:shd w:val="clear" w:color="auto" w:fill="F4F4F4"/>
          </w:tcPr>
          <w:p>
            <w:pPr>
              <w:spacing w:after="0"/>
              <w:rPr>
                <w:sz w:val="11"/>
                <w:szCs w:val="11"/>
                <w:color w:val="auto"/>
              </w:rPr>
            </w:pPr>
          </w:p>
        </w:tc>
        <w:tc>
          <w:tcPr>
            <w:tcW w:w="1200" w:type="dxa"/>
            <w:vAlign w:val="bottom"/>
            <w:tcBorders>
              <w:top w:val="single" w:sz="8" w:color="auto"/>
            </w:tcBorders>
            <w:shd w:val="clear" w:color="auto" w:fill="F4F4F4"/>
          </w:tcPr>
          <w:p>
            <w:pPr>
              <w:spacing w:after="0"/>
              <w:rPr>
                <w:sz w:val="11"/>
                <w:szCs w:val="11"/>
                <w:color w:val="auto"/>
              </w:rPr>
            </w:pPr>
          </w:p>
        </w:tc>
        <w:tc>
          <w:tcPr>
            <w:tcW w:w="1340" w:type="dxa"/>
            <w:vAlign w:val="bottom"/>
            <w:tcBorders>
              <w:top w:val="single" w:sz="8" w:color="F4F4F4"/>
            </w:tcBorders>
            <w:shd w:val="clear" w:color="auto" w:fill="F4F4F4"/>
          </w:tcPr>
          <w:p>
            <w:pPr>
              <w:spacing w:after="0"/>
              <w:rPr>
                <w:sz w:val="11"/>
                <w:szCs w:val="11"/>
                <w:color w:val="auto"/>
              </w:rPr>
            </w:pPr>
          </w:p>
        </w:tc>
        <w:tc>
          <w:tcPr>
            <w:tcW w:w="200" w:type="dxa"/>
            <w:vAlign w:val="bottom"/>
            <w:tcBorders>
              <w:top w:val="single" w:sz="8" w:color="auto"/>
            </w:tcBorders>
            <w:shd w:val="clear" w:color="auto" w:fill="F4F4F4"/>
          </w:tcPr>
          <w:p>
            <w:pPr>
              <w:spacing w:after="0"/>
              <w:rPr>
                <w:sz w:val="11"/>
                <w:szCs w:val="11"/>
                <w:color w:val="auto"/>
              </w:rPr>
            </w:pPr>
          </w:p>
        </w:tc>
        <w:tc>
          <w:tcPr>
            <w:tcW w:w="1220" w:type="dxa"/>
            <w:vAlign w:val="bottom"/>
            <w:tcBorders>
              <w:top w:val="single" w:sz="8" w:color="auto"/>
            </w:tcBorders>
            <w:shd w:val="clear" w:color="auto" w:fill="F4F4F4"/>
          </w:tcPr>
          <w:p>
            <w:pPr>
              <w:spacing w:after="0"/>
              <w:rPr>
                <w:sz w:val="11"/>
                <w:szCs w:val="11"/>
                <w:color w:val="auto"/>
              </w:rPr>
            </w:pPr>
          </w:p>
        </w:tc>
      </w:tr>
      <w:tr>
        <w:trPr>
          <w:trHeight w:val="188"/>
        </w:trPr>
        <w:tc>
          <w:tcPr>
            <w:tcW w:w="4320" w:type="dxa"/>
            <w:vAlign w:val="bottom"/>
          </w:tcPr>
          <w:p>
            <w:pPr>
              <w:ind w:left="20"/>
              <w:spacing w:after="0" w:line="189" w:lineRule="exact"/>
              <w:rPr>
                <w:sz w:val="20"/>
                <w:szCs w:val="20"/>
                <w:color w:val="auto"/>
              </w:rPr>
            </w:pPr>
            <w:r>
              <w:rPr>
                <w:rFonts w:ascii="Arial" w:cs="Arial" w:eastAsia="Arial" w:hAnsi="Arial"/>
                <w:sz w:val="18"/>
                <w:szCs w:val="18"/>
                <w:color w:val="auto"/>
              </w:rPr>
              <w:t>Shares used in computing Non-GAAP diluted</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43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18"/>
                <w:szCs w:val="18"/>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48,696,341</w:t>
            </w:r>
          </w:p>
        </w:tc>
        <w:tc>
          <w:tcPr>
            <w:tcW w:w="1360" w:type="dxa"/>
            <w:vAlign w:val="bottom"/>
          </w:tcPr>
          <w:p>
            <w:pPr>
              <w:jc w:val="right"/>
              <w:spacing w:after="0"/>
              <w:rPr>
                <w:sz w:val="20"/>
                <w:szCs w:val="20"/>
                <w:color w:val="auto"/>
              </w:rPr>
            </w:pPr>
            <w:r>
              <w:rPr>
                <w:rFonts w:ascii="Arial" w:cs="Arial" w:eastAsia="Arial" w:hAnsi="Arial"/>
                <w:sz w:val="18"/>
                <w:szCs w:val="18"/>
                <w:color w:val="auto"/>
              </w:rPr>
              <w:t>0.8 %</w:t>
            </w:r>
          </w:p>
        </w:tc>
        <w:tc>
          <w:tcPr>
            <w:tcW w:w="200" w:type="dxa"/>
            <w:vAlign w:val="bottom"/>
          </w:tcPr>
          <w:p>
            <w:pPr>
              <w:spacing w:after="0"/>
              <w:rPr>
                <w:sz w:val="18"/>
                <w:szCs w:val="18"/>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48,312,271</w:t>
            </w:r>
          </w:p>
        </w:tc>
        <w:tc>
          <w:tcPr>
            <w:tcW w:w="1340" w:type="dxa"/>
            <w:vAlign w:val="bottom"/>
          </w:tcPr>
          <w:p>
            <w:pPr>
              <w:jc w:val="right"/>
              <w:spacing w:after="0"/>
              <w:rPr>
                <w:sz w:val="20"/>
                <w:szCs w:val="20"/>
                <w:color w:val="auto"/>
              </w:rPr>
            </w:pPr>
            <w:r>
              <w:rPr>
                <w:rFonts w:ascii="Arial" w:cs="Arial" w:eastAsia="Arial" w:hAnsi="Arial"/>
                <w:sz w:val="18"/>
                <w:szCs w:val="18"/>
                <w:color w:val="auto"/>
              </w:rPr>
              <w:t>0.6 %</w:t>
            </w:r>
          </w:p>
        </w:tc>
        <w:tc>
          <w:tcPr>
            <w:tcW w:w="200" w:type="dxa"/>
            <w:vAlign w:val="bottom"/>
          </w:tcPr>
          <w:p>
            <w:pPr>
              <w:spacing w:after="0"/>
              <w:rPr>
                <w:sz w:val="18"/>
                <w:szCs w:val="18"/>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48,045,084</w:t>
            </w:r>
          </w:p>
        </w:tc>
      </w:tr>
      <w:tr>
        <w:trPr>
          <w:trHeight w:val="230"/>
        </w:trPr>
        <w:tc>
          <w:tcPr>
            <w:tcW w:w="432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Non-GAAP diluted earnings per share</w:t>
            </w:r>
          </w:p>
        </w:tc>
        <w:tc>
          <w:tcPr>
            <w:tcW w:w="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71BF43"/>
            </w:tcBorders>
            <w:shd w:val="clear" w:color="auto" w:fill="F4F4F4"/>
          </w:tcPr>
          <w:p>
            <w:pPr>
              <w:jc w:val="right"/>
              <w:ind w:right="151"/>
              <w:spacing w:after="0"/>
              <w:rPr>
                <w:sz w:val="20"/>
                <w:szCs w:val="20"/>
                <w:color w:val="auto"/>
              </w:rPr>
            </w:pPr>
            <w:r>
              <w:rPr>
                <w:rFonts w:ascii="Arial" w:cs="Arial" w:eastAsia="Arial" w:hAnsi="Arial"/>
                <w:sz w:val="18"/>
                <w:szCs w:val="18"/>
                <w:color w:val="auto"/>
              </w:rPr>
              <w:t>2.94</w:t>
            </w:r>
          </w:p>
        </w:tc>
        <w:tc>
          <w:tcPr>
            <w:tcW w:w="1560" w:type="dxa"/>
            <w:vAlign w:val="bottom"/>
            <w:tcBorders>
              <w:bottom w:val="single" w:sz="8" w:color="71BF43"/>
            </w:tcBorders>
            <w:gridSpan w:val="2"/>
            <w:shd w:val="clear" w:color="auto" w:fill="F4F4F4"/>
          </w:tcPr>
          <w:p>
            <w:pPr>
              <w:jc w:val="right"/>
              <w:spacing w:after="0"/>
              <w:rPr>
                <w:sz w:val="20"/>
                <w:szCs w:val="20"/>
                <w:color w:val="auto"/>
              </w:rPr>
            </w:pPr>
            <w:r>
              <w:rPr>
                <w:rFonts w:ascii="Arial" w:cs="Arial" w:eastAsia="Arial" w:hAnsi="Arial"/>
                <w:sz w:val="18"/>
                <w:szCs w:val="18"/>
                <w:color w:val="auto"/>
              </w:rPr>
              <w:t>31.3 % $</w:t>
            </w:r>
          </w:p>
        </w:tc>
        <w:tc>
          <w:tcPr>
            <w:tcW w:w="1200" w:type="dxa"/>
            <w:vAlign w:val="bottom"/>
            <w:tcBorders>
              <w:bottom w:val="single" w:sz="8" w:color="71BF43"/>
            </w:tcBorders>
            <w:shd w:val="clear" w:color="auto" w:fill="F4F4F4"/>
          </w:tcPr>
          <w:p>
            <w:pPr>
              <w:jc w:val="right"/>
              <w:ind w:right="151"/>
              <w:spacing w:after="0"/>
              <w:rPr>
                <w:sz w:val="20"/>
                <w:szCs w:val="20"/>
                <w:color w:val="auto"/>
              </w:rPr>
            </w:pPr>
            <w:r>
              <w:rPr>
                <w:rFonts w:ascii="Arial" w:cs="Arial" w:eastAsia="Arial" w:hAnsi="Arial"/>
                <w:sz w:val="18"/>
                <w:szCs w:val="18"/>
                <w:color w:val="auto"/>
              </w:rPr>
              <w:t>2.24</w:t>
            </w:r>
          </w:p>
        </w:tc>
        <w:tc>
          <w:tcPr>
            <w:tcW w:w="13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71BF43"/>
            </w:tcBorders>
            <w:shd w:val="clear" w:color="auto" w:fill="F4F4F4"/>
          </w:tcPr>
          <w:p>
            <w:pPr>
              <w:jc w:val="right"/>
              <w:ind w:right="151"/>
              <w:spacing w:after="0"/>
              <w:rPr>
                <w:sz w:val="20"/>
                <w:szCs w:val="20"/>
                <w:color w:val="auto"/>
              </w:rPr>
            </w:pPr>
            <w:r>
              <w:rPr>
                <w:rFonts w:ascii="Arial" w:cs="Arial" w:eastAsia="Arial" w:hAnsi="Arial"/>
                <w:sz w:val="18"/>
                <w:szCs w:val="18"/>
                <w:color w:val="auto"/>
              </w:rPr>
              <w:t>2.59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-4671060</wp:posOffset>
            </wp:positionV>
            <wp:extent cx="43973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66" w:lineRule="exact"/>
        <w:rPr>
          <w:sz w:val="20"/>
          <w:szCs w:val="20"/>
          <w:color w:val="auto"/>
        </w:rPr>
      </w:pPr>
    </w:p>
    <w:p>
      <w:pPr>
        <w:ind w:left="340" w:right="20" w:hanging="332"/>
        <w:spacing w:after="0" w:line="241" w:lineRule="auto"/>
        <w:tabs>
          <w:tab w:leader="none" w:pos="35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income from operations, non-GAAP income before provision for income taxes or non-GAAP net income due to rounding.</w:t>
      </w: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30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free cash flow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840" w:type="dxa"/>
            <w:vAlign w:val="bottom"/>
            <w:shd w:val="clear" w:color="auto" w:fill="ACACAC"/>
          </w:tcPr>
          <w:p>
            <w:pPr>
              <w:spacing w:after="0"/>
              <w:rPr>
                <w:sz w:val="16"/>
                <w:szCs w:val="16"/>
                <w:color w:val="auto"/>
              </w:rPr>
            </w:pPr>
          </w:p>
        </w:tc>
        <w:tc>
          <w:tcPr>
            <w:tcW w:w="138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840" w:type="dxa"/>
            <w:vAlign w:val="bottom"/>
            <w:shd w:val="clear" w:color="auto" w:fill="ACACAC"/>
          </w:tcPr>
          <w:p>
            <w:pPr>
              <w:spacing w:after="0"/>
              <w:rPr>
                <w:sz w:val="16"/>
                <w:szCs w:val="16"/>
                <w:color w:val="auto"/>
              </w:rPr>
            </w:pPr>
          </w:p>
        </w:tc>
        <w:tc>
          <w:tcPr>
            <w:tcW w:w="26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46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42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42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29"/>
        </w:trPr>
        <w:tc>
          <w:tcPr>
            <w:tcW w:w="468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148.0</w:t>
            </w:r>
          </w:p>
        </w:tc>
        <w:tc>
          <w:tcPr>
            <w:tcW w:w="13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(18.9)%</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182.5</w:t>
            </w:r>
          </w:p>
        </w:tc>
        <w:tc>
          <w:tcPr>
            <w:tcW w:w="14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(9.4)%</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201.4</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Less: purchase of property and equipment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w:t>
            </w:r>
          </w:p>
        </w:tc>
        <w:tc>
          <w:tcPr>
            <w:tcW w:w="1380" w:type="dxa"/>
            <w:vAlign w:val="bottom"/>
          </w:tcPr>
          <w:p>
            <w:pPr>
              <w:jc w:val="right"/>
              <w:spacing w:after="0"/>
              <w:rPr>
                <w:sz w:val="20"/>
                <w:szCs w:val="20"/>
                <w:color w:val="auto"/>
              </w:rPr>
            </w:pPr>
            <w:r>
              <w:rPr>
                <w:rFonts w:ascii="Arial" w:cs="Arial" w:eastAsia="Arial" w:hAnsi="Arial"/>
                <w:sz w:val="18"/>
                <w:szCs w:val="18"/>
                <w:color w:val="auto"/>
              </w:rPr>
              <w:t>158.4 %</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1400" w:type="dxa"/>
            <w:vAlign w:val="bottom"/>
          </w:tcPr>
          <w:p>
            <w:pPr>
              <w:jc w:val="right"/>
              <w:spacing w:after="0"/>
              <w:rPr>
                <w:sz w:val="20"/>
                <w:szCs w:val="20"/>
                <w:color w:val="auto"/>
              </w:rPr>
            </w:pPr>
            <w:r>
              <w:rPr>
                <w:rFonts w:ascii="Arial" w:cs="Arial" w:eastAsia="Arial" w:hAnsi="Arial"/>
                <w:sz w:val="18"/>
                <w:szCs w:val="18"/>
                <w:color w:val="auto"/>
              </w:rPr>
              <w:t>(21.9)%</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46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Less: capitalized software development costs</w:t>
            </w:r>
          </w:p>
        </w:tc>
        <w:tc>
          <w:tcPr>
            <w:tcW w:w="420" w:type="dxa"/>
            <w:vAlign w:val="bottom"/>
            <w:tcBorders>
              <w:bottom w:val="single" w:sz="8" w:color="auto"/>
            </w:tcBorders>
            <w:shd w:val="clear" w:color="auto" w:fill="F4F4F4"/>
          </w:tcPr>
          <w:p>
            <w:pPr>
              <w:spacing w:after="0"/>
              <w:rPr>
                <w:sz w:val="19"/>
                <w:szCs w:val="19"/>
                <w:color w:val="auto"/>
              </w:rPr>
            </w:pPr>
          </w:p>
        </w:tc>
        <w:tc>
          <w:tcPr>
            <w:tcW w:w="8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(42.2)</w:t>
            </w:r>
          </w:p>
        </w:tc>
        <w:tc>
          <w:tcPr>
            <w:tcW w:w="13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Borders>
              <w:bottom w:val="single" w:sz="8" w:color="auto"/>
            </w:tcBorders>
            <w:shd w:val="clear" w:color="auto" w:fill="F4F4F4"/>
          </w:tcPr>
          <w:p>
            <w:pPr>
              <w:spacing w:after="0"/>
              <w:rPr>
                <w:sz w:val="19"/>
                <w:szCs w:val="19"/>
                <w:color w:val="auto"/>
              </w:rPr>
            </w:pPr>
          </w:p>
        </w:tc>
        <w:tc>
          <w:tcPr>
            <w:tcW w:w="8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(46.9)</w:t>
            </w:r>
          </w:p>
        </w:tc>
        <w:tc>
          <w:tcPr>
            <w:tcW w:w="14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24.6 %</w:t>
            </w:r>
          </w:p>
        </w:tc>
        <w:tc>
          <w:tcPr>
            <w:tcW w:w="420" w:type="dxa"/>
            <w:vAlign w:val="bottom"/>
            <w:tcBorders>
              <w:bottom w:val="single" w:sz="8" w:color="auto"/>
            </w:tcBorders>
            <w:shd w:val="clear" w:color="auto" w:fill="F4F4F4"/>
          </w:tcPr>
          <w:p>
            <w:pPr>
              <w:spacing w:after="0"/>
              <w:rPr>
                <w:sz w:val="19"/>
                <w:szCs w:val="19"/>
                <w:color w:val="auto"/>
              </w:rPr>
            </w:pPr>
          </w:p>
        </w:tc>
        <w:tc>
          <w:tcPr>
            <w:tcW w:w="8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(37.6)</w:t>
            </w:r>
          </w:p>
        </w:tc>
      </w:tr>
      <w:tr>
        <w:trPr>
          <w:trHeight w:val="223"/>
        </w:trPr>
        <w:tc>
          <w:tcPr>
            <w:tcW w:w="4680" w:type="dxa"/>
            <w:vAlign w:val="bottom"/>
            <w:tcBorders>
              <w:bottom w:val="single" w:sz="8" w:color="71BF43"/>
            </w:tcBorders>
          </w:tcPr>
          <w:p>
            <w:pPr>
              <w:ind w:left="20"/>
              <w:spacing w:after="0"/>
              <w:rPr>
                <w:sz w:val="20"/>
                <w:szCs w:val="20"/>
                <w:color w:val="auto"/>
              </w:rPr>
            </w:pPr>
            <w:r>
              <w:rPr>
                <w:rFonts w:ascii="Arial" w:cs="Arial" w:eastAsia="Arial" w:hAnsi="Arial"/>
                <w:sz w:val="18"/>
                <w:szCs w:val="18"/>
                <w:b w:val="1"/>
                <w:bCs w:val="1"/>
                <w:color w:val="auto"/>
              </w:rPr>
              <w:t>Non-GAAP free cash flow</w:t>
            </w:r>
          </w:p>
        </w:tc>
        <w:tc>
          <w:tcPr>
            <w:tcW w:w="420" w:type="dxa"/>
            <w:vAlign w:val="bottom"/>
            <w:tcBorders>
              <w:bottom w:val="single" w:sz="8" w:color="71BF43"/>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76.1</w:t>
            </w:r>
          </w:p>
        </w:tc>
        <w:tc>
          <w:tcPr>
            <w:tcW w:w="13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(38.7)%</w:t>
            </w:r>
          </w:p>
        </w:tc>
        <w:tc>
          <w:tcPr>
            <w:tcW w:w="420" w:type="dxa"/>
            <w:vAlign w:val="bottom"/>
            <w:tcBorders>
              <w:bottom w:val="single" w:sz="8" w:color="71BF43"/>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124.1</w:t>
            </w:r>
          </w:p>
        </w:tc>
        <w:tc>
          <w:tcPr>
            <w:tcW w:w="14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Borders>
              <w:bottom w:val="single" w:sz="8" w:color="71BF43"/>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-728345</wp:posOffset>
            </wp:positionV>
            <wp:extent cx="41662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organic revenue growth</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we use non-GAAP organic revenue growth, non-GAAP organic revenue growth on a constant currency basis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and they include the non-GAAP revenue attributable to those companies, as if there were no acquisition-related write-downs of acquired deferred revenue to fair value as required by GAAP.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its current business’ organic revenue growth and revenue run-rate.</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48  </w:t>
      </w:r>
      <w:r>
        <w:rPr>
          <w:sz w:val="1"/>
          <w:szCs w:val="1"/>
          <w:color w:val="auto"/>
        </w:rPr>
        <w:drawing>
          <wp:inline distT="0" distB="0" distL="0" distR="0">
            <wp:extent cx="728345" cy="18859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shd w:val="clear" w:color="auto" w:fill="ACACAC"/>
          </w:tcPr>
          <w:p>
            <w:pPr>
              <w:spacing w:after="0"/>
              <w:rPr>
                <w:sz w:val="16"/>
                <w:szCs w:val="16"/>
                <w:color w:val="auto"/>
              </w:rPr>
            </w:pPr>
          </w:p>
        </w:tc>
        <w:tc>
          <w:tcPr>
            <w:tcW w:w="560" w:type="dxa"/>
            <w:vAlign w:val="bottom"/>
            <w:shd w:val="clear" w:color="auto" w:fill="ACACAC"/>
          </w:tcPr>
          <w:p>
            <w:pPr>
              <w:spacing w:after="0"/>
              <w:rPr>
                <w:sz w:val="16"/>
                <w:szCs w:val="16"/>
                <w:color w:val="auto"/>
              </w:rPr>
            </w:pPr>
          </w:p>
        </w:tc>
        <w:tc>
          <w:tcPr>
            <w:tcW w:w="26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80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56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6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29"/>
        </w:trPr>
        <w:tc>
          <w:tcPr>
            <w:tcW w:w="8020" w:type="dxa"/>
            <w:vAlign w:val="bottom"/>
            <w:shd w:val="clear" w:color="auto" w:fill="F4F4F4"/>
          </w:tcPr>
          <w:p>
            <w:pPr>
              <w:ind w:left="20"/>
              <w:spacing w:after="0"/>
              <w:rPr>
                <w:sz w:val="20"/>
                <w:szCs w:val="20"/>
                <w:color w:val="auto"/>
              </w:rPr>
            </w:pPr>
            <w:r>
              <w:rPr>
                <w:rFonts w:ascii="Arial" w:cs="Arial" w:eastAsia="Arial" w:hAnsi="Arial"/>
                <w:sz w:val="18"/>
                <w:szCs w:val="18"/>
                <w:color w:val="auto"/>
              </w:rPr>
              <w:t>GAAP revenue</w:t>
            </w:r>
          </w:p>
        </w:tc>
        <w:tc>
          <w:tcPr>
            <w:tcW w:w="560" w:type="dxa"/>
            <w:vAlign w:val="bottom"/>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ind w:right="152"/>
              <w:spacing w:after="0"/>
              <w:rPr>
                <w:sz w:val="20"/>
                <w:szCs w:val="20"/>
                <w:color w:val="auto"/>
              </w:rPr>
            </w:pPr>
            <w:r>
              <w:rPr>
                <w:rFonts w:ascii="Arial" w:cs="Arial" w:eastAsia="Arial" w:hAnsi="Arial"/>
                <w:sz w:val="18"/>
                <w:szCs w:val="18"/>
                <w:color w:val="auto"/>
              </w:rPr>
              <w:t>913.2</w:t>
            </w:r>
          </w:p>
        </w:tc>
        <w:tc>
          <w:tcPr>
            <w:tcW w:w="560" w:type="dxa"/>
            <w:vAlign w:val="bottom"/>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900.4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GAAP revenue growth</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20" w:type="dxa"/>
            <w:vAlign w:val="bottom"/>
            <w:shd w:val="clear" w:color="auto" w:fill="F4F4F4"/>
          </w:tcPr>
          <w:p>
            <w:pPr>
              <w:ind w:left="140"/>
              <w:spacing w:after="0" w:line="230" w:lineRule="exact"/>
              <w:rPr>
                <w:sz w:val="20"/>
                <w:szCs w:val="20"/>
                <w:color w:val="auto"/>
              </w:rPr>
            </w:pPr>
            <w:r>
              <w:rPr>
                <w:rFonts w:ascii="Arial" w:cs="Arial" w:eastAsia="Arial" w:hAnsi="Arial"/>
                <w:sz w:val="18"/>
                <w:szCs w:val="18"/>
                <w:color w:val="auto"/>
              </w:rPr>
              <w:t xml:space="preserve">(Less) Add: Non-GAAP acquisition-related revenue </w:t>
            </w:r>
            <w:r>
              <w:rPr>
                <w:rFonts w:ascii="Arial" w:cs="Arial" w:eastAsia="Arial" w:hAnsi="Arial"/>
                <w:sz w:val="23"/>
                <w:szCs w:val="23"/>
                <w:color w:val="auto"/>
                <w:vertAlign w:val="superscript"/>
              </w:rPr>
              <w:t>(1)</w:t>
            </w:r>
          </w:p>
        </w:tc>
        <w:tc>
          <w:tcPr>
            <w:tcW w:w="560" w:type="dxa"/>
            <w:vAlign w:val="bottom"/>
            <w:tcBorders>
              <w:bottom w:val="single" w:sz="8" w:color="auto"/>
            </w:tcBorders>
            <w:shd w:val="clear" w:color="auto" w:fill="F4F4F4"/>
          </w:tcPr>
          <w:p>
            <w:pPr>
              <w:spacing w:after="0"/>
              <w:rPr>
                <w:sz w:val="19"/>
                <w:szCs w:val="19"/>
                <w:color w:val="auto"/>
              </w:rPr>
            </w:pPr>
          </w:p>
        </w:tc>
        <w:tc>
          <w:tcPr>
            <w:tcW w:w="1140" w:type="dxa"/>
            <w:vAlign w:val="bottom"/>
            <w:tcBorders>
              <w:bottom w:val="single" w:sz="8" w:color="auto"/>
            </w:tcBorders>
            <w:shd w:val="clear" w:color="auto" w:fill="F4F4F4"/>
          </w:tcPr>
          <w:p>
            <w:pPr>
              <w:jc w:val="right"/>
              <w:ind w:right="15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020" w:type="dxa"/>
            <w:vAlign w:val="bottom"/>
            <w:tcBorders>
              <w:bottom w:val="single" w:sz="8" w:color="F4F4F4"/>
            </w:tcBorders>
          </w:tcPr>
          <w:p>
            <w:pPr>
              <w:ind w:left="20"/>
              <w:spacing w:after="0" w:line="223" w:lineRule="exact"/>
              <w:rPr>
                <w:sz w:val="20"/>
                <w:szCs w:val="20"/>
                <w:color w:val="auto"/>
              </w:rPr>
            </w:pPr>
            <w:r>
              <w:rPr>
                <w:rFonts w:ascii="Arial" w:cs="Arial" w:eastAsia="Arial" w:hAnsi="Arial"/>
                <w:sz w:val="18"/>
                <w:szCs w:val="18"/>
                <w:color w:val="auto"/>
              </w:rPr>
              <w:t xml:space="preserve">Non-GAAP organic revenue </w:t>
            </w:r>
            <w:r>
              <w:rPr>
                <w:rFonts w:ascii="Arial" w:cs="Arial" w:eastAsia="Arial" w:hAnsi="Arial"/>
                <w:sz w:val="23"/>
                <w:szCs w:val="23"/>
                <w:color w:val="auto"/>
                <w:vertAlign w:val="superscript"/>
              </w:rPr>
              <w:t>(2)</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913.2</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902.4</w:t>
            </w:r>
          </w:p>
        </w:tc>
      </w:tr>
      <w:tr>
        <w:trPr>
          <w:trHeight w:val="223"/>
        </w:trPr>
        <w:tc>
          <w:tcPr>
            <w:tcW w:w="80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Non-GAAP organic revenue growth</w:t>
            </w:r>
          </w:p>
        </w:tc>
        <w:tc>
          <w:tcPr>
            <w:tcW w:w="56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b w:val="1"/>
                <w:bCs w:val="1"/>
                <w:color w:val="auto"/>
              </w:rPr>
              <w:t>1.2 %</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r>
      <w:tr>
        <w:trPr>
          <w:trHeight w:val="257"/>
        </w:trPr>
        <w:tc>
          <w:tcPr>
            <w:tcW w:w="8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802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 xml:space="preserve">Non-GAAP organic revenue </w:t>
            </w:r>
            <w:r>
              <w:rPr>
                <w:rFonts w:ascii="Arial" w:cs="Arial" w:eastAsia="Arial" w:hAnsi="Arial"/>
                <w:sz w:val="23"/>
                <w:szCs w:val="23"/>
                <w:color w:val="auto"/>
                <w:vertAlign w:val="superscript"/>
              </w:rPr>
              <w:t>(2)</w:t>
            </w:r>
          </w:p>
        </w:tc>
        <w:tc>
          <w:tcPr>
            <w:tcW w:w="56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152"/>
              <w:spacing w:after="0"/>
              <w:rPr>
                <w:sz w:val="20"/>
                <w:szCs w:val="20"/>
                <w:color w:val="auto"/>
              </w:rPr>
            </w:pPr>
            <w:r>
              <w:rPr>
                <w:rFonts w:ascii="Arial" w:cs="Arial" w:eastAsia="Arial" w:hAnsi="Arial"/>
                <w:sz w:val="18"/>
                <w:szCs w:val="18"/>
                <w:color w:val="auto"/>
              </w:rPr>
              <w:t>913.2</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902.4</w:t>
            </w:r>
          </w:p>
        </w:tc>
      </w:tr>
      <w:tr>
        <w:trPr>
          <w:trHeight w:val="229"/>
        </w:trPr>
        <w:tc>
          <w:tcPr>
            <w:tcW w:w="8020" w:type="dxa"/>
            <w:vAlign w:val="bottom"/>
            <w:tcBorders>
              <w:bottom w:val="single" w:sz="8" w:color="F4F4F4"/>
            </w:tcBorders>
          </w:tcPr>
          <w:p>
            <w:pPr>
              <w:ind w:left="20"/>
              <w:spacing w:after="0" w:line="230" w:lineRule="exact"/>
              <w:rPr>
                <w:sz w:val="20"/>
                <w:szCs w:val="20"/>
                <w:color w:val="auto"/>
              </w:rPr>
            </w:pPr>
            <w:r>
              <w:rPr>
                <w:rFonts w:ascii="Arial" w:cs="Arial" w:eastAsia="Arial" w:hAnsi="Arial"/>
                <w:sz w:val="18"/>
                <w:szCs w:val="18"/>
                <w:color w:val="auto"/>
              </w:rPr>
              <w:t xml:space="preserve">Foreign currency impact on Non-GAAP organic revenue </w:t>
            </w:r>
            <w:r>
              <w:rPr>
                <w:rFonts w:ascii="Arial" w:cs="Arial" w:eastAsia="Arial" w:hAnsi="Arial"/>
                <w:sz w:val="23"/>
                <w:szCs w:val="23"/>
                <w:color w:val="auto"/>
                <w:vertAlign w:val="superscript"/>
              </w:rPr>
              <w:t>(3)</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0.8</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F4F4F4"/>
          </w:tcPr>
          <w:p>
            <w:pPr>
              <w:ind w:left="20"/>
              <w:spacing w:after="0" w:line="223" w:lineRule="exact"/>
              <w:rPr>
                <w:sz w:val="20"/>
                <w:szCs w:val="20"/>
                <w:color w:val="auto"/>
              </w:rPr>
            </w:pPr>
            <w:r>
              <w:rPr>
                <w:rFonts w:ascii="Arial" w:cs="Arial" w:eastAsia="Arial" w:hAnsi="Arial"/>
                <w:sz w:val="18"/>
                <w:szCs w:val="18"/>
                <w:color w:val="auto"/>
              </w:rPr>
              <w:t xml:space="preserve">Non-GAAP organic revenue on constant currency basis </w:t>
            </w:r>
            <w:r>
              <w:rPr>
                <w:rFonts w:ascii="Arial" w:cs="Arial" w:eastAsia="Arial" w:hAnsi="Arial"/>
                <w:sz w:val="23"/>
                <w:szCs w:val="23"/>
                <w:color w:val="auto"/>
                <w:vertAlign w:val="superscript"/>
              </w:rPr>
              <w:t>(3)</w:t>
            </w: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F4F4F4"/>
          </w:tcPr>
          <w:p>
            <w:pPr>
              <w:jc w:val="right"/>
              <w:ind w:right="152"/>
              <w:spacing w:after="0"/>
              <w:rPr>
                <w:sz w:val="20"/>
                <w:szCs w:val="20"/>
                <w:color w:val="auto"/>
              </w:rPr>
            </w:pPr>
            <w:r>
              <w:rPr>
                <w:rFonts w:ascii="Arial" w:cs="Arial" w:eastAsia="Arial" w:hAnsi="Arial"/>
                <w:sz w:val="18"/>
                <w:szCs w:val="18"/>
                <w:color w:val="auto"/>
              </w:rPr>
              <w:t>914.0</w:t>
            </w: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902.4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Non-GAAP organic revenue growth on constant currency basis</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6"/>
        </w:trPr>
        <w:tc>
          <w:tcPr>
            <w:tcW w:w="8020" w:type="dxa"/>
            <w:vAlign w:val="bottom"/>
            <w:shd w:val="clear" w:color="auto" w:fill="F4F4F4"/>
          </w:tcPr>
          <w:p>
            <w:pPr>
              <w:spacing w:after="0"/>
              <w:rPr>
                <w:sz w:val="22"/>
                <w:szCs w:val="22"/>
                <w:color w:val="auto"/>
              </w:rPr>
            </w:pPr>
          </w:p>
        </w:tc>
        <w:tc>
          <w:tcPr>
            <w:tcW w:w="560" w:type="dxa"/>
            <w:vAlign w:val="bottom"/>
            <w:shd w:val="clear" w:color="auto" w:fill="F4F4F4"/>
          </w:tcPr>
          <w:p>
            <w:pPr>
              <w:spacing w:after="0"/>
              <w:rPr>
                <w:sz w:val="22"/>
                <w:szCs w:val="22"/>
                <w:color w:val="auto"/>
              </w:rPr>
            </w:pPr>
          </w:p>
        </w:tc>
        <w:tc>
          <w:tcPr>
            <w:tcW w:w="1140" w:type="dxa"/>
            <w:vAlign w:val="bottom"/>
            <w:shd w:val="clear" w:color="auto" w:fill="F4F4F4"/>
          </w:tcPr>
          <w:p>
            <w:pPr>
              <w:spacing w:after="0"/>
              <w:rPr>
                <w:sz w:val="22"/>
                <w:szCs w:val="22"/>
                <w:color w:val="auto"/>
              </w:rPr>
            </w:pPr>
          </w:p>
        </w:tc>
        <w:tc>
          <w:tcPr>
            <w:tcW w:w="560" w:type="dxa"/>
            <w:vAlign w:val="bottom"/>
            <w:shd w:val="clear" w:color="auto" w:fill="F4F4F4"/>
          </w:tcPr>
          <w:p>
            <w:pPr>
              <w:spacing w:after="0"/>
              <w:rPr>
                <w:sz w:val="22"/>
                <w:szCs w:val="22"/>
                <w:color w:val="auto"/>
              </w:rPr>
            </w:pPr>
          </w:p>
        </w:tc>
        <w:tc>
          <w:tcPr>
            <w:tcW w:w="960" w:type="dxa"/>
            <w:vAlign w:val="bottom"/>
            <w:shd w:val="clear" w:color="auto" w:fill="F4F4F4"/>
          </w:tcPr>
          <w:p>
            <w:pPr>
              <w:spacing w:after="0"/>
              <w:rPr>
                <w:sz w:val="22"/>
                <w:szCs w:val="22"/>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GAAP recurring revenue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850.7</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831.6</w:t>
            </w:r>
          </w:p>
        </w:tc>
      </w:tr>
      <w:tr>
        <w:trPr>
          <w:trHeight w:val="229"/>
        </w:trPr>
        <w:tc>
          <w:tcPr>
            <w:tcW w:w="80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GAAP recurring revenue growth</w:t>
            </w:r>
          </w:p>
        </w:tc>
        <w:tc>
          <w:tcPr>
            <w:tcW w:w="56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b w:val="1"/>
                <w:bCs w:val="1"/>
                <w:color w:val="auto"/>
              </w:rPr>
              <w:t>2.3 %</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r>
      <w:tr>
        <w:trPr>
          <w:trHeight w:val="229"/>
        </w:trPr>
        <w:tc>
          <w:tcPr>
            <w:tcW w:w="8020" w:type="dxa"/>
            <w:vAlign w:val="bottom"/>
            <w:tcBorders>
              <w:bottom w:val="single" w:sz="8" w:color="F4F4F4"/>
            </w:tcBorders>
          </w:tcPr>
          <w:p>
            <w:pPr>
              <w:ind w:left="140"/>
              <w:spacing w:after="0" w:line="230" w:lineRule="exact"/>
              <w:rPr>
                <w:sz w:val="20"/>
                <w:szCs w:val="20"/>
                <w:color w:val="auto"/>
              </w:rPr>
            </w:pPr>
            <w:r>
              <w:rPr>
                <w:rFonts w:ascii="Arial" w:cs="Arial" w:eastAsia="Arial" w:hAnsi="Arial"/>
                <w:sz w:val="18"/>
                <w:szCs w:val="18"/>
                <w:color w:val="auto"/>
              </w:rPr>
              <w:t xml:space="preserve">(Less) Add: Non-GAAP acquisition-related revenue </w:t>
            </w:r>
            <w:r>
              <w:rPr>
                <w:rFonts w:ascii="Arial" w:cs="Arial" w:eastAsia="Arial" w:hAnsi="Arial"/>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020" w:type="dxa"/>
            <w:vAlign w:val="bottom"/>
            <w:shd w:val="clear" w:color="auto" w:fill="F4F4F4"/>
          </w:tcPr>
          <w:p>
            <w:pPr>
              <w:ind w:left="20"/>
              <w:spacing w:after="0"/>
              <w:rPr>
                <w:sz w:val="20"/>
                <w:szCs w:val="20"/>
                <w:color w:val="auto"/>
              </w:rPr>
            </w:pPr>
            <w:r>
              <w:rPr>
                <w:rFonts w:ascii="Arial" w:cs="Arial" w:eastAsia="Arial" w:hAnsi="Arial"/>
                <w:sz w:val="18"/>
                <w:szCs w:val="18"/>
                <w:color w:val="auto"/>
              </w:rPr>
              <w:t>Non-GAAP organic recurring revenue</w:t>
            </w: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F4F4F4"/>
          </w:tcPr>
          <w:p>
            <w:pPr>
              <w:jc w:val="right"/>
              <w:ind w:right="152"/>
              <w:spacing w:after="0"/>
              <w:rPr>
                <w:sz w:val="20"/>
                <w:szCs w:val="20"/>
                <w:color w:val="auto"/>
              </w:rPr>
            </w:pPr>
            <w:r>
              <w:rPr>
                <w:rFonts w:ascii="Arial" w:cs="Arial" w:eastAsia="Arial" w:hAnsi="Arial"/>
                <w:sz w:val="18"/>
                <w:szCs w:val="18"/>
                <w:color w:val="auto"/>
              </w:rPr>
              <w:t>850.7</w:t>
            </w: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833.5</w:t>
            </w:r>
          </w:p>
        </w:tc>
      </w:tr>
      <w:tr>
        <w:trPr>
          <w:trHeight w:val="223"/>
        </w:trPr>
        <w:tc>
          <w:tcPr>
            <w:tcW w:w="8020" w:type="dxa"/>
            <w:vAlign w:val="bottom"/>
            <w:tcBorders>
              <w:bottom w:val="single" w:sz="8" w:color="71BF43"/>
            </w:tcBorders>
          </w:tcPr>
          <w:p>
            <w:pPr>
              <w:ind w:left="20"/>
              <w:spacing w:after="0"/>
              <w:rPr>
                <w:sz w:val="20"/>
                <w:szCs w:val="20"/>
                <w:color w:val="auto"/>
              </w:rPr>
            </w:pPr>
            <w:r>
              <w:rPr>
                <w:rFonts w:ascii="Arial" w:cs="Arial" w:eastAsia="Arial" w:hAnsi="Arial"/>
                <w:sz w:val="18"/>
                <w:szCs w:val="18"/>
                <w:b w:val="1"/>
                <w:bCs w:val="1"/>
                <w:color w:val="auto"/>
              </w:rPr>
              <w:t>Non-GAAP organic recurring revenue growth</w:t>
            </w:r>
          </w:p>
        </w:tc>
        <w:tc>
          <w:tcPr>
            <w:tcW w:w="560" w:type="dxa"/>
            <w:vAlign w:val="bottom"/>
            <w:tcBorders>
              <w:bottom w:val="single" w:sz="8" w:color="71BF43"/>
            </w:tcBorders>
          </w:tcPr>
          <w:p>
            <w:pPr>
              <w:spacing w:after="0"/>
              <w:rPr>
                <w:sz w:val="19"/>
                <w:szCs w:val="19"/>
                <w:color w:val="auto"/>
              </w:rPr>
            </w:pPr>
          </w:p>
        </w:tc>
        <w:tc>
          <w:tcPr>
            <w:tcW w:w="1140" w:type="dxa"/>
            <w:vAlign w:val="bottom"/>
            <w:tcBorders>
              <w:bottom w:val="single" w:sz="8" w:color="71BF43"/>
            </w:tcBorders>
          </w:tcPr>
          <w:p>
            <w:pPr>
              <w:jc w:val="right"/>
              <w:spacing w:after="0"/>
              <w:rPr>
                <w:sz w:val="20"/>
                <w:szCs w:val="20"/>
                <w:color w:val="auto"/>
              </w:rPr>
            </w:pPr>
            <w:r>
              <w:rPr>
                <w:rFonts w:ascii="Arial" w:cs="Arial" w:eastAsia="Arial" w:hAnsi="Arial"/>
                <w:sz w:val="18"/>
                <w:szCs w:val="18"/>
                <w:b w:val="1"/>
                <w:bCs w:val="1"/>
                <w:color w:val="auto"/>
              </w:rPr>
              <w:t>2.1 %</w:t>
            </w:r>
          </w:p>
        </w:tc>
        <w:tc>
          <w:tcPr>
            <w:tcW w:w="560" w:type="dxa"/>
            <w:vAlign w:val="bottom"/>
            <w:tcBorders>
              <w:bottom w:val="single" w:sz="8" w:color="71BF43"/>
            </w:tcBorders>
          </w:tcPr>
          <w:p>
            <w:pPr>
              <w:spacing w:after="0"/>
              <w:rPr>
                <w:sz w:val="19"/>
                <w:szCs w:val="19"/>
                <w:color w:val="auto"/>
              </w:rPr>
            </w:pPr>
          </w:p>
        </w:tc>
        <w:tc>
          <w:tcPr>
            <w:tcW w:w="960" w:type="dxa"/>
            <w:vAlign w:val="bottom"/>
            <w:tcBorders>
              <w:bottom w:val="single" w:sz="8" w:color="71BF43"/>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-2553970</wp:posOffset>
            </wp:positionV>
            <wp:extent cx="2040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66" w:lineRule="exact"/>
        <w:rPr>
          <w:sz w:val="20"/>
          <w:szCs w:val="20"/>
          <w:color w:val="auto"/>
        </w:rPr>
      </w:pPr>
    </w:p>
    <w:p>
      <w:pPr>
        <w:jc w:val="both"/>
        <w:ind w:left="340" w:hanging="332"/>
        <w:spacing w:after="0" w:line="241" w:lineRule="auto"/>
        <w:tabs>
          <w:tab w:leader="none" w:pos="354"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acquired in the immediately preceding fiscal year, non-GAAP acquisition-related revenue reflects presentation of full-year incremental non-GAAP revenue derived from such companies, as if they were combined throughout the prior period, and it includes the current period non-GAAP revenue from the acquisition-related deferred revenue write-down attributable to those companies.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54"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hanging="332"/>
        <w:spacing w:after="0" w:line="249" w:lineRule="auto"/>
        <w:tabs>
          <w:tab w:leader="none" w:pos="354" w:val="left"/>
        </w:tabs>
        <w:numPr>
          <w:ilvl w:val="0"/>
          <w:numId w:val="49"/>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of 40 is defined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acquisition-related deferred revenue write-down; stock-based compensation; acquisition-related integration costs; acquisition-related expenses; employee severance; and restructuring and other real estate activities.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shd w:val="clear" w:color="auto" w:fill="ACACAC"/>
          </w:tcPr>
          <w:p>
            <w:pPr>
              <w:spacing w:after="0"/>
              <w:rPr>
                <w:sz w:val="16"/>
                <w:szCs w:val="16"/>
                <w:color w:val="auto"/>
              </w:rPr>
            </w:pPr>
          </w:p>
        </w:tc>
        <w:tc>
          <w:tcPr>
            <w:tcW w:w="560" w:type="dxa"/>
            <w:vAlign w:val="bottom"/>
            <w:shd w:val="clear" w:color="auto" w:fill="ACACAC"/>
          </w:tcPr>
          <w:p>
            <w:pPr>
              <w:spacing w:after="0"/>
              <w:rPr>
                <w:sz w:val="16"/>
                <w:szCs w:val="16"/>
                <w:color w:val="auto"/>
              </w:rPr>
            </w:pPr>
          </w:p>
        </w:tc>
        <w:tc>
          <w:tcPr>
            <w:tcW w:w="26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80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56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6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30"/>
        </w:trPr>
        <w:tc>
          <w:tcPr>
            <w:tcW w:w="8020" w:type="dxa"/>
            <w:vAlign w:val="bottom"/>
            <w:shd w:val="clear" w:color="auto" w:fill="F4F4F4"/>
          </w:tcPr>
          <w:p>
            <w:pPr>
              <w:ind w:left="20"/>
              <w:spacing w:after="0"/>
              <w:rPr>
                <w:sz w:val="20"/>
                <w:szCs w:val="20"/>
                <w:color w:val="auto"/>
              </w:rPr>
            </w:pPr>
            <w:r>
              <w:rPr>
                <w:rFonts w:ascii="Arial" w:cs="Arial" w:eastAsia="Arial" w:hAnsi="Arial"/>
                <w:sz w:val="18"/>
                <w:szCs w:val="18"/>
                <w:color w:val="auto"/>
              </w:rPr>
              <w:t>GAAP net income</w:t>
            </w:r>
          </w:p>
        </w:tc>
        <w:tc>
          <w:tcPr>
            <w:tcW w:w="560" w:type="dxa"/>
            <w:vAlign w:val="bottom"/>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ind w:right="152"/>
              <w:spacing w:after="0"/>
              <w:rPr>
                <w:sz w:val="20"/>
                <w:szCs w:val="20"/>
                <w:color w:val="auto"/>
              </w:rPr>
            </w:pPr>
            <w:r>
              <w:rPr>
                <w:rFonts w:ascii="Arial" w:cs="Arial" w:eastAsia="Arial" w:hAnsi="Arial"/>
                <w:sz w:val="18"/>
                <w:szCs w:val="18"/>
                <w:color w:val="auto"/>
              </w:rPr>
              <w:t>7.7</w:t>
            </w:r>
          </w:p>
        </w:tc>
        <w:tc>
          <w:tcPr>
            <w:tcW w:w="560" w:type="dxa"/>
            <w:vAlign w:val="bottom"/>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Interest, net</w:t>
            </w:r>
          </w:p>
        </w:tc>
        <w:tc>
          <w:tcPr>
            <w:tcW w:w="56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152"/>
              <w:spacing w:after="0"/>
              <w:rPr>
                <w:sz w:val="20"/>
                <w:szCs w:val="20"/>
                <w:color w:val="auto"/>
              </w:rPr>
            </w:pPr>
            <w:r>
              <w:rPr>
                <w:rFonts w:ascii="Arial" w:cs="Arial" w:eastAsia="Arial" w:hAnsi="Arial"/>
                <w:sz w:val="18"/>
                <w:szCs w:val="18"/>
                <w:color w:val="auto"/>
              </w:rPr>
              <w:t>15.6</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Add: GAAP income tax provision (benefit)</w:t>
            </w:r>
          </w:p>
        </w:tc>
        <w:tc>
          <w:tcPr>
            <w:tcW w:w="56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13.9</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020" w:type="dxa"/>
            <w:vAlign w:val="bottom"/>
            <w:shd w:val="clear" w:color="auto" w:fill="F4F4F4"/>
          </w:tcPr>
          <w:p>
            <w:pPr>
              <w:ind w:left="140"/>
              <w:spacing w:after="0" w:line="230" w:lineRule="exact"/>
              <w:rPr>
                <w:sz w:val="20"/>
                <w:szCs w:val="20"/>
                <w:color w:val="auto"/>
              </w:rPr>
            </w:pPr>
            <w:r>
              <w:rPr>
                <w:rFonts w:ascii="Arial" w:cs="Arial" w:eastAsia="Arial" w:hAnsi="Arial"/>
                <w:sz w:val="18"/>
                <w:szCs w:val="18"/>
                <w:color w:val="auto"/>
              </w:rPr>
              <w:t>Add: Depreciation</w:t>
            </w:r>
            <w:r>
              <w:rPr>
                <w:rFonts w:ascii="Arial" w:cs="Arial" w:eastAsia="Arial" w:hAnsi="Arial"/>
                <w:sz w:val="23"/>
                <w:szCs w:val="23"/>
                <w:color w:val="auto"/>
                <w:vertAlign w:val="superscript"/>
              </w:rPr>
              <w:t>(1)</w:t>
            </w:r>
          </w:p>
        </w:tc>
        <w:tc>
          <w:tcPr>
            <w:tcW w:w="56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152"/>
              <w:spacing w:after="0"/>
              <w:rPr>
                <w:sz w:val="20"/>
                <w:szCs w:val="20"/>
                <w:color w:val="auto"/>
              </w:rPr>
            </w:pPr>
            <w:r>
              <w:rPr>
                <w:rFonts w:ascii="Arial" w:cs="Arial" w:eastAsia="Arial" w:hAnsi="Arial"/>
                <w:sz w:val="18"/>
                <w:szCs w:val="18"/>
                <w:color w:val="auto"/>
              </w:rPr>
              <w:t>14.6</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Add: Amortization of intangibles from business combinations</w:t>
            </w:r>
          </w:p>
        </w:tc>
        <w:tc>
          <w:tcPr>
            <w:tcW w:w="56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41.9</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29"/>
        </w:trPr>
        <w:tc>
          <w:tcPr>
            <w:tcW w:w="8020" w:type="dxa"/>
            <w:vAlign w:val="bottom"/>
            <w:shd w:val="clear" w:color="auto" w:fill="F4F4F4"/>
          </w:tcPr>
          <w:p>
            <w:pPr>
              <w:ind w:left="140"/>
              <w:spacing w:after="0" w:line="230" w:lineRule="exact"/>
              <w:rPr>
                <w:sz w:val="20"/>
                <w:szCs w:val="20"/>
                <w:color w:val="auto"/>
              </w:rPr>
            </w:pPr>
            <w:r>
              <w:rPr>
                <w:rFonts w:ascii="Arial" w:cs="Arial" w:eastAsia="Arial" w:hAnsi="Arial"/>
                <w:sz w:val="18"/>
                <w:szCs w:val="18"/>
                <w:color w:val="auto"/>
              </w:rPr>
              <w:t>Add: Amortization of software development costs</w:t>
            </w:r>
            <w:r>
              <w:rPr>
                <w:rFonts w:ascii="Arial" w:cs="Arial" w:eastAsia="Arial" w:hAnsi="Arial"/>
                <w:sz w:val="23"/>
                <w:szCs w:val="23"/>
                <w:color w:val="auto"/>
                <w:vertAlign w:val="superscript"/>
              </w:rPr>
              <w:t>(2)</w:t>
            </w:r>
          </w:p>
        </w:tc>
        <w:tc>
          <w:tcPr>
            <w:tcW w:w="560" w:type="dxa"/>
            <w:vAlign w:val="bottom"/>
            <w:tcBorders>
              <w:bottom w:val="single" w:sz="8" w:color="auto"/>
            </w:tcBorders>
            <w:shd w:val="clear" w:color="auto" w:fill="F4F4F4"/>
          </w:tcPr>
          <w:p>
            <w:pPr>
              <w:spacing w:after="0"/>
              <w:rPr>
                <w:sz w:val="19"/>
                <w:szCs w:val="19"/>
                <w:color w:val="auto"/>
              </w:rPr>
            </w:pPr>
          </w:p>
        </w:tc>
        <w:tc>
          <w:tcPr>
            <w:tcW w:w="1140" w:type="dxa"/>
            <w:vAlign w:val="bottom"/>
            <w:tcBorders>
              <w:bottom w:val="single" w:sz="8" w:color="auto"/>
            </w:tcBorders>
            <w:shd w:val="clear" w:color="auto" w:fill="F4F4F4"/>
          </w:tcPr>
          <w:p>
            <w:pPr>
              <w:jc w:val="right"/>
              <w:ind w:right="152"/>
              <w:spacing w:after="0"/>
              <w:rPr>
                <w:sz w:val="20"/>
                <w:szCs w:val="20"/>
                <w:color w:val="auto"/>
              </w:rPr>
            </w:pPr>
            <w:r>
              <w:rPr>
                <w:rFonts w:ascii="Arial" w:cs="Arial" w:eastAsia="Arial" w:hAnsi="Arial"/>
                <w:sz w:val="18"/>
                <w:szCs w:val="18"/>
                <w:color w:val="auto"/>
              </w:rPr>
              <w:t>32.5</w:t>
            </w:r>
          </w:p>
        </w:tc>
        <w:tc>
          <w:tcPr>
            <w:tcW w:w="56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8020" w:type="dxa"/>
            <w:vAlign w:val="bottom"/>
            <w:tcBorders>
              <w:bottom w:val="single" w:sz="8" w:color="F4F4F4"/>
            </w:tcBorders>
          </w:tcPr>
          <w:p>
            <w:pPr>
              <w:ind w:left="360"/>
              <w:spacing w:after="0"/>
              <w:rPr>
                <w:sz w:val="20"/>
                <w:szCs w:val="20"/>
                <w:color w:val="auto"/>
              </w:rPr>
            </w:pPr>
            <w:r>
              <w:rPr>
                <w:rFonts w:ascii="Arial" w:cs="Arial" w:eastAsia="Arial" w:hAnsi="Arial"/>
                <w:sz w:val="18"/>
                <w:szCs w:val="18"/>
                <w:color w:val="auto"/>
              </w:rPr>
              <w:t>Subtotal</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118.5</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r>
      <w:tr>
        <w:trPr>
          <w:trHeight w:val="223"/>
        </w:trPr>
        <w:tc>
          <w:tcPr>
            <w:tcW w:w="8020" w:type="dxa"/>
            <w:vAlign w:val="bottom"/>
            <w:shd w:val="clear" w:color="auto" w:fill="F4F4F4"/>
          </w:tcPr>
          <w:p>
            <w:pPr>
              <w:ind w:left="20"/>
              <w:spacing w:after="0"/>
              <w:rPr>
                <w:sz w:val="20"/>
                <w:szCs w:val="20"/>
                <w:color w:val="auto"/>
              </w:rPr>
            </w:pPr>
            <w:r>
              <w:rPr>
                <w:rFonts w:ascii="Arial" w:cs="Arial" w:eastAsia="Arial" w:hAnsi="Arial"/>
                <w:sz w:val="18"/>
                <w:szCs w:val="18"/>
                <w:color w:val="auto"/>
              </w:rPr>
              <w:t>Non-GAAP EBITDA</w:t>
            </w: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F4F4F4"/>
          </w:tcPr>
          <w:p>
            <w:pPr>
              <w:jc w:val="right"/>
              <w:ind w:right="152"/>
              <w:spacing w:after="0"/>
              <w:rPr>
                <w:sz w:val="20"/>
                <w:szCs w:val="20"/>
                <w:color w:val="auto"/>
              </w:rPr>
            </w:pPr>
            <w:r>
              <w:rPr>
                <w:rFonts w:ascii="Arial" w:cs="Arial" w:eastAsia="Arial" w:hAnsi="Arial"/>
                <w:sz w:val="18"/>
                <w:szCs w:val="18"/>
                <w:color w:val="auto"/>
              </w:rPr>
              <w:t>126.3</w:t>
            </w: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114.5</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Non-GAAP EBITDA margin</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13.8 %</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48"/>
        </w:trPr>
        <w:tc>
          <w:tcPr>
            <w:tcW w:w="8020" w:type="dxa"/>
            <w:vAlign w:val="bottom"/>
            <w:shd w:val="clear" w:color="auto" w:fill="F4F4F4"/>
          </w:tcPr>
          <w:p>
            <w:pPr>
              <w:spacing w:after="0"/>
              <w:rPr>
                <w:sz w:val="12"/>
                <w:szCs w:val="12"/>
                <w:color w:val="auto"/>
              </w:rPr>
            </w:pPr>
          </w:p>
        </w:tc>
        <w:tc>
          <w:tcPr>
            <w:tcW w:w="560" w:type="dxa"/>
            <w:vAlign w:val="bottom"/>
            <w:shd w:val="clear" w:color="auto" w:fill="F4F4F4"/>
          </w:tcPr>
          <w:p>
            <w:pPr>
              <w:spacing w:after="0"/>
              <w:rPr>
                <w:sz w:val="12"/>
                <w:szCs w:val="12"/>
                <w:color w:val="auto"/>
              </w:rPr>
            </w:pPr>
          </w:p>
        </w:tc>
        <w:tc>
          <w:tcPr>
            <w:tcW w:w="1140" w:type="dxa"/>
            <w:vAlign w:val="bottom"/>
            <w:shd w:val="clear" w:color="auto" w:fill="F4F4F4"/>
          </w:tcPr>
          <w:p>
            <w:pPr>
              <w:spacing w:after="0"/>
              <w:rPr>
                <w:sz w:val="12"/>
                <w:szCs w:val="12"/>
                <w:color w:val="auto"/>
              </w:rPr>
            </w:pPr>
          </w:p>
        </w:tc>
        <w:tc>
          <w:tcPr>
            <w:tcW w:w="560" w:type="dxa"/>
            <w:vAlign w:val="bottom"/>
            <w:shd w:val="clear" w:color="auto" w:fill="F4F4F4"/>
          </w:tcPr>
          <w:p>
            <w:pPr>
              <w:spacing w:after="0"/>
              <w:rPr>
                <w:sz w:val="12"/>
                <w:szCs w:val="12"/>
                <w:color w:val="auto"/>
              </w:rPr>
            </w:pPr>
          </w:p>
        </w:tc>
        <w:tc>
          <w:tcPr>
            <w:tcW w:w="960" w:type="dxa"/>
            <w:vAlign w:val="bottom"/>
            <w:shd w:val="clear" w:color="auto" w:fill="F4F4F4"/>
          </w:tcPr>
          <w:p>
            <w:pPr>
              <w:spacing w:after="0"/>
              <w:rPr>
                <w:sz w:val="12"/>
                <w:szCs w:val="12"/>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Acquisition-related deferred revenue write-down</w:t>
            </w:r>
          </w:p>
        </w:tc>
        <w:tc>
          <w:tcPr>
            <w:tcW w:w="56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152"/>
              <w:spacing w:after="0"/>
              <w:rPr>
                <w:sz w:val="20"/>
                <w:szCs w:val="20"/>
                <w:color w:val="auto"/>
              </w:rPr>
            </w:pPr>
            <w:r>
              <w:rPr>
                <w:rFonts w:ascii="Arial" w:cs="Arial" w:eastAsia="Arial" w:hAnsi="Arial"/>
                <w:sz w:val="18"/>
                <w:szCs w:val="18"/>
                <w:color w:val="auto"/>
              </w:rPr>
              <w:t>—</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Add: Stock-based compensation expense</w:t>
            </w:r>
          </w:p>
        </w:tc>
        <w:tc>
          <w:tcPr>
            <w:tcW w:w="56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87.3</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80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Employee severance</w:t>
            </w:r>
          </w:p>
        </w:tc>
        <w:tc>
          <w:tcPr>
            <w:tcW w:w="56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152"/>
              <w:spacing w:after="0"/>
              <w:rPr>
                <w:sz w:val="20"/>
                <w:szCs w:val="20"/>
                <w:color w:val="auto"/>
              </w:rPr>
            </w:pPr>
            <w:r>
              <w:rPr>
                <w:rFonts w:ascii="Arial" w:cs="Arial" w:eastAsia="Arial" w:hAnsi="Arial"/>
                <w:sz w:val="18"/>
                <w:szCs w:val="18"/>
                <w:color w:val="auto"/>
              </w:rPr>
              <w:t>4.9</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Add: Acquisition-related integration costs</w:t>
            </w:r>
          </w:p>
        </w:tc>
        <w:tc>
          <w:tcPr>
            <w:tcW w:w="56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0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Acquisition-related expenses</w:t>
            </w:r>
          </w:p>
        </w:tc>
        <w:tc>
          <w:tcPr>
            <w:tcW w:w="56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152"/>
              <w:spacing w:after="0"/>
              <w:rPr>
                <w:sz w:val="20"/>
                <w:szCs w:val="20"/>
                <w:color w:val="auto"/>
              </w:rPr>
            </w:pPr>
            <w:r>
              <w:rPr>
                <w:rFonts w:ascii="Arial" w:cs="Arial" w:eastAsia="Arial" w:hAnsi="Arial"/>
                <w:sz w:val="18"/>
                <w:szCs w:val="18"/>
                <w:color w:val="auto"/>
              </w:rPr>
              <w:t>0.4</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02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Add: Restructuring and other real estate activities</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020" w:type="dxa"/>
            <w:vAlign w:val="bottom"/>
            <w:shd w:val="clear" w:color="auto" w:fill="F4F4F4"/>
          </w:tcPr>
          <w:p>
            <w:pPr>
              <w:ind w:left="360"/>
              <w:spacing w:after="0"/>
              <w:rPr>
                <w:sz w:val="20"/>
                <w:szCs w:val="20"/>
                <w:color w:val="auto"/>
              </w:rPr>
            </w:pPr>
            <w:r>
              <w:rPr>
                <w:rFonts w:ascii="Arial" w:cs="Arial" w:eastAsia="Arial" w:hAnsi="Arial"/>
                <w:sz w:val="18"/>
                <w:szCs w:val="18"/>
                <w:color w:val="auto"/>
              </w:rPr>
              <w:t>Subtotal</w:t>
            </w:r>
          </w:p>
        </w:tc>
        <w:tc>
          <w:tcPr>
            <w:tcW w:w="560" w:type="dxa"/>
            <w:vAlign w:val="bottom"/>
            <w:tcBorders>
              <w:bottom w:val="single" w:sz="8" w:color="auto"/>
            </w:tcBorders>
            <w:shd w:val="clear" w:color="auto" w:fill="F4F4F4"/>
          </w:tcPr>
          <w:p>
            <w:pPr>
              <w:spacing w:after="0"/>
              <w:rPr>
                <w:sz w:val="19"/>
                <w:szCs w:val="19"/>
                <w:color w:val="auto"/>
              </w:rPr>
            </w:pPr>
          </w:p>
        </w:tc>
        <w:tc>
          <w:tcPr>
            <w:tcW w:w="1140" w:type="dxa"/>
            <w:vAlign w:val="bottom"/>
            <w:tcBorders>
              <w:bottom w:val="single" w:sz="8" w:color="auto"/>
            </w:tcBorders>
            <w:shd w:val="clear" w:color="auto" w:fill="F4F4F4"/>
          </w:tcPr>
          <w:p>
            <w:pPr>
              <w:jc w:val="right"/>
              <w:ind w:right="152"/>
              <w:spacing w:after="0"/>
              <w:rPr>
                <w:sz w:val="20"/>
                <w:szCs w:val="20"/>
                <w:color w:val="auto"/>
              </w:rPr>
            </w:pPr>
            <w:r>
              <w:rPr>
                <w:rFonts w:ascii="Arial" w:cs="Arial" w:eastAsia="Arial" w:hAnsi="Arial"/>
                <w:sz w:val="18"/>
                <w:szCs w:val="18"/>
                <w:color w:val="auto"/>
              </w:rPr>
              <w:t>115.6</w:t>
            </w:r>
          </w:p>
        </w:tc>
        <w:tc>
          <w:tcPr>
            <w:tcW w:w="56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74.4</w:t>
            </w:r>
          </w:p>
        </w:tc>
      </w:tr>
      <w:tr>
        <w:trPr>
          <w:trHeight w:val="223"/>
        </w:trPr>
        <w:tc>
          <w:tcPr>
            <w:tcW w:w="802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Adjusted Non-GAAP EBITDA</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241.9</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r>
      <w:tr>
        <w:trPr>
          <w:trHeight w:val="223"/>
        </w:trPr>
        <w:tc>
          <w:tcPr>
            <w:tcW w:w="802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Adjusted Non-GAAP EBITDA margin</w:t>
            </w:r>
          </w:p>
        </w:tc>
        <w:tc>
          <w:tcPr>
            <w:tcW w:w="56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b w:val="1"/>
                <w:bCs w:val="1"/>
                <w:color w:val="auto"/>
              </w:rPr>
              <w:t>26.5 %</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r>
      <w:tr>
        <w:trPr>
          <w:trHeight w:val="148"/>
        </w:trPr>
        <w:tc>
          <w:tcPr>
            <w:tcW w:w="8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30"/>
        </w:trPr>
        <w:tc>
          <w:tcPr>
            <w:tcW w:w="8020" w:type="dxa"/>
            <w:vAlign w:val="bottom"/>
            <w:tcBorders>
              <w:bottom w:val="single" w:sz="8" w:color="71BF43"/>
            </w:tcBorders>
            <w:shd w:val="clear" w:color="auto" w:fill="F4F4F4"/>
          </w:tcPr>
          <w:p>
            <w:pPr>
              <w:ind w:left="20"/>
              <w:spacing w:after="0" w:line="230" w:lineRule="exact"/>
              <w:rPr>
                <w:sz w:val="20"/>
                <w:szCs w:val="20"/>
                <w:color w:val="auto"/>
              </w:rPr>
            </w:pPr>
            <w:r>
              <w:rPr>
                <w:rFonts w:ascii="Arial" w:cs="Arial" w:eastAsia="Arial" w:hAnsi="Arial"/>
                <w:sz w:val="18"/>
                <w:szCs w:val="18"/>
                <w:b w:val="1"/>
                <w:bCs w:val="1"/>
                <w:color w:val="auto"/>
              </w:rPr>
              <w:t>Rule of 40</w:t>
            </w:r>
            <w:r>
              <w:rPr>
                <w:rFonts w:ascii="Arial" w:cs="Arial" w:eastAsia="Arial" w:hAnsi="Arial"/>
                <w:sz w:val="23"/>
                <w:szCs w:val="23"/>
                <w:b w:val="1"/>
                <w:bCs w:val="1"/>
                <w:color w:val="auto"/>
                <w:vertAlign w:val="superscript"/>
              </w:rPr>
              <w:t>(3)</w:t>
            </w:r>
          </w:p>
        </w:tc>
        <w:tc>
          <w:tcPr>
            <w:tcW w:w="560" w:type="dxa"/>
            <w:vAlign w:val="bottom"/>
            <w:tcBorders>
              <w:bottom w:val="single" w:sz="8" w:color="71BF43"/>
            </w:tcBorders>
            <w:shd w:val="clear" w:color="auto" w:fill="F4F4F4"/>
          </w:tcPr>
          <w:p>
            <w:pPr>
              <w:spacing w:after="0"/>
              <w:rPr>
                <w:sz w:val="19"/>
                <w:szCs w:val="19"/>
                <w:color w:val="auto"/>
              </w:rPr>
            </w:pP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b w:val="1"/>
                <w:bCs w:val="1"/>
                <w:color w:val="auto"/>
              </w:rPr>
              <w:t>27.7 %</w:t>
            </w:r>
          </w:p>
        </w:tc>
        <w:tc>
          <w:tcPr>
            <w:tcW w:w="560" w:type="dxa"/>
            <w:vAlign w:val="bottom"/>
            <w:tcBorders>
              <w:bottom w:val="single" w:sz="8" w:color="71BF43"/>
            </w:tcBorders>
            <w:shd w:val="clear" w:color="auto" w:fill="F4F4F4"/>
          </w:tcPr>
          <w:p>
            <w:pPr>
              <w:spacing w:after="0"/>
              <w:rPr>
                <w:sz w:val="19"/>
                <w:szCs w:val="19"/>
                <w:color w:val="auto"/>
              </w:rPr>
            </w:pPr>
          </w:p>
        </w:tc>
        <w:tc>
          <w:tcPr>
            <w:tcW w:w="960" w:type="dxa"/>
            <w:vAlign w:val="bottom"/>
            <w:tcBorders>
              <w:bottom w:val="single" w:sz="8" w:color="71BF43"/>
            </w:tcBorders>
            <w:shd w:val="clear" w:color="auto" w:fill="F4F4F4"/>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-3436620</wp:posOffset>
            </wp:positionV>
            <wp:extent cx="2040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2" w:lineRule="exact"/>
        <w:rPr>
          <w:sz w:val="20"/>
          <w:szCs w:val="20"/>
          <w:color w:val="auto"/>
        </w:rPr>
      </w:pPr>
    </w:p>
    <w:p>
      <w:pPr>
        <w:jc w:val="both"/>
        <w:ind w:left="340" w:hanging="332"/>
        <w:spacing w:after="0" w:line="241" w:lineRule="auto"/>
        <w:tabs>
          <w:tab w:leader="none" w:pos="354"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During the third quarter of 2020, we reduced the estimated useful lives of our operating lease right-of-use assets for certain of our office locations we expected to exit. For these same office locations, we also reduced the estimated useful lives of certain facilities-related fixed assets, which resulted in an increase in depreciation expense. The accelerated portion of the fixed asset depreciation expense related to these activities of $4.6 million for the year ended December 31, 2020 was presented in the "Restructuring and other real estate activities" line of the reconciliation of GAAP to non-GAAP financial measures. Total depreciation expense for the year ended December 31, 2020 was $19.2 million.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amortization expense related to software development costs and amortization expense from capitalized cloud computing implementation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Measured by non-GAAP organic revenue growth plus non-GAAP adjusted EBITDA margin. See Non-GAAP organic revenue growth table above.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revenues normally fluctuate as a result of certain seasonal variations in our business. Our transaction revenue has historically been at its lowest in the first quarter due to the timing of customer fundraising initiatives and events. Our revenue from payment services has historically increased during the fourth quarter due to year-end giving.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however, do not vary significantly as a result of these factors, but do fluctuate on a quarterly basis due to varying timing of expenditures. Our cash flow from operations normally fluctuates quarterly due to the combination of the timing of customer contract renewals including renewals associated with customers of</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50  </w:t>
      </w:r>
      <w:r>
        <w:rPr>
          <w:sz w:val="1"/>
          <w:szCs w:val="1"/>
          <w:color w:val="auto"/>
        </w:rPr>
        <w:drawing>
          <wp:inline distT="0" distB="0" distL="0" distR="0">
            <wp:extent cx="728345" cy="18859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acquired companies, delivery of professional services and occurrence of customer events, the payment of bonuses, as well as merit-based salary increases, among other factors. Historically, due to lower revenues in our first quarter, combined with the payment of bonuses from the prior year in our first quarter and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merit-based salary increases, which have historically been effective in April each year. Annual merit-based salary increases are expected to return in July 2021. In addition, deferred revenues can vary on a seasonal basis for the same reasons. Our cash flow from financing is negatively impacted in our first quarter when most of our equity awards vest, as we pay taxes on behalf of our employees related to the settlement or exercise of equity awards. These patterns may change as a result of the continued shift to online giving, growth in volume of transactions for which we process payments, or as a result of acquisitions, new market opportunities, new solution introductions, the COVID-19 pandemic or other factors.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2260" w:type="dxa"/>
            <w:vAlign w:val="bottom"/>
            <w:shd w:val="clear" w:color="auto" w:fill="ACACAC"/>
          </w:tcPr>
          <w:p>
            <w:pPr>
              <w:spacing w:after="0"/>
              <w:rPr>
                <w:sz w:val="14"/>
                <w:szCs w:val="14"/>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340" w:type="dxa"/>
            <w:vAlign w:val="bottom"/>
            <w:shd w:val="clear" w:color="auto" w:fill="ACACAC"/>
          </w:tcPr>
          <w:p>
            <w:pPr>
              <w:spacing w:after="0"/>
              <w:rPr>
                <w:sz w:val="14"/>
                <w:szCs w:val="14"/>
                <w:color w:val="auto"/>
              </w:rPr>
            </w:pPr>
          </w:p>
        </w:tc>
        <w:tc>
          <w:tcPr>
            <w:tcW w:w="1660" w:type="dxa"/>
            <w:vAlign w:val="bottom"/>
            <w:shd w:val="clear" w:color="auto" w:fill="ACACAC"/>
          </w:tcPr>
          <w:p>
            <w:pPr>
              <w:jc w:val="right"/>
              <w:ind w:right="415"/>
              <w:spacing w:after="0"/>
              <w:rPr>
                <w:sz w:val="20"/>
                <w:szCs w:val="20"/>
                <w:color w:val="auto"/>
              </w:rPr>
            </w:pPr>
            <w:r>
              <w:rPr>
                <w:rFonts w:ascii="Arial" w:cs="Arial" w:eastAsia="Arial" w:hAnsi="Arial"/>
                <w:sz w:val="14"/>
                <w:szCs w:val="14"/>
                <w:b w:val="1"/>
                <w:bCs w:val="1"/>
                <w:color w:val="FFFFFF"/>
              </w:rPr>
              <w:t>December 31,</w:t>
            </w:r>
          </w:p>
        </w:tc>
        <w:tc>
          <w:tcPr>
            <w:tcW w:w="12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176"/>
        </w:trPr>
        <w:tc>
          <w:tcPr>
            <w:tcW w:w="4580" w:type="dxa"/>
            <w:vAlign w:val="bottom"/>
            <w:vMerge w:val="continue"/>
            <w:shd w:val="clear" w:color="auto" w:fill="ACACAC"/>
          </w:tcPr>
          <w:p>
            <w:pPr>
              <w:spacing w:after="0"/>
              <w:rPr>
                <w:sz w:val="15"/>
                <w:szCs w:val="15"/>
                <w:color w:val="auto"/>
              </w:rPr>
            </w:pPr>
          </w:p>
        </w:tc>
        <w:tc>
          <w:tcPr>
            <w:tcW w:w="2260" w:type="dxa"/>
            <w:vAlign w:val="bottom"/>
            <w:shd w:val="clear" w:color="auto" w:fill="ACACAC"/>
          </w:tcPr>
          <w:p>
            <w:pPr>
              <w:spacing w:after="0"/>
              <w:rPr>
                <w:sz w:val="15"/>
                <w:szCs w:val="15"/>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40" w:type="dxa"/>
            <w:vAlign w:val="bottom"/>
            <w:shd w:val="clear" w:color="auto" w:fill="ACACAC"/>
          </w:tcPr>
          <w:p>
            <w:pPr>
              <w:spacing w:after="0"/>
              <w:rPr>
                <w:sz w:val="15"/>
                <w:szCs w:val="15"/>
                <w:color w:val="auto"/>
              </w:rPr>
            </w:pPr>
          </w:p>
        </w:tc>
        <w:tc>
          <w:tcPr>
            <w:tcW w:w="1660" w:type="dxa"/>
            <w:vAlign w:val="bottom"/>
            <w:shd w:val="clear" w:color="auto" w:fill="ACACAC"/>
          </w:tcPr>
          <w:p>
            <w:pPr>
              <w:jc w:val="right"/>
              <w:ind w:right="415"/>
              <w:spacing w:after="0"/>
              <w:rPr>
                <w:sz w:val="20"/>
                <w:szCs w:val="20"/>
                <w:color w:val="auto"/>
              </w:rPr>
            </w:pPr>
            <w:r>
              <w:rPr>
                <w:rFonts w:ascii="Arial" w:cs="Arial" w:eastAsia="Arial" w:hAnsi="Arial"/>
                <w:sz w:val="14"/>
                <w:szCs w:val="14"/>
                <w:b w:val="1"/>
                <w:bCs w:val="1"/>
                <w:color w:val="FFFFFF"/>
              </w:rPr>
              <w:t>2019</w:t>
            </w:r>
          </w:p>
        </w:tc>
        <w:tc>
          <w:tcPr>
            <w:tcW w:w="1200" w:type="dxa"/>
            <w:vAlign w:val="bottom"/>
            <w:vMerge w:val="continue"/>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F4F4F4"/>
          </w:tcPr>
          <w:p>
            <w:pPr>
              <w:ind w:left="20"/>
              <w:spacing w:after="0"/>
              <w:rPr>
                <w:sz w:val="20"/>
                <w:szCs w:val="20"/>
                <w:color w:val="auto"/>
              </w:rPr>
            </w:pPr>
            <w:r>
              <w:rPr>
                <w:rFonts w:ascii="Arial" w:cs="Arial" w:eastAsia="Arial" w:hAnsi="Arial"/>
                <w:sz w:val="18"/>
                <w:szCs w:val="18"/>
                <w:color w:val="auto"/>
              </w:rPr>
              <w:t>Cash and cash equivalents</w:t>
            </w:r>
          </w:p>
        </w:tc>
        <w:tc>
          <w:tcPr>
            <w:tcW w:w="22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35.8</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F4F4F4"/>
          </w:tcPr>
          <w:p>
            <w:pPr>
              <w:jc w:val="right"/>
              <w:ind w:right="475"/>
              <w:spacing w:after="0"/>
              <w:rPr>
                <w:sz w:val="20"/>
                <w:szCs w:val="20"/>
                <w:color w:val="auto"/>
              </w:rPr>
            </w:pPr>
            <w:r>
              <w:rPr>
                <w:rFonts w:ascii="Arial" w:cs="Arial" w:eastAsia="Arial" w:hAnsi="Arial"/>
                <w:sz w:val="18"/>
                <w:szCs w:val="18"/>
                <w:color w:val="auto"/>
              </w:rPr>
              <w:t>31.8</w:t>
            </w:r>
          </w:p>
        </w:tc>
        <w:tc>
          <w:tcPr>
            <w:tcW w:w="12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19"/>
                <w:szCs w:val="19"/>
                <w:color w:val="auto"/>
              </w:rPr>
            </w:pPr>
          </w:p>
        </w:tc>
        <w:tc>
          <w:tcPr>
            <w:tcW w:w="1660" w:type="dxa"/>
            <w:vAlign w:val="bottom"/>
          </w:tcPr>
          <w:p>
            <w:pPr>
              <w:jc w:val="right"/>
              <w:ind w:right="475"/>
              <w:spacing w:after="0"/>
              <w:rPr>
                <w:sz w:val="20"/>
                <w:szCs w:val="20"/>
                <w:color w:val="auto"/>
              </w:rPr>
            </w:pPr>
            <w:r>
              <w:rPr>
                <w:rFonts w:ascii="Arial" w:cs="Arial" w:eastAsia="Arial" w:hAnsi="Arial"/>
                <w:sz w:val="18"/>
                <w:szCs w:val="18"/>
                <w:color w:val="auto"/>
              </w:rPr>
              <w:t>35.5</w:t>
            </w:r>
          </w:p>
        </w:tc>
        <w:tc>
          <w:tcPr>
            <w:tcW w:w="1200" w:type="dxa"/>
            <w:vAlign w:val="bottom"/>
          </w:tcPr>
          <w:p>
            <w:pPr>
              <w:jc w:val="right"/>
              <w:spacing w:after="0"/>
              <w:rPr>
                <w:sz w:val="20"/>
                <w:szCs w:val="20"/>
                <w:color w:val="auto"/>
              </w:rPr>
            </w:pPr>
            <w:r>
              <w:rPr>
                <w:rFonts w:ascii="Arial" w:cs="Arial" w:eastAsia="Arial" w:hAnsi="Arial"/>
                <w:sz w:val="18"/>
                <w:szCs w:val="18"/>
                <w:color w:val="auto"/>
              </w:rPr>
              <w:t>195.9 %</w:t>
            </w:r>
          </w:p>
        </w:tc>
        <w:tc>
          <w:tcPr>
            <w:tcW w:w="0" w:type="dxa"/>
            <w:vAlign w:val="bottom"/>
          </w:tcPr>
          <w:p>
            <w:pPr>
              <w:spacing w:after="0"/>
              <w:rPr>
                <w:sz w:val="1"/>
                <w:szCs w:val="1"/>
                <w:color w:val="auto"/>
              </w:rPr>
            </w:pPr>
          </w:p>
        </w:tc>
      </w:tr>
      <w:tr>
        <w:trPr>
          <w:trHeight w:val="229"/>
        </w:trPr>
        <w:tc>
          <w:tcPr>
            <w:tcW w:w="4580" w:type="dxa"/>
            <w:vAlign w:val="bottom"/>
            <w:shd w:val="clear" w:color="auto" w:fill="F4F4F4"/>
          </w:tcPr>
          <w:p>
            <w:pPr>
              <w:ind w:left="20"/>
              <w:spacing w:after="0"/>
              <w:rPr>
                <w:sz w:val="20"/>
                <w:szCs w:val="20"/>
                <w:color w:val="auto"/>
              </w:rPr>
            </w:pPr>
            <w:r>
              <w:rPr>
                <w:rFonts w:ascii="Arial" w:cs="Arial" w:eastAsia="Arial" w:hAnsi="Arial"/>
                <w:sz w:val="18"/>
                <w:szCs w:val="18"/>
                <w:color w:val="auto"/>
              </w:rPr>
              <w:t>Software development costs, net</w:t>
            </w:r>
          </w:p>
        </w:tc>
        <w:tc>
          <w:tcPr>
            <w:tcW w:w="226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111.8</w:t>
            </w:r>
          </w:p>
        </w:tc>
        <w:tc>
          <w:tcPr>
            <w:tcW w:w="340" w:type="dxa"/>
            <w:vAlign w:val="bottom"/>
            <w:shd w:val="clear" w:color="auto" w:fill="F4F4F4"/>
          </w:tcPr>
          <w:p>
            <w:pPr>
              <w:spacing w:after="0"/>
              <w:rPr>
                <w:sz w:val="19"/>
                <w:szCs w:val="19"/>
                <w:color w:val="auto"/>
              </w:rPr>
            </w:pPr>
          </w:p>
        </w:tc>
        <w:tc>
          <w:tcPr>
            <w:tcW w:w="1660" w:type="dxa"/>
            <w:vAlign w:val="bottom"/>
            <w:shd w:val="clear" w:color="auto" w:fill="F4F4F4"/>
          </w:tcPr>
          <w:p>
            <w:pPr>
              <w:jc w:val="right"/>
              <w:ind w:right="475"/>
              <w:spacing w:after="0"/>
              <w:rPr>
                <w:sz w:val="20"/>
                <w:szCs w:val="20"/>
                <w:color w:val="auto"/>
              </w:rPr>
            </w:pPr>
            <w:r>
              <w:rPr>
                <w:rFonts w:ascii="Arial" w:cs="Arial" w:eastAsia="Arial" w:hAnsi="Arial"/>
                <w:sz w:val="18"/>
                <w:szCs w:val="18"/>
                <w:color w:val="auto"/>
              </w:rPr>
              <w:t>101.3</w:t>
            </w:r>
          </w:p>
        </w:tc>
        <w:tc>
          <w:tcPr>
            <w:tcW w:w="12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Total carrying value of debt</w:t>
            </w:r>
          </w:p>
        </w:tc>
        <w:tc>
          <w:tcPr>
            <w:tcW w:w="2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531.0</w:t>
            </w:r>
          </w:p>
        </w:tc>
        <w:tc>
          <w:tcPr>
            <w:tcW w:w="340" w:type="dxa"/>
            <w:vAlign w:val="bottom"/>
          </w:tcPr>
          <w:p>
            <w:pPr>
              <w:spacing w:after="0"/>
              <w:rPr>
                <w:sz w:val="19"/>
                <w:szCs w:val="19"/>
                <w:color w:val="auto"/>
              </w:rPr>
            </w:pPr>
          </w:p>
        </w:tc>
        <w:tc>
          <w:tcPr>
            <w:tcW w:w="1660" w:type="dxa"/>
            <w:vAlign w:val="bottom"/>
          </w:tcPr>
          <w:p>
            <w:pPr>
              <w:jc w:val="right"/>
              <w:ind w:right="475"/>
              <w:spacing w:after="0"/>
              <w:rPr>
                <w:sz w:val="20"/>
                <w:szCs w:val="20"/>
                <w:color w:val="auto"/>
              </w:rPr>
            </w:pPr>
            <w:r>
              <w:rPr>
                <w:rFonts w:ascii="Arial" w:cs="Arial" w:eastAsia="Arial" w:hAnsi="Arial"/>
                <w:sz w:val="18"/>
                <w:szCs w:val="18"/>
                <w:color w:val="auto"/>
              </w:rPr>
              <w:t>467.1</w:t>
            </w:r>
          </w:p>
        </w:tc>
        <w:tc>
          <w:tcPr>
            <w:tcW w:w="120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Working capital</w:t>
            </w:r>
          </w:p>
        </w:tc>
        <w:tc>
          <w:tcPr>
            <w:tcW w:w="2260" w:type="dxa"/>
            <w:vAlign w:val="bottom"/>
            <w:tcBorders>
              <w:bottom w:val="single" w:sz="8" w:color="71BF43"/>
            </w:tcBorders>
            <w:shd w:val="clear" w:color="auto" w:fill="F4F4F4"/>
          </w:tcPr>
          <w:p>
            <w:pPr>
              <w:spacing w:after="0"/>
              <w:rPr>
                <w:sz w:val="19"/>
                <w:szCs w:val="19"/>
                <w:color w:val="auto"/>
              </w:rPr>
            </w:pP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(194.3)</w:t>
            </w:r>
          </w:p>
        </w:tc>
        <w:tc>
          <w:tcPr>
            <w:tcW w:w="340" w:type="dxa"/>
            <w:vAlign w:val="bottom"/>
            <w:tcBorders>
              <w:bottom w:val="single" w:sz="8" w:color="71BF43"/>
            </w:tcBorders>
            <w:shd w:val="clear" w:color="auto" w:fill="F4F4F4"/>
          </w:tcPr>
          <w:p>
            <w:pPr>
              <w:spacing w:after="0"/>
              <w:rPr>
                <w:sz w:val="19"/>
                <w:szCs w:val="19"/>
                <w:color w:val="auto"/>
              </w:rPr>
            </w:pPr>
          </w:p>
        </w:tc>
        <w:tc>
          <w:tcPr>
            <w:tcW w:w="1660" w:type="dxa"/>
            <w:vAlign w:val="bottom"/>
            <w:tcBorders>
              <w:bottom w:val="single" w:sz="8" w:color="71BF43"/>
            </w:tcBorders>
            <w:shd w:val="clear" w:color="auto" w:fill="F4F4F4"/>
          </w:tcPr>
          <w:p>
            <w:pPr>
              <w:jc w:val="right"/>
              <w:ind w:right="415"/>
              <w:spacing w:after="0"/>
              <w:rPr>
                <w:sz w:val="20"/>
                <w:szCs w:val="20"/>
                <w:color w:val="auto"/>
              </w:rPr>
            </w:pPr>
            <w:r>
              <w:rPr>
                <w:rFonts w:ascii="Arial" w:cs="Arial" w:eastAsia="Arial" w:hAnsi="Arial"/>
                <w:sz w:val="18"/>
                <w:szCs w:val="18"/>
                <w:color w:val="auto"/>
              </w:rPr>
              <w:t>(254.3)</w:t>
            </w:r>
          </w:p>
        </w:tc>
        <w:tc>
          <w:tcPr>
            <w:tcW w:w="12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1160" w:type="dxa"/>
            <w:vAlign w:val="bottom"/>
            <w:shd w:val="clear" w:color="auto" w:fill="ACACAC"/>
          </w:tcPr>
          <w:p>
            <w:pPr>
              <w:spacing w:after="0"/>
              <w:rPr>
                <w:sz w:val="16"/>
                <w:szCs w:val="16"/>
                <w:color w:val="auto"/>
              </w:rPr>
            </w:pPr>
          </w:p>
        </w:tc>
        <w:tc>
          <w:tcPr>
            <w:tcW w:w="108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1160" w:type="dxa"/>
            <w:vAlign w:val="bottom"/>
            <w:shd w:val="clear" w:color="auto" w:fill="ACACAC"/>
          </w:tcPr>
          <w:p>
            <w:pPr>
              <w:spacing w:after="0"/>
              <w:rPr>
                <w:sz w:val="16"/>
                <w:szCs w:val="16"/>
                <w:color w:val="auto"/>
              </w:rPr>
            </w:pPr>
          </w:p>
        </w:tc>
        <w:tc>
          <w:tcPr>
            <w:tcW w:w="23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46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shd w:val="clear" w:color="auto" w:fill="ACACAC"/>
          </w:tcPr>
          <w:p>
            <w:pPr>
              <w:spacing w:after="0"/>
              <w:rPr>
                <w:sz w:val="17"/>
                <w:szCs w:val="17"/>
                <w:color w:val="auto"/>
              </w:rPr>
            </w:pPr>
          </w:p>
        </w:tc>
        <w:tc>
          <w:tcPr>
            <w:tcW w:w="1160" w:type="dxa"/>
            <w:vAlign w:val="bottom"/>
            <w:shd w:val="clear" w:color="auto" w:fill="ACACAC"/>
          </w:tcPr>
          <w:p>
            <w:pPr>
              <w:jc w:val="right"/>
              <w:ind w:right="295"/>
              <w:spacing w:after="0"/>
              <w:rPr>
                <w:sz w:val="20"/>
                <w:szCs w:val="20"/>
                <w:color w:val="auto"/>
              </w:rPr>
            </w:pPr>
            <w:r>
              <w:rPr>
                <w:rFonts w:ascii="Arial" w:cs="Arial" w:eastAsia="Arial" w:hAnsi="Arial"/>
                <w:sz w:val="14"/>
                <w:szCs w:val="14"/>
                <w:b w:val="1"/>
                <w:bCs w:val="1"/>
                <w:color w:val="FFFFFF"/>
              </w:rPr>
              <w:t>2020</w:t>
            </w: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400" w:type="dxa"/>
            <w:vAlign w:val="bottom"/>
            <w:shd w:val="clear" w:color="auto" w:fill="ACACAC"/>
          </w:tcPr>
          <w:p>
            <w:pPr>
              <w:spacing w:after="0"/>
              <w:rPr>
                <w:sz w:val="17"/>
                <w:szCs w:val="17"/>
                <w:color w:val="auto"/>
              </w:rPr>
            </w:pPr>
          </w:p>
        </w:tc>
        <w:tc>
          <w:tcPr>
            <w:tcW w:w="1160" w:type="dxa"/>
            <w:vAlign w:val="bottom"/>
            <w:shd w:val="clear" w:color="auto" w:fill="ACACAC"/>
          </w:tcPr>
          <w:p>
            <w:pPr>
              <w:jc w:val="right"/>
              <w:ind w:right="275"/>
              <w:spacing w:after="0"/>
              <w:rPr>
                <w:sz w:val="20"/>
                <w:szCs w:val="20"/>
                <w:color w:val="auto"/>
              </w:rPr>
            </w:pPr>
            <w:r>
              <w:rPr>
                <w:rFonts w:ascii="Arial" w:cs="Arial" w:eastAsia="Arial" w:hAnsi="Arial"/>
                <w:sz w:val="14"/>
                <w:szCs w:val="14"/>
                <w:b w:val="1"/>
                <w:bCs w:val="1"/>
                <w:color w:val="FFFFFF"/>
              </w:rPr>
              <w:t>2019</w:t>
            </w: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400" w:type="dxa"/>
            <w:vAlign w:val="bottom"/>
            <w:shd w:val="clear" w:color="auto" w:fill="ACACAC"/>
          </w:tcPr>
          <w:p>
            <w:pPr>
              <w:spacing w:after="0"/>
              <w:rPr>
                <w:sz w:val="17"/>
                <w:szCs w:val="17"/>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30"/>
        </w:trPr>
        <w:tc>
          <w:tcPr>
            <w:tcW w:w="466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F4F4F4"/>
          </w:tcPr>
          <w:p>
            <w:pPr>
              <w:jc w:val="right"/>
              <w:ind w:right="315"/>
              <w:spacing w:after="0"/>
              <w:rPr>
                <w:sz w:val="20"/>
                <w:szCs w:val="20"/>
                <w:color w:val="auto"/>
              </w:rPr>
            </w:pPr>
            <w:r>
              <w:rPr>
                <w:rFonts w:ascii="Arial" w:cs="Arial" w:eastAsia="Arial" w:hAnsi="Arial"/>
                <w:sz w:val="18"/>
                <w:szCs w:val="18"/>
                <w:color w:val="auto"/>
              </w:rPr>
              <w:t>148.0</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(18.9)%</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F4F4F4"/>
          </w:tcPr>
          <w:p>
            <w:pPr>
              <w:jc w:val="right"/>
              <w:ind w:right="295"/>
              <w:spacing w:after="0"/>
              <w:rPr>
                <w:sz w:val="20"/>
                <w:szCs w:val="20"/>
                <w:color w:val="auto"/>
              </w:rPr>
            </w:pPr>
            <w:r>
              <w:rPr>
                <w:rFonts w:ascii="Arial" w:cs="Arial" w:eastAsia="Arial" w:hAnsi="Arial"/>
                <w:sz w:val="18"/>
                <w:szCs w:val="18"/>
                <w:color w:val="auto"/>
              </w:rPr>
              <w:t>182.5</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(9.4)%</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201.4</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160" w:type="dxa"/>
            <w:vAlign w:val="bottom"/>
          </w:tcPr>
          <w:p>
            <w:pPr>
              <w:jc w:val="right"/>
              <w:ind w:right="255"/>
              <w:spacing w:after="0"/>
              <w:rPr>
                <w:sz w:val="20"/>
                <w:szCs w:val="20"/>
                <w:color w:val="auto"/>
              </w:rPr>
            </w:pPr>
            <w:r>
              <w:rPr>
                <w:rFonts w:ascii="Arial" w:cs="Arial" w:eastAsia="Arial" w:hAnsi="Arial"/>
                <w:sz w:val="18"/>
                <w:szCs w:val="18"/>
                <w:color w:val="auto"/>
              </w:rPr>
              <w:t>(71.8)</w:t>
            </w: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c>
          <w:tcPr>
            <w:tcW w:w="400" w:type="dxa"/>
            <w:vAlign w:val="bottom"/>
          </w:tcPr>
          <w:p>
            <w:pPr>
              <w:spacing w:after="0"/>
              <w:rPr>
                <w:sz w:val="19"/>
                <w:szCs w:val="19"/>
                <w:color w:val="auto"/>
              </w:rPr>
            </w:pPr>
          </w:p>
        </w:tc>
        <w:tc>
          <w:tcPr>
            <w:tcW w:w="1160" w:type="dxa"/>
            <w:vAlign w:val="bottom"/>
          </w:tcPr>
          <w:p>
            <w:pPr>
              <w:jc w:val="right"/>
              <w:ind w:right="235"/>
              <w:spacing w:after="0"/>
              <w:rPr>
                <w:sz w:val="20"/>
                <w:szCs w:val="20"/>
                <w:color w:val="auto"/>
              </w:rPr>
            </w:pPr>
            <w:r>
              <w:rPr>
                <w:rFonts w:ascii="Arial" w:cs="Arial" w:eastAsia="Arial" w:hAnsi="Arial"/>
                <w:sz w:val="18"/>
                <w:szCs w:val="18"/>
                <w:color w:val="auto"/>
              </w:rPr>
              <w:t>(167.2)</w:t>
            </w:r>
          </w:p>
        </w:tc>
        <w:tc>
          <w:tcPr>
            <w:tcW w:w="1100" w:type="dxa"/>
            <w:vAlign w:val="bottom"/>
          </w:tcPr>
          <w:p>
            <w:pPr>
              <w:jc w:val="right"/>
              <w:spacing w:after="0"/>
              <w:rPr>
                <w:sz w:val="20"/>
                <w:szCs w:val="20"/>
                <w:color w:val="auto"/>
              </w:rPr>
            </w:pPr>
            <w:r>
              <w:rPr>
                <w:rFonts w:ascii="Arial" w:cs="Arial" w:eastAsia="Arial" w:hAnsi="Arial"/>
                <w:sz w:val="18"/>
                <w:szCs w:val="18"/>
                <w:color w:val="auto"/>
              </w:rPr>
              <w:t>(71.0)%</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30"/>
        </w:trPr>
        <w:tc>
          <w:tcPr>
            <w:tcW w:w="466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bottom w:val="single" w:sz="8" w:color="71BF43"/>
            </w:tcBorders>
            <w:shd w:val="clear" w:color="auto" w:fill="F4F4F4"/>
          </w:tcPr>
          <w:p>
            <w:pPr>
              <w:spacing w:after="0"/>
              <w:rPr>
                <w:sz w:val="19"/>
                <w:szCs w:val="19"/>
                <w:color w:val="auto"/>
              </w:rPr>
            </w:pPr>
          </w:p>
        </w:tc>
        <w:tc>
          <w:tcPr>
            <w:tcW w:w="1160" w:type="dxa"/>
            <w:vAlign w:val="bottom"/>
            <w:tcBorders>
              <w:bottom w:val="single" w:sz="8" w:color="71BF43"/>
            </w:tcBorders>
            <w:shd w:val="clear" w:color="auto" w:fill="F4F4F4"/>
          </w:tcPr>
          <w:p>
            <w:pPr>
              <w:jc w:val="right"/>
              <w:ind w:right="255"/>
              <w:spacing w:after="0"/>
              <w:rPr>
                <w:sz w:val="20"/>
                <w:szCs w:val="20"/>
                <w:color w:val="auto"/>
              </w:rPr>
            </w:pPr>
            <w:r>
              <w:rPr>
                <w:rFonts w:ascii="Arial" w:cs="Arial" w:eastAsia="Arial" w:hAnsi="Arial"/>
                <w:sz w:val="18"/>
                <w:szCs w:val="18"/>
                <w:color w:val="auto"/>
              </w:rPr>
              <w:t>(10.7)</w:t>
            </w:r>
          </w:p>
        </w:tc>
        <w:tc>
          <w:tcPr>
            <w:tcW w:w="10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(109.6)%</w:t>
            </w:r>
          </w:p>
        </w:tc>
        <w:tc>
          <w:tcPr>
            <w:tcW w:w="400" w:type="dxa"/>
            <w:vAlign w:val="bottom"/>
            <w:tcBorders>
              <w:bottom w:val="single" w:sz="8" w:color="71BF43"/>
            </w:tcBorders>
            <w:shd w:val="clear" w:color="auto" w:fill="F4F4F4"/>
          </w:tcPr>
          <w:p>
            <w:pPr>
              <w:spacing w:after="0"/>
              <w:rPr>
                <w:sz w:val="19"/>
                <w:szCs w:val="19"/>
                <w:color w:val="auto"/>
              </w:rPr>
            </w:pPr>
          </w:p>
        </w:tc>
        <w:tc>
          <w:tcPr>
            <w:tcW w:w="1160" w:type="dxa"/>
            <w:vAlign w:val="bottom"/>
            <w:tcBorders>
              <w:bottom w:val="single" w:sz="8" w:color="71BF43"/>
            </w:tcBorders>
            <w:shd w:val="clear" w:color="auto" w:fill="F4F4F4"/>
          </w:tcPr>
          <w:p>
            <w:pPr>
              <w:jc w:val="right"/>
              <w:ind w:right="295"/>
              <w:spacing w:after="0"/>
              <w:rPr>
                <w:sz w:val="20"/>
                <w:szCs w:val="20"/>
                <w:color w:val="auto"/>
              </w:rPr>
            </w:pPr>
            <w:r>
              <w:rPr>
                <w:rFonts w:ascii="Arial" w:cs="Arial" w:eastAsia="Arial" w:hAnsi="Arial"/>
                <w:sz w:val="18"/>
                <w:szCs w:val="18"/>
                <w:color w:val="auto"/>
              </w:rPr>
              <w:t>111.2</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(138.1)%</w:t>
            </w:r>
          </w:p>
        </w:tc>
        <w:tc>
          <w:tcPr>
            <w:tcW w:w="400" w:type="dxa"/>
            <w:vAlign w:val="bottom"/>
            <w:tcBorders>
              <w:bottom w:val="single" w:sz="8" w:color="71BF43"/>
            </w:tcBorders>
            <w:shd w:val="clear" w:color="auto" w:fill="F4F4F4"/>
          </w:tcPr>
          <w:p>
            <w:pPr>
              <w:spacing w:after="0"/>
              <w:rPr>
                <w:sz w:val="19"/>
                <w:szCs w:val="19"/>
                <w:color w:val="auto"/>
              </w:rPr>
            </w:pPr>
          </w:p>
        </w:tc>
        <w:tc>
          <w:tcPr>
            <w:tcW w:w="8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-573405</wp:posOffset>
            </wp:positionV>
            <wp:extent cx="41744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principal sources of liquidity are operating cash flow, funds available under the 2020 Credit Facility and cash on hand. Our operating cash flow depends on continued customer renewal of our subscription and maintenance arrangements and market acceptance of our solutions and services.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To the extent we undertake future material acquisitions, investments or unanticipated capital expenditures, we may require additional capital. In that context, we regularly evaluate opportunities to enhance our capital structure including through potential debt or equity issuances.</w:t>
      </w:r>
    </w:p>
    <w:p>
      <w:pPr>
        <w:spacing w:after="0" w:line="286"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better enable us to weather the extraordinary business challenges brought about by the global COVID-19 pandemic, to protect the safety and welfare of our employees, and to further effect our long-term strategy to deliver the greatest value to our stockholders, we have taken several actions. These initial measures taken are expected to provide us the financial flexibility needed to manage a wide array of outcomes that may result from the pandemic. Some of these actions include the following:</w:t>
      </w:r>
    </w:p>
    <w:p>
      <w:pPr>
        <w:spacing w:after="0" w:line="231" w:lineRule="exact"/>
        <w:rPr>
          <w:sz w:val="20"/>
          <w:szCs w:val="20"/>
          <w:color w:val="auto"/>
        </w:rPr>
      </w:pPr>
    </w:p>
    <w:p>
      <w:pPr>
        <w:ind w:left="460" w:hanging="128"/>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Temporarily closed our offices worldwide and transitioned our employees to work remotely;</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4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Rescinded our previously announced policy to pay an annual dividend at a rate of $0.48 per share of common stock and discontinued the declaration and payment of all cash dividends, beginning with the second quarter of 2020 and thereafter until such time, if any, as our Board of Directors may otherwise determine in its sole discretion;</w:t>
      </w:r>
    </w:p>
    <w:p>
      <w:pPr>
        <w:spacing w:after="0" w:line="1" w:lineRule="exact"/>
        <w:rPr>
          <w:rFonts w:ascii="Arial" w:cs="Arial" w:eastAsia="Arial" w:hAnsi="Arial"/>
          <w:sz w:val="18"/>
          <w:szCs w:val="18"/>
          <w:color w:val="auto"/>
        </w:rPr>
      </w:pPr>
    </w:p>
    <w:p>
      <w:pPr>
        <w:ind w:left="500" w:hanging="168"/>
        <w:spacing w:after="0" w:line="250" w:lineRule="auto"/>
        <w:tabs>
          <w:tab w:leader="none" w:pos="4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Suspended our 401(k)-match program, whereby we have historically matched 50% of qualified U.S. employees' contributions to our 401(k) plan up to 6% of their salaries, between April 1, 2020 and December 31, 2020;</w:t>
      </w:r>
    </w:p>
    <w:p>
      <w:pPr>
        <w:ind w:left="500" w:hanging="168"/>
        <w:spacing w:after="0" w:line="250" w:lineRule="auto"/>
        <w:tabs>
          <w:tab w:leader="none" w:pos="4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Made a discretionary matching contribution to eligible employees 401(k) plans in December 2020 totaling $1.2 million, given our financial performance during the fourth quarter;</w:t>
      </w:r>
    </w:p>
    <w:p>
      <w:pPr>
        <w:ind w:left="500" w:right="20" w:hanging="168"/>
        <w:spacing w:after="0" w:line="250" w:lineRule="auto"/>
        <w:tabs>
          <w:tab w:leader="none" w:pos="4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Temporarily froze our hiring efforts and implemented a modest and targeted headcount reduction, though we have since begun backfilling key roles, including engineering positions;</w:t>
      </w:r>
    </w:p>
    <w:p>
      <w:pPr>
        <w:jc w:val="both"/>
        <w:ind w:left="500" w:hanging="168"/>
        <w:spacing w:after="0" w:line="250" w:lineRule="auto"/>
        <w:tabs>
          <w:tab w:leader="none" w:pos="4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Michael Gianoni, our President and Chief Executive Officer, elected to forego receipt of all but that portion of his base salary necessary to fund, on a pre-tax basis, his contributions to continue to participate in our health benefits plan, between April 1, 2020 and June 16, 2020;</w:t>
      </w:r>
    </w:p>
    <w:p>
      <w:pPr>
        <w:spacing w:after="0" w:line="1" w:lineRule="exact"/>
        <w:rPr>
          <w:rFonts w:ascii="Arial" w:cs="Arial" w:eastAsia="Arial" w:hAnsi="Arial"/>
          <w:sz w:val="18"/>
          <w:szCs w:val="18"/>
          <w:color w:val="auto"/>
        </w:rPr>
      </w:pPr>
    </w:p>
    <w:p>
      <w:pPr>
        <w:ind w:left="460" w:hanging="128"/>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Restricted non-essential employee travel and put in place other operating cost containment actions;</w:t>
      </w:r>
    </w:p>
    <w:p>
      <w:pPr>
        <w:spacing w:after="0" w:line="9" w:lineRule="exact"/>
        <w:rPr>
          <w:rFonts w:ascii="Arial" w:cs="Arial" w:eastAsia="Arial" w:hAnsi="Arial"/>
          <w:sz w:val="18"/>
          <w:szCs w:val="18"/>
          <w:color w:val="auto"/>
        </w:rPr>
      </w:pPr>
    </w:p>
    <w:p>
      <w:pPr>
        <w:ind w:left="500" w:hanging="168"/>
        <w:spacing w:after="0" w:line="250" w:lineRule="auto"/>
        <w:tabs>
          <w:tab w:leader="none" w:pos="4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our employees with a base salary equal to or less than $75 thousand received financial support in the form of a one-time bonus of $1 thousand on April 30, 2020;</w:t>
      </w:r>
    </w:p>
    <w:p>
      <w:pPr>
        <w:ind w:left="500" w:hanging="168"/>
        <w:spacing w:after="0" w:line="250" w:lineRule="auto"/>
        <w:tabs>
          <w:tab w:leader="none" w:pos="4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May 1, 2020, we granted RSUs to our employees that were eligible for base salary merit increases in lieu of such increases, which will vest on May 1, 2021 subject to the recipient's continued employment with us;</w:t>
      </w:r>
    </w:p>
    <w:p>
      <w:pPr>
        <w:jc w:val="both"/>
        <w:ind w:left="500" w:hanging="168"/>
        <w:spacing w:after="0" w:line="250" w:lineRule="auto"/>
        <w:tabs>
          <w:tab w:leader="none" w:pos="4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May 1, 2020, we granted PRSUs to our employees that were eligible for a 2020 cash bonus plan in lieu of such cash bonus, which may be earned and become eligible for vesting on May 1, 2021 subject to meeting certain performance conditions and the recipient's continued employment with us; and</w:t>
      </w:r>
    </w:p>
    <w:p>
      <w:pPr>
        <w:spacing w:after="0" w:line="1" w:lineRule="exact"/>
        <w:rPr>
          <w:rFonts w:ascii="Arial" w:cs="Arial" w:eastAsia="Arial" w:hAnsi="Arial"/>
          <w:sz w:val="18"/>
          <w:szCs w:val="18"/>
          <w:color w:val="auto"/>
        </w:rPr>
      </w:pPr>
    </w:p>
    <w:p>
      <w:pPr>
        <w:jc w:val="both"/>
        <w:ind w:left="500" w:hanging="168"/>
        <w:spacing w:after="0" w:line="252" w:lineRule="auto"/>
        <w:tabs>
          <w:tab w:leader="none" w:pos="4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During the third quarter of 2020, we adjusted our workforce strategy to provide more flexibility for our employees to work remotely when our offices reopen. This change also expands our access to a larger and more diverse talent pool, empowers our leaders to make decisions based on skills and business need rather than location, and it is expected to create efficiencies within our real estate strategy as we optimize our footprint and shift toward more collaborative workspaces within our offices. Most of the transactions related to these real estate activities closed during the fourth quarter of 2020 with an aggregate one-time cash outlay of $21.9 million during the third and fourth quarters of 2020. We incurred approximately $23.1 million of pre-tax costs related to these real estate activities during the third and fourth quarters of 2020. These activities are expected to result in future annual before-tax savings of approximately $14.0 million beginning in 2021.</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initial actions we have taken to date, we are continuously evaluating further possible actions in order to respond quickly to rapidly changing conditions, if needed.</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experienced an increase in our aging of receivables during the second and third quarters of 2020 primarily associated with the COVID-19 pandemic, we have seen some improvement in our customers' payment behavior since that time. We have received short-term payment relief requests as a result of COVID-19, most often in the form of payment deferral requests. We are evaluating each request on a case-by-case basis to assess the customer's ability to pay. Not all customer requests ultimately result in modified payment terms, nor are we forgoing our contractual rights under customer agreements. During 2020, our bad debt expense increased by $4.6 million, compared to 2019. We are continually monitoring our customer receivable balances, payment terms, and creditworthiness for changes that could have a significant impact on the collectability of our accounts receivables, our operating results and financial position.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2020, our total cash and cash equivalents balance included approximately $18.5 million of cash that was held outside the U.S. While these funds may not be needed to fund our U.S. operations for at least the next twelve months, if we need these funds, we may be required to accrue and pay taxes to repatriate a portion of the funds. We currently do not intend or anticipate a need to repatriate our cash held outside the U.S.</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52  </w:t>
      </w:r>
      <w:r>
        <w:rPr>
          <w:sz w:val="1"/>
          <w:szCs w:val="1"/>
          <w:color w:val="auto"/>
        </w:rPr>
        <w:drawing>
          <wp:inline distT="0" distB="0" distL="0" distR="0">
            <wp:extent cx="728345" cy="18859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expect our total operating cash flow to increase when compared to 2020, primarily due to:</w:t>
      </w:r>
    </w:p>
    <w:p>
      <w:pPr>
        <w:spacing w:after="0" w:line="171" w:lineRule="exact"/>
        <w:rPr>
          <w:sz w:val="20"/>
          <w:szCs w:val="20"/>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replacement of our 2020 cash bonus plans with performance-based equity awards (which we expect will continue going forward);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one-time cash payments associated with the exit of a number of our leases in 2020 that will not recur in 2021;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improvements to working capital management (an expected increase in trade accounts payable); partially offset by</w:t>
      </w:r>
    </w:p>
    <w:p>
      <w:pPr>
        <w:spacing w:after="0" w:line="171"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increase in the payment of payroll taxes as we deferred payments of the employer's portion of Social Security taxes during 2020 under the Coronavirus, Aid, Relief and Economic Security Act ("CARES Act");</w:t>
      </w:r>
    </w:p>
    <w:p>
      <w:pPr>
        <w:spacing w:after="0" w:line="143"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return of annual merit-based salary increases to our employees in July 2021;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return of our 401(k)-match program effective January 1, 2021.</w:t>
      </w:r>
    </w:p>
    <w:p>
      <w:pPr>
        <w:spacing w:after="0" w:line="171"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Throughout 2020, 2019 and 2018, our cash flows from operations were derived principally from: (i) our earnings from on-going operations prior to non-cash expenses such as depreciation, amortization, stock-based compensation, deferred income taxes, amortization of deferred financing costs and debt discount and adjustments to our provision for credit losses and sales returns; and (ii) changes in our working capital.</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Working capital changes are comprised of changes in accounts receivable, prepaid expenses and other assets, trade accounts payable, accrued expenses and other liabilities and deferred revenue.</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cash provided by operating activities decreased by $ 34.5 million during the year ended December 31, 2020, when compared to the same period in 2019, primarily due a $81.0 million decrease in cash flow from operations associated with working capital, partially offset by a $46.5 million increase in net income adjusted for non-cash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flow from operations associated with working capital during 2020, when compared to 2019, was primarily due to:</w:t>
      </w:r>
    </w:p>
    <w:p>
      <w:pPr>
        <w:spacing w:after="0" w:line="171" w:lineRule="exact"/>
        <w:rPr>
          <w:sz w:val="20"/>
          <w:szCs w:val="20"/>
          <w:color w:val="auto"/>
        </w:rPr>
      </w:pPr>
    </w:p>
    <w:p>
      <w:pPr>
        <w:ind w:left="660" w:hanging="328"/>
        <w:spacing w:after="0" w:line="261"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current period bonus payments as a result of an increase in amounts accrued as of December 31, 2019 for over-performance against 2019 targets;</w:t>
      </w:r>
    </w:p>
    <w:p>
      <w:pPr>
        <w:spacing w:after="0" w:line="143"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decrease in current period bonus accrual due to our decision to replace cash payments for our 2020 bonus plans with performance-based equity awards;</w:t>
      </w:r>
    </w:p>
    <w:p>
      <w:pPr>
        <w:spacing w:after="0" w:line="143"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decrease in customer billings and payment collections due to the declines in our 2020 bookings performance compared to 2019 as a result of the COVID-19 pandemic;</w:t>
      </w:r>
    </w:p>
    <w:p>
      <w:pPr>
        <w:spacing w:after="0" w:line="143"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the aging of customer receivable balances, primarily due to COVID-19;</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one-time cash payments associated with the exit of a number of our leases;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the timing of vendor payments.</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operating activities decreased by $18.9 million during the year ended December 31, 2019, when compared to the same period in 2018, primarily due to a $10.8 million decrease in net income adjusted for non-cash expenses, and a decrease in cash flow from operations associated with working capital.</w:t>
      </w:r>
    </w:p>
    <w:p>
      <w:pPr>
        <w:spacing w:after="0" w:line="281"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Cash flow from operations associated with working capital decreased $8.1 million during 2019, when compared to 2018, primarily due to:</w:t>
      </w:r>
    </w:p>
    <w:p>
      <w:pPr>
        <w:spacing w:after="0" w:line="171" w:lineRule="exact"/>
        <w:rPr>
          <w:sz w:val="20"/>
          <w:szCs w:val="20"/>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the amount of deferred revenue recognized slightly outpacing customer billings;</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collection of customer account balances in 2018 from an aging improvement initiative;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income tax refund received in 2018 which did not recur in 2019; partially offset by</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accrued bonuses as of December 31, 2019 when compared the same date in 2018;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the timing of vendor payments.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2021, we expect our total capital expenditures to decrease when compared to 2020, primarily due to the purchase of our Global Headquarters Facility in 2020 that will not recur in 2021.</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of $71.8 million decreased by $95.4 million during 2020, when compared to 2019.</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spent $109.4 million for our acquisition of YourCause in 2019 and we did not make any similar investments during 2020. We used $42.2 million for software development costs, which was down $4.7 million from cash spent during 2019. We continue to invest in our innovative cloud solutions, as well as development activities for Blackbaud SKY, our modern cloud platform.</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spent $29.7 million of cash for purchases of property and equipment during 2020, which was up $18.2 million from cash spent in 2019. The additional cash expended was primarily used to purchase our Global Headquarters Facility.</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of $167.2 million increased by $69.4 million during 2019, when compared to 2018.</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2019, we used net cash of $109.4 million, for our acquisition of YourCause, while we spent $44.9 million on investments in acquired companies in 2018. We used $46.9 million for software development costs, which was up $9.2 million from cash spent during 2018. The increase in cash outlays for software development costs was primarily related to our innovative cloud solutions as well as development activities for Blackbaud SKY, our modern cloud platform.</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spent $11.5 million of cash for purchases of property and equipment during 2019, which was down $3.2 million from cash spent in 2018. The higher cash outlays for property and equipment during 2018 was primarily driven by leasehold improvements for our Global Headquarters Facility.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vs.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2020, we had a net increase in borrowings of $0.9 million, compared to a net increase in borrowings of $ 79.5 million in 2019, which was primarily attributable to our acquisition of YourCause. During 2020, we spent $41.0 million on repurchases of our common stock (see additional details below regarding our stock repurchase program). In addition, during 2020, we paid dividends of $6.0 million, which was down compared to 2019, as we discontinued the declaration and payment of all cash dividends beginning with the second quarter of 2020.</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$21.4 million to satisfy tax obligations of employees upon settlement or exercise of equity awards during 2020 compared to $23.8 million during 2019. The amount of taxes paid by us on behalf of employees related to the settlement or exercise of equity awards varies from period to period based upon the timing of grants and vesting, employee exercise decisions, as well as the market price for shares of our common stock at the time of settlement. Most of our equity awards currently vest in our first quarter.</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54  </w:t>
      </w:r>
      <w:r>
        <w:rPr>
          <w:sz w:val="1"/>
          <w:szCs w:val="1"/>
          <w:color w:val="auto"/>
        </w:rPr>
        <w:drawing>
          <wp:inline distT="0" distB="0" distL="0" distR="0">
            <wp:extent cx="728345" cy="18859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 from financing activities associated with changes in restricted cash due to customers decreased $16.6 million during 2020, when compared to 2019, as the amount of restricted cash held and payable by us to customers as of December 31, 2019 was significantly larger than at the same date in 2018 primarily due to the timing of year-end donations. Additionally, effective August 3, 2020, a significant amount of restricted cash related to charitable giving transacted through our social responsibility and grantmaking solutions is now held and disbursed by the Blackbaud Giving Fund, an independent nonprofit organization, strategic partner of ours, and sponsoring organization for a donor advised fund. This change was made primarily to better support our YourCause CSR Connect and YourCause Grants Connect solutions.</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2019 vs.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2019, we had a net increase in borrowings of $79.5 million, which was primarily attributable to our acquisition of YourCause, compared to a net decrease in borrowings of $51.6 million in 2018.</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paid $23.8 million to satisfy tax obligations of employees upon settlement or exercise of equity awards during 2019 compared to $27.7 million during 2018. In addition, during 2019, we paid dividends of $23.6 million, which was relatively consistent with 2018.</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 from financing activities associated with changes in restricted cash due to customers increased $266.3 million during 2019, when compared to 2018. The amount of restricted cash held and payable by us to customers as of December 31, 2017 was significantly larger than at the same date in 2018 primarily due to the timing of year-end donations.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November 2020, our Board of Directors reauthorized and expanded a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year ended December 31, 2020, we purchased 714,000 shares for $41.0 million. Between January 1, 2021 and February 19, 2021, we repurchased an additional 465,821 shares for $28.1 million.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Credit Facility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2020, we entered into a 5-year $900.0 million Amended and Restated Credit Agreement (the “2020 Credit Facility”). Upon closing, we drew $400.0 million on a term loan and used the proceeds to repay the outstanding principal balance of the term loan under the previous credit facility, and repay $124.4 million of outstanding revolving credit loans under the previous credit facility.</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we have drawn on our credit facility from time to time to help us meet financial needs primarily due to the seasonality of our cash flows from operations and financing for business acquisitions. At December 31, 2020, our available borrowing capacity under the 2020 Credit Facility was $429.3 million. The 2020 Credit Facility matures in October 2025.</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December 31, 2020, the carrying amount of our debt under the 2020 Credit Facility was $467.1 million. Our average daily borrowings were $482.4 million during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financial covenants under the 2020 Credit Facility: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8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Financial Covenant</w:t>
            </w:r>
          </w:p>
        </w:tc>
        <w:tc>
          <w:tcPr>
            <w:tcW w:w="3800" w:type="dxa"/>
            <w:vAlign w:val="bottom"/>
            <w:shd w:val="clear" w:color="auto" w:fill="ACACAC"/>
          </w:tcPr>
          <w:p>
            <w:pPr>
              <w:jc w:val="center"/>
              <w:ind w:left="1156"/>
              <w:spacing w:after="0"/>
              <w:rPr>
                <w:sz w:val="20"/>
                <w:szCs w:val="20"/>
                <w:color w:val="auto"/>
              </w:rPr>
            </w:pPr>
            <w:r>
              <w:rPr>
                <w:rFonts w:ascii="Arial" w:cs="Arial" w:eastAsia="Arial" w:hAnsi="Arial"/>
                <w:sz w:val="14"/>
                <w:szCs w:val="14"/>
                <w:b w:val="1"/>
                <w:bCs w:val="1"/>
                <w:color w:val="FFFFFF"/>
              </w:rPr>
              <w:t>Requirement</w:t>
            </w:r>
          </w:p>
        </w:tc>
        <w:tc>
          <w:tcPr>
            <w:tcW w:w="3000" w:type="dxa"/>
            <w:vAlign w:val="bottom"/>
            <w:shd w:val="clear" w:color="auto" w:fill="ACACAC"/>
          </w:tcPr>
          <w:p>
            <w:pPr>
              <w:jc w:val="center"/>
              <w:ind w:left="599"/>
              <w:spacing w:after="0"/>
              <w:rPr>
                <w:sz w:val="20"/>
                <w:szCs w:val="20"/>
                <w:color w:val="auto"/>
              </w:rPr>
            </w:pPr>
            <w:r>
              <w:rPr>
                <w:rFonts w:ascii="Arial" w:cs="Arial" w:eastAsia="Arial" w:hAnsi="Arial"/>
                <w:sz w:val="14"/>
                <w:szCs w:val="14"/>
                <w:b w:val="1"/>
                <w:bCs w:val="1"/>
                <w:color w:val="FFFFFF"/>
              </w:rPr>
              <w:t>Ratio as of December 31, 2020</w:t>
            </w:r>
          </w:p>
        </w:tc>
        <w:tc>
          <w:tcPr>
            <w:tcW w:w="520" w:type="dxa"/>
            <w:vAlign w:val="bottom"/>
            <w:shd w:val="clear" w:color="auto" w:fill="ACACAC"/>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Leverage Ratio</w:t>
            </w:r>
          </w:p>
        </w:tc>
        <w:tc>
          <w:tcPr>
            <w:tcW w:w="3800" w:type="dxa"/>
            <w:vAlign w:val="bottom"/>
            <w:shd w:val="clear" w:color="auto" w:fill="F4F4F4"/>
          </w:tcPr>
          <w:p>
            <w:pPr>
              <w:jc w:val="center"/>
              <w:ind w:left="1176"/>
              <w:spacing w:after="0"/>
              <w:rPr>
                <w:sz w:val="20"/>
                <w:szCs w:val="20"/>
                <w:color w:val="auto"/>
              </w:rPr>
            </w:pPr>
            <w:r>
              <w:rPr>
                <w:rFonts w:ascii="Arial" w:cs="Arial" w:eastAsia="Arial" w:hAnsi="Arial"/>
                <w:sz w:val="18"/>
                <w:szCs w:val="18"/>
                <w:color w:val="auto"/>
                <w:w w:val="99"/>
              </w:rPr>
              <w:t>≤ 4.00 to 1.00</w:t>
            </w:r>
          </w:p>
        </w:tc>
        <w:tc>
          <w:tcPr>
            <w:tcW w:w="3000" w:type="dxa"/>
            <w:vAlign w:val="bottom"/>
            <w:shd w:val="clear" w:color="auto" w:fill="F4F4F4"/>
          </w:tcPr>
          <w:p>
            <w:pPr>
              <w:jc w:val="center"/>
              <w:ind w:left="599"/>
              <w:spacing w:after="0"/>
              <w:rPr>
                <w:sz w:val="20"/>
                <w:szCs w:val="20"/>
                <w:color w:val="auto"/>
              </w:rPr>
            </w:pPr>
            <w:r>
              <w:rPr>
                <w:rFonts w:ascii="Arial" w:cs="Arial" w:eastAsia="Arial" w:hAnsi="Arial"/>
                <w:sz w:val="18"/>
                <w:szCs w:val="18"/>
                <w:color w:val="auto"/>
              </w:rPr>
              <w:t>1.75 to 1.00</w:t>
            </w:r>
          </w:p>
        </w:tc>
        <w:tc>
          <w:tcPr>
            <w:tcW w:w="52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Interest Coverage Ratio</w:t>
            </w:r>
          </w:p>
        </w:tc>
        <w:tc>
          <w:tcPr>
            <w:tcW w:w="3800" w:type="dxa"/>
            <w:vAlign w:val="bottom"/>
            <w:tcBorders>
              <w:bottom w:val="single" w:sz="8" w:color="71BF43"/>
            </w:tcBorders>
          </w:tcPr>
          <w:p>
            <w:pPr>
              <w:jc w:val="center"/>
              <w:ind w:left="1176"/>
              <w:spacing w:after="0"/>
              <w:rPr>
                <w:sz w:val="20"/>
                <w:szCs w:val="20"/>
                <w:color w:val="auto"/>
              </w:rPr>
            </w:pPr>
            <w:r>
              <w:rPr>
                <w:rFonts w:ascii="Arial" w:cs="Arial" w:eastAsia="Arial" w:hAnsi="Arial"/>
                <w:sz w:val="18"/>
                <w:szCs w:val="18"/>
                <w:color w:val="auto"/>
                <w:w w:val="99"/>
              </w:rPr>
              <w:t>≥ 2.50 to 1.00</w:t>
            </w:r>
          </w:p>
        </w:tc>
        <w:tc>
          <w:tcPr>
            <w:tcW w:w="3000" w:type="dxa"/>
            <w:vAlign w:val="bottom"/>
            <w:tcBorders>
              <w:bottom w:val="single" w:sz="8" w:color="71BF43"/>
            </w:tcBorders>
          </w:tcPr>
          <w:p>
            <w:pPr>
              <w:jc w:val="center"/>
              <w:ind w:left="599"/>
              <w:spacing w:after="0"/>
              <w:rPr>
                <w:sz w:val="20"/>
                <w:szCs w:val="20"/>
                <w:color w:val="auto"/>
              </w:rPr>
            </w:pPr>
            <w:r>
              <w:rPr>
                <w:rFonts w:ascii="Arial" w:cs="Arial" w:eastAsia="Arial" w:hAnsi="Arial"/>
                <w:sz w:val="18"/>
                <w:szCs w:val="18"/>
                <w:color w:val="auto"/>
                <w:w w:val="98"/>
              </w:rPr>
              <w:t>15.95 to 1.00</w:t>
            </w:r>
          </w:p>
        </w:tc>
        <w:tc>
          <w:tcPr>
            <w:tcW w:w="520" w:type="dxa"/>
            <w:vAlign w:val="bottom"/>
            <w:tcBorders>
              <w:bottom w:val="single" w:sz="8" w:color="71BF43"/>
            </w:tcBorders>
          </w:tcPr>
          <w:p>
            <w:pPr>
              <w:spacing w:after="0"/>
              <w:rPr>
                <w:sz w:val="19"/>
                <w:szCs w:val="19"/>
                <w:color w:val="auto"/>
              </w:rPr>
            </w:pPr>
          </w:p>
        </w:tc>
        <w:tc>
          <w:tcPr>
            <w:tcW w:w="20" w:type="dxa"/>
            <w:vAlign w:val="bottom"/>
          </w:tcPr>
          <w:p>
            <w:pPr>
              <w:spacing w:after="0"/>
              <w:rPr>
                <w:sz w:val="19"/>
                <w:szCs w:val="19"/>
                <w:color w:val="auto"/>
              </w:rPr>
            </w:pPr>
          </w:p>
        </w:tc>
      </w:tr>
      <w:tr>
        <w:trPr>
          <w:trHeight w:val="69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00" w:type="dxa"/>
            <w:vAlign w:val="bottom"/>
          </w:tcPr>
          <w:p>
            <w:pPr>
              <w:ind w:left="740"/>
              <w:spacing w:after="0"/>
              <w:rPr>
                <w:sz w:val="20"/>
                <w:szCs w:val="20"/>
                <w:color w:val="auto"/>
              </w:rPr>
            </w:pPr>
            <w:r>
              <w:rPr>
                <w:rFonts w:ascii="Arial" w:cs="Arial" w:eastAsia="Arial" w:hAnsi="Arial"/>
                <w:sz w:val="14"/>
                <w:szCs w:val="14"/>
                <w:color w:val="auto"/>
              </w:rPr>
              <w:t>2020 Form 10-K</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24"/>
                <w:szCs w:val="24"/>
                <w:color w:val="auto"/>
              </w:rPr>
            </w:pPr>
          </w:p>
        </w:tc>
      </w:tr>
      <w:tr>
        <w:trPr>
          <w:trHeight w:val="316"/>
        </w:trPr>
        <w:tc>
          <w:tcPr>
            <w:tcW w:w="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-393700</wp:posOffset>
            </wp:positionV>
            <wp:extent cx="72898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December 31, 2020, we were in compliance with our debt covenants under the 2020 Credit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contractual obligations with future minimum commitments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2940" w:type="dxa"/>
            <w:vAlign w:val="bottom"/>
            <w:gridSpan w:val="4"/>
            <w:shd w:val="clear" w:color="auto" w:fill="ACACAC"/>
          </w:tcPr>
          <w:p>
            <w:pPr>
              <w:jc w:val="right"/>
              <w:ind w:right="150"/>
              <w:spacing w:after="0"/>
              <w:rPr>
                <w:sz w:val="20"/>
                <w:szCs w:val="20"/>
                <w:color w:val="auto"/>
              </w:rPr>
            </w:pPr>
            <w:r>
              <w:rPr>
                <w:rFonts w:ascii="Arial" w:cs="Arial" w:eastAsia="Arial" w:hAnsi="Arial"/>
                <w:sz w:val="14"/>
                <w:szCs w:val="14"/>
                <w:b w:val="1"/>
                <w:bCs w:val="1"/>
                <w:color w:val="FFFFFF"/>
              </w:rPr>
              <w:t>Payments due by period</w:t>
            </w:r>
          </w:p>
        </w:tc>
        <w:tc>
          <w:tcPr>
            <w:tcW w:w="90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r>
      <w:tr>
        <w:trPr>
          <w:trHeight w:val="203"/>
        </w:trPr>
        <w:tc>
          <w:tcPr>
            <w:tcW w:w="46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millions)</w:t>
            </w:r>
          </w:p>
        </w:tc>
        <w:tc>
          <w:tcPr>
            <w:tcW w:w="460" w:type="dxa"/>
            <w:vAlign w:val="bottom"/>
            <w:shd w:val="clear" w:color="auto" w:fill="ACACAC"/>
          </w:tcPr>
          <w:p>
            <w:pPr>
              <w:spacing w:after="0"/>
              <w:rPr>
                <w:sz w:val="17"/>
                <w:szCs w:val="17"/>
                <w:color w:val="auto"/>
              </w:rPr>
            </w:pPr>
          </w:p>
        </w:tc>
        <w:tc>
          <w:tcPr>
            <w:tcW w:w="86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140" w:type="dxa"/>
            <w:vAlign w:val="bottom"/>
            <w:shd w:val="clear" w:color="auto" w:fill="ACACAC"/>
          </w:tcPr>
          <w:p>
            <w:pPr>
              <w:spacing w:after="0"/>
              <w:rPr>
                <w:sz w:val="17"/>
                <w:szCs w:val="17"/>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Less than 1 year</w:t>
            </w:r>
          </w:p>
        </w:tc>
        <w:tc>
          <w:tcPr>
            <w:tcW w:w="400" w:type="dxa"/>
            <w:vAlign w:val="bottom"/>
            <w:shd w:val="clear" w:color="auto" w:fill="ACACAC"/>
          </w:tcPr>
          <w:p>
            <w:pPr>
              <w:spacing w:after="0"/>
              <w:rPr>
                <w:sz w:val="17"/>
                <w:szCs w:val="17"/>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1-3 years</w:t>
            </w:r>
          </w:p>
        </w:tc>
        <w:tc>
          <w:tcPr>
            <w:tcW w:w="440" w:type="dxa"/>
            <w:vAlign w:val="bottom"/>
            <w:shd w:val="clear" w:color="auto" w:fill="ACACAC"/>
          </w:tcPr>
          <w:p>
            <w:pPr>
              <w:spacing w:after="0"/>
              <w:rPr>
                <w:sz w:val="17"/>
                <w:szCs w:val="17"/>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3-5 years</w:t>
            </w:r>
          </w:p>
        </w:tc>
        <w:tc>
          <w:tcPr>
            <w:tcW w:w="13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More than 5 years</w:t>
            </w:r>
          </w:p>
        </w:tc>
      </w:tr>
      <w:tr>
        <w:trPr>
          <w:trHeight w:val="229"/>
        </w:trPr>
        <w:tc>
          <w:tcPr>
            <w:tcW w:w="460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Recorded contractual obligations:</w:t>
            </w:r>
          </w:p>
        </w:tc>
        <w:tc>
          <w:tcPr>
            <w:tcW w:w="4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140" w:type="dxa"/>
            <w:vAlign w:val="bottom"/>
            <w:shd w:val="clear" w:color="auto" w:fill="F4F4F4"/>
          </w:tcPr>
          <w:p>
            <w:pPr>
              <w:spacing w:after="0"/>
              <w:rPr>
                <w:sz w:val="19"/>
                <w:szCs w:val="19"/>
                <w:color w:val="auto"/>
              </w:rPr>
            </w:pPr>
          </w:p>
        </w:tc>
        <w:tc>
          <w:tcPr>
            <w:tcW w:w="11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44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520" w:type="dxa"/>
            <w:vAlign w:val="bottom"/>
            <w:shd w:val="clear" w:color="auto" w:fill="F4F4F4"/>
          </w:tcPr>
          <w:p>
            <w:pPr>
              <w:spacing w:after="0"/>
              <w:rPr>
                <w:sz w:val="19"/>
                <w:szCs w:val="19"/>
                <w:color w:val="auto"/>
              </w:rPr>
            </w:pPr>
          </w:p>
        </w:tc>
        <w:tc>
          <w:tcPr>
            <w:tcW w:w="820" w:type="dxa"/>
            <w:vAlign w:val="bottom"/>
            <w:shd w:val="clear" w:color="auto" w:fill="F4F4F4"/>
          </w:tcPr>
          <w:p>
            <w:pPr>
              <w:spacing w:after="0"/>
              <w:rPr>
                <w:sz w:val="19"/>
                <w:szCs w:val="19"/>
                <w:color w:val="auto"/>
              </w:rPr>
            </w:pPr>
          </w:p>
        </w:tc>
      </w:tr>
      <w:tr>
        <w:trPr>
          <w:trHeight w:val="230"/>
        </w:trPr>
        <w:tc>
          <w:tcPr>
            <w:tcW w:w="4600" w:type="dxa"/>
            <w:vAlign w:val="bottom"/>
          </w:tcPr>
          <w:p>
            <w:pPr>
              <w:ind w:left="140"/>
              <w:spacing w:after="0" w:line="230" w:lineRule="exact"/>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534.2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443.0</w:t>
            </w:r>
          </w:p>
        </w:tc>
        <w:tc>
          <w:tcPr>
            <w:tcW w:w="520" w:type="dxa"/>
            <w:vAlign w:val="bottom"/>
          </w:tcPr>
          <w:p>
            <w:pPr>
              <w:jc w:val="right"/>
              <w:ind w:right="31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4600" w:type="dxa"/>
            <w:vAlign w:val="bottom"/>
            <w:shd w:val="clear" w:color="auto" w:fill="F4F4F4"/>
          </w:tcPr>
          <w:p>
            <w:pPr>
              <w:ind w:left="14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(3)</w:t>
            </w:r>
          </w:p>
        </w:tc>
        <w:tc>
          <w:tcPr>
            <w:tcW w:w="4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10.2</w:t>
            </w:r>
          </w:p>
        </w:tc>
        <w:tc>
          <w:tcPr>
            <w:tcW w:w="44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5.1</w:t>
            </w:r>
          </w:p>
        </w:tc>
        <w:tc>
          <w:tcPr>
            <w:tcW w:w="5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600" w:type="dxa"/>
            <w:vAlign w:val="bottom"/>
          </w:tcPr>
          <w:p>
            <w:pPr>
              <w:ind w:left="140"/>
              <w:spacing w:after="0" w:line="230" w:lineRule="exact"/>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(4)</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Unrecorded contractual obligations:</w:t>
            </w:r>
          </w:p>
        </w:tc>
        <w:tc>
          <w:tcPr>
            <w:tcW w:w="4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140" w:type="dxa"/>
            <w:vAlign w:val="bottom"/>
            <w:shd w:val="clear" w:color="auto" w:fill="F4F4F4"/>
          </w:tcPr>
          <w:p>
            <w:pPr>
              <w:spacing w:after="0"/>
              <w:rPr>
                <w:sz w:val="19"/>
                <w:szCs w:val="19"/>
                <w:color w:val="auto"/>
              </w:rPr>
            </w:pPr>
          </w:p>
        </w:tc>
        <w:tc>
          <w:tcPr>
            <w:tcW w:w="11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44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520" w:type="dxa"/>
            <w:vAlign w:val="bottom"/>
            <w:shd w:val="clear" w:color="auto" w:fill="F4F4F4"/>
          </w:tcPr>
          <w:p>
            <w:pPr>
              <w:spacing w:after="0"/>
              <w:rPr>
                <w:sz w:val="19"/>
                <w:szCs w:val="19"/>
                <w:color w:val="auto"/>
              </w:rPr>
            </w:pPr>
          </w:p>
        </w:tc>
        <w:tc>
          <w:tcPr>
            <w:tcW w:w="820" w:type="dxa"/>
            <w:vAlign w:val="bottom"/>
            <w:shd w:val="clear" w:color="auto" w:fill="F4F4F4"/>
          </w:tcPr>
          <w:p>
            <w:pPr>
              <w:spacing w:after="0"/>
              <w:rPr>
                <w:sz w:val="19"/>
                <w:szCs w:val="19"/>
                <w:color w:val="auto"/>
              </w:rPr>
            </w:pPr>
          </w:p>
        </w:tc>
      </w:tr>
      <w:tr>
        <w:trPr>
          <w:trHeight w:val="229"/>
        </w:trPr>
        <w:tc>
          <w:tcPr>
            <w:tcW w:w="4600" w:type="dxa"/>
            <w:vAlign w:val="bottom"/>
          </w:tcPr>
          <w:p>
            <w:pPr>
              <w:ind w:left="14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(5)</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59.1</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F4F4F4"/>
          </w:tcPr>
          <w:p>
            <w:pPr>
              <w:ind w:left="140"/>
              <w:spacing w:after="0" w:line="230" w:lineRule="exact"/>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(6)</w:t>
            </w:r>
          </w:p>
        </w:tc>
        <w:tc>
          <w:tcPr>
            <w:tcW w:w="4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Borders>
              <w:bottom w:val="single" w:sz="8" w:color="auto"/>
            </w:tcBorders>
            <w:shd w:val="clear" w:color="auto" w:fill="F4F4F4"/>
          </w:tcPr>
          <w:p>
            <w:pPr>
              <w:spacing w:after="0"/>
              <w:rPr>
                <w:sz w:val="19"/>
                <w:szCs w:val="19"/>
                <w:color w:val="auto"/>
              </w:rPr>
            </w:pPr>
          </w:p>
        </w:tc>
        <w:tc>
          <w:tcPr>
            <w:tcW w:w="11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11.5</w:t>
            </w:r>
          </w:p>
        </w:tc>
        <w:tc>
          <w:tcPr>
            <w:tcW w:w="40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23.4</w:t>
            </w:r>
          </w:p>
        </w:tc>
        <w:tc>
          <w:tcPr>
            <w:tcW w:w="44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21.0</w:t>
            </w:r>
          </w:p>
        </w:tc>
        <w:tc>
          <w:tcPr>
            <w:tcW w:w="52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23.6</w:t>
            </w:r>
          </w:p>
        </w:tc>
      </w:tr>
      <w:tr>
        <w:trPr>
          <w:trHeight w:val="223"/>
        </w:trPr>
        <w:tc>
          <w:tcPr>
            <w:tcW w:w="4600" w:type="dxa"/>
            <w:vAlign w:val="bottom"/>
            <w:tcBorders>
              <w:bottom w:val="single" w:sz="8" w:color="71BF43"/>
            </w:tcBorders>
          </w:tcPr>
          <w:p>
            <w:pPr>
              <w:ind w:left="20"/>
              <w:spacing w:after="0" w:line="223" w:lineRule="exact"/>
              <w:rPr>
                <w:sz w:val="20"/>
                <w:szCs w:val="20"/>
                <w:color w:val="auto"/>
              </w:rPr>
            </w:pPr>
            <w:r>
              <w:rPr>
                <w:rFonts w:ascii="Arial" w:cs="Arial" w:eastAsia="Arial" w:hAnsi="Arial"/>
                <w:sz w:val="18"/>
                <w:szCs w:val="18"/>
                <w:b w:val="1"/>
                <w:bCs w:val="1"/>
                <w:color w:val="auto"/>
              </w:rPr>
              <w:t>Total contractual obligations</w:t>
            </w:r>
            <w:r>
              <w:rPr>
                <w:rFonts w:ascii="Arial" w:cs="Arial" w:eastAsia="Arial" w:hAnsi="Arial"/>
                <w:sz w:val="23"/>
                <w:szCs w:val="23"/>
                <w:b w:val="1"/>
                <w:bCs w:val="1"/>
                <w:color w:val="auto"/>
                <w:vertAlign w:val="superscript"/>
              </w:rPr>
              <w:t>(1)</w:t>
            </w:r>
          </w:p>
        </w:tc>
        <w:tc>
          <w:tcPr>
            <w:tcW w:w="460" w:type="dxa"/>
            <w:vAlign w:val="bottom"/>
            <w:tcBorders>
              <w:bottom w:val="single" w:sz="8" w:color="71BF43"/>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742.5</w:t>
            </w:r>
          </w:p>
        </w:tc>
        <w:tc>
          <w:tcPr>
            <w:tcW w:w="1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97.2</w:t>
            </w:r>
          </w:p>
        </w:tc>
        <w:tc>
          <w:tcPr>
            <w:tcW w:w="400" w:type="dxa"/>
            <w:vAlign w:val="bottom"/>
            <w:tcBorders>
              <w:bottom w:val="single" w:sz="8" w:color="71BF43"/>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94.3</w:t>
            </w:r>
          </w:p>
        </w:tc>
        <w:tc>
          <w:tcPr>
            <w:tcW w:w="440" w:type="dxa"/>
            <w:vAlign w:val="bottom"/>
            <w:tcBorders>
              <w:bottom w:val="single" w:sz="8" w:color="71BF43"/>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470.2</w:t>
            </w:r>
          </w:p>
        </w:tc>
        <w:tc>
          <w:tcPr>
            <w:tcW w:w="520" w:type="dxa"/>
            <w:vAlign w:val="bottom"/>
            <w:tcBorders>
              <w:bottom w:val="single" w:sz="8" w:color="71BF43"/>
            </w:tcBorders>
          </w:tcPr>
          <w:p>
            <w:pPr>
              <w:jc w:val="right"/>
              <w:ind w:right="3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-1310640</wp:posOffset>
            </wp:positionV>
            <wp:extent cx="42176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individual amounts for each obligation may not sum to total or total contractual obligations due to rounding.</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54"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principal payments only, under the following assumptions: (i) that the amounts outstanding under the 2020 Credit Facility, our real estate loans and our other debt at December 31, 2020 will remain outstanding until maturity, with minimum payments occurring as currently scheduled, and (ii) that there are no assumed future borrowings on the 2020 Revolving Facility for the purposes of determining minimum commitment amounts.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54"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commitments related to operating leases have not been reduced by sublease income, incentive payments, reimbursement of leasehold improvements and the amount representing imputed interest of $2.8 million.</w:t>
      </w: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interest payment obligations related to our interest rate swap agreements.</w:t>
      </w:r>
    </w:p>
    <w:p>
      <w:pPr>
        <w:spacing w:after="0" w:line="1" w:lineRule="exact"/>
        <w:rPr>
          <w:rFonts w:ascii="Arial" w:cs="Arial" w:eastAsia="Arial" w:hAnsi="Arial"/>
          <w:sz w:val="14"/>
          <w:szCs w:val="14"/>
          <w:color w:val="auto"/>
        </w:rPr>
      </w:pPr>
    </w:p>
    <w:p>
      <w:pPr>
        <w:ind w:left="340" w:hanging="332"/>
        <w:spacing w:after="0" w:line="241" w:lineRule="auto"/>
        <w:tabs>
          <w:tab w:leader="none" w:pos="354"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have contractual obligations for third-party technology used in our solutions and for other services we purchase as part of our normal operations. In certain cases, these arrangements require a minimum annual purchase commitment by us.</w:t>
      </w:r>
    </w:p>
    <w:p>
      <w:pPr>
        <w:ind w:left="340" w:hanging="332"/>
        <w:spacing w:after="0" w:line="258" w:lineRule="auto"/>
        <w:tabs>
          <w:tab w:leader="none" w:pos="354"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actual interest expense recognized in our consolidated statements of comprehensive income will depend on the amount of debt, the length of time the debt is outstanding and the interest rate, which could be different from our assumptions described in (2) above.</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 under the 2020 Credit Facility and our other debt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liability for uncertain tax positions as of December 31, 2020 and December 31, 2019, was $4.6 million and $4.3 million, respectively. Our accrued interest and penalties related to tax positions taken on our tax returns was $1.1 million and $1.0 million as of December 31, 2020 and 2019, respectively.</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we did not have any off-balance sheet arrangements as defined in Item 303(a)(4)(ii) of Regulation S-K promulgated by the SEC,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56  </w:t>
      </w:r>
      <w:r>
        <w:rPr>
          <w:sz w:val="1"/>
          <w:szCs w:val="1"/>
          <w:color w:val="auto"/>
        </w:rPr>
        <w:drawing>
          <wp:inline distT="0" distB="0" distL="0" distR="0">
            <wp:extent cx="728345" cy="18859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15% of our total revenue for 2020 was generated by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other comprehensive loss as a component of stockholders’ equity, was a gain of $0.6 million as of December 31, 2020 and a loss of $4.0 million as of December 31, 2019.</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2020, foreign translation resulted in decreases in our revenues and expenses denominated in non-U.S. currencies. Though we have exposure to fluctuations in currency exchange rates, the impact has generally not been material to our consolidated results of operations or financial position. During 2020, the fluctuation in foreign currency exchange rates reduced our total revenue and our income from operations by $0.8 million and $0.7 million, respectively.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3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 In addition, if inflationary pressures impact the rate of giving to our customers, there could be adverse impacts to our business, financial condition and results of operations.</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discussion and analysis of financial condition and results of operations are based upon our consolidated financial statements, which have been prepared in accordance with accounting principles generally accepted in the United States ("GAAP"). The preparation of these financial statements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base our estimates on historical experience, current trends and various other assumptions that we believe to be reasonable under the circumstances, the results of which form the basis for making judgments about the carrying values of assets and liabilities that are not readily apparent from other sources. Actual results could materially differ from any of our estimates under different assumptions or conditions. Our significant accounting policies are discussed in Note 2 to our consolidated financial statements in this report. We believe the accounting estimates listed below are the most critical to aid in fully understanding and evaluating our reported financial results, and they require our most difficult, subjective or complex judgments, resulting from the need to make estimates about the effect of matters that are inherently uncertain.</w:t>
      </w:r>
    </w:p>
    <w:p>
      <w:pPr>
        <w:spacing w:after="0" w:line="286"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line="197" w:lineRule="auto"/>
        <w:framePr w:w="2880" w:h="265" w:wrap="auto" w:vAnchor="page" w:hAnchor="page" w:x="300" w:y="5275"/>
        <w:rPr>
          <w:rFonts w:ascii="Arial" w:cs="Arial" w:eastAsia="Arial" w:hAnsi="Arial"/>
          <w:sz w:val="14"/>
          <w:szCs w:val="14"/>
          <w:color w:val="auto"/>
        </w:rPr>
      </w:pPr>
      <w:r>
        <w:rPr>
          <w:rFonts w:ascii="Arial" w:cs="Arial" w:eastAsia="Arial" w:hAnsi="Arial"/>
          <w:sz w:val="14"/>
          <w:szCs w:val="14"/>
          <w:color w:val="auto"/>
        </w:rPr>
        <w:t>(4) Allocation of the transaction price to the performance obligations in the contract; and</w:t>
      </w:r>
    </w:p>
    <w:p>
      <w:pPr>
        <w:spacing w:after="0" w:line="197" w:lineRule="auto"/>
        <w:framePr w:w="3400" w:h="265" w:wrap="auto" w:vAnchor="page" w:hAnchor="page" w:x="300" w:y="5707"/>
        <w:rPr>
          <w:rFonts w:ascii="Arial" w:cs="Arial" w:eastAsia="Arial" w:hAnsi="Arial"/>
          <w:sz w:val="14"/>
          <w:szCs w:val="14"/>
          <w:color w:val="auto"/>
        </w:rPr>
      </w:pPr>
      <w:r>
        <w:rPr>
          <w:rFonts w:ascii="Arial" w:cs="Arial" w:eastAsia="Arial" w:hAnsi="Arial"/>
          <w:sz w:val="14"/>
          <w:szCs w:val="14"/>
          <w:color w:val="auto"/>
        </w:rPr>
        <w:t>(5) Recognition of revenue when, or as, we satisfy a performance obligation.</w:t>
      </w:r>
    </w:p>
    <w:p>
      <w:pPr>
        <w:spacing w:after="0" w:line="194" w:lineRule="auto"/>
        <w:framePr w:w="2080" w:h="130" w:wrap="auto" w:vAnchor="page" w:hAnchor="page" w:x="300" w:y="6314"/>
        <w:rPr>
          <w:rFonts w:ascii="Arial" w:cs="Arial" w:eastAsia="Arial" w:hAnsi="Arial"/>
          <w:sz w:val="14"/>
          <w:szCs w:val="14"/>
          <w:b w:val="1"/>
          <w:bCs w:val="1"/>
          <w:color w:val="auto"/>
        </w:rPr>
      </w:pPr>
      <w:r>
        <w:rPr>
          <w:rFonts w:ascii="Arial" w:cs="Arial" w:eastAsia="Arial" w:hAnsi="Arial"/>
          <w:sz w:val="14"/>
          <w:szCs w:val="14"/>
          <w:b w:val="1"/>
          <w:bCs w:val="1"/>
          <w:color w:val="auto"/>
        </w:rPr>
        <w:t>Costs of Obtaining Contracts</w:t>
      </w:r>
    </w:p>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rFonts w:ascii="Arial" w:cs="Arial" w:eastAsia="Arial" w:hAnsi="Arial"/>
          <w:sz w:val="14"/>
          <w:szCs w:val="14"/>
          <w:b w:val="1"/>
          <w:bCs w:val="1"/>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391" w:lineRule="exact"/>
        <w:rPr>
          <w:rFonts w:ascii="Arial" w:cs="Arial" w:eastAsia="Arial" w:hAnsi="Arial"/>
          <w:sz w:val="14"/>
          <w:szCs w:val="14"/>
          <w:b w:val="1"/>
          <w:bCs w:val="1"/>
          <w:color w:val="auto"/>
        </w:rPr>
      </w:pPr>
    </w:p>
    <w:p>
      <w:pPr>
        <w:ind w:left="20"/>
        <w:spacing w:after="0"/>
        <w:rPr>
          <w:sz w:val="20"/>
          <w:szCs w:val="20"/>
          <w:color w:val="auto"/>
        </w:rPr>
      </w:pPr>
      <w:r>
        <w:rPr>
          <w:rFonts w:ascii="Arial" w:cs="Arial" w:eastAsia="Arial" w:hAnsi="Arial"/>
          <w:sz w:val="14"/>
          <w:szCs w:val="14"/>
          <w:b w:val="1"/>
          <w:bCs w:val="1"/>
          <w:color w:val="auto"/>
        </w:rPr>
        <w:t>Revenue Recognition</w:t>
      </w:r>
    </w:p>
    <w:p>
      <w:pPr>
        <w:spacing w:after="0" w:line="15" w:lineRule="exact"/>
        <w:rPr>
          <w:rFonts w:ascii="Arial" w:cs="Arial" w:eastAsia="Arial" w:hAnsi="Arial"/>
          <w:sz w:val="14"/>
          <w:szCs w:val="14"/>
          <w:b w:val="1"/>
          <w:bCs w:val="1"/>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shd w:val="clear" w:color="auto" w:fill="ACACAC"/>
          </w:tcPr>
          <w:p>
            <w:pPr>
              <w:ind w:left="1380"/>
              <w:spacing w:after="0"/>
              <w:rPr>
                <w:sz w:val="20"/>
                <w:szCs w:val="20"/>
                <w:color w:val="auto"/>
              </w:rPr>
            </w:pPr>
            <w:r>
              <w:rPr>
                <w:rFonts w:ascii="Arial" w:cs="Arial" w:eastAsia="Arial" w:hAnsi="Arial"/>
                <w:sz w:val="14"/>
                <w:szCs w:val="14"/>
                <w:b w:val="1"/>
                <w:bCs w:val="1"/>
                <w:color w:val="FFFFFF"/>
              </w:rPr>
              <w:t>Description</w:t>
            </w:r>
          </w:p>
        </w:tc>
        <w:tc>
          <w:tcPr>
            <w:tcW w:w="4140" w:type="dxa"/>
            <w:vAlign w:val="bottom"/>
            <w:vMerge w:val="restart"/>
            <w:shd w:val="clear" w:color="auto" w:fill="ACACAC"/>
          </w:tcPr>
          <w:p>
            <w:pPr>
              <w:ind w:left="1200"/>
              <w:spacing w:after="0"/>
              <w:rPr>
                <w:sz w:val="20"/>
                <w:szCs w:val="20"/>
                <w:color w:val="auto"/>
              </w:rPr>
            </w:pPr>
            <w:r>
              <w:rPr>
                <w:rFonts w:ascii="Arial" w:cs="Arial" w:eastAsia="Arial" w:hAnsi="Arial"/>
                <w:sz w:val="14"/>
                <w:szCs w:val="14"/>
                <w:b w:val="1"/>
                <w:bCs w:val="1"/>
                <w:color w:val="FFFFFF"/>
              </w:rPr>
              <w:t>Judgments and Uncertainties</w:t>
            </w:r>
          </w:p>
        </w:tc>
        <w:tc>
          <w:tcPr>
            <w:tcW w:w="3720" w:type="dxa"/>
            <w:vAlign w:val="bottom"/>
            <w:shd w:val="clear" w:color="auto" w:fill="ACACAC"/>
          </w:tcPr>
          <w:p>
            <w:pPr>
              <w:jc w:val="center"/>
              <w:ind w:left="68"/>
              <w:spacing w:after="0"/>
              <w:rPr>
                <w:sz w:val="20"/>
                <w:szCs w:val="20"/>
                <w:color w:val="auto"/>
              </w:rPr>
            </w:pPr>
            <w:r>
              <w:rPr>
                <w:rFonts w:ascii="Arial" w:cs="Arial" w:eastAsia="Arial" w:hAnsi="Arial"/>
                <w:sz w:val="14"/>
                <w:szCs w:val="14"/>
                <w:b w:val="1"/>
                <w:bCs w:val="1"/>
                <w:color w:val="FFFFFF"/>
              </w:rPr>
              <w:t>Effect if Actual Results Differ</w:t>
            </w:r>
          </w:p>
        </w:tc>
        <w:tc>
          <w:tcPr>
            <w:tcW w:w="0" w:type="dxa"/>
            <w:vAlign w:val="bottom"/>
          </w:tcPr>
          <w:p>
            <w:pPr>
              <w:spacing w:after="0"/>
              <w:rPr>
                <w:sz w:val="1"/>
                <w:szCs w:val="1"/>
                <w:color w:val="auto"/>
              </w:rPr>
            </w:pPr>
          </w:p>
        </w:tc>
      </w:tr>
      <w:tr>
        <w:trPr>
          <w:trHeight w:val="176"/>
        </w:trPr>
        <w:tc>
          <w:tcPr>
            <w:tcW w:w="3380" w:type="dxa"/>
            <w:vAlign w:val="bottom"/>
            <w:vMerge w:val="continue"/>
            <w:shd w:val="clear" w:color="auto" w:fill="ACACAC"/>
          </w:tcPr>
          <w:p>
            <w:pPr>
              <w:spacing w:after="0"/>
              <w:rPr>
                <w:sz w:val="15"/>
                <w:szCs w:val="15"/>
                <w:color w:val="auto"/>
              </w:rPr>
            </w:pPr>
          </w:p>
        </w:tc>
        <w:tc>
          <w:tcPr>
            <w:tcW w:w="4140" w:type="dxa"/>
            <w:vAlign w:val="bottom"/>
            <w:vMerge w:val="continue"/>
            <w:shd w:val="clear" w:color="auto" w:fill="ACACAC"/>
          </w:tcPr>
          <w:p>
            <w:pPr>
              <w:spacing w:after="0"/>
              <w:rPr>
                <w:sz w:val="15"/>
                <w:szCs w:val="15"/>
                <w:color w:val="auto"/>
              </w:rPr>
            </w:pPr>
          </w:p>
        </w:tc>
        <w:tc>
          <w:tcPr>
            <w:tcW w:w="3720" w:type="dxa"/>
            <w:vAlign w:val="bottom"/>
            <w:shd w:val="clear" w:color="auto" w:fill="ACACAC"/>
          </w:tcPr>
          <w:p>
            <w:pPr>
              <w:jc w:val="center"/>
              <w:ind w:left="48"/>
              <w:spacing w:after="0"/>
              <w:rPr>
                <w:sz w:val="20"/>
                <w:szCs w:val="20"/>
                <w:color w:val="auto"/>
              </w:rPr>
            </w:pPr>
            <w:r>
              <w:rPr>
                <w:rFonts w:ascii="Arial" w:cs="Arial" w:eastAsia="Arial" w:hAnsi="Arial"/>
                <w:sz w:val="14"/>
                <w:szCs w:val="14"/>
                <w:b w:val="1"/>
                <w:bCs w:val="1"/>
                <w:color w:val="FFFFFF"/>
              </w:rPr>
              <w:t>From Assumptions</w:t>
            </w:r>
          </w:p>
        </w:tc>
        <w:tc>
          <w:tcPr>
            <w:tcW w:w="0" w:type="dxa"/>
            <w:vAlign w:val="bottom"/>
          </w:tcPr>
          <w:p>
            <w:pPr>
              <w:spacing w:after="0"/>
              <w:rPr>
                <w:sz w:val="1"/>
                <w:szCs w:val="1"/>
                <w:color w:val="auto"/>
              </w:rPr>
            </w:pPr>
          </w:p>
        </w:tc>
      </w:tr>
    </w:tbl>
    <w:p>
      <w:pPr>
        <w:spacing w:after="0" w:line="180" w:lineRule="exact"/>
        <w:rPr>
          <w:rFonts w:ascii="Arial" w:cs="Arial" w:eastAsia="Arial" w:hAnsi="Arial"/>
          <w:sz w:val="14"/>
          <w:szCs w:val="14"/>
          <w:b w:val="1"/>
          <w:bCs w:val="1"/>
          <w:color w:val="auto"/>
        </w:rPr>
      </w:pPr>
    </w:p>
    <w:p>
      <w:pPr>
        <w:sectPr>
          <w:pgSz w:w="11900" w:h="16838" w:orient="portrait"/>
          <w:cols w:equalWidth="0" w:num="1">
            <w:col w:w="11240"/>
          </w:cols>
          <w:pgMar w:left="320" w:top="126" w:right="339" w:bottom="1440" w:gutter="0" w:footer="0" w:header="0"/>
        </w:sectPr>
      </w:pPr>
    </w:p>
    <w:p>
      <w:pPr>
        <w:ind w:left="20" w:right="320"/>
        <w:spacing w:after="0" w:line="201" w:lineRule="auto"/>
        <w:rPr>
          <w:sz w:val="20"/>
          <w:szCs w:val="20"/>
          <w:color w:val="auto"/>
        </w:rPr>
      </w:pPr>
      <w:r>
        <w:rPr>
          <w:rFonts w:ascii="Arial" w:cs="Arial" w:eastAsia="Arial" w:hAnsi="Arial"/>
          <w:sz w:val="14"/>
          <w:szCs w:val="14"/>
          <w:color w:val="auto"/>
        </w:rPr>
        <w:t>See Note 2 to our consolidated financial statements in Our revenue recognition accounting methodology contains this report for a complete discussion of our revenue uncertainties because it requires us to make significant</w:t>
      </w:r>
    </w:p>
    <w:p>
      <w:pPr>
        <w:ind w:left="20"/>
        <w:spacing w:after="0"/>
        <w:tabs>
          <w:tab w:leader="none" w:pos="3520" w:val="left"/>
        </w:tabs>
        <w:rPr>
          <w:sz w:val="20"/>
          <w:szCs w:val="20"/>
          <w:color w:val="auto"/>
        </w:rPr>
      </w:pPr>
      <w:r>
        <w:rPr>
          <w:rFonts w:ascii="Arial" w:cs="Arial" w:eastAsia="Arial" w:hAnsi="Arial"/>
          <w:sz w:val="14"/>
          <w:szCs w:val="14"/>
          <w:color w:val="auto"/>
        </w:rPr>
        <w:t>recognition policies.</w:t>
      </w:r>
      <w:r>
        <w:rPr>
          <w:sz w:val="20"/>
          <w:szCs w:val="20"/>
          <w:color w:val="auto"/>
        </w:rPr>
        <w:tab/>
      </w:r>
      <w:r>
        <w:rPr>
          <w:rFonts w:ascii="Arial" w:cs="Arial" w:eastAsia="Arial" w:hAnsi="Arial"/>
          <w:sz w:val="14"/>
          <w:szCs w:val="14"/>
          <w:color w:val="auto"/>
        </w:rPr>
        <w:t>estimates and assumptions, and to apply judgment.</w:t>
      </w:r>
    </w:p>
    <w:p>
      <w:pPr>
        <w:spacing w:after="0" w:line="110" w:lineRule="exact"/>
        <w:rPr>
          <w:rFonts w:ascii="Arial" w:cs="Arial" w:eastAsia="Arial" w:hAnsi="Arial"/>
          <w:sz w:val="14"/>
          <w:szCs w:val="14"/>
          <w:b w:val="1"/>
          <w:bCs w:val="1"/>
          <w:color w:val="auto"/>
        </w:rPr>
      </w:pPr>
    </w:p>
    <w:p>
      <w:pPr>
        <w:ind w:left="20"/>
        <w:spacing w:after="0"/>
        <w:rPr>
          <w:sz w:val="20"/>
          <w:szCs w:val="20"/>
          <w:color w:val="auto"/>
        </w:rPr>
      </w:pPr>
      <w:r>
        <w:rPr>
          <w:rFonts w:ascii="Arial" w:cs="Arial" w:eastAsia="Arial" w:hAnsi="Arial"/>
          <w:sz w:val="14"/>
          <w:szCs w:val="14"/>
          <w:color w:val="auto"/>
        </w:rPr>
        <w:t>Revenues are recognized when control of our services For example, for arrangements that have multiple performance</w:t>
      </w:r>
    </w:p>
    <w:p>
      <w:pPr>
        <w:ind w:left="20" w:right="160"/>
        <w:spacing w:after="0" w:line="201" w:lineRule="auto"/>
        <w:rPr>
          <w:sz w:val="20"/>
          <w:szCs w:val="20"/>
          <w:color w:val="auto"/>
        </w:rPr>
      </w:pPr>
      <w:r>
        <w:rPr>
          <w:rFonts w:ascii="Arial" w:cs="Arial" w:eastAsia="Arial" w:hAnsi="Arial"/>
          <w:sz w:val="14"/>
          <w:szCs w:val="14"/>
          <w:color w:val="auto"/>
        </w:rPr>
        <w:t>is transferred to our customers, in an amount that obligations, we must exercise judgment and use estimates in reflects the consideration we expect to be entitled to in order to (1) determine whether performance obligations are</w:t>
      </w:r>
    </w:p>
    <w:tbl>
      <w:tblPr>
        <w:tblLayout w:type="fixed"/>
        <w:tblInd w:w="20" w:type="dxa"/>
        <w:tblCellMar>
          <w:top w:w="0" w:type="dxa"/>
          <w:left w:w="0" w:type="dxa"/>
          <w:bottom w:w="0" w:type="dxa"/>
          <w:right w:w="0" w:type="dxa"/>
        </w:tblCellMar>
      </w:tblPr>
      <w:tr>
        <w:trPr>
          <w:trHeight w:val="135"/>
        </w:trPr>
        <w:tc>
          <w:tcPr>
            <w:tcW w:w="3460" w:type="dxa"/>
            <w:vAlign w:val="bottom"/>
          </w:tcPr>
          <w:p>
            <w:pPr>
              <w:spacing w:after="0" w:line="135" w:lineRule="exact"/>
              <w:rPr>
                <w:sz w:val="20"/>
                <w:szCs w:val="20"/>
                <w:color w:val="auto"/>
              </w:rPr>
            </w:pPr>
            <w:r>
              <w:rPr>
                <w:rFonts w:ascii="Arial" w:cs="Arial" w:eastAsia="Arial" w:hAnsi="Arial"/>
                <w:sz w:val="14"/>
                <w:szCs w:val="14"/>
                <w:color w:val="auto"/>
              </w:rPr>
              <w:t>exchange for those services.</w:t>
            </w:r>
          </w:p>
        </w:tc>
        <w:tc>
          <w:tcPr>
            <w:tcW w:w="4100" w:type="dxa"/>
            <w:vAlign w:val="bottom"/>
          </w:tcPr>
          <w:p>
            <w:pPr>
              <w:ind w:left="60"/>
              <w:spacing w:after="0" w:line="135" w:lineRule="exact"/>
              <w:rPr>
                <w:sz w:val="20"/>
                <w:szCs w:val="20"/>
                <w:color w:val="auto"/>
              </w:rPr>
            </w:pPr>
            <w:r>
              <w:rPr>
                <w:rFonts w:ascii="Arial" w:cs="Arial" w:eastAsia="Arial" w:hAnsi="Arial"/>
                <w:sz w:val="14"/>
                <w:szCs w:val="14"/>
                <w:color w:val="auto"/>
              </w:rPr>
              <w:t>distinct and should be accounted for separately; (2) determine</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4100" w:type="dxa"/>
            <w:vAlign w:val="bottom"/>
          </w:tcPr>
          <w:p>
            <w:pPr>
              <w:ind w:left="60"/>
              <w:spacing w:after="0" w:line="135" w:lineRule="exact"/>
              <w:rPr>
                <w:sz w:val="20"/>
                <w:szCs w:val="20"/>
                <w:color w:val="auto"/>
              </w:rPr>
            </w:pPr>
            <w:r>
              <w:rPr>
                <w:rFonts w:ascii="Arial" w:cs="Arial" w:eastAsia="Arial" w:hAnsi="Arial"/>
                <w:sz w:val="14"/>
                <w:szCs w:val="14"/>
                <w:color w:val="auto"/>
              </w:rPr>
              <w:t>the standalone selling price of each performance obligation; (3)</w:t>
            </w:r>
          </w:p>
        </w:tc>
        <w:tc>
          <w:tcPr>
            <w:tcW w:w="0" w:type="dxa"/>
            <w:vAlign w:val="bottom"/>
          </w:tcPr>
          <w:p>
            <w:pPr>
              <w:spacing w:after="0"/>
              <w:rPr>
                <w:sz w:val="1"/>
                <w:szCs w:val="1"/>
                <w:color w:val="auto"/>
              </w:rPr>
            </w:pPr>
          </w:p>
        </w:tc>
      </w:tr>
      <w:tr>
        <w:trPr>
          <w:trHeight w:val="157"/>
        </w:trPr>
        <w:tc>
          <w:tcPr>
            <w:tcW w:w="3460" w:type="dxa"/>
            <w:vAlign w:val="bottom"/>
          </w:tcPr>
          <w:p>
            <w:pPr>
              <w:spacing w:after="0" w:line="157" w:lineRule="exact"/>
              <w:rPr>
                <w:sz w:val="20"/>
                <w:szCs w:val="20"/>
                <w:color w:val="auto"/>
              </w:rPr>
            </w:pPr>
            <w:r>
              <w:rPr>
                <w:rFonts w:ascii="Arial" w:cs="Arial" w:eastAsia="Arial" w:hAnsi="Arial"/>
                <w:sz w:val="14"/>
                <w:szCs w:val="14"/>
                <w:color w:val="auto"/>
              </w:rPr>
              <w:t>We determine revenue recognition through the</w:t>
            </w:r>
          </w:p>
        </w:tc>
        <w:tc>
          <w:tcPr>
            <w:tcW w:w="4100" w:type="dxa"/>
            <w:vAlign w:val="bottom"/>
          </w:tcPr>
          <w:p>
            <w:pPr>
              <w:ind w:left="60"/>
              <w:spacing w:after="0" w:line="157" w:lineRule="exact"/>
              <w:rPr>
                <w:sz w:val="20"/>
                <w:szCs w:val="20"/>
                <w:color w:val="auto"/>
              </w:rPr>
            </w:pPr>
            <w:r>
              <w:rPr>
                <w:rFonts w:ascii="Arial" w:cs="Arial" w:eastAsia="Arial" w:hAnsi="Arial"/>
                <w:sz w:val="14"/>
                <w:szCs w:val="14"/>
                <w:color w:val="auto"/>
              </w:rPr>
              <w:t>allocate the transaction price among the various performance</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4"/>
                <w:szCs w:val="14"/>
                <w:color w:val="auto"/>
              </w:rPr>
              <w:t>following steps:</w:t>
            </w:r>
          </w:p>
        </w:tc>
        <w:tc>
          <w:tcPr>
            <w:tcW w:w="4100" w:type="dxa"/>
            <w:vAlign w:val="bottom"/>
          </w:tcPr>
          <w:p>
            <w:pPr>
              <w:ind w:left="60"/>
              <w:spacing w:after="0" w:line="135" w:lineRule="exact"/>
              <w:rPr>
                <w:sz w:val="20"/>
                <w:szCs w:val="20"/>
                <w:color w:val="auto"/>
              </w:rPr>
            </w:pPr>
            <w:r>
              <w:rPr>
                <w:rFonts w:ascii="Arial" w:cs="Arial" w:eastAsia="Arial" w:hAnsi="Arial"/>
                <w:sz w:val="14"/>
                <w:szCs w:val="14"/>
                <w:color w:val="auto"/>
              </w:rPr>
              <w:t>obligations on a relative standalone selling price basis; and (4)</w:t>
            </w:r>
          </w:p>
        </w:tc>
        <w:tc>
          <w:tcPr>
            <w:tcW w:w="0" w:type="dxa"/>
            <w:vAlign w:val="bottom"/>
          </w:tcPr>
          <w:p>
            <w:pPr>
              <w:spacing w:after="0"/>
              <w:rPr>
                <w:sz w:val="1"/>
                <w:szCs w:val="1"/>
                <w:color w:val="auto"/>
              </w:rPr>
            </w:pPr>
          </w:p>
        </w:tc>
      </w:tr>
      <w:tr>
        <w:trPr>
          <w:trHeight w:val="113"/>
        </w:trPr>
        <w:tc>
          <w:tcPr>
            <w:tcW w:w="3460" w:type="dxa"/>
            <w:vAlign w:val="bottom"/>
          </w:tcPr>
          <w:p>
            <w:pPr>
              <w:spacing w:after="0"/>
              <w:rPr>
                <w:sz w:val="9"/>
                <w:szCs w:val="9"/>
                <w:color w:val="auto"/>
              </w:rPr>
            </w:pPr>
          </w:p>
        </w:tc>
        <w:tc>
          <w:tcPr>
            <w:tcW w:w="4100" w:type="dxa"/>
            <w:vAlign w:val="bottom"/>
          </w:tcPr>
          <w:p>
            <w:pPr>
              <w:ind w:left="60"/>
              <w:spacing w:after="0" w:line="113" w:lineRule="exact"/>
              <w:rPr>
                <w:sz w:val="20"/>
                <w:szCs w:val="20"/>
                <w:color w:val="auto"/>
              </w:rPr>
            </w:pPr>
            <w:r>
              <w:rPr>
                <w:rFonts w:ascii="Arial" w:cs="Arial" w:eastAsia="Arial" w:hAnsi="Arial"/>
                <w:sz w:val="13"/>
                <w:szCs w:val="13"/>
                <w:color w:val="auto"/>
              </w:rPr>
              <w:t>determine whether revenue for each performance obligation</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20"/>
                <w:szCs w:val="20"/>
                <w:color w:val="auto"/>
              </w:rPr>
            </w:pPr>
            <w:r>
              <w:rPr>
                <w:rFonts w:ascii="Arial" w:cs="Arial" w:eastAsia="Arial" w:hAnsi="Arial"/>
                <w:sz w:val="14"/>
                <w:szCs w:val="14"/>
                <w:color w:val="auto"/>
              </w:rPr>
              <w:t>(1) Identification of the contract, or contracts, with a</w:t>
            </w:r>
          </w:p>
        </w:tc>
        <w:tc>
          <w:tcPr>
            <w:tcW w:w="4100" w:type="dxa"/>
            <w:vAlign w:val="bottom"/>
          </w:tcPr>
          <w:p>
            <w:pPr>
              <w:ind w:left="60"/>
              <w:spacing w:after="0"/>
              <w:rPr>
                <w:sz w:val="20"/>
                <w:szCs w:val="20"/>
                <w:color w:val="auto"/>
              </w:rPr>
            </w:pPr>
            <w:r>
              <w:rPr>
                <w:rFonts w:ascii="Arial" w:cs="Arial" w:eastAsia="Arial" w:hAnsi="Arial"/>
                <w:sz w:val="14"/>
                <w:szCs w:val="14"/>
                <w:color w:val="auto"/>
              </w:rPr>
              <w:t>should be recognized at a point in time or over time.</w:t>
            </w:r>
          </w:p>
        </w:tc>
        <w:tc>
          <w:tcPr>
            <w:tcW w:w="0" w:type="dxa"/>
            <w:vAlign w:val="bottom"/>
          </w:tcPr>
          <w:p>
            <w:pPr>
              <w:spacing w:after="0"/>
              <w:rPr>
                <w:sz w:val="1"/>
                <w:szCs w:val="1"/>
                <w:color w:val="auto"/>
              </w:rPr>
            </w:pPr>
          </w:p>
        </w:tc>
      </w:tr>
      <w:tr>
        <w:trPr>
          <w:trHeight w:val="172"/>
        </w:trPr>
        <w:tc>
          <w:tcPr>
            <w:tcW w:w="3460" w:type="dxa"/>
            <w:vAlign w:val="bottom"/>
          </w:tcPr>
          <w:p>
            <w:pPr>
              <w:spacing w:after="0"/>
              <w:rPr>
                <w:sz w:val="20"/>
                <w:szCs w:val="20"/>
                <w:color w:val="auto"/>
              </w:rPr>
            </w:pPr>
            <w:r>
              <w:rPr>
                <w:rFonts w:ascii="Arial" w:cs="Arial" w:eastAsia="Arial" w:hAnsi="Arial"/>
                <w:sz w:val="14"/>
                <w:szCs w:val="14"/>
                <w:color w:val="auto"/>
              </w:rPr>
              <w:t>customer;</w:t>
            </w:r>
          </w:p>
        </w:tc>
        <w:tc>
          <w:tcPr>
            <w:tcW w:w="4100" w:type="dxa"/>
            <w:vAlign w:val="bottom"/>
            <w:vMerge w:val="restart"/>
          </w:tcPr>
          <w:p>
            <w:pPr>
              <w:ind w:left="60"/>
              <w:spacing w:after="0"/>
              <w:rPr>
                <w:sz w:val="20"/>
                <w:szCs w:val="20"/>
                <w:color w:val="auto"/>
              </w:rPr>
            </w:pPr>
            <w:r>
              <w:rPr>
                <w:rFonts w:ascii="Arial" w:cs="Arial" w:eastAsia="Arial" w:hAnsi="Arial"/>
                <w:sz w:val="14"/>
                <w:szCs w:val="14"/>
                <w:color w:val="auto"/>
              </w:rPr>
              <w:t>In addition, we exercise judgment in certain transactions when</w:t>
            </w:r>
          </w:p>
        </w:tc>
        <w:tc>
          <w:tcPr>
            <w:tcW w:w="0" w:type="dxa"/>
            <w:vAlign w:val="bottom"/>
          </w:tcPr>
          <w:p>
            <w:pPr>
              <w:spacing w:after="0"/>
              <w:rPr>
                <w:sz w:val="1"/>
                <w:szCs w:val="1"/>
                <w:color w:val="auto"/>
              </w:rPr>
            </w:pPr>
          </w:p>
        </w:tc>
      </w:tr>
      <w:tr>
        <w:trPr>
          <w:trHeight w:val="71"/>
        </w:trPr>
        <w:tc>
          <w:tcPr>
            <w:tcW w:w="3460" w:type="dxa"/>
            <w:vAlign w:val="bottom"/>
          </w:tcPr>
          <w:p>
            <w:pPr>
              <w:spacing w:after="0"/>
              <w:rPr>
                <w:sz w:val="6"/>
                <w:szCs w:val="6"/>
                <w:color w:val="auto"/>
              </w:rPr>
            </w:pPr>
          </w:p>
        </w:tc>
        <w:tc>
          <w:tcPr>
            <w:tcW w:w="4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Arial" w:cs="Arial" w:eastAsia="Arial" w:hAnsi="Arial"/>
                <w:sz w:val="14"/>
                <w:szCs w:val="14"/>
                <w:color w:val="auto"/>
              </w:rPr>
              <w:t>(2) Identification of the performance obligations in the</w:t>
            </w:r>
          </w:p>
        </w:tc>
        <w:tc>
          <w:tcPr>
            <w:tcW w:w="4100" w:type="dxa"/>
            <w:vAlign w:val="bottom"/>
          </w:tcPr>
          <w:p>
            <w:pPr>
              <w:ind w:left="60"/>
              <w:spacing w:after="0"/>
              <w:rPr>
                <w:sz w:val="20"/>
                <w:szCs w:val="20"/>
                <w:color w:val="auto"/>
              </w:rPr>
            </w:pPr>
            <w:r>
              <w:rPr>
                <w:rFonts w:ascii="Arial" w:cs="Arial" w:eastAsia="Arial" w:hAnsi="Arial"/>
                <w:sz w:val="14"/>
                <w:szCs w:val="14"/>
                <w:color w:val="auto"/>
              </w:rPr>
              <w:t>determining whether we should recognize revenue based on</w:t>
            </w:r>
          </w:p>
        </w:tc>
        <w:tc>
          <w:tcPr>
            <w:tcW w:w="0" w:type="dxa"/>
            <w:vAlign w:val="bottom"/>
          </w:tcPr>
          <w:p>
            <w:pPr>
              <w:spacing w:after="0"/>
              <w:rPr>
                <w:sz w:val="1"/>
                <w:szCs w:val="1"/>
                <w:color w:val="auto"/>
              </w:rPr>
            </w:pPr>
          </w:p>
        </w:tc>
      </w:tr>
      <w:tr>
        <w:trPr>
          <w:trHeight w:val="86"/>
        </w:trPr>
        <w:tc>
          <w:tcPr>
            <w:tcW w:w="3460" w:type="dxa"/>
            <w:vAlign w:val="bottom"/>
            <w:vMerge w:val="restart"/>
          </w:tcPr>
          <w:p>
            <w:pPr>
              <w:spacing w:after="0"/>
              <w:rPr>
                <w:sz w:val="20"/>
                <w:szCs w:val="20"/>
                <w:color w:val="auto"/>
              </w:rPr>
            </w:pPr>
            <w:r>
              <w:rPr>
                <w:rFonts w:ascii="Arial" w:cs="Arial" w:eastAsia="Arial" w:hAnsi="Arial"/>
                <w:sz w:val="14"/>
                <w:szCs w:val="14"/>
                <w:color w:val="auto"/>
              </w:rPr>
              <w:t>contract;</w:t>
            </w:r>
          </w:p>
        </w:tc>
        <w:tc>
          <w:tcPr>
            <w:tcW w:w="4100" w:type="dxa"/>
            <w:vAlign w:val="bottom"/>
          </w:tcPr>
          <w:p>
            <w:pPr>
              <w:ind w:left="60"/>
              <w:spacing w:after="0" w:line="86" w:lineRule="exact"/>
              <w:rPr>
                <w:sz w:val="20"/>
                <w:szCs w:val="20"/>
                <w:color w:val="auto"/>
              </w:rPr>
            </w:pPr>
            <w:r>
              <w:rPr>
                <w:rFonts w:ascii="Arial" w:cs="Arial" w:eastAsia="Arial" w:hAnsi="Arial"/>
                <w:sz w:val="9"/>
                <w:szCs w:val="9"/>
                <w:color w:val="auto"/>
              </w:rPr>
              <w:t>the gross amount billed to a customer (as a principal) or the net</w:t>
            </w:r>
          </w:p>
        </w:tc>
        <w:tc>
          <w:tcPr>
            <w:tcW w:w="0" w:type="dxa"/>
            <w:vAlign w:val="bottom"/>
          </w:tcPr>
          <w:p>
            <w:pPr>
              <w:spacing w:after="0"/>
              <w:rPr>
                <w:sz w:val="1"/>
                <w:szCs w:val="1"/>
                <w:color w:val="auto"/>
              </w:rPr>
            </w:pPr>
          </w:p>
        </w:tc>
      </w:tr>
      <w:tr>
        <w:trPr>
          <w:trHeight w:val="91"/>
        </w:trPr>
        <w:tc>
          <w:tcPr>
            <w:tcW w:w="3460" w:type="dxa"/>
            <w:vAlign w:val="bottom"/>
            <w:vMerge w:val="continue"/>
          </w:tcPr>
          <w:p>
            <w:pPr>
              <w:spacing w:after="0"/>
              <w:rPr>
                <w:sz w:val="7"/>
                <w:szCs w:val="7"/>
                <w:color w:val="auto"/>
              </w:rPr>
            </w:pPr>
          </w:p>
        </w:tc>
        <w:tc>
          <w:tcPr>
            <w:tcW w:w="4100" w:type="dxa"/>
            <w:vAlign w:val="bottom"/>
            <w:vMerge w:val="restart"/>
          </w:tcPr>
          <w:p>
            <w:pPr>
              <w:ind w:left="60"/>
              <w:spacing w:after="0" w:line="135" w:lineRule="exact"/>
              <w:rPr>
                <w:sz w:val="20"/>
                <w:szCs w:val="20"/>
                <w:color w:val="auto"/>
              </w:rPr>
            </w:pPr>
            <w:r>
              <w:rPr>
                <w:rFonts w:ascii="Arial" w:cs="Arial" w:eastAsia="Arial" w:hAnsi="Arial"/>
                <w:sz w:val="14"/>
                <w:szCs w:val="14"/>
                <w:color w:val="auto"/>
              </w:rPr>
              <w:t>amount retained (as an agent). These judgments are based on</w:t>
            </w:r>
          </w:p>
        </w:tc>
        <w:tc>
          <w:tcPr>
            <w:tcW w:w="0" w:type="dxa"/>
            <w:vAlign w:val="bottom"/>
          </w:tcPr>
          <w:p>
            <w:pPr>
              <w:spacing w:after="0"/>
              <w:rPr>
                <w:sz w:val="1"/>
                <w:szCs w:val="1"/>
                <w:color w:val="auto"/>
              </w:rPr>
            </w:pPr>
          </w:p>
        </w:tc>
      </w:tr>
      <w:tr>
        <w:trPr>
          <w:trHeight w:val="44"/>
        </w:trPr>
        <w:tc>
          <w:tcPr>
            <w:tcW w:w="3460" w:type="dxa"/>
            <w:vAlign w:val="bottom"/>
          </w:tcPr>
          <w:p>
            <w:pPr>
              <w:spacing w:after="0"/>
              <w:rPr>
                <w:sz w:val="3"/>
                <w:szCs w:val="3"/>
                <w:color w:val="auto"/>
              </w:rPr>
            </w:pPr>
          </w:p>
        </w:tc>
        <w:tc>
          <w:tcPr>
            <w:tcW w:w="4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460" w:type="dxa"/>
            <w:vAlign w:val="bottom"/>
            <w:vMerge w:val="restart"/>
          </w:tcPr>
          <w:p>
            <w:pPr>
              <w:spacing w:after="0"/>
              <w:rPr>
                <w:sz w:val="20"/>
                <w:szCs w:val="20"/>
                <w:color w:val="auto"/>
              </w:rPr>
            </w:pPr>
            <w:r>
              <w:rPr>
                <w:rFonts w:ascii="Arial" w:cs="Arial" w:eastAsia="Arial" w:hAnsi="Arial"/>
                <w:sz w:val="14"/>
                <w:szCs w:val="14"/>
                <w:color w:val="auto"/>
              </w:rPr>
              <w:t>(3) Determination of the transaction price;</w:t>
            </w:r>
          </w:p>
        </w:tc>
        <w:tc>
          <w:tcPr>
            <w:tcW w:w="4100" w:type="dxa"/>
            <w:vAlign w:val="bottom"/>
          </w:tcPr>
          <w:p>
            <w:pPr>
              <w:ind w:left="60"/>
              <w:spacing w:after="0" w:line="135" w:lineRule="exact"/>
              <w:rPr>
                <w:sz w:val="20"/>
                <w:szCs w:val="20"/>
                <w:color w:val="auto"/>
              </w:rPr>
            </w:pPr>
            <w:r>
              <w:rPr>
                <w:rFonts w:ascii="Arial" w:cs="Arial" w:eastAsia="Arial" w:hAnsi="Arial"/>
                <w:sz w:val="14"/>
                <w:szCs w:val="14"/>
                <w:color w:val="auto"/>
              </w:rPr>
              <w:t>our determination of whether or not we control the service</w:t>
            </w:r>
          </w:p>
        </w:tc>
        <w:tc>
          <w:tcPr>
            <w:tcW w:w="0" w:type="dxa"/>
            <w:vAlign w:val="bottom"/>
          </w:tcPr>
          <w:p>
            <w:pPr>
              <w:spacing w:after="0"/>
              <w:rPr>
                <w:sz w:val="1"/>
                <w:szCs w:val="1"/>
                <w:color w:val="auto"/>
              </w:rPr>
            </w:pPr>
          </w:p>
        </w:tc>
      </w:tr>
      <w:tr>
        <w:trPr>
          <w:trHeight w:val="118"/>
        </w:trPr>
        <w:tc>
          <w:tcPr>
            <w:tcW w:w="3460" w:type="dxa"/>
            <w:vAlign w:val="bottom"/>
            <w:vMerge w:val="continue"/>
          </w:tcPr>
          <w:p>
            <w:pPr>
              <w:spacing w:after="0"/>
              <w:rPr>
                <w:sz w:val="10"/>
                <w:szCs w:val="10"/>
                <w:color w:val="auto"/>
              </w:rPr>
            </w:pPr>
          </w:p>
        </w:tc>
        <w:tc>
          <w:tcPr>
            <w:tcW w:w="4100" w:type="dxa"/>
            <w:vAlign w:val="bottom"/>
            <w:vMerge w:val="restart"/>
          </w:tcPr>
          <w:p>
            <w:pPr>
              <w:ind w:left="60"/>
              <w:spacing w:after="0"/>
              <w:rPr>
                <w:sz w:val="20"/>
                <w:szCs w:val="20"/>
                <w:color w:val="auto"/>
              </w:rPr>
            </w:pPr>
            <w:r>
              <w:rPr>
                <w:rFonts w:ascii="Arial" w:cs="Arial" w:eastAsia="Arial" w:hAnsi="Arial"/>
                <w:sz w:val="14"/>
                <w:szCs w:val="14"/>
                <w:color w:val="auto"/>
              </w:rPr>
              <w:t>before it is transferred to the customer.</w:t>
            </w: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br w:type="column"/>
      </w:r>
    </w:p>
    <w:p>
      <w:pPr>
        <w:ind w:right="40"/>
        <w:spacing w:after="0" w:line="215" w:lineRule="auto"/>
        <w:rPr>
          <w:sz w:val="20"/>
          <w:szCs w:val="20"/>
          <w:color w:val="auto"/>
        </w:rPr>
      </w:pPr>
      <w:r>
        <w:rPr>
          <w:rFonts w:ascii="Arial" w:cs="Arial" w:eastAsia="Arial" w:hAnsi="Arial"/>
          <w:sz w:val="14"/>
          <w:szCs w:val="14"/>
          <w:color w:val="auto"/>
        </w:rPr>
        <w:t>If we were to change any of these judgments or estimates, it could cause a material increase or decrease in the amount of revenue or deferred revenue that we report in a particular period.</w:t>
      </w:r>
    </w:p>
    <w:p>
      <w:pPr>
        <w:spacing w:after="0" w:line="2414" w:lineRule="exact"/>
        <w:rPr>
          <w:rFonts w:ascii="Arial" w:cs="Arial" w:eastAsia="Arial" w:hAnsi="Arial"/>
          <w:sz w:val="14"/>
          <w:szCs w:val="14"/>
          <w:b w:val="1"/>
          <w:bCs w:val="1"/>
          <w:color w:val="auto"/>
        </w:rPr>
      </w:pPr>
    </w:p>
    <w:p>
      <w:pPr>
        <w:sectPr>
          <w:pgSz w:w="11900" w:h="16838" w:orient="portrait"/>
          <w:cols w:equalWidth="0" w:num="2">
            <w:col w:w="7580" w:space="80"/>
            <w:col w:w="3580"/>
          </w:cols>
          <w:pgMar w:left="320" w:top="126" w:right="339" w:bottom="1440" w:gutter="0" w:footer="0" w:header="0"/>
          <w:type w:val="continuous"/>
        </w:sect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69" w:lineRule="exact"/>
        <w:rPr>
          <w:rFonts w:ascii="Arial" w:cs="Arial" w:eastAsia="Arial" w:hAnsi="Arial"/>
          <w:sz w:val="14"/>
          <w:szCs w:val="14"/>
          <w:b w:val="1"/>
          <w:b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shd w:val="clear" w:color="auto" w:fill="ACACAC"/>
          </w:tcPr>
          <w:p>
            <w:pPr>
              <w:spacing w:after="0"/>
              <w:rPr>
                <w:sz w:val="13"/>
                <w:szCs w:val="13"/>
                <w:color w:val="auto"/>
              </w:rPr>
            </w:pPr>
          </w:p>
        </w:tc>
        <w:tc>
          <w:tcPr>
            <w:tcW w:w="2620" w:type="dxa"/>
            <w:vAlign w:val="bottom"/>
            <w:vMerge w:val="restart"/>
            <w:shd w:val="clear" w:color="auto" w:fill="ACACAC"/>
          </w:tcPr>
          <w:p>
            <w:pPr>
              <w:ind w:left="500"/>
              <w:spacing w:after="0"/>
              <w:rPr>
                <w:sz w:val="20"/>
                <w:szCs w:val="20"/>
                <w:color w:val="auto"/>
              </w:rPr>
            </w:pPr>
            <w:r>
              <w:rPr>
                <w:rFonts w:ascii="Arial" w:cs="Arial" w:eastAsia="Arial" w:hAnsi="Arial"/>
                <w:sz w:val="14"/>
                <w:szCs w:val="14"/>
                <w:b w:val="1"/>
                <w:bCs w:val="1"/>
                <w:color w:val="FFFFFF"/>
              </w:rPr>
              <w:t>Description</w:t>
            </w:r>
          </w:p>
        </w:tc>
        <w:tc>
          <w:tcPr>
            <w:tcW w:w="4100" w:type="dxa"/>
            <w:vAlign w:val="bottom"/>
            <w:vMerge w:val="restart"/>
            <w:shd w:val="clear" w:color="auto" w:fill="ACACAC"/>
          </w:tcPr>
          <w:p>
            <w:pPr>
              <w:ind w:left="1080"/>
              <w:spacing w:after="0"/>
              <w:rPr>
                <w:sz w:val="20"/>
                <w:szCs w:val="20"/>
                <w:color w:val="auto"/>
              </w:rPr>
            </w:pPr>
            <w:r>
              <w:rPr>
                <w:rFonts w:ascii="Arial" w:cs="Arial" w:eastAsia="Arial" w:hAnsi="Arial"/>
                <w:sz w:val="14"/>
                <w:szCs w:val="14"/>
                <w:b w:val="1"/>
                <w:bCs w:val="1"/>
                <w:color w:val="FFFFFF"/>
              </w:rPr>
              <w:t>Judgments and Uncertainties</w:t>
            </w:r>
          </w:p>
        </w:tc>
        <w:tc>
          <w:tcPr>
            <w:tcW w:w="364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Effect if Actual Results Differ</w:t>
            </w:r>
          </w:p>
        </w:tc>
        <w:tc>
          <w:tcPr>
            <w:tcW w:w="0" w:type="dxa"/>
            <w:vAlign w:val="bottom"/>
          </w:tcPr>
          <w:p>
            <w:pPr>
              <w:spacing w:after="0"/>
              <w:rPr>
                <w:sz w:val="1"/>
                <w:szCs w:val="1"/>
                <w:color w:val="auto"/>
              </w:rPr>
            </w:pPr>
          </w:p>
        </w:tc>
      </w:tr>
      <w:tr>
        <w:trPr>
          <w:trHeight w:val="175"/>
        </w:trPr>
        <w:tc>
          <w:tcPr>
            <w:tcW w:w="880" w:type="dxa"/>
            <w:vAlign w:val="bottom"/>
            <w:shd w:val="clear" w:color="auto" w:fill="ACACAC"/>
          </w:tcPr>
          <w:p>
            <w:pPr>
              <w:spacing w:after="0"/>
              <w:rPr>
                <w:sz w:val="15"/>
                <w:szCs w:val="15"/>
                <w:color w:val="auto"/>
              </w:rPr>
            </w:pPr>
          </w:p>
        </w:tc>
        <w:tc>
          <w:tcPr>
            <w:tcW w:w="2620" w:type="dxa"/>
            <w:vAlign w:val="bottom"/>
            <w:vMerge w:val="continue"/>
            <w:shd w:val="clear" w:color="auto" w:fill="ACACAC"/>
          </w:tcPr>
          <w:p>
            <w:pPr>
              <w:spacing w:after="0"/>
              <w:rPr>
                <w:sz w:val="15"/>
                <w:szCs w:val="15"/>
                <w:color w:val="auto"/>
              </w:rPr>
            </w:pPr>
          </w:p>
        </w:tc>
        <w:tc>
          <w:tcPr>
            <w:tcW w:w="4100" w:type="dxa"/>
            <w:vAlign w:val="bottom"/>
            <w:vMerge w:val="continue"/>
            <w:shd w:val="clear" w:color="auto" w:fill="ACACAC"/>
          </w:tcPr>
          <w:p>
            <w:pPr>
              <w:spacing w:after="0"/>
              <w:rPr>
                <w:sz w:val="15"/>
                <w:szCs w:val="15"/>
                <w:color w:val="auto"/>
              </w:rPr>
            </w:pPr>
          </w:p>
        </w:tc>
        <w:tc>
          <w:tcPr>
            <w:tcW w:w="364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From Assumptions</w:t>
            </w:r>
          </w:p>
        </w:tc>
        <w:tc>
          <w:tcPr>
            <w:tcW w:w="0" w:type="dxa"/>
            <w:vAlign w:val="bottom"/>
          </w:tcPr>
          <w:p>
            <w:pPr>
              <w:spacing w:after="0"/>
              <w:rPr>
                <w:sz w:val="1"/>
                <w:szCs w:val="1"/>
                <w:color w:val="auto"/>
              </w:rPr>
            </w:pPr>
          </w:p>
        </w:tc>
      </w:tr>
      <w:tr>
        <w:trPr>
          <w:trHeight w:val="315"/>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We pay sales commissions at the time contracts with</w:t>
            </w:r>
          </w:p>
        </w:tc>
        <w:tc>
          <w:tcPr>
            <w:tcW w:w="4100" w:type="dxa"/>
            <w:vAlign w:val="bottom"/>
          </w:tcPr>
          <w:p>
            <w:pPr>
              <w:ind w:left="40"/>
              <w:spacing w:after="0"/>
              <w:rPr>
                <w:sz w:val="20"/>
                <w:szCs w:val="20"/>
                <w:color w:val="auto"/>
              </w:rPr>
            </w:pPr>
            <w:r>
              <w:rPr>
                <w:rFonts w:ascii="Arial" w:cs="Arial" w:eastAsia="Arial" w:hAnsi="Arial"/>
                <w:sz w:val="14"/>
                <w:szCs w:val="14"/>
                <w:color w:val="auto"/>
              </w:rPr>
              <w:t>Our accounting methodology for determining the period over</w:t>
            </w:r>
          </w:p>
        </w:tc>
        <w:tc>
          <w:tcPr>
            <w:tcW w:w="3640" w:type="dxa"/>
            <w:vAlign w:val="bottom"/>
          </w:tcPr>
          <w:p>
            <w:pPr>
              <w:ind w:left="60"/>
              <w:spacing w:after="0"/>
              <w:rPr>
                <w:sz w:val="20"/>
                <w:szCs w:val="20"/>
                <w:color w:val="auto"/>
              </w:rPr>
            </w:pPr>
            <w:r>
              <w:rPr>
                <w:rFonts w:ascii="Arial" w:cs="Arial" w:eastAsia="Arial" w:hAnsi="Arial"/>
                <w:sz w:val="14"/>
                <w:szCs w:val="14"/>
                <w:color w:val="auto"/>
              </w:rPr>
              <w:t>If we were to change any of these judgments or</w:t>
            </w: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customers are signed or shortly thereafter, depending</w:t>
            </w:r>
          </w:p>
        </w:tc>
        <w:tc>
          <w:tcPr>
            <w:tcW w:w="4100" w:type="dxa"/>
            <w:vAlign w:val="bottom"/>
          </w:tcPr>
          <w:p>
            <w:pPr>
              <w:ind w:left="40"/>
              <w:spacing w:after="0" w:line="135" w:lineRule="exact"/>
              <w:rPr>
                <w:sz w:val="20"/>
                <w:szCs w:val="20"/>
                <w:color w:val="auto"/>
              </w:rPr>
            </w:pPr>
            <w:r>
              <w:rPr>
                <w:rFonts w:ascii="Arial" w:cs="Arial" w:eastAsia="Arial" w:hAnsi="Arial"/>
                <w:sz w:val="14"/>
                <w:szCs w:val="14"/>
                <w:color w:val="auto"/>
              </w:rPr>
              <w:t>which we amortize costs of obtaining contracts with customers</w:t>
            </w:r>
          </w:p>
        </w:tc>
        <w:tc>
          <w:tcPr>
            <w:tcW w:w="3640" w:type="dxa"/>
            <w:vAlign w:val="bottom"/>
          </w:tcPr>
          <w:p>
            <w:pPr>
              <w:ind w:left="60"/>
              <w:spacing w:after="0" w:line="135" w:lineRule="exact"/>
              <w:rPr>
                <w:sz w:val="20"/>
                <w:szCs w:val="20"/>
                <w:color w:val="auto"/>
              </w:rPr>
            </w:pPr>
            <w:r>
              <w:rPr>
                <w:rFonts w:ascii="Arial" w:cs="Arial" w:eastAsia="Arial" w:hAnsi="Arial"/>
                <w:sz w:val="14"/>
                <w:szCs w:val="14"/>
                <w:color w:val="auto"/>
              </w:rPr>
              <w:t>estimates, it could cause a material increase or</w:t>
            </w: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on the size and duration of the sales contract. Sales</w:t>
            </w:r>
          </w:p>
        </w:tc>
        <w:tc>
          <w:tcPr>
            <w:tcW w:w="774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contains uncertainties because it requires us to make significant decrease in the amount of assets, operating expenses</w:t>
            </w:r>
          </w:p>
        </w:tc>
        <w:tc>
          <w:tcPr>
            <w:tcW w:w="0" w:type="dxa"/>
            <w:vAlign w:val="bottom"/>
          </w:tcPr>
          <w:p>
            <w:pPr>
              <w:spacing w:after="0"/>
              <w:rPr>
                <w:sz w:val="1"/>
                <w:szCs w:val="1"/>
                <w:color w:val="auto"/>
              </w:rPr>
            </w:pPr>
          </w:p>
        </w:tc>
      </w:tr>
      <w:tr>
        <w:trPr>
          <w:trHeight w:val="135"/>
        </w:trPr>
        <w:tc>
          <w:tcPr>
            <w:tcW w:w="760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commissions and related fringe benefits earned by our estimates and assumptions, and to apply judgment.</w:t>
            </w:r>
          </w:p>
        </w:tc>
        <w:tc>
          <w:tcPr>
            <w:tcW w:w="3640" w:type="dxa"/>
            <w:vAlign w:val="bottom"/>
          </w:tcPr>
          <w:p>
            <w:pPr>
              <w:ind w:left="60"/>
              <w:spacing w:after="0" w:line="135" w:lineRule="exact"/>
              <w:rPr>
                <w:sz w:val="20"/>
                <w:szCs w:val="20"/>
                <w:color w:val="auto"/>
              </w:rPr>
            </w:pPr>
            <w:r>
              <w:rPr>
                <w:rFonts w:ascii="Arial" w:cs="Arial" w:eastAsia="Arial" w:hAnsi="Arial"/>
                <w:sz w:val="14"/>
                <w:szCs w:val="14"/>
                <w:color w:val="auto"/>
              </w:rPr>
              <w:t>or income that we report in a particular period.</w:t>
            </w: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sales force are considered incremental and</w:t>
            </w:r>
          </w:p>
        </w:tc>
        <w:tc>
          <w:tcPr>
            <w:tcW w:w="41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5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recoverable costs of obtaining a contract with a</w:t>
            </w:r>
          </w:p>
        </w:tc>
        <w:tc>
          <w:tcPr>
            <w:tcW w:w="4100" w:type="dxa"/>
            <w:vAlign w:val="bottom"/>
          </w:tcPr>
          <w:p>
            <w:pPr>
              <w:ind w:left="40"/>
              <w:spacing w:after="0" w:line="157" w:lineRule="exact"/>
              <w:rPr>
                <w:sz w:val="20"/>
                <w:szCs w:val="20"/>
                <w:color w:val="auto"/>
              </w:rPr>
            </w:pPr>
            <w:r>
              <w:rPr>
                <w:rFonts w:ascii="Arial" w:cs="Arial" w:eastAsia="Arial" w:hAnsi="Arial"/>
                <w:sz w:val="14"/>
                <w:szCs w:val="14"/>
                <w:color w:val="auto"/>
              </w:rPr>
              <w:t>For example, we must exercise judgment and use estimates in</w:t>
            </w: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customer. These costs are deferred and then</w:t>
            </w:r>
          </w:p>
        </w:tc>
        <w:tc>
          <w:tcPr>
            <w:tcW w:w="4100" w:type="dxa"/>
            <w:vAlign w:val="bottom"/>
          </w:tcPr>
          <w:p>
            <w:pPr>
              <w:ind w:left="40"/>
              <w:spacing w:after="0" w:line="135" w:lineRule="exact"/>
              <w:rPr>
                <w:sz w:val="20"/>
                <w:szCs w:val="20"/>
                <w:color w:val="auto"/>
              </w:rPr>
            </w:pPr>
            <w:r>
              <w:rPr>
                <w:rFonts w:ascii="Arial" w:cs="Arial" w:eastAsia="Arial" w:hAnsi="Arial"/>
                <w:sz w:val="14"/>
                <w:szCs w:val="14"/>
                <w:color w:val="auto"/>
              </w:rPr>
              <w:t>order to determine the expected period of benefit of our sales</w:t>
            </w: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amortized in a manner that aligns with the expected</w:t>
            </w:r>
          </w:p>
        </w:tc>
        <w:tc>
          <w:tcPr>
            <w:tcW w:w="4100" w:type="dxa"/>
            <w:vAlign w:val="bottom"/>
          </w:tcPr>
          <w:p>
            <w:pPr>
              <w:ind w:left="40"/>
              <w:spacing w:after="0" w:line="135" w:lineRule="exact"/>
              <w:rPr>
                <w:sz w:val="20"/>
                <w:szCs w:val="20"/>
                <w:color w:val="auto"/>
              </w:rPr>
            </w:pPr>
            <w:r>
              <w:rPr>
                <w:rFonts w:ascii="Arial" w:cs="Arial" w:eastAsia="Arial" w:hAnsi="Arial"/>
                <w:sz w:val="14"/>
                <w:szCs w:val="14"/>
                <w:color w:val="auto"/>
              </w:rPr>
              <w:t>commissions. We take into consideration our customer</w:t>
            </w: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period of benefit, which we have determined to be five</w:t>
            </w:r>
          </w:p>
        </w:tc>
        <w:tc>
          <w:tcPr>
            <w:tcW w:w="4100" w:type="dxa"/>
            <w:vAlign w:val="bottom"/>
          </w:tcPr>
          <w:p>
            <w:pPr>
              <w:ind w:left="40"/>
              <w:spacing w:after="0" w:line="135" w:lineRule="exact"/>
              <w:rPr>
                <w:sz w:val="20"/>
                <w:szCs w:val="20"/>
                <w:color w:val="auto"/>
              </w:rPr>
            </w:pPr>
            <w:r>
              <w:rPr>
                <w:rFonts w:ascii="Arial" w:cs="Arial" w:eastAsia="Arial" w:hAnsi="Arial"/>
                <w:sz w:val="14"/>
                <w:szCs w:val="14"/>
                <w:color w:val="auto"/>
              </w:rPr>
              <w:t>contracts, including renewals, retention, our technology and</w:t>
            </w: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years. We do not generally pay commissions for</w:t>
            </w:r>
          </w:p>
        </w:tc>
        <w:tc>
          <w:tcPr>
            <w:tcW w:w="4100" w:type="dxa"/>
            <w:vAlign w:val="bottom"/>
          </w:tcPr>
          <w:p>
            <w:pPr>
              <w:spacing w:after="0"/>
              <w:rPr>
                <w:sz w:val="9"/>
                <w:szCs w:val="9"/>
                <w:color w:val="auto"/>
              </w:rPr>
            </w:pP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7600" w:type="dxa"/>
            <w:vAlign w:val="bottom"/>
            <w:gridSpan w:val="3"/>
          </w:tcPr>
          <w:p>
            <w:pPr>
              <w:ind w:left="20"/>
              <w:spacing w:after="0" w:line="140" w:lineRule="exact"/>
              <w:rPr>
                <w:sz w:val="20"/>
                <w:szCs w:val="20"/>
                <w:color w:val="auto"/>
              </w:rPr>
            </w:pPr>
            <w:r>
              <w:rPr>
                <w:rFonts w:ascii="Arial" w:cs="Arial" w:eastAsia="Arial" w:hAnsi="Arial"/>
                <w:sz w:val="10"/>
                <w:szCs w:val="10"/>
                <w:color w:val="auto"/>
              </w:rPr>
              <w:t xml:space="preserve">contract renewals. The related amortization expense is </w:t>
            </w:r>
            <w:r>
              <w:rPr>
                <w:rFonts w:ascii="Arial" w:cs="Arial" w:eastAsia="Arial" w:hAnsi="Arial"/>
                <w:sz w:val="16"/>
                <w:szCs w:val="16"/>
                <w:color w:val="auto"/>
                <w:vertAlign w:val="superscript"/>
              </w:rPr>
              <w:t>other factors.</w:t>
            </w: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included in sales, marketing and customer success</w:t>
            </w:r>
          </w:p>
        </w:tc>
        <w:tc>
          <w:tcPr>
            <w:tcW w:w="41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expense in our consolidated statements of</w:t>
            </w:r>
          </w:p>
        </w:tc>
        <w:tc>
          <w:tcPr>
            <w:tcW w:w="41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71BF43"/>
            </w:tcBorders>
            <w:gridSpan w:val="2"/>
          </w:tcPr>
          <w:p>
            <w:pPr>
              <w:ind w:left="20"/>
              <w:spacing w:after="0"/>
              <w:rPr>
                <w:sz w:val="20"/>
                <w:szCs w:val="20"/>
                <w:color w:val="auto"/>
              </w:rPr>
            </w:pPr>
            <w:r>
              <w:rPr>
                <w:rFonts w:ascii="Arial" w:cs="Arial" w:eastAsia="Arial" w:hAnsi="Arial"/>
                <w:sz w:val="14"/>
                <w:szCs w:val="14"/>
                <w:color w:val="auto"/>
              </w:rPr>
              <w:t>comprehensive income.</w:t>
            </w:r>
          </w:p>
        </w:tc>
        <w:tc>
          <w:tcPr>
            <w:tcW w:w="4100" w:type="dxa"/>
            <w:vAlign w:val="bottom"/>
            <w:tcBorders>
              <w:bottom w:val="single" w:sz="8" w:color="71BF43"/>
            </w:tcBorders>
          </w:tcPr>
          <w:p>
            <w:pPr>
              <w:spacing w:after="0"/>
              <w:rPr>
                <w:sz w:val="14"/>
                <w:szCs w:val="14"/>
                <w:color w:val="auto"/>
              </w:rPr>
            </w:pPr>
          </w:p>
        </w:tc>
        <w:tc>
          <w:tcPr>
            <w:tcW w:w="3640" w:type="dxa"/>
            <w:vAlign w:val="bottom"/>
            <w:tcBorders>
              <w:bottom w:val="single" w:sz="8" w:color="71BF43"/>
            </w:tcBorders>
          </w:tcPr>
          <w:p>
            <w:pPr>
              <w:spacing w:after="0"/>
              <w:rPr>
                <w:sz w:val="14"/>
                <w:szCs w:val="14"/>
                <w:color w:val="auto"/>
              </w:rPr>
            </w:pPr>
          </w:p>
        </w:tc>
        <w:tc>
          <w:tcPr>
            <w:tcW w:w="0" w:type="dxa"/>
            <w:vAlign w:val="bottom"/>
          </w:tcPr>
          <w:p>
            <w:pPr>
              <w:spacing w:after="0"/>
              <w:rPr>
                <w:sz w:val="1"/>
                <w:szCs w:val="1"/>
                <w:color w:val="auto"/>
              </w:rPr>
            </w:pPr>
          </w:p>
        </w:tc>
      </w:tr>
      <w:tr>
        <w:trPr>
          <w:trHeight w:val="697"/>
        </w:trPr>
        <w:tc>
          <w:tcPr>
            <w:tcW w:w="880" w:type="dxa"/>
            <w:vAlign w:val="bottom"/>
          </w:tcPr>
          <w:p>
            <w:pPr>
              <w:ind w:left="240"/>
              <w:spacing w:after="0"/>
              <w:rPr>
                <w:sz w:val="20"/>
                <w:szCs w:val="20"/>
                <w:color w:val="auto"/>
              </w:rPr>
            </w:pPr>
            <w:r>
              <w:rPr>
                <w:rFonts w:ascii="Arial" w:cs="Arial" w:eastAsia="Arial" w:hAnsi="Arial"/>
                <w:sz w:val="14"/>
                <w:szCs w:val="14"/>
                <w:color w:val="auto"/>
              </w:rPr>
              <w:t>58</w:t>
            </w:r>
          </w:p>
        </w:tc>
        <w:tc>
          <w:tcPr>
            <w:tcW w:w="2620" w:type="dxa"/>
            <w:vAlign w:val="bottom"/>
          </w:tcPr>
          <w:p>
            <w:pPr>
              <w:ind w:left="880"/>
              <w:spacing w:after="0"/>
              <w:rPr>
                <w:sz w:val="20"/>
                <w:szCs w:val="20"/>
                <w:color w:val="auto"/>
              </w:rPr>
            </w:pPr>
            <w:r>
              <w:rPr>
                <w:rFonts w:ascii="Arial" w:cs="Arial" w:eastAsia="Arial" w:hAnsi="Arial"/>
                <w:sz w:val="14"/>
                <w:szCs w:val="14"/>
                <w:color w:val="auto"/>
              </w:rPr>
              <w:t>2020 Form 10-K</w:t>
            </w:r>
          </w:p>
        </w:tc>
        <w:tc>
          <w:tcPr>
            <w:tcW w:w="4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-393700</wp:posOffset>
            </wp:positionV>
            <wp:extent cx="72834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0" w:name="page61"/>
    <w:bookmarkEnd w:id="60"/>
    <w:p>
      <w:pPr>
        <w:spacing w:after="0" w:line="200" w:lineRule="auto"/>
        <w:framePr w:w="4100" w:h="805" w:wrap="auto" w:vAnchor="page" w:hAnchor="page" w:x="3820" w:y="7259"/>
        <w:rPr>
          <w:rFonts w:ascii="Arial" w:cs="Arial" w:eastAsia="Arial" w:hAnsi="Arial"/>
          <w:sz w:val="14"/>
          <w:szCs w:val="14"/>
          <w:color w:val="auto"/>
        </w:rPr>
      </w:pPr>
      <w:r>
        <w:rPr>
          <w:rFonts w:ascii="Arial" w:cs="Arial" w:eastAsia="Arial" w:hAnsi="Arial"/>
          <w:sz w:val="14"/>
          <w:szCs w:val="14"/>
          <w:color w:val="auto"/>
        </w:rPr>
        <w:t>The calculation of our income tax provision requires estimates due to transactions, credits and calculations where the ultimate tax determination is uncertain. Uncertainties arise as a consequence of the actual source of taxable income between domestic and foreign locations, the outcome of tax audits and the ultimate utilization of tax credits.</w:t>
      </w:r>
    </w:p>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1" w:lineRule="exact"/>
        <w:rPr>
          <w:rFonts w:ascii="Arial" w:cs="Arial" w:eastAsia="Arial" w:hAnsi="Arial"/>
          <w:sz w:val="14"/>
          <w:szCs w:val="14"/>
          <w:color w:val="auto"/>
        </w:rPr>
      </w:pPr>
    </w:p>
    <w:p>
      <w:pPr>
        <w:ind w:left="20"/>
        <w:spacing w:after="0"/>
        <w:rPr>
          <w:sz w:val="20"/>
          <w:szCs w:val="20"/>
          <w:color w:val="auto"/>
        </w:rPr>
      </w:pPr>
      <w:r>
        <w:rPr>
          <w:rFonts w:ascii="Arial" w:cs="Arial" w:eastAsia="Arial" w:hAnsi="Arial"/>
          <w:sz w:val="14"/>
          <w:szCs w:val="14"/>
          <w:b w:val="1"/>
          <w:bCs w:val="1"/>
          <w:color w:val="auto"/>
        </w:rPr>
        <w:t>Business Combinations</w:t>
      </w:r>
    </w:p>
    <w:p>
      <w:pPr>
        <w:spacing w:after="0" w:line="15"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shd w:val="clear" w:color="auto" w:fill="ACACAC"/>
          </w:tcPr>
          <w:p>
            <w:pPr>
              <w:ind w:left="1380"/>
              <w:spacing w:after="0"/>
              <w:rPr>
                <w:sz w:val="20"/>
                <w:szCs w:val="20"/>
                <w:color w:val="auto"/>
              </w:rPr>
            </w:pPr>
            <w:r>
              <w:rPr>
                <w:rFonts w:ascii="Arial" w:cs="Arial" w:eastAsia="Arial" w:hAnsi="Arial"/>
                <w:sz w:val="14"/>
                <w:szCs w:val="14"/>
                <w:b w:val="1"/>
                <w:bCs w:val="1"/>
                <w:color w:val="FFFFFF"/>
              </w:rPr>
              <w:t>Description</w:t>
            </w:r>
          </w:p>
        </w:tc>
        <w:tc>
          <w:tcPr>
            <w:tcW w:w="4140" w:type="dxa"/>
            <w:vAlign w:val="bottom"/>
            <w:vMerge w:val="restart"/>
            <w:shd w:val="clear" w:color="auto" w:fill="ACACAC"/>
          </w:tcPr>
          <w:p>
            <w:pPr>
              <w:ind w:left="1200"/>
              <w:spacing w:after="0"/>
              <w:rPr>
                <w:sz w:val="20"/>
                <w:szCs w:val="20"/>
                <w:color w:val="auto"/>
              </w:rPr>
            </w:pPr>
            <w:r>
              <w:rPr>
                <w:rFonts w:ascii="Arial" w:cs="Arial" w:eastAsia="Arial" w:hAnsi="Arial"/>
                <w:sz w:val="14"/>
                <w:szCs w:val="14"/>
                <w:b w:val="1"/>
                <w:bCs w:val="1"/>
                <w:color w:val="FFFFFF"/>
              </w:rPr>
              <w:t>Judgments and Uncertainties</w:t>
            </w:r>
          </w:p>
        </w:tc>
        <w:tc>
          <w:tcPr>
            <w:tcW w:w="3720" w:type="dxa"/>
            <w:vAlign w:val="bottom"/>
            <w:shd w:val="clear" w:color="auto" w:fill="ACACAC"/>
          </w:tcPr>
          <w:p>
            <w:pPr>
              <w:jc w:val="center"/>
              <w:ind w:left="68"/>
              <w:spacing w:after="0"/>
              <w:rPr>
                <w:sz w:val="20"/>
                <w:szCs w:val="20"/>
                <w:color w:val="auto"/>
              </w:rPr>
            </w:pPr>
            <w:r>
              <w:rPr>
                <w:rFonts w:ascii="Arial" w:cs="Arial" w:eastAsia="Arial" w:hAnsi="Arial"/>
                <w:sz w:val="14"/>
                <w:szCs w:val="14"/>
                <w:b w:val="1"/>
                <w:bCs w:val="1"/>
                <w:color w:val="FFFFFF"/>
              </w:rPr>
              <w:t>Effect if Actual Results Differ</w:t>
            </w:r>
          </w:p>
        </w:tc>
        <w:tc>
          <w:tcPr>
            <w:tcW w:w="0" w:type="dxa"/>
            <w:vAlign w:val="bottom"/>
          </w:tcPr>
          <w:p>
            <w:pPr>
              <w:spacing w:after="0"/>
              <w:rPr>
                <w:sz w:val="1"/>
                <w:szCs w:val="1"/>
                <w:color w:val="auto"/>
              </w:rPr>
            </w:pPr>
          </w:p>
        </w:tc>
      </w:tr>
      <w:tr>
        <w:trPr>
          <w:trHeight w:val="176"/>
        </w:trPr>
        <w:tc>
          <w:tcPr>
            <w:tcW w:w="3380" w:type="dxa"/>
            <w:vAlign w:val="bottom"/>
            <w:vMerge w:val="continue"/>
            <w:shd w:val="clear" w:color="auto" w:fill="ACACAC"/>
          </w:tcPr>
          <w:p>
            <w:pPr>
              <w:spacing w:after="0"/>
              <w:rPr>
                <w:sz w:val="15"/>
                <w:szCs w:val="15"/>
                <w:color w:val="auto"/>
              </w:rPr>
            </w:pPr>
          </w:p>
        </w:tc>
        <w:tc>
          <w:tcPr>
            <w:tcW w:w="4140" w:type="dxa"/>
            <w:vAlign w:val="bottom"/>
            <w:vMerge w:val="continue"/>
            <w:shd w:val="clear" w:color="auto" w:fill="ACACAC"/>
          </w:tcPr>
          <w:p>
            <w:pPr>
              <w:spacing w:after="0"/>
              <w:rPr>
                <w:sz w:val="15"/>
                <w:szCs w:val="15"/>
                <w:color w:val="auto"/>
              </w:rPr>
            </w:pPr>
          </w:p>
        </w:tc>
        <w:tc>
          <w:tcPr>
            <w:tcW w:w="3720" w:type="dxa"/>
            <w:vAlign w:val="bottom"/>
            <w:shd w:val="clear" w:color="auto" w:fill="ACACAC"/>
          </w:tcPr>
          <w:p>
            <w:pPr>
              <w:jc w:val="center"/>
              <w:ind w:left="48"/>
              <w:spacing w:after="0"/>
              <w:rPr>
                <w:sz w:val="20"/>
                <w:szCs w:val="20"/>
                <w:color w:val="auto"/>
              </w:rPr>
            </w:pPr>
            <w:r>
              <w:rPr>
                <w:rFonts w:ascii="Arial" w:cs="Arial" w:eastAsia="Arial" w:hAnsi="Arial"/>
                <w:sz w:val="14"/>
                <w:szCs w:val="14"/>
                <w:b w:val="1"/>
                <w:bCs w:val="1"/>
                <w:color w:val="FFFFFF"/>
              </w:rPr>
              <w:t>From Assumptions</w:t>
            </w:r>
          </w:p>
        </w:tc>
        <w:tc>
          <w:tcPr>
            <w:tcW w:w="0" w:type="dxa"/>
            <w:vAlign w:val="bottom"/>
          </w:tcPr>
          <w:p>
            <w:pPr>
              <w:spacing w:after="0"/>
              <w:rPr>
                <w:sz w:val="1"/>
                <w:szCs w:val="1"/>
                <w:color w:val="auto"/>
              </w:rPr>
            </w:pPr>
          </w:p>
        </w:tc>
      </w:tr>
    </w:tbl>
    <w:p>
      <w:pPr>
        <w:spacing w:after="0" w:line="154" w:lineRule="exact"/>
        <w:rPr>
          <w:rFonts w:ascii="Arial" w:cs="Arial" w:eastAsia="Arial" w:hAnsi="Arial"/>
          <w:sz w:val="14"/>
          <w:szCs w:val="14"/>
          <w:color w:val="auto"/>
        </w:rPr>
      </w:pPr>
    </w:p>
    <w:p>
      <w:pPr>
        <w:sectPr>
          <w:pgSz w:w="11900" w:h="16838" w:orient="portrait"/>
          <w:cols w:equalWidth="0" w:num="1">
            <w:col w:w="11240"/>
          </w:cols>
          <w:pgMar w:left="320" w:top="126" w:right="339" w:bottom="1440" w:gutter="0" w:footer="0" w:header="0"/>
        </w:sectPr>
      </w:pPr>
    </w:p>
    <w:tbl>
      <w:tblPr>
        <w:tblLayout w:type="fixed"/>
        <w:tblInd w:w="20" w:type="dxa"/>
        <w:tblCellMar>
          <w:top w:w="0" w:type="dxa"/>
          <w:left w:w="0" w:type="dxa"/>
          <w:bottom w:w="0" w:type="dxa"/>
          <w:right w:w="0" w:type="dxa"/>
        </w:tblCellMar>
      </w:tblPr>
      <w:tr>
        <w:trPr>
          <w:trHeight w:val="161"/>
        </w:trPr>
        <w:tc>
          <w:tcPr>
            <w:tcW w:w="3480" w:type="dxa"/>
            <w:vAlign w:val="bottom"/>
          </w:tcPr>
          <w:p>
            <w:pPr>
              <w:spacing w:after="0"/>
              <w:rPr>
                <w:sz w:val="20"/>
                <w:szCs w:val="20"/>
                <w:color w:val="auto"/>
              </w:rPr>
            </w:pPr>
            <w:r>
              <w:rPr>
                <w:rFonts w:ascii="Arial" w:cs="Arial" w:eastAsia="Arial" w:hAnsi="Arial"/>
                <w:sz w:val="14"/>
                <w:szCs w:val="14"/>
                <w:color w:val="auto"/>
              </w:rPr>
              <w:t>We allocate the purchase price of an acquired</w:t>
            </w:r>
          </w:p>
        </w:tc>
        <w:tc>
          <w:tcPr>
            <w:tcW w:w="4080" w:type="dxa"/>
            <w:vAlign w:val="bottom"/>
          </w:tcPr>
          <w:p>
            <w:pPr>
              <w:ind w:left="40"/>
              <w:spacing w:after="0"/>
              <w:rPr>
                <w:sz w:val="20"/>
                <w:szCs w:val="20"/>
                <w:color w:val="auto"/>
              </w:rPr>
            </w:pPr>
            <w:r>
              <w:rPr>
                <w:rFonts w:ascii="Arial" w:cs="Arial" w:eastAsia="Arial" w:hAnsi="Arial"/>
                <w:sz w:val="14"/>
                <w:szCs w:val="14"/>
                <w:color w:val="auto"/>
              </w:rPr>
              <w:t>Our purchase price allocation methodology contains</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4"/>
                <w:szCs w:val="14"/>
                <w:color w:val="auto"/>
              </w:rPr>
              <w:t>business to its identifiable assets acquired and</w:t>
            </w:r>
          </w:p>
        </w:tc>
        <w:tc>
          <w:tcPr>
            <w:tcW w:w="4080" w:type="dxa"/>
            <w:vAlign w:val="bottom"/>
          </w:tcPr>
          <w:p>
            <w:pPr>
              <w:ind w:left="40"/>
              <w:spacing w:after="0" w:line="135" w:lineRule="exact"/>
              <w:rPr>
                <w:sz w:val="20"/>
                <w:szCs w:val="20"/>
                <w:color w:val="auto"/>
              </w:rPr>
            </w:pPr>
            <w:r>
              <w:rPr>
                <w:rFonts w:ascii="Arial" w:cs="Arial" w:eastAsia="Arial" w:hAnsi="Arial"/>
                <w:sz w:val="14"/>
                <w:szCs w:val="14"/>
                <w:color w:val="auto"/>
              </w:rPr>
              <w:t>uncertainties because it requires us to make significant</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4"/>
                <w:szCs w:val="14"/>
                <w:color w:val="auto"/>
              </w:rPr>
              <w:t>liabilities assumed at the acquisition date based upon</w:t>
            </w:r>
          </w:p>
        </w:tc>
        <w:tc>
          <w:tcPr>
            <w:tcW w:w="4080" w:type="dxa"/>
            <w:vAlign w:val="bottom"/>
          </w:tcPr>
          <w:p>
            <w:pPr>
              <w:ind w:left="40"/>
              <w:spacing w:after="0" w:line="135" w:lineRule="exact"/>
              <w:rPr>
                <w:sz w:val="20"/>
                <w:szCs w:val="20"/>
                <w:color w:val="auto"/>
              </w:rPr>
            </w:pPr>
            <w:r>
              <w:rPr>
                <w:rFonts w:ascii="Arial" w:cs="Arial" w:eastAsia="Arial" w:hAnsi="Arial"/>
                <w:sz w:val="14"/>
                <w:szCs w:val="14"/>
                <w:color w:val="auto"/>
              </w:rPr>
              <w:t>estimates and assumptions, and to apply judgment to estimate</w:t>
            </w:r>
          </w:p>
        </w:tc>
        <w:tc>
          <w:tcPr>
            <w:tcW w:w="0" w:type="dxa"/>
            <w:vAlign w:val="bottom"/>
          </w:tcPr>
          <w:p>
            <w:pPr>
              <w:spacing w:after="0"/>
              <w:rPr>
                <w:sz w:val="1"/>
                <w:szCs w:val="1"/>
                <w:color w:val="auto"/>
              </w:rPr>
            </w:pPr>
          </w:p>
        </w:tc>
      </w:tr>
      <w:tr>
        <w:trPr>
          <w:trHeight w:val="135"/>
        </w:trPr>
        <w:tc>
          <w:tcPr>
            <w:tcW w:w="7560" w:type="dxa"/>
            <w:vAlign w:val="bottom"/>
            <w:gridSpan w:val="2"/>
          </w:tcPr>
          <w:p>
            <w:pPr>
              <w:spacing w:after="0" w:line="135" w:lineRule="exact"/>
              <w:rPr>
                <w:sz w:val="20"/>
                <w:szCs w:val="20"/>
                <w:color w:val="auto"/>
              </w:rPr>
            </w:pPr>
            <w:r>
              <w:rPr>
                <w:rFonts w:ascii="Arial" w:cs="Arial" w:eastAsia="Arial" w:hAnsi="Arial"/>
                <w:sz w:val="14"/>
                <w:szCs w:val="14"/>
                <w:color w:val="auto"/>
              </w:rPr>
              <w:t>their estimated fair values. The excess of the purchase the fair value of assets acquired and liabilities assumed,</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4"/>
                <w:szCs w:val="14"/>
                <w:color w:val="auto"/>
              </w:rPr>
              <w:t>price over the amount allocated to the identifiable</w:t>
            </w:r>
          </w:p>
        </w:tc>
        <w:tc>
          <w:tcPr>
            <w:tcW w:w="4080" w:type="dxa"/>
            <w:vAlign w:val="bottom"/>
          </w:tcPr>
          <w:p>
            <w:pPr>
              <w:ind w:left="40"/>
              <w:spacing w:after="0" w:line="135" w:lineRule="exact"/>
              <w:rPr>
                <w:sz w:val="20"/>
                <w:szCs w:val="20"/>
                <w:color w:val="auto"/>
              </w:rPr>
            </w:pPr>
            <w:r>
              <w:rPr>
                <w:rFonts w:ascii="Arial" w:cs="Arial" w:eastAsia="Arial" w:hAnsi="Arial"/>
                <w:sz w:val="14"/>
                <w:szCs w:val="14"/>
                <w:color w:val="auto"/>
              </w:rPr>
              <w:t>especially with respect to long-lived and intangible assets.</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4"/>
                <w:szCs w:val="14"/>
                <w:color w:val="auto"/>
              </w:rPr>
              <w:t>assets acquired and liabilities assumed, if any, is</w:t>
            </w:r>
          </w:p>
        </w:tc>
        <w:tc>
          <w:tcPr>
            <w:tcW w:w="4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4"/>
                <w:szCs w:val="14"/>
                <w:color w:val="auto"/>
              </w:rPr>
              <w:t>recorded as goodwill.</w:t>
            </w:r>
          </w:p>
        </w:tc>
        <w:tc>
          <w:tcPr>
            <w:tcW w:w="4080" w:type="dxa"/>
            <w:vAlign w:val="bottom"/>
          </w:tcPr>
          <w:p>
            <w:pPr>
              <w:ind w:left="40"/>
              <w:spacing w:after="0"/>
              <w:rPr>
                <w:sz w:val="20"/>
                <w:szCs w:val="20"/>
                <w:color w:val="auto"/>
              </w:rPr>
            </w:pPr>
            <w:r>
              <w:rPr>
                <w:rFonts w:ascii="Arial" w:cs="Arial" w:eastAsia="Arial" w:hAnsi="Arial"/>
                <w:sz w:val="14"/>
                <w:szCs w:val="14"/>
                <w:color w:val="auto"/>
              </w:rPr>
              <w:t>Management estimates the fair value of assets acquired and</w:t>
            </w:r>
          </w:p>
        </w:tc>
        <w:tc>
          <w:tcPr>
            <w:tcW w:w="0" w:type="dxa"/>
            <w:vAlign w:val="bottom"/>
          </w:tcPr>
          <w:p>
            <w:pPr>
              <w:spacing w:after="0"/>
              <w:rPr>
                <w:sz w:val="1"/>
                <w:szCs w:val="1"/>
                <w:color w:val="auto"/>
              </w:rPr>
            </w:pPr>
          </w:p>
        </w:tc>
      </w:tr>
      <w:tr>
        <w:trPr>
          <w:trHeight w:val="135"/>
        </w:trPr>
        <w:tc>
          <w:tcPr>
            <w:tcW w:w="3480" w:type="dxa"/>
            <w:vAlign w:val="bottom"/>
            <w:vMerge w:val="restart"/>
          </w:tcPr>
          <w:p>
            <w:pPr>
              <w:spacing w:after="0"/>
              <w:rPr>
                <w:sz w:val="20"/>
                <w:szCs w:val="20"/>
                <w:color w:val="auto"/>
              </w:rPr>
            </w:pPr>
            <w:r>
              <w:rPr>
                <w:rFonts w:ascii="Arial" w:cs="Arial" w:eastAsia="Arial" w:hAnsi="Arial"/>
                <w:sz w:val="14"/>
                <w:szCs w:val="14"/>
                <w:color w:val="auto"/>
              </w:rPr>
              <w:t>We use available information to estimate fair values.</w:t>
            </w:r>
          </w:p>
        </w:tc>
        <w:tc>
          <w:tcPr>
            <w:tcW w:w="4080" w:type="dxa"/>
            <w:vAlign w:val="bottom"/>
          </w:tcPr>
          <w:p>
            <w:pPr>
              <w:ind w:left="40"/>
              <w:spacing w:after="0" w:line="135" w:lineRule="exact"/>
              <w:rPr>
                <w:sz w:val="20"/>
                <w:szCs w:val="20"/>
                <w:color w:val="auto"/>
              </w:rPr>
            </w:pPr>
            <w:r>
              <w:rPr>
                <w:rFonts w:ascii="Arial" w:cs="Arial" w:eastAsia="Arial" w:hAnsi="Arial"/>
                <w:sz w:val="14"/>
                <w:szCs w:val="14"/>
                <w:color w:val="auto"/>
              </w:rPr>
              <w:t>liabilities assumed based on quoted market prices, the carrying</w:t>
            </w:r>
          </w:p>
        </w:tc>
        <w:tc>
          <w:tcPr>
            <w:tcW w:w="0" w:type="dxa"/>
            <w:vAlign w:val="bottom"/>
          </w:tcPr>
          <w:p>
            <w:pPr>
              <w:spacing w:after="0"/>
              <w:rPr>
                <w:sz w:val="1"/>
                <w:szCs w:val="1"/>
                <w:color w:val="auto"/>
              </w:rPr>
            </w:pPr>
          </w:p>
        </w:tc>
      </w:tr>
      <w:tr>
        <w:trPr>
          <w:trHeight w:val="135"/>
        </w:trPr>
        <w:tc>
          <w:tcPr>
            <w:tcW w:w="3480" w:type="dxa"/>
            <w:vAlign w:val="bottom"/>
            <w:vMerge w:val="continue"/>
          </w:tcPr>
          <w:p>
            <w:pPr>
              <w:spacing w:after="0"/>
              <w:rPr>
                <w:sz w:val="11"/>
                <w:szCs w:val="11"/>
                <w:color w:val="auto"/>
              </w:rPr>
            </w:pPr>
          </w:p>
        </w:tc>
        <w:tc>
          <w:tcPr>
            <w:tcW w:w="4080" w:type="dxa"/>
            <w:vAlign w:val="bottom"/>
          </w:tcPr>
          <w:p>
            <w:pPr>
              <w:ind w:left="40"/>
              <w:spacing w:after="0" w:line="135" w:lineRule="exact"/>
              <w:rPr>
                <w:sz w:val="20"/>
                <w:szCs w:val="20"/>
                <w:color w:val="auto"/>
              </w:rPr>
            </w:pPr>
            <w:r>
              <w:rPr>
                <w:rFonts w:ascii="Arial" w:cs="Arial" w:eastAsia="Arial" w:hAnsi="Arial"/>
                <w:sz w:val="14"/>
                <w:szCs w:val="14"/>
                <w:color w:val="auto"/>
              </w:rPr>
              <w:t>value of the acquired assets and widely accepted valuation</w:t>
            </w:r>
          </w:p>
        </w:tc>
        <w:tc>
          <w:tcPr>
            <w:tcW w:w="0" w:type="dxa"/>
            <w:vAlign w:val="bottom"/>
          </w:tcPr>
          <w:p>
            <w:pPr>
              <w:spacing w:after="0"/>
              <w:rPr>
                <w:sz w:val="1"/>
                <w:szCs w:val="1"/>
                <w:color w:val="auto"/>
              </w:rPr>
            </w:pPr>
          </w:p>
        </w:tc>
      </w:tr>
      <w:tr>
        <w:trPr>
          <w:trHeight w:val="135"/>
        </w:trPr>
        <w:tc>
          <w:tcPr>
            <w:tcW w:w="7560" w:type="dxa"/>
            <w:vAlign w:val="bottom"/>
            <w:gridSpan w:val="2"/>
          </w:tcPr>
          <w:p>
            <w:pPr>
              <w:spacing w:after="0" w:line="135" w:lineRule="exact"/>
              <w:rPr>
                <w:sz w:val="20"/>
                <w:szCs w:val="20"/>
                <w:color w:val="auto"/>
              </w:rPr>
            </w:pPr>
            <w:r>
              <w:rPr>
                <w:rFonts w:ascii="Arial" w:cs="Arial" w:eastAsia="Arial" w:hAnsi="Arial"/>
                <w:sz w:val="14"/>
                <w:szCs w:val="14"/>
                <w:color w:val="auto"/>
              </w:rPr>
              <w:t>We typically engage outside appraisal firms to assist in techniques, including discounted cash flows and market</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4"/>
                <w:szCs w:val="14"/>
                <w:color w:val="auto"/>
              </w:rPr>
              <w:t>the fair value determination of long-lived and</w:t>
            </w:r>
          </w:p>
        </w:tc>
        <w:tc>
          <w:tcPr>
            <w:tcW w:w="4080" w:type="dxa"/>
            <w:vAlign w:val="bottom"/>
          </w:tcPr>
          <w:p>
            <w:pPr>
              <w:ind w:left="40"/>
              <w:spacing w:after="0" w:line="135" w:lineRule="exact"/>
              <w:rPr>
                <w:sz w:val="20"/>
                <w:szCs w:val="20"/>
                <w:color w:val="auto"/>
              </w:rPr>
            </w:pPr>
            <w:r>
              <w:rPr>
                <w:rFonts w:ascii="Arial" w:cs="Arial" w:eastAsia="Arial" w:hAnsi="Arial"/>
                <w:sz w:val="14"/>
                <w:szCs w:val="14"/>
                <w:color w:val="auto"/>
              </w:rPr>
              <w:t>multiple analyses.</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4"/>
                <w:szCs w:val="14"/>
                <w:color w:val="auto"/>
              </w:rPr>
              <w:t>identifiable intangible assets, and any other significant</w:t>
            </w:r>
          </w:p>
        </w:tc>
        <w:tc>
          <w:tcPr>
            <w:tcW w:w="4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assets or liabilities. We adjust the preliminary</w:t>
            </w:r>
          </w:p>
        </w:tc>
        <w:tc>
          <w:tcPr>
            <w:tcW w:w="4080" w:type="dxa"/>
            <w:vAlign w:val="bottom"/>
          </w:tcPr>
          <w:p>
            <w:pPr>
              <w:ind w:left="40"/>
              <w:spacing w:after="0" w:line="157" w:lineRule="exact"/>
              <w:rPr>
                <w:sz w:val="20"/>
                <w:szCs w:val="20"/>
                <w:color w:val="auto"/>
              </w:rPr>
            </w:pPr>
            <w:r>
              <w:rPr>
                <w:rFonts w:ascii="Arial" w:cs="Arial" w:eastAsia="Arial" w:hAnsi="Arial"/>
                <w:sz w:val="14"/>
                <w:szCs w:val="14"/>
                <w:color w:val="auto"/>
              </w:rPr>
              <w:t>Critical estimates in valuing intangible assets include, but are</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4"/>
                <w:szCs w:val="14"/>
                <w:color w:val="auto"/>
              </w:rPr>
              <w:t>purchase price allocation, as necessary, up to one</w:t>
            </w:r>
          </w:p>
        </w:tc>
        <w:tc>
          <w:tcPr>
            <w:tcW w:w="4080" w:type="dxa"/>
            <w:vAlign w:val="bottom"/>
          </w:tcPr>
          <w:p>
            <w:pPr>
              <w:ind w:left="40"/>
              <w:spacing w:after="0" w:line="135" w:lineRule="exact"/>
              <w:rPr>
                <w:sz w:val="20"/>
                <w:szCs w:val="20"/>
                <w:color w:val="auto"/>
              </w:rPr>
            </w:pPr>
            <w:r>
              <w:rPr>
                <w:rFonts w:ascii="Arial" w:cs="Arial" w:eastAsia="Arial" w:hAnsi="Arial"/>
                <w:sz w:val="14"/>
                <w:szCs w:val="14"/>
                <w:color w:val="auto"/>
              </w:rPr>
              <w:t>not limited to, estimates about: expected future cash flows from</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4"/>
                <w:szCs w:val="14"/>
                <w:color w:val="auto"/>
              </w:rPr>
              <w:t>year after the acquisition closing date as we obtain</w:t>
            </w:r>
          </w:p>
        </w:tc>
        <w:tc>
          <w:tcPr>
            <w:tcW w:w="4080" w:type="dxa"/>
            <w:vAlign w:val="bottom"/>
          </w:tcPr>
          <w:p>
            <w:pPr>
              <w:ind w:left="40"/>
              <w:spacing w:after="0" w:line="135" w:lineRule="exact"/>
              <w:rPr>
                <w:sz w:val="20"/>
                <w:szCs w:val="20"/>
                <w:color w:val="auto"/>
              </w:rPr>
            </w:pPr>
            <w:r>
              <w:rPr>
                <w:rFonts w:ascii="Arial" w:cs="Arial" w:eastAsia="Arial" w:hAnsi="Arial"/>
                <w:sz w:val="14"/>
                <w:szCs w:val="14"/>
                <w:color w:val="auto"/>
              </w:rPr>
              <w:t>customers, including revenue and operating expenses; royalty</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4"/>
                <w:szCs w:val="14"/>
                <w:color w:val="auto"/>
              </w:rPr>
              <w:t>new information about facts and circumstances that</w:t>
            </w:r>
          </w:p>
        </w:tc>
        <w:tc>
          <w:tcPr>
            <w:tcW w:w="4080" w:type="dxa"/>
            <w:vAlign w:val="bottom"/>
          </w:tcPr>
          <w:p>
            <w:pPr>
              <w:ind w:left="40"/>
              <w:spacing w:after="0" w:line="135" w:lineRule="exact"/>
              <w:rPr>
                <w:sz w:val="20"/>
                <w:szCs w:val="20"/>
                <w:color w:val="auto"/>
              </w:rPr>
            </w:pPr>
            <w:r>
              <w:rPr>
                <w:rFonts w:ascii="Arial" w:cs="Arial" w:eastAsia="Arial" w:hAnsi="Arial"/>
                <w:sz w:val="14"/>
                <w:szCs w:val="14"/>
                <w:color w:val="auto"/>
              </w:rPr>
              <w:t>and customer attrition rates; proprietary technology</w:t>
            </w:r>
          </w:p>
        </w:tc>
        <w:tc>
          <w:tcPr>
            <w:tcW w:w="0" w:type="dxa"/>
            <w:vAlign w:val="bottom"/>
          </w:tcPr>
          <w:p>
            <w:pPr>
              <w:spacing w:after="0"/>
              <w:rPr>
                <w:sz w:val="1"/>
                <w:szCs w:val="1"/>
                <w:color w:val="auto"/>
              </w:rPr>
            </w:pPr>
          </w:p>
        </w:tc>
      </w:tr>
      <w:tr>
        <w:trPr>
          <w:trHeight w:val="140"/>
        </w:trPr>
        <w:tc>
          <w:tcPr>
            <w:tcW w:w="3480" w:type="dxa"/>
            <w:vAlign w:val="bottom"/>
          </w:tcPr>
          <w:p>
            <w:pPr>
              <w:spacing w:after="0" w:line="140" w:lineRule="exact"/>
              <w:rPr>
                <w:sz w:val="20"/>
                <w:szCs w:val="20"/>
                <w:color w:val="auto"/>
              </w:rPr>
            </w:pPr>
            <w:r>
              <w:rPr>
                <w:rFonts w:ascii="Arial" w:cs="Arial" w:eastAsia="Arial" w:hAnsi="Arial"/>
                <w:sz w:val="14"/>
                <w:szCs w:val="14"/>
                <w:color w:val="auto"/>
              </w:rPr>
              <w:t>existed as of the closing date.</w:t>
            </w:r>
          </w:p>
        </w:tc>
        <w:tc>
          <w:tcPr>
            <w:tcW w:w="4080" w:type="dxa"/>
            <w:vAlign w:val="bottom"/>
          </w:tcPr>
          <w:p>
            <w:pPr>
              <w:ind w:left="40"/>
              <w:spacing w:after="0" w:line="140" w:lineRule="exact"/>
              <w:rPr>
                <w:sz w:val="20"/>
                <w:szCs w:val="20"/>
                <w:color w:val="auto"/>
              </w:rPr>
            </w:pPr>
            <w:r>
              <w:rPr>
                <w:rFonts w:ascii="Arial" w:cs="Arial" w:eastAsia="Arial" w:hAnsi="Arial"/>
                <w:sz w:val="14"/>
                <w:szCs w:val="14"/>
                <w:color w:val="auto"/>
              </w:rPr>
              <w:t>obsolescence curve; the acquired company's brand awareness</w:t>
            </w:r>
          </w:p>
        </w:tc>
        <w:tc>
          <w:tcPr>
            <w:tcW w:w="0" w:type="dxa"/>
            <w:vAlign w:val="bottom"/>
          </w:tcPr>
          <w:p>
            <w:pPr>
              <w:spacing w:after="0"/>
              <w:rPr>
                <w:sz w:val="1"/>
                <w:szCs w:val="1"/>
                <w:color w:val="auto"/>
              </w:rPr>
            </w:pPr>
          </w:p>
        </w:tc>
      </w:tr>
    </w:tbl>
    <w:p>
      <w:pPr>
        <w:ind w:left="3540"/>
        <w:spacing w:after="0" w:line="206" w:lineRule="auto"/>
        <w:rPr>
          <w:sz w:val="20"/>
          <w:szCs w:val="20"/>
          <w:color w:val="auto"/>
        </w:rPr>
      </w:pPr>
      <w:r>
        <w:rPr>
          <w:rFonts w:ascii="Arial" w:cs="Arial" w:eastAsia="Arial" w:hAnsi="Arial"/>
          <w:sz w:val="14"/>
          <w:szCs w:val="14"/>
          <w:color w:val="auto"/>
        </w:rPr>
        <w:t>and market position; the market awareness of the acquired company's branded technology solutions and services; assumptions about the period of time the brands will continue to be valuable; as well as expected costs to develop any in-process research and development into commercially viable solutions and estimated cash flows from the projects when completed, and discount rates. Our estimates of fair value are based upon assumptions we believe to be reasonable, but which are inherently uncertain and unpredictable. Assumptions may be incomplete or inaccurate, and unanticipated events and circumstances may occur.</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6" w:lineRule="exact"/>
        <w:rPr>
          <w:rFonts w:ascii="Arial" w:cs="Arial" w:eastAsia="Arial" w:hAnsi="Arial"/>
          <w:sz w:val="14"/>
          <w:szCs w:val="14"/>
          <w:color w:val="auto"/>
        </w:rPr>
      </w:pPr>
    </w:p>
    <w:p>
      <w:pPr>
        <w:ind w:right="40"/>
        <w:spacing w:after="0" w:line="208" w:lineRule="auto"/>
        <w:rPr>
          <w:sz w:val="20"/>
          <w:szCs w:val="20"/>
          <w:color w:val="auto"/>
        </w:rPr>
      </w:pPr>
      <w:r>
        <w:rPr>
          <w:rFonts w:ascii="Arial" w:cs="Arial" w:eastAsia="Arial" w:hAnsi="Arial"/>
          <w:sz w:val="14"/>
          <w:szCs w:val="14"/>
          <w:color w:val="auto"/>
        </w:rPr>
        <w:t>If actual results are materially different than the assumptions we used to determine fair value of the assets acquired and liabilities assumed through a business combination as well as the estimated useful lives of the acquired intangible assets, it is possible that adjustments to the carrying values of such assets and liabilities will have a material impact on our financial position and results of operations.</w:t>
      </w:r>
    </w:p>
    <w:p>
      <w:pPr>
        <w:spacing w:after="0" w:line="126" w:lineRule="exact"/>
        <w:rPr>
          <w:rFonts w:ascii="Arial" w:cs="Arial" w:eastAsia="Arial" w:hAnsi="Arial"/>
          <w:sz w:val="14"/>
          <w:szCs w:val="14"/>
          <w:color w:val="auto"/>
        </w:rPr>
      </w:pPr>
    </w:p>
    <w:p>
      <w:pPr>
        <w:ind w:right="140"/>
        <w:spacing w:after="0" w:line="219" w:lineRule="auto"/>
        <w:rPr>
          <w:sz w:val="20"/>
          <w:szCs w:val="20"/>
          <w:color w:val="auto"/>
        </w:rPr>
      </w:pPr>
      <w:r>
        <w:rPr>
          <w:rFonts w:ascii="Arial" w:cs="Arial" w:eastAsia="Arial" w:hAnsi="Arial"/>
          <w:sz w:val="14"/>
          <w:szCs w:val="14"/>
          <w:color w:val="auto"/>
        </w:rPr>
        <w:t>See Note 3 to our consolidated financial statements in this report for information regarding our business acquisitions.</w:t>
      </w:r>
    </w:p>
    <w:p>
      <w:pPr>
        <w:spacing w:after="0" w:line="2386" w:lineRule="exact"/>
        <w:rPr>
          <w:rFonts w:ascii="Arial" w:cs="Arial" w:eastAsia="Arial" w:hAnsi="Arial"/>
          <w:sz w:val="14"/>
          <w:szCs w:val="14"/>
          <w:color w:val="auto"/>
        </w:rPr>
      </w:pPr>
    </w:p>
    <w:p>
      <w:pPr>
        <w:sectPr>
          <w:pgSz w:w="11900" w:h="16838" w:orient="portrait"/>
          <w:cols w:equalWidth="0" w:num="2">
            <w:col w:w="7620" w:space="40"/>
            <w:col w:w="3580"/>
          </w:cols>
          <w:pgMar w:left="320" w:top="126" w:right="339" w:bottom="1440" w:gutter="0" w:footer="0" w:header="0"/>
          <w:type w:val="continuous"/>
        </w:sectPr>
      </w:pPr>
    </w:p>
    <w:p>
      <w:pPr>
        <w:spacing w:after="0" w:line="84" w:lineRule="exact"/>
        <w:rPr>
          <w:rFonts w:ascii="Arial" w:cs="Arial" w:eastAsia="Arial" w:hAnsi="Arial"/>
          <w:sz w:val="14"/>
          <w:szCs w:val="14"/>
          <w:color w:val="auto"/>
        </w:rPr>
      </w:pPr>
    </w:p>
    <w:p>
      <w:pPr>
        <w:ind w:left="20"/>
        <w:spacing w:after="0"/>
        <w:rPr>
          <w:sz w:val="20"/>
          <w:szCs w:val="20"/>
          <w:color w:val="auto"/>
        </w:rPr>
      </w:pPr>
      <w:r>
        <w:rPr>
          <w:rFonts w:ascii="Arial" w:cs="Arial" w:eastAsia="Arial" w:hAnsi="Arial"/>
          <w:sz w:val="14"/>
          <w:szCs w:val="14"/>
          <w:b w:val="1"/>
          <w:bCs w:val="1"/>
          <w:color w:val="auto"/>
        </w:rPr>
        <w:t>Income Taxes</w:t>
      </w:r>
    </w:p>
    <w:p>
      <w:pPr>
        <w:spacing w:after="0" w:line="15"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shd w:val="clear" w:color="auto" w:fill="ACACAC"/>
          </w:tcPr>
          <w:p>
            <w:pPr>
              <w:ind w:left="1380"/>
              <w:spacing w:after="0"/>
              <w:rPr>
                <w:sz w:val="20"/>
                <w:szCs w:val="20"/>
                <w:color w:val="auto"/>
              </w:rPr>
            </w:pPr>
            <w:r>
              <w:rPr>
                <w:rFonts w:ascii="Arial" w:cs="Arial" w:eastAsia="Arial" w:hAnsi="Arial"/>
                <w:sz w:val="14"/>
                <w:szCs w:val="14"/>
                <w:b w:val="1"/>
                <w:bCs w:val="1"/>
                <w:color w:val="FFFFFF"/>
              </w:rPr>
              <w:t>Description</w:t>
            </w:r>
          </w:p>
        </w:tc>
        <w:tc>
          <w:tcPr>
            <w:tcW w:w="4140" w:type="dxa"/>
            <w:vAlign w:val="bottom"/>
            <w:vMerge w:val="restart"/>
            <w:shd w:val="clear" w:color="auto" w:fill="ACACAC"/>
          </w:tcPr>
          <w:p>
            <w:pPr>
              <w:ind w:left="1200"/>
              <w:spacing w:after="0"/>
              <w:rPr>
                <w:sz w:val="20"/>
                <w:szCs w:val="20"/>
                <w:color w:val="auto"/>
              </w:rPr>
            </w:pPr>
            <w:r>
              <w:rPr>
                <w:rFonts w:ascii="Arial" w:cs="Arial" w:eastAsia="Arial" w:hAnsi="Arial"/>
                <w:sz w:val="14"/>
                <w:szCs w:val="14"/>
                <w:b w:val="1"/>
                <w:bCs w:val="1"/>
                <w:color w:val="FFFFFF"/>
              </w:rPr>
              <w:t>Judgments and Uncertainties</w:t>
            </w:r>
          </w:p>
        </w:tc>
        <w:tc>
          <w:tcPr>
            <w:tcW w:w="3720" w:type="dxa"/>
            <w:vAlign w:val="bottom"/>
            <w:shd w:val="clear" w:color="auto" w:fill="ACACAC"/>
          </w:tcPr>
          <w:p>
            <w:pPr>
              <w:jc w:val="center"/>
              <w:ind w:left="68"/>
              <w:spacing w:after="0"/>
              <w:rPr>
                <w:sz w:val="20"/>
                <w:szCs w:val="20"/>
                <w:color w:val="auto"/>
              </w:rPr>
            </w:pPr>
            <w:r>
              <w:rPr>
                <w:rFonts w:ascii="Arial" w:cs="Arial" w:eastAsia="Arial" w:hAnsi="Arial"/>
                <w:sz w:val="14"/>
                <w:szCs w:val="14"/>
                <w:b w:val="1"/>
                <w:bCs w:val="1"/>
                <w:color w:val="FFFFFF"/>
              </w:rPr>
              <w:t>Effect if Actual Results Differ</w:t>
            </w:r>
          </w:p>
        </w:tc>
        <w:tc>
          <w:tcPr>
            <w:tcW w:w="0" w:type="dxa"/>
            <w:vAlign w:val="bottom"/>
          </w:tcPr>
          <w:p>
            <w:pPr>
              <w:spacing w:after="0"/>
              <w:rPr>
                <w:sz w:val="1"/>
                <w:szCs w:val="1"/>
                <w:color w:val="auto"/>
              </w:rPr>
            </w:pPr>
          </w:p>
        </w:tc>
      </w:tr>
      <w:tr>
        <w:trPr>
          <w:trHeight w:val="175"/>
        </w:trPr>
        <w:tc>
          <w:tcPr>
            <w:tcW w:w="3380" w:type="dxa"/>
            <w:vAlign w:val="bottom"/>
            <w:vMerge w:val="continue"/>
            <w:shd w:val="clear" w:color="auto" w:fill="ACACAC"/>
          </w:tcPr>
          <w:p>
            <w:pPr>
              <w:spacing w:after="0"/>
              <w:rPr>
                <w:sz w:val="15"/>
                <w:szCs w:val="15"/>
                <w:color w:val="auto"/>
              </w:rPr>
            </w:pPr>
          </w:p>
        </w:tc>
        <w:tc>
          <w:tcPr>
            <w:tcW w:w="4140" w:type="dxa"/>
            <w:vAlign w:val="bottom"/>
            <w:vMerge w:val="continue"/>
            <w:shd w:val="clear" w:color="auto" w:fill="ACACAC"/>
          </w:tcPr>
          <w:p>
            <w:pPr>
              <w:spacing w:after="0"/>
              <w:rPr>
                <w:sz w:val="15"/>
                <w:szCs w:val="15"/>
                <w:color w:val="auto"/>
              </w:rPr>
            </w:pPr>
          </w:p>
        </w:tc>
        <w:tc>
          <w:tcPr>
            <w:tcW w:w="3720" w:type="dxa"/>
            <w:vAlign w:val="bottom"/>
            <w:shd w:val="clear" w:color="auto" w:fill="ACACAC"/>
          </w:tcPr>
          <w:p>
            <w:pPr>
              <w:jc w:val="center"/>
              <w:ind w:left="48"/>
              <w:spacing w:after="0"/>
              <w:rPr>
                <w:sz w:val="20"/>
                <w:szCs w:val="20"/>
                <w:color w:val="auto"/>
              </w:rPr>
            </w:pPr>
            <w:r>
              <w:rPr>
                <w:rFonts w:ascii="Arial" w:cs="Arial" w:eastAsia="Arial" w:hAnsi="Arial"/>
                <w:sz w:val="14"/>
                <w:szCs w:val="14"/>
                <w:b w:val="1"/>
                <w:bCs w:val="1"/>
                <w:color w:val="FFFFFF"/>
              </w:rPr>
              <w:t>From Assumptions</w:t>
            </w:r>
          </w:p>
        </w:tc>
        <w:tc>
          <w:tcPr>
            <w:tcW w:w="0" w:type="dxa"/>
            <w:vAlign w:val="bottom"/>
          </w:tcPr>
          <w:p>
            <w:pPr>
              <w:spacing w:after="0"/>
              <w:rPr>
                <w:sz w:val="1"/>
                <w:szCs w:val="1"/>
                <w:color w:val="auto"/>
              </w:rPr>
            </w:pPr>
          </w:p>
        </w:tc>
      </w:tr>
    </w:tbl>
    <w:p>
      <w:pPr>
        <w:spacing w:after="0" w:line="180" w:lineRule="exact"/>
        <w:rPr>
          <w:rFonts w:ascii="Arial" w:cs="Arial" w:eastAsia="Arial" w:hAnsi="Arial"/>
          <w:sz w:val="14"/>
          <w:szCs w:val="14"/>
          <w:color w:val="auto"/>
        </w:rPr>
      </w:pPr>
    </w:p>
    <w:p>
      <w:pPr>
        <w:sectPr>
          <w:pgSz w:w="11900" w:h="16838" w:orient="portrait"/>
          <w:cols w:equalWidth="0" w:num="1">
            <w:col w:w="11240"/>
          </w:cols>
          <w:pgMar w:left="320" w:top="126" w:right="339" w:bottom="1440" w:gutter="0" w:footer="0" w:header="0"/>
          <w:type w:val="continuous"/>
        </w:sectPr>
      </w:pPr>
    </w:p>
    <w:p>
      <w:pPr>
        <w:ind w:left="20" w:right="40"/>
        <w:spacing w:after="0" w:line="215" w:lineRule="auto"/>
        <w:rPr>
          <w:sz w:val="20"/>
          <w:szCs w:val="20"/>
          <w:color w:val="auto"/>
        </w:rPr>
      </w:pPr>
      <w:r>
        <w:rPr>
          <w:rFonts w:ascii="Arial" w:cs="Arial" w:eastAsia="Arial" w:hAnsi="Arial"/>
          <w:sz w:val="14"/>
          <w:szCs w:val="14"/>
          <w:color w:val="auto"/>
        </w:rPr>
        <w:t>We make estimates and judgments in accounting for income taxes. Our income tax returns, like those of most companies, are periodically audited by domestic and foreign tax authorities.</w:t>
      </w:r>
    </w:p>
    <w:p>
      <w:pPr>
        <w:spacing w:after="0" w:line="125" w:lineRule="exact"/>
        <w:rPr>
          <w:rFonts w:ascii="Arial" w:cs="Arial" w:eastAsia="Arial" w:hAnsi="Arial"/>
          <w:sz w:val="14"/>
          <w:szCs w:val="14"/>
          <w:color w:val="auto"/>
        </w:rPr>
      </w:pPr>
    </w:p>
    <w:p>
      <w:pPr>
        <w:ind w:left="20"/>
        <w:spacing w:after="0" w:line="209" w:lineRule="auto"/>
        <w:rPr>
          <w:sz w:val="20"/>
          <w:szCs w:val="20"/>
          <w:color w:val="auto"/>
        </w:rPr>
      </w:pPr>
      <w:r>
        <w:rPr>
          <w:rFonts w:ascii="Arial" w:cs="Arial" w:eastAsia="Arial" w:hAnsi="Arial"/>
          <w:sz w:val="14"/>
          <w:szCs w:val="14"/>
          <w:color w:val="auto"/>
        </w:rPr>
        <w:t>We measure and recognize uncertain tax positions. To recognize uncertain tax positions, we must first determine if it is more likely than not that the position will be sustained upon audit. We must then measure the benefit as the largest amount that is more than</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jc w:val="both"/>
        <w:ind w:left="104" w:right="120"/>
        <w:spacing w:after="0" w:line="215" w:lineRule="auto"/>
        <w:rPr>
          <w:sz w:val="20"/>
          <w:szCs w:val="20"/>
          <w:color w:val="auto"/>
        </w:rPr>
      </w:pPr>
      <w:r>
        <w:rPr>
          <w:rFonts w:ascii="Arial" w:cs="Arial" w:eastAsia="Arial" w:hAnsi="Arial"/>
          <w:sz w:val="14"/>
          <w:szCs w:val="14"/>
          <w:color w:val="auto"/>
        </w:rPr>
        <w:t>Although we believe that the judgments and estimates discussed herein are reasonable, actual results could differ, and we may be exposed to losses or gains that could be material.</w:t>
      </w:r>
    </w:p>
    <w:p>
      <w:pPr>
        <w:spacing w:after="0" w:line="125" w:lineRule="exact"/>
        <w:rPr>
          <w:rFonts w:ascii="Arial" w:cs="Arial" w:eastAsia="Arial" w:hAnsi="Arial"/>
          <w:sz w:val="14"/>
          <w:szCs w:val="14"/>
          <w:color w:val="auto"/>
        </w:rPr>
      </w:pPr>
    </w:p>
    <w:p>
      <w:pPr>
        <w:ind w:left="4120" w:right="340"/>
        <w:spacing w:after="0" w:line="201" w:lineRule="auto"/>
        <w:rPr>
          <w:sz w:val="20"/>
          <w:szCs w:val="20"/>
          <w:color w:val="auto"/>
        </w:rPr>
      </w:pPr>
      <w:r>
        <w:rPr>
          <w:rFonts w:ascii="Arial" w:cs="Arial" w:eastAsia="Arial" w:hAnsi="Arial"/>
          <w:sz w:val="14"/>
          <w:szCs w:val="14"/>
          <w:color w:val="auto"/>
        </w:rPr>
        <w:t>To the extent actual results differ from estimated amounts recorded, such differences will impact the</w:t>
      </w:r>
    </w:p>
    <w:p>
      <w:pPr>
        <w:ind w:right="640"/>
        <w:spacing w:after="0" w:line="214" w:lineRule="auto"/>
        <w:rPr>
          <w:sz w:val="20"/>
          <w:szCs w:val="20"/>
          <w:color w:val="auto"/>
        </w:rPr>
      </w:pPr>
      <w:r>
        <w:rPr>
          <w:rFonts w:ascii="Arial" w:cs="Arial" w:eastAsia="Arial" w:hAnsi="Arial"/>
          <w:sz w:val="14"/>
          <w:szCs w:val="14"/>
          <w:color w:val="auto"/>
        </w:rPr>
        <w:t>Our effective income tax rate is also affected by changes in the income tax provision in the period in which the geographic distribution of our earnings or losses, changes in tax determination is made. law in jurisdictions where we conduct business.</w:t>
      </w:r>
    </w:p>
    <w:p>
      <w:pPr>
        <w:spacing w:after="0" w:line="1" w:lineRule="exact"/>
        <w:rPr>
          <w:rFonts w:ascii="Arial" w:cs="Arial" w:eastAsia="Arial" w:hAnsi="Arial"/>
          <w:sz w:val="14"/>
          <w:szCs w:val="14"/>
          <w:color w:val="auto"/>
        </w:rPr>
      </w:pPr>
    </w:p>
    <w:p>
      <w:pPr>
        <w:sectPr>
          <w:pgSz w:w="11900" w:h="16838" w:orient="portrait"/>
          <w:cols w:equalWidth="0" w:num="2">
            <w:col w:w="3480" w:space="60"/>
            <w:col w:w="7700"/>
          </w:cols>
          <w:pgMar w:left="320" w:top="126" w:right="339" w:bottom="1440" w:gutter="0" w:footer="0" w:header="0"/>
          <w:type w:val="continuous"/>
        </w:sectPr>
      </w:pPr>
    </w:p>
    <w:p>
      <w:pPr>
        <w:ind w:left="20"/>
        <w:spacing w:after="0" w:line="218" w:lineRule="auto"/>
        <w:rPr>
          <w:sz w:val="20"/>
          <w:szCs w:val="20"/>
          <w:color w:val="auto"/>
        </w:rPr>
      </w:pPr>
      <w:r>
        <w:rPr>
          <w:rFonts w:ascii="Arial" w:cs="Arial" w:eastAsia="Arial" w:hAnsi="Arial"/>
          <w:sz w:val="14"/>
          <w:szCs w:val="14"/>
          <w:color w:val="auto"/>
        </w:rPr>
        <w:t>50% likely of being realized upon ultimate settlement.</w:t>
      </w:r>
    </w:p>
    <w:p>
      <w:pPr>
        <w:spacing w:after="0" w:line="125" w:lineRule="exact"/>
        <w:rPr>
          <w:rFonts w:ascii="Arial" w:cs="Arial" w:eastAsia="Arial" w:hAnsi="Arial"/>
          <w:sz w:val="14"/>
          <w:szCs w:val="14"/>
          <w:color w:val="auto"/>
        </w:rPr>
      </w:pPr>
    </w:p>
    <w:p>
      <w:pPr>
        <w:ind w:left="20"/>
        <w:spacing w:after="0" w:line="210" w:lineRule="auto"/>
        <w:rPr>
          <w:sz w:val="20"/>
          <w:szCs w:val="20"/>
          <w:color w:val="auto"/>
        </w:rPr>
      </w:pPr>
      <w:r>
        <w:rPr>
          <w:rFonts w:ascii="Arial" w:cs="Arial" w:eastAsia="Arial" w:hAnsi="Arial"/>
          <w:sz w:val="14"/>
          <w:szCs w:val="14"/>
          <w:color w:val="auto"/>
        </w:rPr>
        <w:t>We make estimates in determining tax assets and liabilities, which arise from differences in the timing of recognition of revenue and expense for tax and financial reporting purposes. We record valuation allowances to reduce our deferred tax assets to the amount expected to be realized.</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115" w:lineRule="exact"/>
        <w:rPr>
          <w:rFonts w:ascii="Arial" w:cs="Arial" w:eastAsia="Arial" w:hAnsi="Arial"/>
          <w:sz w:val="14"/>
          <w:szCs w:val="14"/>
          <w:color w:val="auto"/>
        </w:rPr>
      </w:pPr>
    </w:p>
    <w:p>
      <w:pPr>
        <w:spacing w:after="0" w:line="210" w:lineRule="auto"/>
        <w:rPr>
          <w:sz w:val="20"/>
          <w:szCs w:val="20"/>
          <w:color w:val="auto"/>
        </w:rPr>
      </w:pPr>
      <w:r>
        <w:rPr>
          <w:rFonts w:ascii="Arial" w:cs="Arial" w:eastAsia="Arial" w:hAnsi="Arial"/>
          <w:sz w:val="14"/>
          <w:szCs w:val="14"/>
          <w:color w:val="auto"/>
        </w:rPr>
        <w:t>Significant judgment is required in the identification and measurement of uncertain tax positions. Our liability for unrecognized tax benefits contains uncertainties because management is required to make assumptions and to apply judgment to estimate the exposures associated with our various filing positions.</w:t>
      </w:r>
    </w:p>
    <w:p>
      <w:pPr>
        <w:spacing w:after="0" w:line="127" w:lineRule="exact"/>
        <w:rPr>
          <w:rFonts w:ascii="Arial" w:cs="Arial" w:eastAsia="Arial" w:hAnsi="Arial"/>
          <w:sz w:val="14"/>
          <w:szCs w:val="14"/>
          <w:color w:val="auto"/>
        </w:rPr>
      </w:pPr>
    </w:p>
    <w:p>
      <w:pPr>
        <w:ind w:right="140"/>
        <w:spacing w:after="0" w:line="210" w:lineRule="auto"/>
        <w:rPr>
          <w:sz w:val="20"/>
          <w:szCs w:val="20"/>
          <w:color w:val="auto"/>
        </w:rPr>
      </w:pPr>
      <w:r>
        <w:rPr>
          <w:rFonts w:ascii="Arial" w:cs="Arial" w:eastAsia="Arial" w:hAnsi="Arial"/>
          <w:sz w:val="14"/>
          <w:szCs w:val="14"/>
          <w:color w:val="auto"/>
        </w:rPr>
        <w:t>In assessing the adequacy of a recorded valuation allowance significant judgment is required. We consider all positive and negative evidence and a variety of factors including the scheduled reversal of deferred tax liabilities, historical and projected future taxable income, and prudent and feasible tax planning strategies.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-2242185</wp:posOffset>
            </wp:positionH>
            <wp:positionV relativeFrom="paragraph">
              <wp:posOffset>635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ind w:right="20"/>
        <w:spacing w:after="0" w:line="210" w:lineRule="auto"/>
        <w:rPr>
          <w:sz w:val="20"/>
          <w:szCs w:val="20"/>
          <w:color w:val="auto"/>
        </w:rPr>
      </w:pPr>
      <w:r>
        <w:rPr>
          <w:rFonts w:ascii="Arial" w:cs="Arial" w:eastAsia="Arial" w:hAnsi="Arial"/>
          <w:sz w:val="14"/>
          <w:szCs w:val="14"/>
          <w:color w:val="auto"/>
        </w:rPr>
        <w:t>If we determine there is less than a 50% likelihood that we will be able to use a deferred tax asset in the future in excess of its net carrying value, then an adjustment to the deferred tax asset valuation allowance is made to increase income tax expense, thereby reducing net income in the period such determination was made.</w:t>
      </w:r>
    </w:p>
    <w:p>
      <w:pPr>
        <w:spacing w:after="0" w:line="1306" w:lineRule="exact"/>
        <w:rPr>
          <w:rFonts w:ascii="Arial" w:cs="Arial" w:eastAsia="Arial" w:hAnsi="Arial"/>
          <w:sz w:val="14"/>
          <w:szCs w:val="14"/>
          <w:color w:val="auto"/>
        </w:rPr>
      </w:pPr>
    </w:p>
    <w:p>
      <w:pPr>
        <w:sectPr>
          <w:pgSz w:w="11900" w:h="16838" w:orient="portrait"/>
          <w:cols w:equalWidth="0" w:num="3">
            <w:col w:w="3420" w:space="120"/>
            <w:col w:w="4060" w:space="60"/>
            <w:col w:w="3580"/>
          </w:cols>
          <w:pgMar w:left="320" w:top="126" w:right="339" w:bottom="1440" w:gutter="0" w:footer="0" w:header="0"/>
          <w:type w:val="continuous"/>
        </w:sectPr>
      </w:pPr>
    </w:p>
    <w:p>
      <w:pPr>
        <w:spacing w:after="0" w:line="203" w:lineRule="exact"/>
        <w:rPr>
          <w:rFonts w:ascii="Arial" w:cs="Arial" w:eastAsia="Arial" w:hAnsi="Arial"/>
          <w:sz w:val="14"/>
          <w:szCs w:val="14"/>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59</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Long-lived Assets and Intangible Assets Other Than Goodwill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shd w:val="clear" w:color="auto" w:fill="ACACAC"/>
          </w:tcPr>
          <w:p>
            <w:pPr>
              <w:ind w:left="1380"/>
              <w:spacing w:after="0"/>
              <w:rPr>
                <w:sz w:val="20"/>
                <w:szCs w:val="20"/>
                <w:color w:val="auto"/>
              </w:rPr>
            </w:pPr>
            <w:r>
              <w:rPr>
                <w:rFonts w:ascii="Arial" w:cs="Arial" w:eastAsia="Arial" w:hAnsi="Arial"/>
                <w:sz w:val="14"/>
                <w:szCs w:val="14"/>
                <w:b w:val="1"/>
                <w:bCs w:val="1"/>
                <w:color w:val="FFFFFF"/>
              </w:rPr>
              <w:t>Description</w:t>
            </w:r>
          </w:p>
        </w:tc>
        <w:tc>
          <w:tcPr>
            <w:tcW w:w="4140" w:type="dxa"/>
            <w:vAlign w:val="bottom"/>
            <w:vMerge w:val="restart"/>
            <w:shd w:val="clear" w:color="auto" w:fill="ACACAC"/>
          </w:tcPr>
          <w:p>
            <w:pPr>
              <w:ind w:left="1200"/>
              <w:spacing w:after="0"/>
              <w:rPr>
                <w:sz w:val="20"/>
                <w:szCs w:val="20"/>
                <w:color w:val="auto"/>
              </w:rPr>
            </w:pPr>
            <w:r>
              <w:rPr>
                <w:rFonts w:ascii="Arial" w:cs="Arial" w:eastAsia="Arial" w:hAnsi="Arial"/>
                <w:sz w:val="14"/>
                <w:szCs w:val="14"/>
                <w:b w:val="1"/>
                <w:bCs w:val="1"/>
                <w:color w:val="FFFFFF"/>
              </w:rPr>
              <w:t>Judgments and Uncertainties</w:t>
            </w:r>
          </w:p>
        </w:tc>
        <w:tc>
          <w:tcPr>
            <w:tcW w:w="3720" w:type="dxa"/>
            <w:vAlign w:val="bottom"/>
            <w:shd w:val="clear" w:color="auto" w:fill="ACACAC"/>
          </w:tcPr>
          <w:p>
            <w:pPr>
              <w:jc w:val="center"/>
              <w:ind w:left="68"/>
              <w:spacing w:after="0"/>
              <w:rPr>
                <w:sz w:val="20"/>
                <w:szCs w:val="20"/>
                <w:color w:val="auto"/>
              </w:rPr>
            </w:pPr>
            <w:r>
              <w:rPr>
                <w:rFonts w:ascii="Arial" w:cs="Arial" w:eastAsia="Arial" w:hAnsi="Arial"/>
                <w:sz w:val="14"/>
                <w:szCs w:val="14"/>
                <w:b w:val="1"/>
                <w:bCs w:val="1"/>
                <w:color w:val="FFFFFF"/>
              </w:rPr>
              <w:t>Effect if Actual Results Differ</w:t>
            </w:r>
          </w:p>
        </w:tc>
        <w:tc>
          <w:tcPr>
            <w:tcW w:w="0" w:type="dxa"/>
            <w:vAlign w:val="bottom"/>
          </w:tcPr>
          <w:p>
            <w:pPr>
              <w:spacing w:after="0"/>
              <w:rPr>
                <w:sz w:val="1"/>
                <w:szCs w:val="1"/>
                <w:color w:val="auto"/>
              </w:rPr>
            </w:pPr>
          </w:p>
        </w:tc>
      </w:tr>
      <w:tr>
        <w:trPr>
          <w:trHeight w:val="176"/>
        </w:trPr>
        <w:tc>
          <w:tcPr>
            <w:tcW w:w="3380" w:type="dxa"/>
            <w:vAlign w:val="bottom"/>
            <w:vMerge w:val="continue"/>
            <w:shd w:val="clear" w:color="auto" w:fill="ACACAC"/>
          </w:tcPr>
          <w:p>
            <w:pPr>
              <w:spacing w:after="0"/>
              <w:rPr>
                <w:sz w:val="15"/>
                <w:szCs w:val="15"/>
                <w:color w:val="auto"/>
              </w:rPr>
            </w:pPr>
          </w:p>
        </w:tc>
        <w:tc>
          <w:tcPr>
            <w:tcW w:w="4140" w:type="dxa"/>
            <w:vAlign w:val="bottom"/>
            <w:vMerge w:val="continue"/>
            <w:shd w:val="clear" w:color="auto" w:fill="ACACAC"/>
          </w:tcPr>
          <w:p>
            <w:pPr>
              <w:spacing w:after="0"/>
              <w:rPr>
                <w:sz w:val="15"/>
                <w:szCs w:val="15"/>
                <w:color w:val="auto"/>
              </w:rPr>
            </w:pPr>
          </w:p>
        </w:tc>
        <w:tc>
          <w:tcPr>
            <w:tcW w:w="3720" w:type="dxa"/>
            <w:vAlign w:val="bottom"/>
            <w:shd w:val="clear" w:color="auto" w:fill="ACACAC"/>
          </w:tcPr>
          <w:p>
            <w:pPr>
              <w:jc w:val="center"/>
              <w:ind w:left="48"/>
              <w:spacing w:after="0"/>
              <w:rPr>
                <w:sz w:val="20"/>
                <w:szCs w:val="20"/>
                <w:color w:val="auto"/>
              </w:rPr>
            </w:pPr>
            <w:r>
              <w:rPr>
                <w:rFonts w:ascii="Arial" w:cs="Arial" w:eastAsia="Arial" w:hAnsi="Arial"/>
                <w:sz w:val="14"/>
                <w:szCs w:val="14"/>
                <w:b w:val="1"/>
                <w:bCs w:val="1"/>
                <w:color w:val="FFFFFF"/>
              </w:rPr>
              <w:t>From Assumptions</w:t>
            </w: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
        <w:spacing w:after="0" w:line="224" w:lineRule="auto"/>
        <w:rPr>
          <w:sz w:val="20"/>
          <w:szCs w:val="20"/>
          <w:color w:val="auto"/>
        </w:rPr>
      </w:pPr>
      <w:r>
        <w:rPr>
          <w:rFonts w:ascii="Arial" w:cs="Arial" w:eastAsia="Arial" w:hAnsi="Arial"/>
          <w:sz w:val="14"/>
          <w:szCs w:val="14"/>
          <w:color w:val="auto"/>
        </w:rPr>
        <w:t>We review our long-lived assets and intangible assets other than goodwill for impairment when events or changes in circumstances indicate the carrying amount may not be recoverable. If such events or changes in circumstances occur, we use the undiscounted cash flow method to determine whether our long-lived and intangible assets other than goodwill are impaired. To the extent that the carrying value of the asset exceeds the undiscounted cash flows over the estimated remaining life of the asset, we measure the impairment using discounted cash flows.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When measuring impairment of an asset using discounted cash flows, we make assumptions and apply judgment in estimating future cash flows and asset fair values, including annual revenue growth rates, a terminal year growth rate and selecting a discount rate that reflects the risk inherent in future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1089025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19" w:lineRule="auto"/>
        <w:rPr>
          <w:sz w:val="20"/>
          <w:szCs w:val="20"/>
          <w:color w:val="auto"/>
        </w:rPr>
      </w:pPr>
      <w:r>
        <w:rPr>
          <w:rFonts w:ascii="Arial" w:cs="Arial" w:eastAsia="Arial" w:hAnsi="Arial"/>
          <w:sz w:val="14"/>
          <w:szCs w:val="14"/>
          <w:color w:val="auto"/>
        </w:rPr>
        <w:t>We have not made any material changes in the accounting methodology we use to assess impairment loss during the year ended December 31, 2020.</w:t>
      </w:r>
    </w:p>
    <w:p>
      <w:pPr>
        <w:spacing w:after="0" w:line="126" w:lineRule="exact"/>
        <w:rPr>
          <w:sz w:val="20"/>
          <w:szCs w:val="20"/>
          <w:color w:val="auto"/>
        </w:rPr>
      </w:pPr>
    </w:p>
    <w:p>
      <w:pPr>
        <w:ind w:right="40"/>
        <w:spacing w:after="0" w:line="212" w:lineRule="auto"/>
        <w:rPr>
          <w:sz w:val="20"/>
          <w:szCs w:val="20"/>
          <w:color w:val="auto"/>
        </w:rPr>
      </w:pPr>
      <w:r>
        <w:rPr>
          <w:rFonts w:ascii="Arial" w:cs="Arial" w:eastAsia="Arial" w:hAnsi="Arial"/>
          <w:sz w:val="14"/>
          <w:szCs w:val="14"/>
          <w:color w:val="auto"/>
        </w:rPr>
        <w:t>During 2020, we recorded impairment charges against certain property and equipment assets and certain operating lease ROU assets. For additional information, see Notes 7 and 11 to our consolidated financial statements in this report.</w:t>
      </w:r>
    </w:p>
    <w:p>
      <w:pPr>
        <w:spacing w:after="0" w:line="126" w:lineRule="exact"/>
        <w:rPr>
          <w:sz w:val="20"/>
          <w:szCs w:val="20"/>
          <w:color w:val="auto"/>
        </w:rPr>
      </w:pPr>
    </w:p>
    <w:p>
      <w:pPr>
        <w:jc w:val="both"/>
        <w:ind w:right="120"/>
        <w:spacing w:after="0" w:line="201" w:lineRule="auto"/>
        <w:rPr>
          <w:sz w:val="20"/>
          <w:szCs w:val="20"/>
          <w:color w:val="auto"/>
        </w:rPr>
      </w:pPr>
      <w:r>
        <w:rPr>
          <w:rFonts w:ascii="Arial" w:cs="Arial" w:eastAsia="Arial" w:hAnsi="Arial"/>
          <w:sz w:val="14"/>
          <w:szCs w:val="14"/>
          <w:color w:val="auto"/>
        </w:rPr>
        <w:t>We do not believe there is a reasonable likelihood that there will be a material change in the future estimates or assumptions we use to assess impairment losses.</w:t>
      </w:r>
    </w:p>
    <w:p>
      <w:pPr>
        <w:spacing w:after="0" w:line="1" w:lineRule="exact"/>
        <w:rPr>
          <w:sz w:val="20"/>
          <w:szCs w:val="20"/>
          <w:color w:val="auto"/>
        </w:rPr>
      </w:pPr>
    </w:p>
    <w:p>
      <w:pPr>
        <w:ind w:right="40"/>
        <w:spacing w:after="0" w:line="212" w:lineRule="auto"/>
        <w:rPr>
          <w:sz w:val="20"/>
          <w:szCs w:val="20"/>
          <w:color w:val="auto"/>
        </w:rPr>
      </w:pPr>
      <w:r>
        <w:rPr>
          <w:rFonts w:ascii="Arial" w:cs="Arial" w:eastAsia="Arial" w:hAnsi="Arial"/>
          <w:sz w:val="14"/>
          <w:szCs w:val="14"/>
          <w:color w:val="auto"/>
        </w:rPr>
        <w:t>However, if actual results are not consistent with our estimates or assumptions, we may be exposed to an impairment charge that could materially adversely impact our consolidated financial position and results of operations.</w:t>
      </w:r>
    </w:p>
    <w:p>
      <w:pPr>
        <w:spacing w:after="0" w:line="200" w:lineRule="exact"/>
        <w:rPr>
          <w:sz w:val="20"/>
          <w:szCs w:val="20"/>
          <w:color w:val="auto"/>
        </w:rPr>
      </w:pPr>
    </w:p>
    <w:p>
      <w:pPr>
        <w:sectPr>
          <w:pgSz w:w="11900" w:h="16838" w:orient="portrait"/>
          <w:cols w:equalWidth="0" w:num="3">
            <w:col w:w="3440" w:space="100"/>
            <w:col w:w="4060" w:space="60"/>
            <w:col w:w="3580"/>
          </w:cols>
          <w:pgMar w:left="320" w:top="126" w:right="339" w:bottom="1440" w:gutter="0" w:footer="0" w:header="0"/>
          <w:type w:val="continuous"/>
        </w:sectPr>
      </w:pP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to our consolidated financial statements in this report.</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60  </w:t>
      </w:r>
      <w:r>
        <w:rPr>
          <w:sz w:val="1"/>
          <w:szCs w:val="1"/>
          <w:color w:val="auto"/>
        </w:rPr>
        <w:drawing>
          <wp:inline distT="0" distB="0" distL="0" distR="0">
            <wp:extent cx="728345" cy="18859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20"/>
        <w:spacing w:after="0" w:line="239" w:lineRule="auto"/>
        <w:rPr>
          <w:sz w:val="20"/>
          <w:szCs w:val="20"/>
          <w:color w:val="auto"/>
        </w:rPr>
      </w:pPr>
      <w:r>
        <w:rPr>
          <w:rFonts w:ascii="Arial" w:cs="Arial" w:eastAsia="Arial" w:hAnsi="Arial"/>
          <w:sz w:val="29"/>
          <w:szCs w:val="29"/>
          <w:b w:val="1"/>
          <w:bCs w:val="1"/>
          <w:color w:val="71BF43"/>
        </w:rPr>
        <w:t>ITEM 7A. 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rates.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 Due to the nature of our debt, the materiality of the fair values of the derivative instruments and the highly liquid, short-term nature and level of our cash and cash equivalents as of December 31, 2020, we believe there is no material risk of exposure to changing interest rates for those positions. There were no significant changes in how we manage interest rate risk between December 31, 2019 and December 31, 2020.</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Item 7 of this report.</w:t>
      </w:r>
    </w:p>
    <w:p>
      <w:pPr>
        <w:spacing w:after="0" w:line="290"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8. FINANCIAL STATEMENTS AND SUPPLEMENTARY DATA</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shd w:val="clear" w:color="auto" w:fill="ACACAC"/>
          </w:tcPr>
          <w:p>
            <w:pPr>
              <w:spacing w:after="0"/>
              <w:rPr>
                <w:sz w:val="16"/>
                <w:szCs w:val="16"/>
                <w:color w:val="auto"/>
              </w:rPr>
            </w:pPr>
          </w:p>
        </w:tc>
        <w:tc>
          <w:tcPr>
            <w:tcW w:w="6540" w:type="dxa"/>
            <w:vAlign w:val="bottom"/>
            <w:shd w:val="clear" w:color="auto" w:fill="ACACAC"/>
          </w:tcPr>
          <w:p>
            <w:pPr>
              <w:spacing w:after="0"/>
              <w:rPr>
                <w:sz w:val="16"/>
                <w:szCs w:val="16"/>
                <w:color w:val="auto"/>
              </w:rPr>
            </w:pPr>
          </w:p>
        </w:tc>
        <w:tc>
          <w:tcPr>
            <w:tcW w:w="36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Page No.</w:t>
            </w:r>
          </w:p>
        </w:tc>
      </w:tr>
      <w:tr>
        <w:trPr>
          <w:trHeight w:val="229"/>
        </w:trPr>
        <w:tc>
          <w:tcPr>
            <w:tcW w:w="7620" w:type="dxa"/>
            <w:vAlign w:val="bottom"/>
            <w:gridSpan w:val="2"/>
            <w:shd w:val="clear" w:color="auto" w:fill="F4F4F4"/>
          </w:tcPr>
          <w:p>
            <w:pPr>
              <w:ind w:left="20"/>
              <w:spacing w:after="0"/>
              <w:rPr>
                <w:rFonts w:ascii="Arial" w:cs="Arial" w:eastAsia="Arial" w:hAnsi="Arial"/>
                <w:sz w:val="18"/>
                <w:szCs w:val="18"/>
                <w:color w:val="auto"/>
              </w:rPr>
            </w:pPr>
            <w:hyperlink w:anchor="page64">
              <w:r>
                <w:rPr>
                  <w:rFonts w:ascii="Arial" w:cs="Arial" w:eastAsia="Arial" w:hAnsi="Arial"/>
                  <w:sz w:val="18"/>
                  <w:szCs w:val="18"/>
                  <w:color w:val="auto"/>
                </w:rPr>
                <w:t>Report of Independent Registered Public Accounting Firm</w:t>
              </w:r>
            </w:hyperlink>
          </w:p>
        </w:tc>
        <w:tc>
          <w:tcPr>
            <w:tcW w:w="3620" w:type="dxa"/>
            <w:vAlign w:val="bottom"/>
            <w:shd w:val="clear" w:color="auto" w:fill="F4F4F4"/>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63</w:t>
              </w:r>
            </w:hyperlink>
          </w:p>
        </w:tc>
      </w:tr>
      <w:tr>
        <w:trPr>
          <w:trHeight w:val="230"/>
        </w:trPr>
        <w:tc>
          <w:tcPr>
            <w:tcW w:w="7620" w:type="dxa"/>
            <w:vAlign w:val="bottom"/>
            <w:gridSpan w:val="2"/>
          </w:tcPr>
          <w:p>
            <w:pPr>
              <w:ind w:left="20"/>
              <w:spacing w:after="0"/>
              <w:rPr>
                <w:rFonts w:ascii="Arial" w:cs="Arial" w:eastAsia="Arial" w:hAnsi="Arial"/>
                <w:sz w:val="18"/>
                <w:szCs w:val="18"/>
                <w:color w:val="auto"/>
              </w:rPr>
            </w:pPr>
            <w:hyperlink w:anchor="page66">
              <w:r>
                <w:rPr>
                  <w:rFonts w:ascii="Arial" w:cs="Arial" w:eastAsia="Arial" w:hAnsi="Arial"/>
                  <w:sz w:val="18"/>
                  <w:szCs w:val="18"/>
                  <w:color w:val="auto"/>
                </w:rPr>
                <w:t>Consolidated Balance Sheets</w:t>
              </w:r>
            </w:hyperlink>
          </w:p>
        </w:tc>
        <w:tc>
          <w:tcPr>
            <w:tcW w:w="362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r>
      <w:tr>
        <w:trPr>
          <w:trHeight w:val="229"/>
        </w:trPr>
        <w:tc>
          <w:tcPr>
            <w:tcW w:w="7620" w:type="dxa"/>
            <w:vAlign w:val="bottom"/>
            <w:gridSpan w:val="2"/>
            <w:shd w:val="clear" w:color="auto" w:fill="F4F4F4"/>
          </w:tcPr>
          <w:p>
            <w:pPr>
              <w:ind w:left="20"/>
              <w:spacing w:after="0"/>
              <w:rPr>
                <w:rFonts w:ascii="Arial" w:cs="Arial" w:eastAsia="Arial" w:hAnsi="Arial"/>
                <w:sz w:val="18"/>
                <w:szCs w:val="18"/>
                <w:color w:val="auto"/>
              </w:rPr>
            </w:pPr>
            <w:hyperlink w:anchor="page67">
              <w:r>
                <w:rPr>
                  <w:rFonts w:ascii="Arial" w:cs="Arial" w:eastAsia="Arial" w:hAnsi="Arial"/>
                  <w:sz w:val="18"/>
                  <w:szCs w:val="18"/>
                  <w:color w:val="auto"/>
                </w:rPr>
                <w:t>Consolidated Statements of Comprehensive Income</w:t>
              </w:r>
            </w:hyperlink>
          </w:p>
        </w:tc>
        <w:tc>
          <w:tcPr>
            <w:tcW w:w="3620" w:type="dxa"/>
            <w:vAlign w:val="bottom"/>
            <w:shd w:val="clear" w:color="auto" w:fill="F4F4F4"/>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66</w:t>
              </w:r>
            </w:hyperlink>
          </w:p>
        </w:tc>
      </w:tr>
      <w:tr>
        <w:trPr>
          <w:trHeight w:val="229"/>
        </w:trPr>
        <w:tc>
          <w:tcPr>
            <w:tcW w:w="7620" w:type="dxa"/>
            <w:vAlign w:val="bottom"/>
            <w:gridSpan w:val="2"/>
          </w:tcPr>
          <w:p>
            <w:pPr>
              <w:ind w:left="20"/>
              <w:spacing w:after="0"/>
              <w:rPr>
                <w:rFonts w:ascii="Arial" w:cs="Arial" w:eastAsia="Arial" w:hAnsi="Arial"/>
                <w:sz w:val="18"/>
                <w:szCs w:val="18"/>
                <w:color w:val="auto"/>
              </w:rPr>
            </w:pPr>
            <w:hyperlink w:anchor="page68">
              <w:r>
                <w:rPr>
                  <w:rFonts w:ascii="Arial" w:cs="Arial" w:eastAsia="Arial" w:hAnsi="Arial"/>
                  <w:sz w:val="18"/>
                  <w:szCs w:val="18"/>
                  <w:color w:val="auto"/>
                </w:rPr>
                <w:t>Consolidated Statements of Cash Flows</w:t>
              </w:r>
            </w:hyperlink>
          </w:p>
        </w:tc>
        <w:tc>
          <w:tcPr>
            <w:tcW w:w="36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67</w:t>
              </w:r>
            </w:hyperlink>
          </w:p>
        </w:tc>
      </w:tr>
      <w:tr>
        <w:trPr>
          <w:trHeight w:val="230"/>
        </w:trPr>
        <w:tc>
          <w:tcPr>
            <w:tcW w:w="7620" w:type="dxa"/>
            <w:vAlign w:val="bottom"/>
            <w:gridSpan w:val="2"/>
            <w:shd w:val="clear" w:color="auto" w:fill="F4F4F4"/>
          </w:tcPr>
          <w:p>
            <w:pPr>
              <w:ind w:left="20"/>
              <w:spacing w:after="0"/>
              <w:rPr>
                <w:rFonts w:ascii="Arial" w:cs="Arial" w:eastAsia="Arial" w:hAnsi="Arial"/>
                <w:sz w:val="18"/>
                <w:szCs w:val="18"/>
                <w:color w:val="auto"/>
              </w:rPr>
            </w:pPr>
            <w:hyperlink w:anchor="page69">
              <w:r>
                <w:rPr>
                  <w:rFonts w:ascii="Arial" w:cs="Arial" w:eastAsia="Arial" w:hAnsi="Arial"/>
                  <w:sz w:val="18"/>
                  <w:szCs w:val="18"/>
                  <w:color w:val="auto"/>
                </w:rPr>
                <w:t>Consolidated Statements of Stockholders’ Equity</w:t>
              </w:r>
            </w:hyperlink>
          </w:p>
        </w:tc>
        <w:tc>
          <w:tcPr>
            <w:tcW w:w="3620" w:type="dxa"/>
            <w:vAlign w:val="bottom"/>
            <w:shd w:val="clear" w:color="auto" w:fill="F4F4F4"/>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68</w:t>
              </w:r>
            </w:hyperlink>
          </w:p>
        </w:tc>
      </w:tr>
      <w:tr>
        <w:trPr>
          <w:trHeight w:val="229"/>
        </w:trPr>
        <w:tc>
          <w:tcPr>
            <w:tcW w:w="7620" w:type="dxa"/>
            <w:vAlign w:val="bottom"/>
            <w:tcBorders>
              <w:bottom w:val="single" w:sz="8" w:color="71BF43"/>
            </w:tcBorders>
            <w:gridSpan w:val="2"/>
          </w:tcPr>
          <w:p>
            <w:pPr>
              <w:ind w:left="20"/>
              <w:spacing w:after="0"/>
              <w:rPr>
                <w:rFonts w:ascii="Arial" w:cs="Arial" w:eastAsia="Arial" w:hAnsi="Arial"/>
                <w:sz w:val="18"/>
                <w:szCs w:val="18"/>
                <w:color w:val="auto"/>
              </w:rPr>
            </w:pPr>
            <w:hyperlink w:anchor="page70">
              <w:r>
                <w:rPr>
                  <w:rFonts w:ascii="Arial" w:cs="Arial" w:eastAsia="Arial" w:hAnsi="Arial"/>
                  <w:sz w:val="18"/>
                  <w:szCs w:val="18"/>
                  <w:color w:val="auto"/>
                </w:rPr>
                <w:t>Notes to Consolidated Financial Statements</w:t>
              </w:r>
            </w:hyperlink>
          </w:p>
        </w:tc>
        <w:tc>
          <w:tcPr>
            <w:tcW w:w="3620" w:type="dxa"/>
            <w:vAlign w:val="bottom"/>
            <w:tcBorders>
              <w:bottom w:val="single" w:sz="8" w:color="71BF43"/>
            </w:tcBorders>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69</w:t>
              </w:r>
            </w:hyperlink>
          </w:p>
        </w:tc>
      </w:tr>
      <w:tr>
        <w:trPr>
          <w:trHeight w:val="697"/>
        </w:trPr>
        <w:tc>
          <w:tcPr>
            <w:tcW w:w="1080" w:type="dxa"/>
            <w:vAlign w:val="bottom"/>
          </w:tcPr>
          <w:p>
            <w:pPr>
              <w:ind w:left="240"/>
              <w:spacing w:after="0"/>
              <w:rPr>
                <w:sz w:val="20"/>
                <w:szCs w:val="20"/>
                <w:color w:val="auto"/>
              </w:rPr>
            </w:pPr>
            <w:r>
              <w:rPr>
                <w:rFonts w:ascii="Arial" w:cs="Arial" w:eastAsia="Arial" w:hAnsi="Arial"/>
                <w:sz w:val="14"/>
                <w:szCs w:val="14"/>
                <w:color w:val="auto"/>
              </w:rPr>
              <w:t>62</w:t>
            </w:r>
          </w:p>
        </w:tc>
        <w:tc>
          <w:tcPr>
            <w:tcW w:w="6540" w:type="dxa"/>
            <w:vAlign w:val="bottom"/>
          </w:tcPr>
          <w:p>
            <w:pPr>
              <w:ind w:left="680"/>
              <w:spacing w:after="0"/>
              <w:rPr>
                <w:sz w:val="20"/>
                <w:szCs w:val="20"/>
                <w:color w:val="auto"/>
              </w:rPr>
            </w:pPr>
            <w:r>
              <w:rPr>
                <w:rFonts w:ascii="Arial" w:cs="Arial" w:eastAsia="Arial" w:hAnsi="Arial"/>
                <w:sz w:val="14"/>
                <w:szCs w:val="14"/>
                <w:color w:val="auto"/>
              </w:rPr>
              <w:t>2020 Form 10-K</w:t>
            </w:r>
          </w:p>
        </w:tc>
        <w:tc>
          <w:tcPr>
            <w:tcW w:w="3620" w:type="dxa"/>
            <w:vAlign w:val="bottom"/>
          </w:tcPr>
          <w:p>
            <w:pPr>
              <w:spacing w:after="0"/>
              <w:rPr>
                <w:sz w:val="24"/>
                <w:szCs w:val="24"/>
                <w:color w:val="auto"/>
              </w:rPr>
            </w:pPr>
          </w:p>
        </w:tc>
      </w:tr>
      <w:tr>
        <w:trPr>
          <w:trHeight w:val="303"/>
        </w:trPr>
        <w:tc>
          <w:tcPr>
            <w:tcW w:w="108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-385445</wp:posOffset>
            </wp:positionV>
            <wp:extent cx="72834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Blackbaud,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Blackbaud, Inc. and its subsidiaries (the "Company") as of December 31, 2020 and 2019, and the related consolidated statements of comprehensive income, of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74" w:lineRule="exact"/>
        <w:rPr>
          <w:sz w:val="20"/>
          <w:szCs w:val="20"/>
          <w:color w:val="auto"/>
        </w:rPr>
      </w:pPr>
    </w:p>
    <w:p>
      <w:pPr>
        <w:ind w:right="1720"/>
        <w:spacing w:after="0" w:line="26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Controls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pacing w:after="0" w:line="277"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generally accepted accounting principles. A company’s internal control over financial reporting includes those policies and procedures that</w:t>
      </w:r>
    </w:p>
    <w:p>
      <w:pPr>
        <w:spacing w:after="0" w:line="9" w:lineRule="exact"/>
        <w:rPr>
          <w:sz w:val="20"/>
          <w:szCs w:val="20"/>
          <w:color w:val="auto"/>
        </w:rPr>
      </w:pPr>
    </w:p>
    <w:p>
      <w:pPr>
        <w:jc w:val="both"/>
        <w:ind w:firstLine="8"/>
        <w:spacing w:after="0" w:line="252" w:lineRule="auto"/>
        <w:tabs>
          <w:tab w:leader="none" w:pos="212"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Contracts with Multiple Performance Obligations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in Note 2 to the consolidated financial statements, the Company has some contracts with customers that contain multiple performance obligations. For these contracts, management accounts for individual performance obligations separately if they are distinct. As described by management, management exercises judgment and uses estimates in order to (1) determine whether performance obligations are distinct and should be accounted for separately; (2) determine the standalone selling price of each performance obligation; (3) allocate the transaction price among the various performance obligations on a relative standalone selling price basis; and (4) determine whether revenue for each performance obligation should be recognized at a point in time or over time. For the year ended December 31, 2020, the Company’s total revenue was $913.2 million.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contracts with multiple performance obligations, is a critical audit matter are the significant judgment by management in identifying, evaluating and accounting for performance obligations in contracts with multiple performance obligations, which led to significant auditor judgment and effort in performing procedures to evaluate whether contracts with multiple performance obligations were appropriately identified, evaluated and accounted for by management.</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identification, evaluation and accounting for contracts with multiple performance obligations. These procedures also included, among others, testing management’s process for identifying, evaluating and accounting for performance obligations. This included, (i) examining revenue arrangements on a test basis, including evaluating the terms and conditions of the arrangements and testing the identification, evaluation and accounting of the performance obligations; (ii) testing the allocation of the transaction price between performance obligations based on the estimated standalone selling prices on a test basis; (iii) performing procedures to test the completeness and accuracy of the data used to determine stand-alone selling price; and (iv) evaluating the reasonableness of the approach used to determine stand-alone selling price.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30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64  </w:t>
      </w:r>
      <w:r>
        <w:rPr>
          <w:sz w:val="1"/>
          <w:szCs w:val="1"/>
          <w:color w:val="auto"/>
        </w:rPr>
        <w:drawing>
          <wp:inline distT="0" distB="0" distL="0" distR="0">
            <wp:extent cx="728345" cy="18859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76"/>
        </w:trPr>
        <w:tc>
          <w:tcPr>
            <w:tcW w:w="7920" w:type="dxa"/>
            <w:vAlign w:val="bottom"/>
            <w:vMerge w:val="continue"/>
            <w:shd w:val="clear" w:color="auto" w:fill="ACACAC"/>
          </w:tcPr>
          <w:p>
            <w:pPr>
              <w:spacing w:after="0"/>
              <w:rPr>
                <w:sz w:val="15"/>
                <w:szCs w:val="15"/>
                <w:color w:val="auto"/>
              </w:rPr>
            </w:pP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29"/>
        </w:trPr>
        <w:tc>
          <w:tcPr>
            <w:tcW w:w="792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35,750</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31,810</w:t>
            </w:r>
          </w:p>
        </w:tc>
        <w:tc>
          <w:tcPr>
            <w:tcW w:w="0" w:type="dxa"/>
            <w:vAlign w:val="bottom"/>
          </w:tcPr>
          <w:p>
            <w:pPr>
              <w:spacing w:after="0"/>
              <w:rPr>
                <w:sz w:val="1"/>
                <w:szCs w:val="1"/>
                <w:color w:val="auto"/>
              </w:rPr>
            </w:pPr>
          </w:p>
        </w:tc>
      </w:tr>
      <w:tr>
        <w:trPr>
          <w:trHeight w:val="229"/>
        </w:trPr>
        <w:tc>
          <w:tcPr>
            <w:tcW w:w="7920" w:type="dxa"/>
            <w:vAlign w:val="bottom"/>
          </w:tcPr>
          <w:p>
            <w:pPr>
              <w:ind w:left="54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609,219</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545,485</w:t>
            </w:r>
          </w:p>
        </w:tc>
        <w:tc>
          <w:tcPr>
            <w:tcW w:w="0" w:type="dxa"/>
            <w:vAlign w:val="bottom"/>
          </w:tcPr>
          <w:p>
            <w:pPr>
              <w:spacing w:after="0"/>
              <w:rPr>
                <w:sz w:val="1"/>
                <w:szCs w:val="1"/>
                <w:color w:val="auto"/>
              </w:rPr>
            </w:pPr>
          </w:p>
        </w:tc>
      </w:tr>
      <w:tr>
        <w:trPr>
          <w:trHeight w:val="188"/>
        </w:trPr>
        <w:tc>
          <w:tcPr>
            <w:tcW w:w="7920" w:type="dxa"/>
            <w:vAlign w:val="bottom"/>
            <w:shd w:val="clear" w:color="auto" w:fill="F4F4F4"/>
          </w:tcPr>
          <w:p>
            <w:pPr>
              <w:ind w:left="540"/>
              <w:spacing w:after="0" w:line="189" w:lineRule="exact"/>
              <w:rPr>
                <w:sz w:val="20"/>
                <w:szCs w:val="20"/>
                <w:color w:val="auto"/>
              </w:rPr>
            </w:pPr>
            <w:r>
              <w:rPr>
                <w:rFonts w:ascii="Arial" w:cs="Arial" w:eastAsia="Arial" w:hAnsi="Arial"/>
                <w:sz w:val="18"/>
                <w:szCs w:val="18"/>
                <w:color w:val="auto"/>
              </w:rPr>
              <w:t>Accounts receivable, net of allowance of $10,292 and $5,529 at December 31, 2020 and</w:t>
            </w:r>
          </w:p>
        </w:tc>
        <w:tc>
          <w:tcPr>
            <w:tcW w:w="400" w:type="dxa"/>
            <w:vAlign w:val="bottom"/>
            <w:shd w:val="clear" w:color="auto" w:fill="F4F4F4"/>
          </w:tcPr>
          <w:p>
            <w:pPr>
              <w:spacing w:after="0"/>
              <w:rPr>
                <w:sz w:val="16"/>
                <w:szCs w:val="16"/>
                <w:color w:val="auto"/>
              </w:rPr>
            </w:pPr>
          </w:p>
        </w:tc>
        <w:tc>
          <w:tcPr>
            <w:tcW w:w="124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124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December 31, 2019, respectively</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95,404</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88,868</w:t>
            </w:r>
          </w:p>
        </w:tc>
        <w:tc>
          <w:tcPr>
            <w:tcW w:w="0" w:type="dxa"/>
            <w:vAlign w:val="bottom"/>
          </w:tcPr>
          <w:p>
            <w:pPr>
              <w:spacing w:after="0"/>
              <w:rPr>
                <w:sz w:val="1"/>
                <w:szCs w:val="1"/>
                <w:color w:val="auto"/>
              </w:rPr>
            </w:pPr>
          </w:p>
        </w:tc>
      </w:tr>
      <w:tr>
        <w:trPr>
          <w:trHeight w:val="229"/>
        </w:trPr>
        <w:tc>
          <w:tcPr>
            <w:tcW w:w="7920" w:type="dxa"/>
            <w:vAlign w:val="bottom"/>
          </w:tcPr>
          <w:p>
            <w:pPr>
              <w:ind w:left="540"/>
              <w:spacing w:after="0"/>
              <w:rPr>
                <w:sz w:val="20"/>
                <w:szCs w:val="20"/>
                <w:color w:val="auto"/>
              </w:rPr>
            </w:pPr>
            <w:r>
              <w:rPr>
                <w:rFonts w:ascii="Arial" w:cs="Arial" w:eastAsia="Arial" w:hAnsi="Arial"/>
                <w:sz w:val="18"/>
                <w:szCs w:val="18"/>
                <w:color w:val="auto"/>
              </w:rPr>
              <w:t>Customer funds receivable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78,366</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67,852</w:t>
            </w:r>
          </w:p>
        </w:tc>
        <w:tc>
          <w:tcPr>
            <w:tcW w:w="0" w:type="dxa"/>
            <w:vAlign w:val="bottom"/>
          </w:tcPr>
          <w:p>
            <w:pPr>
              <w:spacing w:after="0"/>
              <w:rPr>
                <w:sz w:val="1"/>
                <w:szCs w:val="1"/>
                <w:color w:val="auto"/>
              </w:rPr>
            </w:pPr>
          </w:p>
        </w:tc>
      </w:tr>
      <w:tr>
        <w:trPr>
          <w:trHeight w:val="223"/>
        </w:trPr>
        <w:tc>
          <w:tcPr>
            <w:tcW w:w="792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819,060</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734,539</w:t>
            </w:r>
          </w:p>
        </w:tc>
        <w:tc>
          <w:tcPr>
            <w:tcW w:w="0" w:type="dxa"/>
            <w:vAlign w:val="bottom"/>
          </w:tcPr>
          <w:p>
            <w:pPr>
              <w:spacing w:after="0"/>
              <w:rPr>
                <w:sz w:val="1"/>
                <w:szCs w:val="1"/>
                <w:color w:val="auto"/>
              </w:rPr>
            </w:pPr>
          </w:p>
        </w:tc>
      </w:tr>
      <w:tr>
        <w:trPr>
          <w:trHeight w:val="230"/>
        </w:trPr>
        <w:tc>
          <w:tcPr>
            <w:tcW w:w="7920" w:type="dxa"/>
            <w:vAlign w:val="bottom"/>
            <w:shd w:val="clear" w:color="auto" w:fill="F4F4F4"/>
          </w:tcPr>
          <w:p>
            <w:pPr>
              <w:ind w:left="34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105,177</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35,546</w:t>
            </w:r>
          </w:p>
        </w:tc>
        <w:tc>
          <w:tcPr>
            <w:tcW w:w="0" w:type="dxa"/>
            <w:vAlign w:val="bottom"/>
          </w:tcPr>
          <w:p>
            <w:pPr>
              <w:spacing w:after="0"/>
              <w:rPr>
                <w:sz w:val="1"/>
                <w:szCs w:val="1"/>
                <w:color w:val="auto"/>
              </w:rPr>
            </w:pPr>
          </w:p>
        </w:tc>
      </w:tr>
      <w:tr>
        <w:trPr>
          <w:trHeight w:val="229"/>
        </w:trPr>
        <w:tc>
          <w:tcPr>
            <w:tcW w:w="792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22,671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104,400</w:t>
            </w:r>
          </w:p>
        </w:tc>
        <w:tc>
          <w:tcPr>
            <w:tcW w:w="0" w:type="dxa"/>
            <w:vAlign w:val="bottom"/>
          </w:tcPr>
          <w:p>
            <w:pPr>
              <w:spacing w:after="0"/>
              <w:rPr>
                <w:sz w:val="1"/>
                <w:szCs w:val="1"/>
                <w:color w:val="auto"/>
              </w:rPr>
            </w:pPr>
          </w:p>
        </w:tc>
      </w:tr>
      <w:tr>
        <w:trPr>
          <w:trHeight w:val="229"/>
        </w:trPr>
        <w:tc>
          <w:tcPr>
            <w:tcW w:w="7920" w:type="dxa"/>
            <w:vAlign w:val="bottom"/>
            <w:shd w:val="clear" w:color="auto" w:fill="F4F4F4"/>
          </w:tcPr>
          <w:p>
            <w:pPr>
              <w:ind w:left="340"/>
              <w:spacing w:after="0"/>
              <w:rPr>
                <w:sz w:val="20"/>
                <w:szCs w:val="20"/>
                <w:color w:val="auto"/>
              </w:rPr>
            </w:pPr>
            <w:r>
              <w:rPr>
                <w:rFonts w:ascii="Arial" w:cs="Arial" w:eastAsia="Arial" w:hAnsi="Arial"/>
                <w:sz w:val="18"/>
                <w:szCs w:val="18"/>
                <w:color w:val="auto"/>
              </w:rPr>
              <w:t>Software development costs, net</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111,827</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101,302</w:t>
            </w:r>
          </w:p>
        </w:tc>
        <w:tc>
          <w:tcPr>
            <w:tcW w:w="0" w:type="dxa"/>
            <w:vAlign w:val="bottom"/>
          </w:tcPr>
          <w:p>
            <w:pPr>
              <w:spacing w:after="0"/>
              <w:rPr>
                <w:sz w:val="1"/>
                <w:szCs w:val="1"/>
                <w:color w:val="auto"/>
              </w:rPr>
            </w:pPr>
          </w:p>
        </w:tc>
      </w:tr>
      <w:tr>
        <w:trPr>
          <w:trHeight w:val="230"/>
        </w:trPr>
        <w:tc>
          <w:tcPr>
            <w:tcW w:w="79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635,854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634,088</w:t>
            </w:r>
          </w:p>
        </w:tc>
        <w:tc>
          <w:tcPr>
            <w:tcW w:w="0" w:type="dxa"/>
            <w:vAlign w:val="bottom"/>
          </w:tcPr>
          <w:p>
            <w:pPr>
              <w:spacing w:after="0"/>
              <w:rPr>
                <w:sz w:val="1"/>
                <w:szCs w:val="1"/>
                <w:color w:val="auto"/>
              </w:rPr>
            </w:pPr>
          </w:p>
        </w:tc>
      </w:tr>
      <w:tr>
        <w:trPr>
          <w:trHeight w:val="229"/>
        </w:trPr>
        <w:tc>
          <w:tcPr>
            <w:tcW w:w="7920" w:type="dxa"/>
            <w:vAlign w:val="bottom"/>
            <w:shd w:val="clear" w:color="auto" w:fill="F4F4F4"/>
          </w:tcPr>
          <w:p>
            <w:pPr>
              <w:ind w:left="340"/>
              <w:spacing w:after="0"/>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277,506</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317,895</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F4F4F4"/>
            </w:tcBorders>
          </w:tcPr>
          <w:p>
            <w:pPr>
              <w:ind w:left="3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72,639</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65,193</w:t>
            </w:r>
          </w:p>
        </w:tc>
        <w:tc>
          <w:tcPr>
            <w:tcW w:w="0" w:type="dxa"/>
            <w:vAlign w:val="bottom"/>
          </w:tcPr>
          <w:p>
            <w:pPr>
              <w:spacing w:after="0"/>
              <w:rPr>
                <w:sz w:val="1"/>
                <w:szCs w:val="1"/>
                <w:color w:val="auto"/>
              </w:rPr>
            </w:pPr>
          </w:p>
        </w:tc>
      </w:tr>
      <w:tr>
        <w:trPr>
          <w:trHeight w:val="223"/>
        </w:trPr>
        <w:tc>
          <w:tcPr>
            <w:tcW w:w="7920" w:type="dxa"/>
            <w:vAlign w:val="bottom"/>
            <w:shd w:val="clear" w:color="auto" w:fill="F4F4F4"/>
          </w:tcPr>
          <w:p>
            <w:pPr>
              <w:ind w:left="112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2,044,734</w:t>
            </w:r>
          </w:p>
        </w:tc>
        <w:tc>
          <w:tcPr>
            <w:tcW w:w="400" w:type="dxa"/>
            <w:vAlign w:val="bottom"/>
            <w:tcBorders>
              <w:bottom w:val="single" w:sz="8" w:color="auto"/>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1,992,963</w:t>
            </w:r>
          </w:p>
        </w:tc>
        <w:tc>
          <w:tcPr>
            <w:tcW w:w="0" w:type="dxa"/>
            <w:vAlign w:val="bottom"/>
          </w:tcPr>
          <w:p>
            <w:pPr>
              <w:spacing w:after="0"/>
              <w:rPr>
                <w:sz w:val="1"/>
                <w:szCs w:val="1"/>
                <w:color w:val="auto"/>
              </w:rPr>
            </w:pPr>
          </w:p>
        </w:tc>
      </w:tr>
      <w:tr>
        <w:trPr>
          <w:trHeight w:val="210"/>
        </w:trPr>
        <w:tc>
          <w:tcPr>
            <w:tcW w:w="7920" w:type="dxa"/>
            <w:vAlign w:val="bottom"/>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F4F4F4"/>
          </w:tcPr>
          <w:p>
            <w:pPr>
              <w:ind w:left="34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540"/>
              <w:spacing w:after="0"/>
              <w:rPr>
                <w:sz w:val="20"/>
                <w:szCs w:val="20"/>
                <w:color w:val="auto"/>
              </w:rPr>
            </w:pPr>
            <w:r>
              <w:rPr>
                <w:rFonts w:ascii="Arial" w:cs="Arial" w:eastAsia="Arial" w:hAnsi="Arial"/>
                <w:sz w:val="18"/>
                <w:szCs w:val="18"/>
                <w:color w:val="auto"/>
              </w:rPr>
              <w:t>Trade accounts payable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27,836</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47,676</w:t>
            </w:r>
          </w:p>
        </w:tc>
        <w:tc>
          <w:tcPr>
            <w:tcW w:w="0" w:type="dxa"/>
            <w:vAlign w:val="bottom"/>
          </w:tcPr>
          <w:p>
            <w:pPr>
              <w:spacing w:after="0"/>
              <w:rPr>
                <w:sz w:val="1"/>
                <w:szCs w:val="1"/>
                <w:color w:val="auto"/>
              </w:rPr>
            </w:pPr>
          </w:p>
        </w:tc>
      </w:tr>
      <w:tr>
        <w:trPr>
          <w:trHeight w:val="230"/>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52,228</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73,317</w:t>
            </w:r>
          </w:p>
        </w:tc>
        <w:tc>
          <w:tcPr>
            <w:tcW w:w="0" w:type="dxa"/>
            <w:vAlign w:val="bottom"/>
          </w:tcPr>
          <w:p>
            <w:pPr>
              <w:spacing w:after="0"/>
              <w:rPr>
                <w:sz w:val="1"/>
                <w:szCs w:val="1"/>
                <w:color w:val="auto"/>
              </w:rPr>
            </w:pPr>
          </w:p>
        </w:tc>
      </w:tr>
      <w:tr>
        <w:trPr>
          <w:trHeight w:val="229"/>
        </w:trPr>
        <w:tc>
          <w:tcPr>
            <w:tcW w:w="7920" w:type="dxa"/>
            <w:vAlign w:val="bottom"/>
          </w:tcPr>
          <w:p>
            <w:pPr>
              <w:ind w:left="540"/>
              <w:spacing w:after="0"/>
              <w:rPr>
                <w:sz w:val="20"/>
                <w:szCs w:val="20"/>
                <w:color w:val="auto"/>
              </w:rPr>
            </w:pPr>
            <w:r>
              <w:rPr>
                <w:rFonts w:ascii="Arial" w:cs="Arial" w:eastAsia="Arial" w:hAnsi="Arial"/>
                <w:sz w:val="18"/>
                <w:szCs w:val="18"/>
                <w:color w:val="auto"/>
              </w:rPr>
              <w:t>Due to customers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608,264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546,009</w:t>
            </w:r>
          </w:p>
        </w:tc>
        <w:tc>
          <w:tcPr>
            <w:tcW w:w="0" w:type="dxa"/>
            <w:vAlign w:val="bottom"/>
          </w:tcPr>
          <w:p>
            <w:pPr>
              <w:spacing w:after="0"/>
              <w:rPr>
                <w:sz w:val="1"/>
                <w:szCs w:val="1"/>
                <w:color w:val="auto"/>
              </w:rPr>
            </w:pPr>
          </w:p>
        </w:tc>
      </w:tr>
      <w:tr>
        <w:trPr>
          <w:trHeight w:val="229"/>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Debt, current portion</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12,840</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F4F4F4"/>
            </w:tcBorders>
          </w:tcPr>
          <w:p>
            <w:pPr>
              <w:ind w:left="540"/>
              <w:spacing w:after="0"/>
              <w:rPr>
                <w:sz w:val="20"/>
                <w:szCs w:val="20"/>
                <w:color w:val="auto"/>
              </w:rPr>
            </w:pPr>
            <w:r>
              <w:rPr>
                <w:rFonts w:ascii="Arial" w:cs="Arial" w:eastAsia="Arial" w:hAnsi="Arial"/>
                <w:sz w:val="18"/>
                <w:szCs w:val="18"/>
                <w:color w:val="auto"/>
              </w:rPr>
              <w:t>Deferred revenue, current portion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312,236</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314,335</w:t>
            </w:r>
          </w:p>
        </w:tc>
        <w:tc>
          <w:tcPr>
            <w:tcW w:w="0" w:type="dxa"/>
            <w:vAlign w:val="bottom"/>
          </w:tcPr>
          <w:p>
            <w:pPr>
              <w:spacing w:after="0"/>
              <w:rPr>
                <w:sz w:val="1"/>
                <w:szCs w:val="1"/>
                <w:color w:val="auto"/>
              </w:rPr>
            </w:pPr>
          </w:p>
        </w:tc>
      </w:tr>
      <w:tr>
        <w:trPr>
          <w:trHeight w:val="223"/>
        </w:trPr>
        <w:tc>
          <w:tcPr>
            <w:tcW w:w="7920" w:type="dxa"/>
            <w:vAlign w:val="bottom"/>
            <w:shd w:val="clear" w:color="auto" w:fill="F4F4F4"/>
          </w:tcPr>
          <w:p>
            <w:pPr>
              <w:ind w:left="66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1,013,404</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988,837</w:t>
            </w:r>
          </w:p>
        </w:tc>
        <w:tc>
          <w:tcPr>
            <w:tcW w:w="0" w:type="dxa"/>
            <w:vAlign w:val="bottom"/>
          </w:tcPr>
          <w:p>
            <w:pPr>
              <w:spacing w:after="0"/>
              <w:rPr>
                <w:sz w:val="1"/>
                <w:szCs w:val="1"/>
                <w:color w:val="auto"/>
              </w:rPr>
            </w:pPr>
          </w:p>
        </w:tc>
      </w:tr>
      <w:tr>
        <w:trPr>
          <w:trHeight w:val="230"/>
        </w:trPr>
        <w:tc>
          <w:tcPr>
            <w:tcW w:w="7920" w:type="dxa"/>
            <w:vAlign w:val="bottom"/>
          </w:tcPr>
          <w:p>
            <w:pPr>
              <w:ind w:left="340"/>
              <w:spacing w:after="0"/>
              <w:rPr>
                <w:sz w:val="20"/>
                <w:szCs w:val="20"/>
                <w:color w:val="auto"/>
              </w:rPr>
            </w:pPr>
            <w:r>
              <w:rPr>
                <w:rFonts w:ascii="Arial" w:cs="Arial" w:eastAsia="Arial" w:hAnsi="Arial"/>
                <w:sz w:val="18"/>
                <w:szCs w:val="18"/>
                <w:color w:val="auto"/>
              </w:rPr>
              <w:t>Debt, net of current portion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518,193</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459,600</w:t>
            </w:r>
          </w:p>
        </w:tc>
        <w:tc>
          <w:tcPr>
            <w:tcW w:w="0" w:type="dxa"/>
            <w:vAlign w:val="bottom"/>
          </w:tcPr>
          <w:p>
            <w:pPr>
              <w:spacing w:after="0"/>
              <w:rPr>
                <w:sz w:val="1"/>
                <w:szCs w:val="1"/>
                <w:color w:val="auto"/>
              </w:rPr>
            </w:pPr>
          </w:p>
        </w:tc>
      </w:tr>
      <w:tr>
        <w:trPr>
          <w:trHeight w:val="229"/>
        </w:trPr>
        <w:tc>
          <w:tcPr>
            <w:tcW w:w="7920" w:type="dxa"/>
            <w:vAlign w:val="bottom"/>
            <w:shd w:val="clear" w:color="auto" w:fill="F4F4F4"/>
          </w:tcPr>
          <w:p>
            <w:pPr>
              <w:ind w:left="340"/>
              <w:spacing w:after="0"/>
              <w:rPr>
                <w:sz w:val="20"/>
                <w:szCs w:val="20"/>
                <w:color w:val="auto"/>
              </w:rPr>
            </w:pPr>
            <w:r>
              <w:rPr>
                <w:rFonts w:ascii="Arial" w:cs="Arial" w:eastAsia="Arial" w:hAnsi="Arial"/>
                <w:sz w:val="18"/>
                <w:szCs w:val="18"/>
                <w:color w:val="auto"/>
              </w:rPr>
              <w:t>Deferred tax liability</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54,086</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44,594</w:t>
            </w:r>
          </w:p>
        </w:tc>
        <w:tc>
          <w:tcPr>
            <w:tcW w:w="0" w:type="dxa"/>
            <w:vAlign w:val="bottom"/>
          </w:tcPr>
          <w:p>
            <w:pPr>
              <w:spacing w:after="0"/>
              <w:rPr>
                <w:sz w:val="1"/>
                <w:szCs w:val="1"/>
                <w:color w:val="auto"/>
              </w:rPr>
            </w:pPr>
          </w:p>
        </w:tc>
      </w:tr>
      <w:tr>
        <w:trPr>
          <w:trHeight w:val="230"/>
        </w:trPr>
        <w:tc>
          <w:tcPr>
            <w:tcW w:w="7920" w:type="dxa"/>
            <w:vAlign w:val="bottom"/>
          </w:tcPr>
          <w:p>
            <w:pPr>
              <w:ind w:left="340"/>
              <w:spacing w:after="0"/>
              <w:rPr>
                <w:sz w:val="20"/>
                <w:szCs w:val="20"/>
                <w:color w:val="auto"/>
              </w:rPr>
            </w:pPr>
            <w:r>
              <w:rPr>
                <w:rFonts w:ascii="Arial" w:cs="Arial" w:eastAsia="Arial" w:hAnsi="Arial"/>
                <w:sz w:val="18"/>
                <w:szCs w:val="18"/>
                <w:color w:val="auto"/>
              </w:rPr>
              <w:t>Deferred revenue, net of current portion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4,678</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30"/>
        </w:trPr>
        <w:tc>
          <w:tcPr>
            <w:tcW w:w="7920" w:type="dxa"/>
            <w:vAlign w:val="bottom"/>
            <w:shd w:val="clear" w:color="auto" w:fill="F4F4F4"/>
          </w:tcPr>
          <w:p>
            <w:pPr>
              <w:ind w:left="340"/>
              <w:spacing w:after="0"/>
              <w:rPr>
                <w:sz w:val="20"/>
                <w:szCs w:val="20"/>
                <w:color w:val="auto"/>
              </w:rPr>
            </w:pPr>
            <w:r>
              <w:rPr>
                <w:rFonts w:ascii="Arial" w:cs="Arial" w:eastAsia="Arial" w:hAnsi="Arial"/>
                <w:sz w:val="18"/>
                <w:szCs w:val="18"/>
                <w:color w:val="auto"/>
              </w:rPr>
              <w:t>Operating lease liabilities, net of current portion</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17,357</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95,624</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F4F4F4"/>
            </w:tcBorders>
          </w:tcPr>
          <w:p>
            <w:pPr>
              <w:ind w:left="34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23"/>
        </w:trPr>
        <w:tc>
          <w:tcPr>
            <w:tcW w:w="7920" w:type="dxa"/>
            <w:vAlign w:val="bottom"/>
            <w:shd w:val="clear" w:color="auto" w:fill="F4F4F4"/>
          </w:tcPr>
          <w:p>
            <w:pPr>
              <w:ind w:left="1120"/>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1,618,584</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1,596,199</w:t>
            </w:r>
          </w:p>
        </w:tc>
        <w:tc>
          <w:tcPr>
            <w:tcW w:w="0" w:type="dxa"/>
            <w:vAlign w:val="bottom"/>
          </w:tcPr>
          <w:p>
            <w:pPr>
              <w:spacing w:after="0"/>
              <w:rPr>
                <w:sz w:val="1"/>
                <w:szCs w:val="1"/>
                <w:color w:val="auto"/>
              </w:rPr>
            </w:pPr>
          </w:p>
        </w:tc>
      </w:tr>
      <w:tr>
        <w:trPr>
          <w:trHeight w:val="210"/>
        </w:trPr>
        <w:tc>
          <w:tcPr>
            <w:tcW w:w="7920" w:type="dxa"/>
            <w:vAlign w:val="bottom"/>
          </w:tcPr>
          <w:p>
            <w:pPr>
              <w:ind w:left="340"/>
              <w:spacing w:after="0"/>
              <w:rPr>
                <w:sz w:val="20"/>
                <w:szCs w:val="20"/>
                <w:color w:val="auto"/>
              </w:rPr>
            </w:pPr>
            <w:r>
              <w:rPr>
                <w:rFonts w:ascii="Arial" w:cs="Arial" w:eastAsia="Arial" w:hAnsi="Arial"/>
                <w:sz w:val="18"/>
                <w:szCs w:val="18"/>
                <w:color w:val="auto"/>
              </w:rPr>
              <w:t>Commitments and contingencies (see Note 9)</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F4F4F4"/>
          </w:tcPr>
          <w:p>
            <w:pPr>
              <w:ind w:left="340"/>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40"/>
              <w:spacing w:after="0"/>
              <w:rPr>
                <w:sz w:val="20"/>
                <w:szCs w:val="20"/>
                <w:color w:val="auto"/>
              </w:rPr>
            </w:pPr>
            <w:r>
              <w:rPr>
                <w:rFonts w:ascii="Arial" w:cs="Arial" w:eastAsia="Arial" w:hAnsi="Arial"/>
                <w:sz w:val="18"/>
                <w:szCs w:val="18"/>
                <w:color w:val="auto"/>
              </w:rPr>
              <w:t>Preferred stock; 20,000,000 shares authorized, none outstanding</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920" w:type="dxa"/>
            <w:vAlign w:val="bottom"/>
            <w:shd w:val="clear" w:color="auto" w:fill="F4F4F4"/>
          </w:tcPr>
          <w:p>
            <w:pPr>
              <w:ind w:left="540"/>
              <w:spacing w:after="0" w:line="189" w:lineRule="exact"/>
              <w:rPr>
                <w:sz w:val="20"/>
                <w:szCs w:val="20"/>
                <w:color w:val="auto"/>
              </w:rPr>
            </w:pPr>
            <w:r>
              <w:rPr>
                <w:rFonts w:ascii="Arial" w:cs="Arial" w:eastAsia="Arial" w:hAnsi="Arial"/>
                <w:sz w:val="18"/>
                <w:szCs w:val="18"/>
                <w:color w:val="auto"/>
              </w:rPr>
              <w:t>Common stock, $0.001 par value; 180,000,000 shares authorized, 60,904,638 and</w:t>
            </w:r>
          </w:p>
        </w:tc>
        <w:tc>
          <w:tcPr>
            <w:tcW w:w="400" w:type="dxa"/>
            <w:vAlign w:val="bottom"/>
            <w:shd w:val="clear" w:color="auto" w:fill="F4F4F4"/>
          </w:tcPr>
          <w:p>
            <w:pPr>
              <w:spacing w:after="0"/>
              <w:rPr>
                <w:sz w:val="16"/>
                <w:szCs w:val="16"/>
                <w:color w:val="auto"/>
              </w:rPr>
            </w:pPr>
          </w:p>
        </w:tc>
        <w:tc>
          <w:tcPr>
            <w:tcW w:w="124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124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60,206,091 shares issued at December 31, 2020 and December 31, 2019, respectively</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7920" w:type="dxa"/>
            <w:vAlign w:val="bottom"/>
          </w:tcPr>
          <w:p>
            <w:pPr>
              <w:ind w:left="5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544,963</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457,804</w:t>
            </w:r>
          </w:p>
        </w:tc>
        <w:tc>
          <w:tcPr>
            <w:tcW w:w="0" w:type="dxa"/>
            <w:vAlign w:val="bottom"/>
          </w:tcPr>
          <w:p>
            <w:pPr>
              <w:spacing w:after="0"/>
              <w:rPr>
                <w:sz w:val="1"/>
                <w:szCs w:val="1"/>
                <w:color w:val="auto"/>
              </w:rPr>
            </w:pPr>
          </w:p>
        </w:tc>
      </w:tr>
      <w:tr>
        <w:trPr>
          <w:trHeight w:val="188"/>
        </w:trPr>
        <w:tc>
          <w:tcPr>
            <w:tcW w:w="7920" w:type="dxa"/>
            <w:vAlign w:val="bottom"/>
            <w:shd w:val="clear" w:color="auto" w:fill="F4F4F4"/>
          </w:tcPr>
          <w:p>
            <w:pPr>
              <w:ind w:left="540"/>
              <w:spacing w:after="0" w:line="189" w:lineRule="exact"/>
              <w:rPr>
                <w:sz w:val="20"/>
                <w:szCs w:val="20"/>
                <w:color w:val="auto"/>
              </w:rPr>
            </w:pPr>
            <w:r>
              <w:rPr>
                <w:rFonts w:ascii="Arial" w:cs="Arial" w:eastAsia="Arial" w:hAnsi="Arial"/>
                <w:sz w:val="18"/>
                <w:szCs w:val="18"/>
                <w:color w:val="auto"/>
              </w:rPr>
              <w:t>Treasury stock, at cost; 12,054,268 and 11,066,354 shares at December 31, 2020 and</w:t>
            </w:r>
          </w:p>
        </w:tc>
        <w:tc>
          <w:tcPr>
            <w:tcW w:w="400" w:type="dxa"/>
            <w:vAlign w:val="bottom"/>
            <w:shd w:val="clear" w:color="auto" w:fill="F4F4F4"/>
          </w:tcPr>
          <w:p>
            <w:pPr>
              <w:spacing w:after="0"/>
              <w:rPr>
                <w:sz w:val="16"/>
                <w:szCs w:val="16"/>
                <w:color w:val="auto"/>
              </w:rPr>
            </w:pPr>
          </w:p>
        </w:tc>
        <w:tc>
          <w:tcPr>
            <w:tcW w:w="124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124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December 31, 2019, respectively</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(353,091)</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(290,665)</w:t>
            </w:r>
          </w:p>
        </w:tc>
        <w:tc>
          <w:tcPr>
            <w:tcW w:w="0" w:type="dxa"/>
            <w:vAlign w:val="bottom"/>
          </w:tcPr>
          <w:p>
            <w:pPr>
              <w:spacing w:after="0"/>
              <w:rPr>
                <w:sz w:val="1"/>
                <w:szCs w:val="1"/>
                <w:color w:val="auto"/>
              </w:rPr>
            </w:pPr>
          </w:p>
        </w:tc>
      </w:tr>
      <w:tr>
        <w:trPr>
          <w:trHeight w:val="229"/>
        </w:trPr>
        <w:tc>
          <w:tcPr>
            <w:tcW w:w="7920" w:type="dxa"/>
            <w:vAlign w:val="bottom"/>
          </w:tcPr>
          <w:p>
            <w:pPr>
              <w:ind w:left="54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(2,497)</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30"/>
        </w:trPr>
        <w:tc>
          <w:tcPr>
            <w:tcW w:w="7920" w:type="dxa"/>
            <w:vAlign w:val="bottom"/>
            <w:shd w:val="clear" w:color="auto" w:fill="F4F4F4"/>
          </w:tcPr>
          <w:p>
            <w:pPr>
              <w:ind w:left="540"/>
              <w:spacing w:after="0"/>
              <w:rPr>
                <w:sz w:val="20"/>
                <w:szCs w:val="20"/>
                <w:color w:val="auto"/>
              </w:rPr>
            </w:pPr>
            <w:r>
              <w:rPr>
                <w:rFonts w:ascii="Arial" w:cs="Arial" w:eastAsia="Arial" w:hAnsi="Arial"/>
                <w:sz w:val="18"/>
                <w:szCs w:val="18"/>
                <w:color w:val="auto"/>
              </w:rPr>
              <w:t>Retained earnings</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236,714</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234,855</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F4F4F4"/>
            </w:tcBorders>
          </w:tcPr>
          <w:p>
            <w:pPr>
              <w:ind w:left="1120"/>
              <w:spacing w:after="0"/>
              <w:rPr>
                <w:sz w:val="20"/>
                <w:szCs w:val="20"/>
                <w:color w:val="auto"/>
              </w:rPr>
            </w:pPr>
            <w:r>
              <w:rPr>
                <w:rFonts w:ascii="Arial" w:cs="Arial" w:eastAsia="Arial" w:hAnsi="Arial"/>
                <w:sz w:val="18"/>
                <w:szCs w:val="18"/>
                <w:b w:val="1"/>
                <w:bCs w:val="1"/>
                <w:color w:val="auto"/>
              </w:rPr>
              <w:t>Total stockholders’ equity</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426,150</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396,764</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71BF43"/>
            </w:tcBorders>
            <w:shd w:val="clear" w:color="auto" w:fill="F4F4F4"/>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2,044,734</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1,992,963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9"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66"/>
        </w:trPr>
        <w:tc>
          <w:tcPr>
            <w:tcW w:w="7320" w:type="dxa"/>
            <w:vAlign w:val="bottom"/>
            <w:shd w:val="clear" w:color="auto" w:fill="ACACAC"/>
          </w:tcPr>
          <w:p>
            <w:pPr>
              <w:spacing w:after="0"/>
              <w:rPr>
                <w:sz w:val="24"/>
                <w:szCs w:val="24"/>
                <w:color w:val="auto"/>
              </w:rPr>
            </w:pPr>
          </w:p>
        </w:tc>
        <w:tc>
          <w:tcPr>
            <w:tcW w:w="220" w:type="dxa"/>
            <w:vAlign w:val="bottom"/>
            <w:shd w:val="clear" w:color="auto" w:fill="ACACAC"/>
          </w:tcPr>
          <w:p>
            <w:pPr>
              <w:spacing w:after="0"/>
              <w:rPr>
                <w:sz w:val="24"/>
                <w:szCs w:val="24"/>
                <w:color w:val="auto"/>
              </w:rPr>
            </w:pPr>
          </w:p>
        </w:tc>
        <w:tc>
          <w:tcPr>
            <w:tcW w:w="1080" w:type="dxa"/>
            <w:vAlign w:val="bottom"/>
            <w:shd w:val="clear" w:color="auto" w:fill="ACACAC"/>
          </w:tcPr>
          <w:p>
            <w:pPr>
              <w:spacing w:after="0"/>
              <w:rPr>
                <w:sz w:val="24"/>
                <w:szCs w:val="24"/>
                <w:color w:val="auto"/>
              </w:rPr>
            </w:pPr>
          </w:p>
        </w:tc>
        <w:tc>
          <w:tcPr>
            <w:tcW w:w="220" w:type="dxa"/>
            <w:vAlign w:val="bottom"/>
            <w:shd w:val="clear" w:color="auto" w:fill="ACACAC"/>
          </w:tcPr>
          <w:p>
            <w:pPr>
              <w:spacing w:after="0"/>
              <w:rPr>
                <w:sz w:val="24"/>
                <w:szCs w:val="24"/>
                <w:color w:val="auto"/>
              </w:rPr>
            </w:pPr>
          </w:p>
        </w:tc>
        <w:tc>
          <w:tcPr>
            <w:tcW w:w="24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363"/>
        </w:trPr>
        <w:tc>
          <w:tcPr>
            <w:tcW w:w="7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20" w:type="dxa"/>
            <w:vAlign w:val="bottom"/>
            <w:shd w:val="clear" w:color="auto" w:fill="ACACAC"/>
          </w:tcPr>
          <w:p>
            <w:pPr>
              <w:spacing w:after="0"/>
              <w:rPr>
                <w:sz w:val="24"/>
                <w:szCs w:val="2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20" w:type="dxa"/>
            <w:vAlign w:val="bottom"/>
            <w:shd w:val="clear" w:color="auto" w:fill="ACACAC"/>
          </w:tcPr>
          <w:p>
            <w:pPr>
              <w:spacing w:after="0"/>
              <w:rPr>
                <w:sz w:val="24"/>
                <w:szCs w:val="2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20" w:type="dxa"/>
            <w:vAlign w:val="bottom"/>
            <w:shd w:val="clear" w:color="auto" w:fill="ACACAC"/>
          </w:tcPr>
          <w:p>
            <w:pPr>
              <w:spacing w:after="0"/>
              <w:rPr>
                <w:sz w:val="24"/>
                <w:szCs w:val="2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320" w:type="dxa"/>
            <w:vAlign w:val="bottom"/>
            <w:shd w:val="clear" w:color="auto" w:fill="F4F4F4"/>
          </w:tcPr>
          <w:p>
            <w:pPr>
              <w:ind w:left="360"/>
              <w:spacing w:after="0"/>
              <w:rPr>
                <w:sz w:val="20"/>
                <w:szCs w:val="20"/>
                <w:color w:val="auto"/>
              </w:rPr>
            </w:pPr>
            <w:r>
              <w:rPr>
                <w:rFonts w:ascii="Arial" w:cs="Arial" w:eastAsia="Arial" w:hAnsi="Arial"/>
                <w:sz w:val="18"/>
                <w:szCs w:val="18"/>
                <w:color w:val="auto"/>
              </w:rPr>
              <w:t>Recurring</w:t>
            </w:r>
          </w:p>
        </w:tc>
        <w:tc>
          <w:tcPr>
            <w:tcW w:w="22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850,745</w:t>
            </w:r>
          </w:p>
        </w:tc>
        <w:tc>
          <w:tcPr>
            <w:tcW w:w="22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831,609</w:t>
            </w:r>
          </w:p>
        </w:tc>
        <w:tc>
          <w:tcPr>
            <w:tcW w:w="22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762,181</w:t>
            </w:r>
          </w:p>
        </w:tc>
      </w:tr>
      <w:tr>
        <w:trPr>
          <w:trHeight w:val="230"/>
        </w:trPr>
        <w:tc>
          <w:tcPr>
            <w:tcW w:w="7320" w:type="dxa"/>
            <w:vAlign w:val="bottom"/>
            <w:tcBorders>
              <w:bottom w:val="single" w:sz="8" w:color="F4F4F4"/>
            </w:tcBorders>
          </w:tcPr>
          <w:p>
            <w:pPr>
              <w:ind w:left="360"/>
              <w:spacing w:after="0"/>
              <w:rPr>
                <w:sz w:val="20"/>
                <w:szCs w:val="20"/>
                <w:color w:val="auto"/>
              </w:rPr>
            </w:pPr>
            <w:r>
              <w:rPr>
                <w:rFonts w:ascii="Arial" w:cs="Arial" w:eastAsia="Arial" w:hAnsi="Arial"/>
                <w:sz w:val="18"/>
                <w:szCs w:val="18"/>
                <w:color w:val="auto"/>
              </w:rPr>
              <w:t>One-time services and other</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62,474</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68,814</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86,425</w:t>
            </w:r>
          </w:p>
        </w:tc>
      </w:tr>
      <w:tr>
        <w:trPr>
          <w:trHeight w:val="223"/>
        </w:trPr>
        <w:tc>
          <w:tcPr>
            <w:tcW w:w="7320" w:type="dxa"/>
            <w:vAlign w:val="bottom"/>
            <w:shd w:val="clear" w:color="auto" w:fill="F4F4F4"/>
          </w:tcPr>
          <w:p>
            <w:pPr>
              <w:ind w:left="56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913,219</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900,423</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848,606</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Cost of revenue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320" w:type="dxa"/>
            <w:vAlign w:val="bottom"/>
            <w:shd w:val="clear" w:color="auto" w:fill="F4F4F4"/>
          </w:tcPr>
          <w:p>
            <w:pPr>
              <w:ind w:left="360"/>
              <w:spacing w:after="0"/>
              <w:rPr>
                <w:sz w:val="20"/>
                <w:szCs w:val="20"/>
                <w:color w:val="auto"/>
              </w:rPr>
            </w:pPr>
            <w:r>
              <w:rPr>
                <w:rFonts w:ascii="Arial" w:cs="Arial" w:eastAsia="Arial" w:hAnsi="Arial"/>
                <w:sz w:val="18"/>
                <w:szCs w:val="18"/>
                <w:color w:val="auto"/>
              </w:rPr>
              <w:t>Cost of recurring</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369,681</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357,988</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305,481</w:t>
            </w:r>
          </w:p>
        </w:tc>
      </w:tr>
      <w:tr>
        <w:trPr>
          <w:trHeight w:val="229"/>
        </w:trPr>
        <w:tc>
          <w:tcPr>
            <w:tcW w:w="7320" w:type="dxa"/>
            <w:vAlign w:val="bottom"/>
            <w:tcBorders>
              <w:bottom w:val="single" w:sz="8" w:color="F4F4F4"/>
            </w:tcBorders>
          </w:tcPr>
          <w:p>
            <w:pPr>
              <w:ind w:left="360"/>
              <w:spacing w:after="0"/>
              <w:rPr>
                <w:sz w:val="20"/>
                <w:szCs w:val="20"/>
                <w:color w:val="auto"/>
              </w:rPr>
            </w:pPr>
            <w:r>
              <w:rPr>
                <w:rFonts w:ascii="Arial" w:cs="Arial" w:eastAsia="Arial" w:hAnsi="Arial"/>
                <w:sz w:val="18"/>
                <w:szCs w:val="18"/>
                <w:color w:val="auto"/>
              </w:rPr>
              <w:t>Cost of one-time services and other</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58,384</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60,436</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76,261</w:t>
            </w:r>
          </w:p>
        </w:tc>
      </w:tr>
      <w:tr>
        <w:trPr>
          <w:trHeight w:val="223"/>
        </w:trPr>
        <w:tc>
          <w:tcPr>
            <w:tcW w:w="7320" w:type="dxa"/>
            <w:vAlign w:val="bottom"/>
            <w:shd w:val="clear" w:color="auto" w:fill="F4F4F4"/>
          </w:tcPr>
          <w:p>
            <w:pPr>
              <w:ind w:left="560"/>
              <w:spacing w:after="0"/>
              <w:rPr>
                <w:sz w:val="20"/>
                <w:szCs w:val="20"/>
                <w:color w:val="auto"/>
              </w:rPr>
            </w:pPr>
            <w:r>
              <w:rPr>
                <w:rFonts w:ascii="Arial" w:cs="Arial" w:eastAsia="Arial" w:hAnsi="Arial"/>
                <w:sz w:val="18"/>
                <w:szCs w:val="18"/>
                <w:b w:val="1"/>
                <w:bCs w:val="1"/>
                <w:color w:val="auto"/>
              </w:rPr>
              <w:t>Total cost of revenue</w:t>
            </w:r>
          </w:p>
        </w:tc>
        <w:tc>
          <w:tcPr>
            <w:tcW w:w="22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428,065</w:t>
            </w:r>
          </w:p>
        </w:tc>
        <w:tc>
          <w:tcPr>
            <w:tcW w:w="22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418,424</w:t>
            </w:r>
          </w:p>
        </w:tc>
        <w:tc>
          <w:tcPr>
            <w:tcW w:w="22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381,742</w:t>
            </w:r>
          </w:p>
        </w:tc>
      </w:tr>
      <w:tr>
        <w:trPr>
          <w:trHeight w:val="223"/>
        </w:trPr>
        <w:tc>
          <w:tcPr>
            <w:tcW w:w="7320" w:type="dxa"/>
            <w:vAlign w:val="bottom"/>
            <w:tcBorders>
              <w:bottom w:val="single" w:sz="8" w:color="F4F4F4"/>
            </w:tcBorders>
          </w:tcPr>
          <w:p>
            <w:pPr>
              <w:ind w:left="1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485,154</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481,999</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466,864</w:t>
            </w:r>
          </w:p>
        </w:tc>
      </w:tr>
      <w:tr>
        <w:trPr>
          <w:trHeight w:val="209"/>
        </w:trPr>
        <w:tc>
          <w:tcPr>
            <w:tcW w:w="732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F4F4F4"/>
          </w:tcPr>
          <w:p>
            <w:pPr>
              <w:spacing w:after="0"/>
              <w:rPr>
                <w:sz w:val="18"/>
                <w:szCs w:val="18"/>
                <w:color w:val="auto"/>
              </w:rPr>
            </w:pPr>
          </w:p>
        </w:tc>
        <w:tc>
          <w:tcPr>
            <w:tcW w:w="1080" w:type="dxa"/>
            <w:vAlign w:val="bottom"/>
            <w:shd w:val="clear" w:color="auto" w:fill="F4F4F4"/>
          </w:tcPr>
          <w:p>
            <w:pPr>
              <w:spacing w:after="0"/>
              <w:rPr>
                <w:sz w:val="18"/>
                <w:szCs w:val="18"/>
                <w:color w:val="auto"/>
              </w:rPr>
            </w:pPr>
          </w:p>
        </w:tc>
        <w:tc>
          <w:tcPr>
            <w:tcW w:w="220" w:type="dxa"/>
            <w:vAlign w:val="bottom"/>
            <w:shd w:val="clear" w:color="auto" w:fill="F4F4F4"/>
          </w:tcPr>
          <w:p>
            <w:pPr>
              <w:spacing w:after="0"/>
              <w:rPr>
                <w:sz w:val="18"/>
                <w:szCs w:val="18"/>
                <w:color w:val="auto"/>
              </w:rPr>
            </w:pPr>
          </w:p>
        </w:tc>
        <w:tc>
          <w:tcPr>
            <w:tcW w:w="1100" w:type="dxa"/>
            <w:vAlign w:val="bottom"/>
            <w:shd w:val="clear" w:color="auto" w:fill="F4F4F4"/>
          </w:tcPr>
          <w:p>
            <w:pPr>
              <w:spacing w:after="0"/>
              <w:rPr>
                <w:sz w:val="18"/>
                <w:szCs w:val="18"/>
                <w:color w:val="auto"/>
              </w:rPr>
            </w:pPr>
          </w:p>
        </w:tc>
        <w:tc>
          <w:tcPr>
            <w:tcW w:w="220" w:type="dxa"/>
            <w:vAlign w:val="bottom"/>
            <w:shd w:val="clear" w:color="auto" w:fill="F4F4F4"/>
          </w:tcPr>
          <w:p>
            <w:pPr>
              <w:spacing w:after="0"/>
              <w:rPr>
                <w:sz w:val="18"/>
                <w:szCs w:val="18"/>
                <w:color w:val="auto"/>
              </w:rPr>
            </w:pPr>
          </w:p>
        </w:tc>
        <w:tc>
          <w:tcPr>
            <w:tcW w:w="1080" w:type="dxa"/>
            <w:vAlign w:val="bottom"/>
            <w:shd w:val="clear" w:color="auto" w:fill="F4F4F4"/>
          </w:tcPr>
          <w:p>
            <w:pPr>
              <w:spacing w:after="0"/>
              <w:rPr>
                <w:sz w:val="18"/>
                <w:szCs w:val="18"/>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Sales, marketing and customer success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209,762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224,152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192,848</w:t>
            </w:r>
          </w:p>
        </w:tc>
      </w:tr>
      <w:tr>
        <w:trPr>
          <w:trHeight w:val="230"/>
        </w:trPr>
        <w:tc>
          <w:tcPr>
            <w:tcW w:w="7320" w:type="dxa"/>
            <w:vAlign w:val="bottom"/>
            <w:shd w:val="clear" w:color="auto" w:fill="F4F4F4"/>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100,146</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106,164</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98,811</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134,852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113,414</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106,354</w:t>
            </w:r>
          </w:p>
        </w:tc>
      </w:tr>
      <w:tr>
        <w:trPr>
          <w:trHeight w:val="229"/>
        </w:trPr>
        <w:tc>
          <w:tcPr>
            <w:tcW w:w="7320" w:type="dxa"/>
            <w:vAlign w:val="bottom"/>
            <w:shd w:val="clear" w:color="auto" w:fill="F4F4F4"/>
          </w:tcPr>
          <w:p>
            <w:pPr>
              <w:ind w:left="36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5,316</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4,844</w:t>
            </w:r>
          </w:p>
        </w:tc>
      </w:tr>
      <w:tr>
        <w:trPr>
          <w:trHeight w:val="230"/>
        </w:trPr>
        <w:tc>
          <w:tcPr>
            <w:tcW w:w="7320" w:type="dxa"/>
            <w:vAlign w:val="bottom"/>
            <w:tcBorders>
              <w:bottom w:val="single" w:sz="8" w:color="F4F4F4"/>
            </w:tcBorders>
          </w:tcPr>
          <w:p>
            <w:pPr>
              <w:ind w:left="360"/>
              <w:spacing w:after="0"/>
              <w:rPr>
                <w:sz w:val="20"/>
                <w:szCs w:val="20"/>
                <w:color w:val="auto"/>
              </w:rPr>
            </w:pPr>
            <w:r>
              <w:rPr>
                <w:rFonts w:ascii="Arial" w:cs="Arial" w:eastAsia="Arial" w:hAnsi="Arial"/>
                <w:sz w:val="18"/>
                <w:szCs w:val="18"/>
                <w:color w:val="auto"/>
              </w:rPr>
              <w:t>Restructuring</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w:t>
            </w:r>
          </w:p>
        </w:tc>
      </w:tr>
      <w:tr>
        <w:trPr>
          <w:trHeight w:val="223"/>
        </w:trPr>
        <w:tc>
          <w:tcPr>
            <w:tcW w:w="7320" w:type="dxa"/>
            <w:vAlign w:val="bottom"/>
            <w:shd w:val="clear" w:color="auto" w:fill="F4F4F4"/>
          </w:tcPr>
          <w:p>
            <w:pPr>
              <w:ind w:left="56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447,911</w:t>
            </w:r>
          </w:p>
        </w:tc>
        <w:tc>
          <w:tcPr>
            <w:tcW w:w="22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454,854</w:t>
            </w:r>
          </w:p>
        </w:tc>
        <w:tc>
          <w:tcPr>
            <w:tcW w:w="22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407,447</w:t>
            </w:r>
          </w:p>
        </w:tc>
      </w:tr>
      <w:tr>
        <w:trPr>
          <w:trHeight w:val="223"/>
        </w:trPr>
        <w:tc>
          <w:tcPr>
            <w:tcW w:w="7320" w:type="dxa"/>
            <w:vAlign w:val="bottom"/>
            <w:tcBorders>
              <w:bottom w:val="single" w:sz="8" w:color="F4F4F4"/>
            </w:tcBorders>
          </w:tcPr>
          <w:p>
            <w:pPr>
              <w:ind w:left="1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37,243</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27,145</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59,417</w:t>
            </w:r>
          </w:p>
        </w:tc>
      </w:tr>
      <w:tr>
        <w:trPr>
          <w:trHeight w:val="223"/>
        </w:trPr>
        <w:tc>
          <w:tcPr>
            <w:tcW w:w="7320" w:type="dxa"/>
            <w:vAlign w:val="bottom"/>
            <w:shd w:val="clear" w:color="auto" w:fill="F4F4F4"/>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(17,287)</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(20,618)</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(15,898)</w:t>
            </w:r>
          </w:p>
        </w:tc>
      </w:tr>
      <w:tr>
        <w:trPr>
          <w:trHeight w:val="229"/>
        </w:trPr>
        <w:tc>
          <w:tcPr>
            <w:tcW w:w="7320" w:type="dxa"/>
            <w:vAlign w:val="bottom"/>
            <w:tcBorders>
              <w:bottom w:val="single" w:sz="8" w:color="F4F4F4"/>
            </w:tcBorders>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r>
      <w:tr>
        <w:trPr>
          <w:trHeight w:val="223"/>
        </w:trPr>
        <w:tc>
          <w:tcPr>
            <w:tcW w:w="732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Income before provision for income taxes</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21,614</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10,585</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44,622</w:t>
            </w:r>
          </w:p>
        </w:tc>
      </w:tr>
      <w:tr>
        <w:trPr>
          <w:trHeight w:val="229"/>
        </w:trPr>
        <w:tc>
          <w:tcPr>
            <w:tcW w:w="7320" w:type="dxa"/>
            <w:vAlign w:val="bottom"/>
            <w:tcBorders>
              <w:bottom w:val="single" w:sz="8" w:color="F4F4F4"/>
            </w:tcBorders>
          </w:tcPr>
          <w:p>
            <w:pPr>
              <w:ind w:left="36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13,897</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732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7,717</w:t>
            </w:r>
          </w:p>
        </w:tc>
        <w:tc>
          <w:tcPr>
            <w:tcW w:w="220" w:type="dxa"/>
            <w:vAlign w:val="bottom"/>
            <w:tcBorders>
              <w:bottom w:val="single" w:sz="8" w:color="auto"/>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11,908</w:t>
            </w:r>
          </w:p>
        </w:tc>
        <w:tc>
          <w:tcPr>
            <w:tcW w:w="220" w:type="dxa"/>
            <w:vAlign w:val="bottom"/>
            <w:tcBorders>
              <w:bottom w:val="single" w:sz="8" w:color="auto"/>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44,841</w:t>
            </w:r>
          </w:p>
        </w:tc>
      </w:tr>
      <w:tr>
        <w:trPr>
          <w:trHeight w:val="210"/>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7320" w:type="dxa"/>
            <w:vAlign w:val="bottom"/>
            <w:shd w:val="clear" w:color="auto" w:fill="F4F4F4"/>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0.95</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0.93</w:t>
            </w:r>
          </w:p>
        </w:tc>
      </w:tr>
      <w:tr>
        <w:trPr>
          <w:trHeight w:val="230"/>
        </w:trPr>
        <w:tc>
          <w:tcPr>
            <w:tcW w:w="732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Common shares and equivalents outstanding</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Basic weighted average shares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48,184,714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47,695,383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47,206,669</w:t>
            </w:r>
          </w:p>
        </w:tc>
      </w:tr>
      <w:tr>
        <w:trPr>
          <w:trHeight w:val="229"/>
        </w:trPr>
        <w:tc>
          <w:tcPr>
            <w:tcW w:w="7320" w:type="dxa"/>
            <w:vAlign w:val="bottom"/>
            <w:shd w:val="clear" w:color="auto" w:fill="F4F4F4"/>
          </w:tcPr>
          <w:p>
            <w:pPr>
              <w:ind w:left="360"/>
              <w:spacing w:after="0"/>
              <w:rPr>
                <w:sz w:val="20"/>
                <w:szCs w:val="20"/>
                <w:color w:val="auto"/>
              </w:rPr>
            </w:pPr>
            <w:r>
              <w:rPr>
                <w:rFonts w:ascii="Arial" w:cs="Arial" w:eastAsia="Arial" w:hAnsi="Arial"/>
                <w:sz w:val="18"/>
                <w:szCs w:val="18"/>
                <w:color w:val="auto"/>
              </w:rPr>
              <w:t>Diluted weighted average shares</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48,696,341</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48,312,271</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48,045,084</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320" w:type="dxa"/>
            <w:vAlign w:val="bottom"/>
            <w:shd w:val="clear" w:color="auto" w:fill="F4F4F4"/>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4,571</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2,641</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(5,218)</w:t>
            </w:r>
          </w:p>
        </w:tc>
      </w:tr>
      <w:tr>
        <w:trPr>
          <w:trHeight w:val="230"/>
        </w:trPr>
        <w:tc>
          <w:tcPr>
            <w:tcW w:w="7320" w:type="dxa"/>
            <w:vAlign w:val="bottom"/>
            <w:tcBorders>
              <w:bottom w:val="single" w:sz="8" w:color="F4F4F4"/>
            </w:tcBorders>
          </w:tcPr>
          <w:p>
            <w:pPr>
              <w:ind w:left="400"/>
              <w:spacing w:after="0"/>
              <w:rPr>
                <w:sz w:val="20"/>
                <w:szCs w:val="20"/>
                <w:color w:val="auto"/>
              </w:rPr>
            </w:pPr>
            <w:r>
              <w:rPr>
                <w:rFonts w:ascii="Arial" w:cs="Arial" w:eastAsia="Arial" w:hAnsi="Arial"/>
                <w:sz w:val="18"/>
                <w:szCs w:val="18"/>
                <w:color w:val="auto"/>
              </w:rPr>
              <w:t>Unrealized (loss) gain on derivative instruments, net of tax</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r>
      <w:tr>
        <w:trPr>
          <w:trHeight w:val="223"/>
        </w:trPr>
        <w:tc>
          <w:tcPr>
            <w:tcW w:w="7320" w:type="dxa"/>
            <w:vAlign w:val="bottom"/>
            <w:shd w:val="clear" w:color="auto" w:fill="F4F4F4"/>
          </w:tcPr>
          <w:p>
            <w:pPr>
              <w:ind w:left="560"/>
              <w:spacing w:after="0"/>
              <w:rPr>
                <w:sz w:val="20"/>
                <w:szCs w:val="20"/>
                <w:color w:val="auto"/>
              </w:rPr>
            </w:pPr>
            <w:r>
              <w:rPr>
                <w:rFonts w:ascii="Arial" w:cs="Arial" w:eastAsia="Arial" w:hAnsi="Arial"/>
                <w:sz w:val="18"/>
                <w:szCs w:val="18"/>
                <w:b w:val="1"/>
                <w:bCs w:val="1"/>
                <w:color w:val="auto"/>
              </w:rPr>
              <w:t>Total other comprehensive income (loss)</w:t>
            </w:r>
          </w:p>
        </w:tc>
        <w:tc>
          <w:tcPr>
            <w:tcW w:w="22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2,793</w:t>
            </w:r>
          </w:p>
        </w:tc>
        <w:tc>
          <w:tcPr>
            <w:tcW w:w="22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(4,635)</w:t>
            </w:r>
          </w:p>
        </w:tc>
      </w:tr>
      <w:tr>
        <w:trPr>
          <w:trHeight w:val="223"/>
        </w:trPr>
        <w:tc>
          <w:tcPr>
            <w:tcW w:w="7320" w:type="dxa"/>
            <w:vAlign w:val="bottom"/>
            <w:tcBorders>
              <w:bottom w:val="single" w:sz="8" w:color="71BF43"/>
            </w:tcBorders>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71BF43"/>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10,510</w:t>
            </w:r>
          </w:p>
        </w:tc>
        <w:tc>
          <w:tcPr>
            <w:tcW w:w="220" w:type="dxa"/>
            <w:vAlign w:val="bottom"/>
            <w:tcBorders>
              <w:bottom w:val="single" w:sz="8" w:color="71BF43"/>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11,728</w:t>
            </w:r>
          </w:p>
        </w:tc>
        <w:tc>
          <w:tcPr>
            <w:tcW w:w="220" w:type="dxa"/>
            <w:vAlign w:val="bottom"/>
            <w:tcBorders>
              <w:bottom w:val="single" w:sz="8" w:color="71BF43"/>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40,206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-5133975</wp:posOffset>
            </wp:positionV>
            <wp:extent cx="24942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66  </w:t>
      </w:r>
      <w:r>
        <w:rPr>
          <w:sz w:val="1"/>
          <w:szCs w:val="1"/>
          <w:color w:val="auto"/>
        </w:rPr>
        <w:drawing>
          <wp:inline distT="0" distB="0" distL="0" distR="0">
            <wp:extent cx="728345" cy="18859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9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78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60" w:type="dxa"/>
            <w:vAlign w:val="bottom"/>
            <w:shd w:val="clear" w:color="auto" w:fill="ACACAC"/>
          </w:tcPr>
          <w:p>
            <w:pPr>
              <w:spacing w:after="0"/>
              <w:rPr>
                <w:sz w:val="17"/>
                <w:szCs w:val="17"/>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60" w:type="dxa"/>
            <w:vAlign w:val="bottom"/>
            <w:shd w:val="clear" w:color="auto" w:fill="ACACAC"/>
          </w:tcPr>
          <w:p>
            <w:pPr>
              <w:spacing w:after="0"/>
              <w:rPr>
                <w:sz w:val="17"/>
                <w:szCs w:val="17"/>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60" w:type="dxa"/>
            <w:vAlign w:val="bottom"/>
            <w:shd w:val="clear" w:color="auto" w:fill="ACACAC"/>
          </w:tcPr>
          <w:p>
            <w:pPr>
              <w:spacing w:after="0"/>
              <w:rPr>
                <w:sz w:val="17"/>
                <w:szCs w:val="17"/>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16"/>
        </w:trPr>
        <w:tc>
          <w:tcPr>
            <w:tcW w:w="78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spacing w:after="0"/>
              <w:rPr>
                <w:sz w:val="18"/>
                <w:szCs w:val="18"/>
                <w:color w:val="auto"/>
              </w:rPr>
            </w:pP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spacing w:after="0"/>
              <w:rPr>
                <w:sz w:val="18"/>
                <w:szCs w:val="18"/>
                <w:color w:val="auto"/>
              </w:rPr>
            </w:pP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spacing w:after="0"/>
              <w:rPr>
                <w:sz w:val="18"/>
                <w:szCs w:val="18"/>
                <w:color w:val="auto"/>
              </w:rPr>
            </w:pPr>
          </w:p>
        </w:tc>
      </w:tr>
      <w:tr>
        <w:trPr>
          <w:trHeight w:val="213"/>
        </w:trPr>
        <w:tc>
          <w:tcPr>
            <w:tcW w:w="78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7,717</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11,908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44,841</w:t>
            </w:r>
          </w:p>
        </w:tc>
      </w:tr>
      <w:tr>
        <w:trPr>
          <w:trHeight w:val="219"/>
        </w:trPr>
        <w:tc>
          <w:tcPr>
            <w:tcW w:w="7880" w:type="dxa"/>
            <w:vAlign w:val="bottom"/>
            <w:shd w:val="clear" w:color="auto" w:fill="F4F4F4"/>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r>
      <w:tr>
        <w:trPr>
          <w:trHeight w:val="213"/>
        </w:trPr>
        <w:tc>
          <w:tcPr>
            <w:tcW w:w="78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92,735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85,693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79,566</w:t>
            </w:r>
          </w:p>
        </w:tc>
      </w:tr>
      <w:tr>
        <w:trPr>
          <w:trHeight w:val="219"/>
        </w:trPr>
        <w:tc>
          <w:tcPr>
            <w:tcW w:w="7880" w:type="dxa"/>
            <w:vAlign w:val="bottom"/>
            <w:shd w:val="clear" w:color="auto" w:fill="F4F4F4"/>
          </w:tcPr>
          <w:p>
            <w:pPr>
              <w:ind w:left="360"/>
              <w:spacing w:after="0"/>
              <w:rPr>
                <w:sz w:val="20"/>
                <w:szCs w:val="20"/>
                <w:color w:val="auto"/>
              </w:rPr>
            </w:pPr>
            <w:r>
              <w:rPr>
                <w:rFonts w:ascii="Arial" w:cs="Arial" w:eastAsia="Arial" w:hAnsi="Arial"/>
                <w:sz w:val="16"/>
                <w:szCs w:val="16"/>
                <w:color w:val="auto"/>
              </w:rPr>
              <w:t>Provision for credit losses and sales returns</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13,230</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8,725</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6,890</w:t>
            </w:r>
          </w:p>
        </w:tc>
      </w:tr>
      <w:tr>
        <w:trPr>
          <w:trHeight w:val="213"/>
        </w:trPr>
        <w:tc>
          <w:tcPr>
            <w:tcW w:w="788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87,257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58,633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48,274</w:t>
            </w:r>
          </w:p>
        </w:tc>
      </w:tr>
      <w:tr>
        <w:trPr>
          <w:trHeight w:val="219"/>
        </w:trPr>
        <w:tc>
          <w:tcPr>
            <w:tcW w:w="7880" w:type="dxa"/>
            <w:vAlign w:val="bottom"/>
            <w:shd w:val="clear" w:color="auto" w:fill="F4F4F4"/>
          </w:tcPr>
          <w:p>
            <w:pPr>
              <w:ind w:left="360"/>
              <w:spacing w:after="0"/>
              <w:rPr>
                <w:sz w:val="20"/>
                <w:szCs w:val="20"/>
                <w:color w:val="auto"/>
              </w:rPr>
            </w:pPr>
            <w:r>
              <w:rPr>
                <w:rFonts w:ascii="Arial" w:cs="Arial" w:eastAsia="Arial" w:hAnsi="Arial"/>
                <w:sz w:val="16"/>
                <w:szCs w:val="16"/>
                <w:color w:val="auto"/>
              </w:rPr>
              <w:t>Deferred taxes</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8,837</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(3,600)</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(619)</w:t>
            </w:r>
          </w:p>
        </w:tc>
      </w:tr>
      <w:tr>
        <w:trPr>
          <w:trHeight w:val="213"/>
        </w:trPr>
        <w:tc>
          <w:tcPr>
            <w:tcW w:w="7880" w:type="dxa"/>
            <w:vAlign w:val="bottom"/>
          </w:tcPr>
          <w:p>
            <w:pPr>
              <w:ind w:left="360"/>
              <w:spacing w:after="0"/>
              <w:rPr>
                <w:sz w:val="20"/>
                <w:szCs w:val="20"/>
                <w:color w:val="auto"/>
              </w:rPr>
            </w:pPr>
            <w:r>
              <w:rPr>
                <w:rFonts w:ascii="Arial" w:cs="Arial" w:eastAsia="Arial" w:hAnsi="Arial"/>
                <w:sz w:val="16"/>
                <w:szCs w:val="16"/>
                <w:color w:val="auto"/>
              </w:rPr>
              <w:t>Amortization of deferred financing costs and discount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19"/>
        </w:trPr>
        <w:tc>
          <w:tcPr>
            <w:tcW w:w="7880" w:type="dxa"/>
            <w:vAlign w:val="bottom"/>
            <w:shd w:val="clear" w:color="auto" w:fill="F4F4F4"/>
          </w:tcPr>
          <w:p>
            <w:pPr>
              <w:ind w:left="360"/>
              <w:spacing w:after="0"/>
              <w:rPr>
                <w:sz w:val="20"/>
                <w:szCs w:val="20"/>
                <w:color w:val="auto"/>
              </w:rPr>
            </w:pPr>
            <w:r>
              <w:rPr>
                <w:rFonts w:ascii="Arial" w:cs="Arial" w:eastAsia="Arial" w:hAnsi="Arial"/>
                <w:sz w:val="16"/>
                <w:szCs w:val="16"/>
                <w:color w:val="auto"/>
              </w:rPr>
              <w:t>Other non-cash adjustments</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2,958</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4,906</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(1,912)</w:t>
            </w:r>
          </w:p>
        </w:tc>
      </w:tr>
      <w:tr>
        <w:trPr>
          <w:trHeight w:val="213"/>
        </w:trPr>
        <w:tc>
          <w:tcPr>
            <w:tcW w:w="788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 net of acquisition and disposal of businesses: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7880" w:type="dxa"/>
            <w:vAlign w:val="bottom"/>
            <w:shd w:val="clear" w:color="auto" w:fill="F4F4F4"/>
          </w:tcPr>
          <w:p>
            <w:pPr>
              <w:ind w:left="48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(18,414)</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(6,569)</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2,166</w:t>
            </w:r>
          </w:p>
        </w:tc>
      </w:tr>
      <w:tr>
        <w:trPr>
          <w:trHeight w:val="213"/>
        </w:trPr>
        <w:tc>
          <w:tcPr>
            <w:tcW w:w="7880" w:type="dxa"/>
            <w:vAlign w:val="bottom"/>
          </w:tcPr>
          <w:p>
            <w:pPr>
              <w:ind w:left="4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22,568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6,383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(5,217)</w:t>
            </w:r>
          </w:p>
        </w:tc>
      </w:tr>
      <w:tr>
        <w:trPr>
          <w:trHeight w:val="219"/>
        </w:trPr>
        <w:tc>
          <w:tcPr>
            <w:tcW w:w="7880" w:type="dxa"/>
            <w:vAlign w:val="bottom"/>
            <w:shd w:val="clear" w:color="auto" w:fill="F4F4F4"/>
          </w:tcPr>
          <w:p>
            <w:pPr>
              <w:ind w:left="480"/>
              <w:spacing w:after="0"/>
              <w:rPr>
                <w:sz w:val="20"/>
                <w:szCs w:val="20"/>
                <w:color w:val="auto"/>
              </w:rPr>
            </w:pPr>
            <w:r>
              <w:rPr>
                <w:rFonts w:ascii="Arial" w:cs="Arial" w:eastAsia="Arial" w:hAnsi="Arial"/>
                <w:sz w:val="16"/>
                <w:szCs w:val="16"/>
                <w:color w:val="auto"/>
              </w:rPr>
              <w:t>Trade accounts payable</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(19,997)</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12,900</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9,487</w:t>
            </w:r>
          </w:p>
        </w:tc>
      </w:tr>
      <w:tr>
        <w:trPr>
          <w:trHeight w:val="213"/>
        </w:trPr>
        <w:tc>
          <w:tcPr>
            <w:tcW w:w="7880" w:type="dxa"/>
            <w:vAlign w:val="bottom"/>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(49,232)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(9,718)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(2,027)</w:t>
            </w:r>
          </w:p>
        </w:tc>
      </w:tr>
      <w:tr>
        <w:trPr>
          <w:trHeight w:val="219"/>
        </w:trPr>
        <w:tc>
          <w:tcPr>
            <w:tcW w:w="7880" w:type="dxa"/>
            <w:vAlign w:val="bottom"/>
            <w:shd w:val="clear" w:color="auto" w:fill="F4F4F4"/>
          </w:tcPr>
          <w:p>
            <w:pPr>
              <w:ind w:left="4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(485)</w:t>
            </w:r>
          </w:p>
        </w:tc>
        <w:tc>
          <w:tcPr>
            <w:tcW w:w="2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12,464</w:t>
            </w:r>
          </w:p>
        </w:tc>
        <w:tc>
          <w:tcPr>
            <w:tcW w:w="2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19,184</w:t>
            </w:r>
          </w:p>
        </w:tc>
      </w:tr>
      <w:tr>
        <w:trPr>
          <w:trHeight w:val="207"/>
        </w:trPr>
        <w:tc>
          <w:tcPr>
            <w:tcW w:w="7880" w:type="dxa"/>
            <w:vAlign w:val="bottom"/>
          </w:tcPr>
          <w:p>
            <w:pPr>
              <w:ind w:left="56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147,955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182,477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201,385</w:t>
            </w:r>
          </w:p>
        </w:tc>
      </w:tr>
      <w:tr>
        <w:trPr>
          <w:trHeight w:val="219"/>
        </w:trPr>
        <w:tc>
          <w:tcPr>
            <w:tcW w:w="78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r>
      <w:tr>
        <w:trPr>
          <w:trHeight w:val="213"/>
        </w:trPr>
        <w:tc>
          <w:tcPr>
            <w:tcW w:w="7880" w:type="dxa"/>
            <w:vAlign w:val="bottom"/>
          </w:tcPr>
          <w:p>
            <w:pPr>
              <w:ind w:left="140"/>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(29,690)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(11,492)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(14,719)</w:t>
            </w:r>
          </w:p>
        </w:tc>
      </w:tr>
      <w:tr>
        <w:trPr>
          <w:trHeight w:val="219"/>
        </w:trPr>
        <w:tc>
          <w:tcPr>
            <w:tcW w:w="78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Capitalized software development costs</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(42,157)</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(46,874)</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(37,629)</w:t>
            </w:r>
          </w:p>
        </w:tc>
      </w:tr>
      <w:tr>
        <w:trPr>
          <w:trHeight w:val="213"/>
        </w:trPr>
        <w:tc>
          <w:tcPr>
            <w:tcW w:w="7880" w:type="dxa"/>
            <w:vAlign w:val="bottom"/>
          </w:tcPr>
          <w:p>
            <w:pPr>
              <w:ind w:left="140"/>
              <w:spacing w:after="0"/>
              <w:rPr>
                <w:sz w:val="20"/>
                <w:szCs w:val="20"/>
                <w:color w:val="auto"/>
              </w:rPr>
            </w:pPr>
            <w:r>
              <w:rPr>
                <w:rFonts w:ascii="Arial" w:cs="Arial" w:eastAsia="Arial" w:hAnsi="Arial"/>
                <w:sz w:val="16"/>
                <w:szCs w:val="16"/>
                <w:color w:val="auto"/>
              </w:rPr>
              <w:t>Purchase of net assets of acquired companies, net of cash and restricted cash acquired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(109,353)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(44,943)</w:t>
            </w:r>
          </w:p>
        </w:tc>
      </w:tr>
      <w:tr>
        <w:trPr>
          <w:trHeight w:val="219"/>
        </w:trPr>
        <w:tc>
          <w:tcPr>
            <w:tcW w:w="78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500</w:t>
            </w:r>
          </w:p>
        </w:tc>
        <w:tc>
          <w:tcPr>
            <w:tcW w:w="2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(500)</w:t>
            </w:r>
          </w:p>
        </w:tc>
      </w:tr>
      <w:tr>
        <w:trPr>
          <w:trHeight w:val="207"/>
        </w:trPr>
        <w:tc>
          <w:tcPr>
            <w:tcW w:w="7880" w:type="dxa"/>
            <w:vAlign w:val="bottom"/>
          </w:tcPr>
          <w:p>
            <w:pPr>
              <w:ind w:left="56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(71,847)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(167,219)</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(97,791)</w:t>
            </w:r>
          </w:p>
        </w:tc>
      </w:tr>
      <w:tr>
        <w:trPr>
          <w:trHeight w:val="219"/>
        </w:trPr>
        <w:tc>
          <w:tcPr>
            <w:tcW w:w="78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r>
      <w:tr>
        <w:trPr>
          <w:trHeight w:val="213"/>
        </w:trPr>
        <w:tc>
          <w:tcPr>
            <w:tcW w:w="7880" w:type="dxa"/>
            <w:vAlign w:val="bottom"/>
          </w:tcPr>
          <w:p>
            <w:pPr>
              <w:ind w:left="140"/>
              <w:spacing w:after="0"/>
              <w:rPr>
                <w:sz w:val="20"/>
                <w:szCs w:val="20"/>
                <w:color w:val="auto"/>
              </w:rPr>
            </w:pPr>
            <w:r>
              <w:rPr>
                <w:rFonts w:ascii="Arial" w:cs="Arial" w:eastAsia="Arial" w:hAnsi="Arial"/>
                <w:sz w:val="16"/>
                <w:szCs w:val="16"/>
                <w:color w:val="auto"/>
              </w:rPr>
              <w:t>Proceeds from issuance of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748,500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424,000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270,900</w:t>
            </w:r>
          </w:p>
        </w:tc>
      </w:tr>
      <w:tr>
        <w:trPr>
          <w:trHeight w:val="219"/>
        </w:trPr>
        <w:tc>
          <w:tcPr>
            <w:tcW w:w="78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Payments on debt</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(747,563)</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(344,500)</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(322,476)</w:t>
            </w:r>
          </w:p>
        </w:tc>
      </w:tr>
      <w:tr>
        <w:trPr>
          <w:trHeight w:val="213"/>
        </w:trPr>
        <w:tc>
          <w:tcPr>
            <w:tcW w:w="788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(4,586)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Employee taxes paid for withheld shares upon equity award settlement</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(21,425)</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(23,781)</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(27,685)</w:t>
            </w:r>
          </w:p>
        </w:tc>
      </w:tr>
      <w:tr>
        <w:trPr>
          <w:trHeight w:val="213"/>
        </w:trPr>
        <w:tc>
          <w:tcPr>
            <w:tcW w:w="788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78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Change in due to customers</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61,214</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77,793</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(188,502)</w:t>
            </w:r>
          </w:p>
        </w:tc>
      </w:tr>
      <w:tr>
        <w:trPr>
          <w:trHeight w:val="213"/>
        </w:trPr>
        <w:tc>
          <w:tcPr>
            <w:tcW w:w="7880" w:type="dxa"/>
            <w:vAlign w:val="bottom"/>
          </w:tcPr>
          <w:p>
            <w:pPr>
              <w:ind w:left="140"/>
              <w:spacing w:after="0"/>
              <w:rPr>
                <w:sz w:val="20"/>
                <w:szCs w:val="20"/>
                <w:color w:val="auto"/>
              </w:rPr>
            </w:pPr>
            <w:r>
              <w:rPr>
                <w:rFonts w:ascii="Arial" w:cs="Arial" w:eastAsia="Arial" w:hAnsi="Arial"/>
                <w:sz w:val="16"/>
                <w:szCs w:val="16"/>
                <w:color w:val="auto"/>
              </w:rPr>
              <w:t>Change in customer funds receivable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(844)</w:t>
            </w:r>
          </w:p>
        </w:tc>
      </w:tr>
      <w:tr>
        <w:trPr>
          <w:trHeight w:val="219"/>
        </w:trPr>
        <w:tc>
          <w:tcPr>
            <w:tcW w:w="78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Purchase of treasury stock</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(41,001)</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Dividend payments to stockholders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(23,607)</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(23,312)</w:t>
            </w:r>
          </w:p>
        </w:tc>
      </w:tr>
      <w:tr>
        <w:trPr>
          <w:trHeight w:val="213"/>
        </w:trPr>
        <w:tc>
          <w:tcPr>
            <w:tcW w:w="7880" w:type="dxa"/>
            <w:vAlign w:val="bottom"/>
            <w:shd w:val="clear" w:color="auto" w:fill="F4F4F4"/>
          </w:tcPr>
          <w:p>
            <w:pPr>
              <w:ind w:left="56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(10,679)</w:t>
            </w: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111,213</w:t>
            </w: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(291,908)</w:t>
            </w:r>
          </w:p>
        </w:tc>
      </w:tr>
      <w:tr>
        <w:trPr>
          <w:trHeight w:val="213"/>
        </w:trPr>
        <w:tc>
          <w:tcPr>
            <w:tcW w:w="7880" w:type="dxa"/>
            <w:vAlign w:val="bottom"/>
            <w:tcBorders>
              <w:bottom w:val="single" w:sz="8" w:color="F4F4F4"/>
            </w:tcBorders>
          </w:tcPr>
          <w:p>
            <w:pPr>
              <w:ind w:left="20"/>
              <w:spacing w:after="0"/>
              <w:rPr>
                <w:sz w:val="20"/>
                <w:szCs w:val="20"/>
                <w:color w:val="auto"/>
              </w:rPr>
            </w:pPr>
            <w:r>
              <w:rPr>
                <w:rFonts w:ascii="Arial" w:cs="Arial" w:eastAsia="Arial" w:hAnsi="Arial"/>
                <w:sz w:val="16"/>
                <w:szCs w:val="16"/>
                <w:color w:val="auto"/>
              </w:rPr>
              <w:t>Effect of exchange rate on cash, cash equivalents and restricted cash</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w:t>
            </w:r>
          </w:p>
        </w:tc>
      </w:tr>
      <w:tr>
        <w:trPr>
          <w:trHeight w:val="212"/>
        </w:trPr>
        <w:tc>
          <w:tcPr>
            <w:tcW w:w="78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67,674</w:t>
            </w: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127,449</w:t>
            </w: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(190,328)</w:t>
            </w:r>
          </w:p>
        </w:tc>
      </w:tr>
      <w:tr>
        <w:trPr>
          <w:trHeight w:val="215"/>
        </w:trPr>
        <w:tc>
          <w:tcPr>
            <w:tcW w:w="7880" w:type="dxa"/>
            <w:vAlign w:val="bottom"/>
            <w:tcBorders>
              <w:bottom w:val="single" w:sz="8" w:color="F4F4F4"/>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beginning of year</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577,295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449,846</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640,174</w:t>
            </w:r>
          </w:p>
        </w:tc>
      </w:tr>
      <w:tr>
        <w:trPr>
          <w:trHeight w:val="207"/>
        </w:trPr>
        <w:tc>
          <w:tcPr>
            <w:tcW w:w="78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year</w:t>
            </w:r>
          </w:p>
        </w:tc>
        <w:tc>
          <w:tcPr>
            <w:tcW w:w="260" w:type="dxa"/>
            <w:vAlign w:val="bottom"/>
            <w:tcBorders>
              <w:bottom w:val="single" w:sz="8" w:color="auto"/>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644,969</w:t>
            </w:r>
          </w:p>
        </w:tc>
        <w:tc>
          <w:tcPr>
            <w:tcW w:w="260" w:type="dxa"/>
            <w:vAlign w:val="bottom"/>
            <w:tcBorders>
              <w:bottom w:val="single" w:sz="8" w:color="auto"/>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577,295</w:t>
            </w:r>
          </w:p>
        </w:tc>
        <w:tc>
          <w:tcPr>
            <w:tcW w:w="260" w:type="dxa"/>
            <w:vAlign w:val="bottom"/>
            <w:tcBorders>
              <w:bottom w:val="single" w:sz="8" w:color="auto"/>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449,846</w:t>
            </w:r>
          </w:p>
        </w:tc>
      </w:tr>
      <w:tr>
        <w:trPr>
          <w:trHeight w:val="131"/>
        </w:trPr>
        <w:tc>
          <w:tcPr>
            <w:tcW w:w="7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78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spacing w:after="0"/>
              <w:rPr>
                <w:sz w:val="18"/>
                <w:szCs w:val="18"/>
                <w:color w:val="auto"/>
              </w:rPr>
            </w:pP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spacing w:after="0"/>
              <w:rPr>
                <w:sz w:val="18"/>
                <w:szCs w:val="18"/>
                <w:color w:val="auto"/>
              </w:rPr>
            </w:pPr>
          </w:p>
        </w:tc>
        <w:tc>
          <w:tcPr>
            <w:tcW w:w="260" w:type="dxa"/>
            <w:vAlign w:val="bottom"/>
            <w:shd w:val="clear" w:color="auto" w:fill="F4F4F4"/>
          </w:tcPr>
          <w:p>
            <w:pPr>
              <w:spacing w:after="0"/>
              <w:rPr>
                <w:sz w:val="18"/>
                <w:szCs w:val="18"/>
                <w:color w:val="auto"/>
              </w:rPr>
            </w:pPr>
          </w:p>
        </w:tc>
        <w:tc>
          <w:tcPr>
            <w:tcW w:w="860" w:type="dxa"/>
            <w:vAlign w:val="bottom"/>
            <w:shd w:val="clear" w:color="auto" w:fill="F4F4F4"/>
          </w:tcPr>
          <w:p>
            <w:pPr>
              <w:spacing w:after="0"/>
              <w:rPr>
                <w:sz w:val="18"/>
                <w:szCs w:val="18"/>
                <w:color w:val="auto"/>
              </w:rPr>
            </w:pPr>
          </w:p>
        </w:tc>
      </w:tr>
      <w:tr>
        <w:trPr>
          <w:trHeight w:val="213"/>
        </w:trPr>
        <w:tc>
          <w:tcPr>
            <w:tcW w:w="7880" w:type="dxa"/>
            <w:vAlign w:val="bottom"/>
          </w:tcPr>
          <w:p>
            <w:pPr>
              <w:ind w:left="140"/>
              <w:spacing w:after="0"/>
              <w:rPr>
                <w:sz w:val="20"/>
                <w:szCs w:val="20"/>
                <w:color w:val="auto"/>
              </w:rPr>
            </w:pPr>
            <w:r>
              <w:rPr>
                <w:rFonts w:ascii="Arial" w:cs="Arial" w:eastAsia="Arial" w:hAnsi="Arial"/>
                <w:sz w:val="16"/>
                <w:szCs w:val="16"/>
                <w:color w:val="auto"/>
              </w:rPr>
              <w:t>Cash (paid) received during the year for:</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78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Interest</w:t>
            </w: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(15,716)</w:t>
            </w: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(19,926)</w:t>
            </w: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(15,261)</w:t>
            </w:r>
          </w:p>
        </w:tc>
      </w:tr>
      <w:tr>
        <w:trPr>
          <w:trHeight w:val="213"/>
        </w:trPr>
        <w:tc>
          <w:tcPr>
            <w:tcW w:w="7880" w:type="dxa"/>
            <w:vAlign w:val="bottom"/>
          </w:tcPr>
          <w:p>
            <w:pPr>
              <w:ind w:left="340"/>
              <w:spacing w:after="0"/>
              <w:rPr>
                <w:sz w:val="20"/>
                <w:szCs w:val="20"/>
                <w:color w:val="auto"/>
              </w:rPr>
            </w:pPr>
            <w:r>
              <w:rPr>
                <w:rFonts w:ascii="Arial" w:cs="Arial" w:eastAsia="Arial" w:hAnsi="Arial"/>
                <w:sz w:val="16"/>
                <w:szCs w:val="16"/>
                <w:color w:val="auto"/>
              </w:rPr>
              <w:t>Taxes, net of refunds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7,138</w:t>
            </w:r>
          </w:p>
        </w:tc>
      </w:tr>
      <w:tr>
        <w:trPr>
          <w:trHeight w:val="219"/>
        </w:trPr>
        <w:tc>
          <w:tcPr>
            <w:tcW w:w="78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r>
      <w:tr>
        <w:trPr>
          <w:trHeight w:val="213"/>
        </w:trPr>
        <w:tc>
          <w:tcPr>
            <w:tcW w:w="7880" w:type="dxa"/>
            <w:vAlign w:val="bottom"/>
          </w:tcPr>
          <w:p>
            <w:pPr>
              <w:ind w:left="340"/>
              <w:spacing w:after="0"/>
              <w:rPr>
                <w:sz w:val="20"/>
                <w:szCs w:val="20"/>
                <w:color w:val="auto"/>
              </w:rPr>
            </w:pPr>
            <w:r>
              <w:rPr>
                <w:rFonts w:ascii="Arial" w:cs="Arial" w:eastAsia="Arial" w:hAnsi="Arial"/>
                <w:sz w:val="16"/>
                <w:szCs w:val="16"/>
                <w:color w:val="auto"/>
              </w:rPr>
              <w:t>Purchase of property and equipment by assuming directly related liabilities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(61,064)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Purchase of equipment and other assets included in accounts payable</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(840)</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(794)</w:t>
            </w:r>
          </w:p>
        </w:tc>
        <w:tc>
          <w:tcPr>
            <w:tcW w:w="26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(882)</w:t>
            </w:r>
          </w:p>
        </w:tc>
      </w:tr>
      <w:tr>
        <w:trPr>
          <w:trHeight w:val="213"/>
        </w:trPr>
        <w:tc>
          <w:tcPr>
            <w:tcW w:w="7880" w:type="dxa"/>
            <w:vAlign w:val="bottom"/>
            <w:tcBorders>
              <w:bottom w:val="single" w:sz="8" w:color="71BF43"/>
            </w:tcBorders>
          </w:tcPr>
          <w:p>
            <w:pPr>
              <w:ind w:left="340"/>
              <w:spacing w:after="0"/>
              <w:rPr>
                <w:sz w:val="20"/>
                <w:szCs w:val="20"/>
                <w:color w:val="auto"/>
              </w:rPr>
            </w:pPr>
            <w:r>
              <w:rPr>
                <w:rFonts w:ascii="Arial" w:cs="Arial" w:eastAsia="Arial" w:hAnsi="Arial"/>
                <w:sz w:val="16"/>
                <w:szCs w:val="16"/>
                <w:color w:val="auto"/>
              </w:rPr>
              <w:t>Acquired restricted cash liabilities due to customers</w:t>
            </w:r>
          </w:p>
        </w:tc>
        <w:tc>
          <w:tcPr>
            <w:tcW w:w="260" w:type="dxa"/>
            <w:vAlign w:val="bottom"/>
            <w:tcBorders>
              <w:bottom w:val="single" w:sz="8" w:color="71BF43"/>
            </w:tcBorders>
          </w:tcPr>
          <w:p>
            <w:pPr>
              <w:spacing w:after="0"/>
              <w:rPr>
                <w:sz w:val="18"/>
                <w:szCs w:val="18"/>
                <w:color w:val="auto"/>
              </w:rPr>
            </w:pP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1BF43"/>
            </w:tcBorders>
          </w:tcPr>
          <w:p>
            <w:pPr>
              <w:spacing w:after="0"/>
              <w:rPr>
                <w:sz w:val="18"/>
                <w:szCs w:val="18"/>
                <w:color w:val="auto"/>
              </w:rPr>
            </w:pP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46,838</w:t>
            </w:r>
          </w:p>
        </w:tc>
        <w:tc>
          <w:tcPr>
            <w:tcW w:w="260" w:type="dxa"/>
            <w:vAlign w:val="bottom"/>
            <w:tcBorders>
              <w:bottom w:val="single" w:sz="8" w:color="71BF43"/>
            </w:tcBorders>
          </w:tcPr>
          <w:p>
            <w:pPr>
              <w:spacing w:after="0"/>
              <w:rPr>
                <w:sz w:val="18"/>
                <w:szCs w:val="18"/>
                <w:color w:val="auto"/>
              </w:rPr>
            </w:pP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-6445885</wp:posOffset>
            </wp:positionV>
            <wp:extent cx="21342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consolidated balance sheets that sum to the total of the same such amounts shown above in the consolidated statements of cash flows: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vMerge w:val="restart"/>
            <w:shd w:val="clear" w:color="auto" w:fill="ACACAC"/>
          </w:tcPr>
          <w:p>
            <w:pPr>
              <w:ind w:left="20"/>
              <w:spacing w:after="0"/>
              <w:rPr>
                <w:sz w:val="20"/>
                <w:szCs w:val="20"/>
                <w:color w:val="auto"/>
              </w:rPr>
            </w:pPr>
            <w:r>
              <w:rPr>
                <w:rFonts w:ascii="Arial" w:cs="Arial" w:eastAsia="Arial" w:hAnsi="Arial"/>
                <w:sz w:val="16"/>
                <w:szCs w:val="16"/>
                <w:b w:val="1"/>
                <w:bCs w:val="1"/>
                <w:color w:val="FFFFFF"/>
              </w:rPr>
              <w:t>(dollars in thousands)</w:t>
            </w:r>
          </w:p>
        </w:tc>
        <w:tc>
          <w:tcPr>
            <w:tcW w:w="34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6"/>
                <w:szCs w:val="16"/>
                <w:b w:val="1"/>
                <w:bCs w:val="1"/>
                <w:color w:val="FFFFFF"/>
              </w:rPr>
              <w:t>December 31,</w:t>
            </w:r>
          </w:p>
        </w:tc>
        <w:tc>
          <w:tcPr>
            <w:tcW w:w="34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6"/>
                <w:szCs w:val="16"/>
                <w:b w:val="1"/>
                <w:bCs w:val="1"/>
                <w:color w:val="FFFFFF"/>
              </w:rPr>
              <w:t>December 31,</w:t>
            </w:r>
          </w:p>
        </w:tc>
        <w:tc>
          <w:tcPr>
            <w:tcW w:w="0" w:type="dxa"/>
            <w:vAlign w:val="bottom"/>
          </w:tcPr>
          <w:p>
            <w:pPr>
              <w:spacing w:after="0"/>
              <w:rPr>
                <w:sz w:val="1"/>
                <w:szCs w:val="1"/>
                <w:color w:val="auto"/>
              </w:rPr>
            </w:pPr>
          </w:p>
        </w:tc>
      </w:tr>
      <w:tr>
        <w:trPr>
          <w:trHeight w:val="216"/>
        </w:trPr>
        <w:tc>
          <w:tcPr>
            <w:tcW w:w="7920" w:type="dxa"/>
            <w:vAlign w:val="bottom"/>
            <w:vMerge w:val="continue"/>
            <w:shd w:val="clear" w:color="auto" w:fill="ACACAC"/>
          </w:tcPr>
          <w:p>
            <w:pPr>
              <w:spacing w:after="0"/>
              <w:rPr>
                <w:sz w:val="18"/>
                <w:szCs w:val="18"/>
                <w:color w:val="auto"/>
              </w:rPr>
            </w:pPr>
          </w:p>
        </w:tc>
        <w:tc>
          <w:tcPr>
            <w:tcW w:w="340" w:type="dxa"/>
            <w:vAlign w:val="bottom"/>
            <w:shd w:val="clear" w:color="auto" w:fill="ACACAC"/>
          </w:tcPr>
          <w:p>
            <w:pPr>
              <w:spacing w:after="0"/>
              <w:rPr>
                <w:sz w:val="18"/>
                <w:szCs w:val="18"/>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6"/>
                <w:szCs w:val="16"/>
                <w:b w:val="1"/>
                <w:bCs w:val="1"/>
                <w:color w:val="FFFFFF"/>
              </w:rPr>
              <w:t>2020</w:t>
            </w:r>
          </w:p>
        </w:tc>
        <w:tc>
          <w:tcPr>
            <w:tcW w:w="340" w:type="dxa"/>
            <w:vAlign w:val="bottom"/>
            <w:shd w:val="clear" w:color="auto" w:fill="ACACAC"/>
          </w:tcPr>
          <w:p>
            <w:pPr>
              <w:spacing w:after="0"/>
              <w:rPr>
                <w:sz w:val="18"/>
                <w:szCs w:val="18"/>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216"/>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F4F4F4"/>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35,750</w:t>
            </w:r>
          </w:p>
        </w:tc>
        <w:tc>
          <w:tcPr>
            <w:tcW w:w="340" w:type="dxa"/>
            <w:vAlign w:val="bottom"/>
            <w:shd w:val="clear" w:color="auto" w:fill="F4F4F4"/>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31,810</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F4F4F4"/>
            </w:tcBorders>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609,219</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545,485</w:t>
            </w:r>
          </w:p>
        </w:tc>
        <w:tc>
          <w:tcPr>
            <w:tcW w:w="0" w:type="dxa"/>
            <w:vAlign w:val="bottom"/>
          </w:tcPr>
          <w:p>
            <w:pPr>
              <w:spacing w:after="0"/>
              <w:rPr>
                <w:sz w:val="1"/>
                <w:szCs w:val="1"/>
                <w:color w:val="auto"/>
              </w:rPr>
            </w:pPr>
          </w:p>
        </w:tc>
      </w:tr>
      <w:tr>
        <w:trPr>
          <w:trHeight w:val="210"/>
        </w:trPr>
        <w:tc>
          <w:tcPr>
            <w:tcW w:w="792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340" w:type="dxa"/>
            <w:vAlign w:val="bottom"/>
            <w:tcBorders>
              <w:bottom w:val="single" w:sz="8" w:color="71BF43"/>
            </w:tcBorders>
            <w:shd w:val="clear" w:color="auto" w:fill="F4F4F4"/>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644,969</w:t>
            </w:r>
          </w:p>
        </w:tc>
        <w:tc>
          <w:tcPr>
            <w:tcW w:w="340" w:type="dxa"/>
            <w:vAlign w:val="bottom"/>
            <w:tcBorders>
              <w:bottom w:val="single" w:sz="8" w:color="71BF43"/>
            </w:tcBorders>
            <w:shd w:val="clear" w:color="auto" w:fill="F4F4F4"/>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577,295</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24"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shd w:val="clear" w:color="auto" w:fill="ACACAC"/>
          </w:tcPr>
          <w:p>
            <w:pPr>
              <w:spacing w:after="0"/>
              <w:rPr>
                <w:sz w:val="16"/>
                <w:szCs w:val="16"/>
                <w:color w:val="auto"/>
              </w:rPr>
            </w:pPr>
          </w:p>
        </w:tc>
        <w:tc>
          <w:tcPr>
            <w:tcW w:w="162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20" w:type="dxa"/>
            <w:vAlign w:val="bottom"/>
            <w:shd w:val="clear" w:color="auto" w:fill="ACACAC"/>
          </w:tcPr>
          <w:p>
            <w:pPr>
              <w:spacing w:after="0"/>
              <w:rPr>
                <w:sz w:val="16"/>
                <w:szCs w:val="16"/>
                <w:color w:val="auto"/>
              </w:rPr>
            </w:pPr>
          </w:p>
        </w:tc>
        <w:tc>
          <w:tcPr>
            <w:tcW w:w="7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w w:val="99"/>
              </w:rPr>
              <w:t>Additional</w:t>
            </w:r>
          </w:p>
        </w:tc>
        <w:tc>
          <w:tcPr>
            <w:tcW w:w="86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8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8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35"/>
        </w:trPr>
        <w:tc>
          <w:tcPr>
            <w:tcW w:w="4900" w:type="dxa"/>
            <w:vAlign w:val="bottom"/>
            <w:shd w:val="clear" w:color="auto" w:fill="ACACAC"/>
          </w:tcPr>
          <w:p>
            <w:pPr>
              <w:spacing w:after="0"/>
              <w:rPr>
                <w:sz w:val="11"/>
                <w:szCs w:val="11"/>
                <w:color w:val="auto"/>
              </w:rPr>
            </w:pPr>
          </w:p>
        </w:tc>
        <w:tc>
          <w:tcPr>
            <w:tcW w:w="1620" w:type="dxa"/>
            <w:vAlign w:val="bottom"/>
            <w:gridSpan w:val="3"/>
            <w:vMerge w:val="continue"/>
            <w:shd w:val="clear" w:color="auto" w:fill="ACACAC"/>
          </w:tcPr>
          <w:p>
            <w:pPr>
              <w:spacing w:after="0"/>
              <w:rPr>
                <w:sz w:val="11"/>
                <w:szCs w:val="11"/>
                <w:color w:val="auto"/>
              </w:rPr>
            </w:pPr>
          </w:p>
        </w:tc>
        <w:tc>
          <w:tcPr>
            <w:tcW w:w="120" w:type="dxa"/>
            <w:vAlign w:val="bottom"/>
            <w:shd w:val="clear" w:color="auto" w:fill="ACACAC"/>
          </w:tcPr>
          <w:p>
            <w:pPr>
              <w:spacing w:after="0"/>
              <w:rPr>
                <w:sz w:val="11"/>
                <w:szCs w:val="11"/>
                <w:color w:val="auto"/>
              </w:rPr>
            </w:pPr>
          </w:p>
        </w:tc>
        <w:tc>
          <w:tcPr>
            <w:tcW w:w="720" w:type="dxa"/>
            <w:vAlign w:val="bottom"/>
            <w:vMerge w:val="continue"/>
            <w:shd w:val="clear" w:color="auto" w:fill="ACACAC"/>
          </w:tcPr>
          <w:p>
            <w:pPr>
              <w:spacing w:after="0"/>
              <w:rPr>
                <w:sz w:val="11"/>
                <w:szCs w:val="11"/>
                <w:color w:val="auto"/>
              </w:rPr>
            </w:pPr>
          </w:p>
        </w:tc>
        <w:tc>
          <w:tcPr>
            <w:tcW w:w="8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ACACAC"/>
          </w:tcPr>
          <w:p>
            <w:pPr>
              <w:spacing w:after="0"/>
              <w:rPr>
                <w:sz w:val="11"/>
                <w:szCs w:val="11"/>
                <w:color w:val="auto"/>
              </w:rPr>
            </w:pPr>
          </w:p>
        </w:tc>
        <w:tc>
          <w:tcPr>
            <w:tcW w:w="98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other</w:t>
            </w:r>
          </w:p>
        </w:tc>
        <w:tc>
          <w:tcPr>
            <w:tcW w:w="8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240" w:type="dxa"/>
            <w:vAlign w:val="bottom"/>
            <w:shd w:val="clear" w:color="auto" w:fill="ACACAC"/>
          </w:tcPr>
          <w:p>
            <w:pPr>
              <w:spacing w:after="0"/>
              <w:rPr>
                <w:sz w:val="11"/>
                <w:szCs w:val="11"/>
                <w:color w:val="auto"/>
              </w:rPr>
            </w:pPr>
          </w:p>
        </w:tc>
        <w:tc>
          <w:tcPr>
            <w:tcW w:w="800" w:type="dxa"/>
            <w:vAlign w:val="bottom"/>
            <w:vMerge w:val="continue"/>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9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shd w:val="clear" w:color="auto" w:fill="ACACAC"/>
          </w:tcPr>
          <w:p>
            <w:pPr>
              <w:spacing w:after="0"/>
              <w:rPr>
                <w:sz w:val="11"/>
                <w:szCs w:val="11"/>
                <w:color w:val="auto"/>
              </w:rPr>
            </w:pPr>
          </w:p>
        </w:tc>
        <w:tc>
          <w:tcPr>
            <w:tcW w:w="5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20" w:type="dxa"/>
            <w:vAlign w:val="bottom"/>
            <w:shd w:val="clear" w:color="auto" w:fill="ACACAC"/>
          </w:tcPr>
          <w:p>
            <w:pPr>
              <w:spacing w:after="0"/>
              <w:rPr>
                <w:sz w:val="11"/>
                <w:szCs w:val="11"/>
                <w:color w:val="auto"/>
              </w:rPr>
            </w:pPr>
          </w:p>
        </w:tc>
        <w:tc>
          <w:tcPr>
            <w:tcW w:w="7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paid-in</w:t>
            </w:r>
          </w:p>
        </w:tc>
        <w:tc>
          <w:tcPr>
            <w:tcW w:w="860" w:type="dxa"/>
            <w:vAlign w:val="bottom"/>
            <w:vMerge w:val="continue"/>
            <w:shd w:val="clear" w:color="auto" w:fill="ACACAC"/>
          </w:tcPr>
          <w:p>
            <w:pPr>
              <w:spacing w:after="0"/>
              <w:rPr>
                <w:sz w:val="11"/>
                <w:szCs w:val="11"/>
                <w:color w:val="auto"/>
              </w:rPr>
            </w:pPr>
          </w:p>
        </w:tc>
        <w:tc>
          <w:tcPr>
            <w:tcW w:w="1140" w:type="dxa"/>
            <w:vAlign w:val="bottom"/>
            <w:gridSpan w:val="2"/>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comprehensive</w:t>
            </w:r>
          </w:p>
        </w:tc>
        <w:tc>
          <w:tcPr>
            <w:tcW w:w="840" w:type="dxa"/>
            <w:vAlign w:val="bottom"/>
            <w:vMerge w:val="continue"/>
            <w:shd w:val="clear" w:color="auto" w:fill="ACACAC"/>
          </w:tcPr>
          <w:p>
            <w:pPr>
              <w:spacing w:after="0"/>
              <w:rPr>
                <w:sz w:val="11"/>
                <w:szCs w:val="11"/>
                <w:color w:val="auto"/>
              </w:rPr>
            </w:pPr>
          </w:p>
        </w:tc>
        <w:tc>
          <w:tcPr>
            <w:tcW w:w="1040" w:type="dxa"/>
            <w:vAlign w:val="bottom"/>
            <w:gridSpan w:val="2"/>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stockholders'</w:t>
            </w:r>
          </w:p>
        </w:tc>
        <w:tc>
          <w:tcPr>
            <w:tcW w:w="0" w:type="dxa"/>
            <w:vAlign w:val="bottom"/>
          </w:tcPr>
          <w:p>
            <w:pPr>
              <w:spacing w:after="0"/>
              <w:rPr>
                <w:sz w:val="1"/>
                <w:szCs w:val="1"/>
                <w:color w:val="auto"/>
              </w:rPr>
            </w:pPr>
          </w:p>
        </w:tc>
      </w:tr>
      <w:tr>
        <w:trPr>
          <w:trHeight w:val="176"/>
        </w:trPr>
        <w:tc>
          <w:tcPr>
            <w:tcW w:w="4900" w:type="dxa"/>
            <w:vAlign w:val="bottom"/>
            <w:vMerge w:val="continue"/>
            <w:shd w:val="clear" w:color="auto" w:fill="ACACAC"/>
          </w:tcPr>
          <w:p>
            <w:pPr>
              <w:spacing w:after="0"/>
              <w:rPr>
                <w:sz w:val="15"/>
                <w:szCs w:val="15"/>
                <w:color w:val="auto"/>
              </w:rPr>
            </w:pPr>
          </w:p>
        </w:tc>
        <w:tc>
          <w:tcPr>
            <w:tcW w:w="920" w:type="dxa"/>
            <w:vAlign w:val="bottom"/>
            <w:vMerge w:val="continue"/>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580" w:type="dxa"/>
            <w:vAlign w:val="bottom"/>
            <w:vMerge w:val="continue"/>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7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shd w:val="clear" w:color="auto" w:fill="ACACAC"/>
          </w:tcPr>
          <w:p>
            <w:pPr>
              <w:spacing w:after="0"/>
              <w:rPr>
                <w:sz w:val="15"/>
                <w:szCs w:val="15"/>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loss</w:t>
            </w:r>
          </w:p>
        </w:tc>
        <w:tc>
          <w:tcPr>
            <w:tcW w:w="8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240" w:type="dxa"/>
            <w:vAlign w:val="bottom"/>
            <w:shd w:val="clear" w:color="auto" w:fill="ACACAC"/>
          </w:tcPr>
          <w:p>
            <w:pPr>
              <w:spacing w:after="0"/>
              <w:rPr>
                <w:sz w:val="15"/>
                <w:szCs w:val="15"/>
                <w:color w:val="auto"/>
              </w:rPr>
            </w:pPr>
          </w:p>
        </w:tc>
        <w:tc>
          <w:tcPr>
            <w:tcW w:w="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920" w:type="dxa"/>
            <w:vAlign w:val="bottom"/>
          </w:tcPr>
          <w:p>
            <w:pPr>
              <w:jc w:val="right"/>
              <w:spacing w:after="0"/>
              <w:rPr>
                <w:sz w:val="20"/>
                <w:szCs w:val="20"/>
                <w:color w:val="auto"/>
              </w:rPr>
            </w:pPr>
            <w:r>
              <w:rPr>
                <w:rFonts w:ascii="Arial" w:cs="Arial" w:eastAsia="Arial" w:hAnsi="Arial"/>
                <w:sz w:val="16"/>
                <w:szCs w:val="16"/>
                <w:color w:val="auto"/>
              </w:rPr>
              <w:t>58,551,761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351,042</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 (239,199)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(642)</w:t>
            </w:r>
          </w:p>
        </w:tc>
        <w:tc>
          <w:tcPr>
            <w:tcW w:w="840" w:type="dxa"/>
            <w:vAlign w:val="bottom"/>
          </w:tcPr>
          <w:p>
            <w:pPr>
              <w:jc w:val="right"/>
              <w:spacing w:after="0"/>
              <w:rPr>
                <w:sz w:val="20"/>
                <w:szCs w:val="20"/>
                <w:color w:val="auto"/>
              </w:rPr>
            </w:pPr>
            <w:r>
              <w:rPr>
                <w:rFonts w:ascii="Arial" w:cs="Arial" w:eastAsia="Arial" w:hAnsi="Arial"/>
                <w:sz w:val="16"/>
                <w:szCs w:val="16"/>
                <w:color w:val="auto"/>
              </w:rPr>
              <w:t>$ 225,029</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336,289</w:t>
            </w:r>
          </w:p>
        </w:tc>
        <w:tc>
          <w:tcPr>
            <w:tcW w:w="0" w:type="dxa"/>
            <w:vAlign w:val="bottom"/>
          </w:tcPr>
          <w:p>
            <w:pPr>
              <w:spacing w:after="0"/>
              <w:rPr>
                <w:sz w:val="1"/>
                <w:szCs w:val="1"/>
                <w:color w:val="auto"/>
              </w:rPr>
            </w:pPr>
          </w:p>
        </w:tc>
      </w:tr>
      <w:tr>
        <w:trPr>
          <w:trHeight w:val="217"/>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8"/>
                <w:szCs w:val="18"/>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8"/>
                <w:szCs w:val="18"/>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44,841</w:t>
            </w:r>
          </w:p>
        </w:tc>
        <w:tc>
          <w:tcPr>
            <w:tcW w:w="240" w:type="dxa"/>
            <w:vAlign w:val="bottom"/>
            <w:shd w:val="clear" w:color="auto" w:fill="F4F4F4"/>
          </w:tcPr>
          <w:p>
            <w:pPr>
              <w:spacing w:after="0"/>
              <w:rPr>
                <w:sz w:val="18"/>
                <w:szCs w:val="18"/>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44,841</w:t>
            </w: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Payment of dividends ($0.48 per share)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(23,312)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(23,312)</w:t>
            </w:r>
          </w:p>
        </w:tc>
        <w:tc>
          <w:tcPr>
            <w:tcW w:w="0" w:type="dxa"/>
            <w:vAlign w:val="bottom"/>
          </w:tcPr>
          <w:p>
            <w:pPr>
              <w:spacing w:after="0"/>
              <w:rPr>
                <w:sz w:val="1"/>
                <w:szCs w:val="1"/>
                <w:color w:val="auto"/>
              </w:rPr>
            </w:pPr>
          </w:p>
        </w:tc>
      </w:tr>
      <w:tr>
        <w:trPr>
          <w:trHeight w:val="180"/>
        </w:trPr>
        <w:tc>
          <w:tcPr>
            <w:tcW w:w="4900" w:type="dxa"/>
            <w:vAlign w:val="bottom"/>
            <w:shd w:val="clear" w:color="auto" w:fill="F4F4F4"/>
          </w:tcPr>
          <w:p>
            <w:pPr>
              <w:ind w:left="140"/>
              <w:spacing w:after="0" w:line="181" w:lineRule="exact"/>
              <w:rPr>
                <w:sz w:val="20"/>
                <w:szCs w:val="20"/>
                <w:color w:val="auto"/>
              </w:rPr>
            </w:pPr>
            <w:r>
              <w:rPr>
                <w:rFonts w:ascii="Arial" w:cs="Arial" w:eastAsia="Arial" w:hAnsi="Arial"/>
                <w:sz w:val="16"/>
                <w:szCs w:val="16"/>
                <w:color w:val="auto"/>
              </w:rPr>
              <w:t>Exercise of stock options and stock appreciation rights and</w:t>
            </w:r>
          </w:p>
        </w:tc>
        <w:tc>
          <w:tcPr>
            <w:tcW w:w="920" w:type="dxa"/>
            <w:vAlign w:val="bottom"/>
            <w:shd w:val="clear" w:color="auto" w:fill="F4F4F4"/>
          </w:tcPr>
          <w:p>
            <w:pPr>
              <w:spacing w:after="0"/>
              <w:rPr>
                <w:sz w:val="15"/>
                <w:szCs w:val="15"/>
                <w:color w:val="auto"/>
              </w:rPr>
            </w:pPr>
          </w:p>
        </w:tc>
        <w:tc>
          <w:tcPr>
            <w:tcW w:w="120" w:type="dxa"/>
            <w:vAlign w:val="bottom"/>
            <w:shd w:val="clear" w:color="auto" w:fill="F4F4F4"/>
          </w:tcPr>
          <w:p>
            <w:pPr>
              <w:spacing w:after="0"/>
              <w:rPr>
                <w:sz w:val="15"/>
                <w:szCs w:val="15"/>
                <w:color w:val="auto"/>
              </w:rPr>
            </w:pPr>
          </w:p>
        </w:tc>
        <w:tc>
          <w:tcPr>
            <w:tcW w:w="580" w:type="dxa"/>
            <w:vAlign w:val="bottom"/>
            <w:shd w:val="clear" w:color="auto" w:fill="F4F4F4"/>
          </w:tcPr>
          <w:p>
            <w:pPr>
              <w:spacing w:after="0"/>
              <w:rPr>
                <w:sz w:val="15"/>
                <w:szCs w:val="15"/>
                <w:color w:val="auto"/>
              </w:rPr>
            </w:pPr>
          </w:p>
        </w:tc>
        <w:tc>
          <w:tcPr>
            <w:tcW w:w="120" w:type="dxa"/>
            <w:vAlign w:val="bottom"/>
            <w:shd w:val="clear" w:color="auto" w:fill="F4F4F4"/>
          </w:tcPr>
          <w:p>
            <w:pPr>
              <w:spacing w:after="0"/>
              <w:rPr>
                <w:sz w:val="15"/>
                <w:szCs w:val="15"/>
                <w:color w:val="auto"/>
              </w:rPr>
            </w:pPr>
          </w:p>
        </w:tc>
        <w:tc>
          <w:tcPr>
            <w:tcW w:w="720" w:type="dxa"/>
            <w:vAlign w:val="bottom"/>
            <w:shd w:val="clear" w:color="auto" w:fill="F4F4F4"/>
          </w:tcPr>
          <w:p>
            <w:pPr>
              <w:spacing w:after="0"/>
              <w:rPr>
                <w:sz w:val="15"/>
                <w:szCs w:val="15"/>
                <w:color w:val="auto"/>
              </w:rPr>
            </w:pPr>
          </w:p>
        </w:tc>
        <w:tc>
          <w:tcPr>
            <w:tcW w:w="860" w:type="dxa"/>
            <w:vAlign w:val="bottom"/>
            <w:shd w:val="clear" w:color="auto" w:fill="F4F4F4"/>
          </w:tcPr>
          <w:p>
            <w:pPr>
              <w:spacing w:after="0"/>
              <w:rPr>
                <w:sz w:val="15"/>
                <w:szCs w:val="15"/>
                <w:color w:val="auto"/>
              </w:rPr>
            </w:pPr>
          </w:p>
        </w:tc>
        <w:tc>
          <w:tcPr>
            <w:tcW w:w="160" w:type="dxa"/>
            <w:vAlign w:val="bottom"/>
            <w:shd w:val="clear" w:color="auto" w:fill="F4F4F4"/>
          </w:tcPr>
          <w:p>
            <w:pPr>
              <w:spacing w:after="0"/>
              <w:rPr>
                <w:sz w:val="15"/>
                <w:szCs w:val="15"/>
                <w:color w:val="auto"/>
              </w:rPr>
            </w:pPr>
          </w:p>
        </w:tc>
        <w:tc>
          <w:tcPr>
            <w:tcW w:w="980" w:type="dxa"/>
            <w:vAlign w:val="bottom"/>
            <w:shd w:val="clear" w:color="auto" w:fill="F4F4F4"/>
          </w:tcPr>
          <w:p>
            <w:pPr>
              <w:spacing w:after="0"/>
              <w:rPr>
                <w:sz w:val="15"/>
                <w:szCs w:val="15"/>
                <w:color w:val="auto"/>
              </w:rPr>
            </w:pPr>
          </w:p>
        </w:tc>
        <w:tc>
          <w:tcPr>
            <w:tcW w:w="840" w:type="dxa"/>
            <w:vAlign w:val="bottom"/>
            <w:shd w:val="clear" w:color="auto" w:fill="F4F4F4"/>
          </w:tcPr>
          <w:p>
            <w:pPr>
              <w:spacing w:after="0"/>
              <w:rPr>
                <w:sz w:val="15"/>
                <w:szCs w:val="15"/>
                <w:color w:val="auto"/>
              </w:rPr>
            </w:pPr>
          </w:p>
        </w:tc>
        <w:tc>
          <w:tcPr>
            <w:tcW w:w="240" w:type="dxa"/>
            <w:vAlign w:val="bottom"/>
            <w:shd w:val="clear" w:color="auto" w:fill="F4F4F4"/>
          </w:tcPr>
          <w:p>
            <w:pPr>
              <w:spacing w:after="0"/>
              <w:rPr>
                <w:sz w:val="15"/>
                <w:szCs w:val="15"/>
                <w:color w:val="auto"/>
              </w:rPr>
            </w:pPr>
          </w:p>
        </w:tc>
        <w:tc>
          <w:tcPr>
            <w:tcW w:w="800" w:type="dxa"/>
            <w:vAlign w:val="bottom"/>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vesting of restricted stock units</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349,248</w:t>
            </w:r>
          </w:p>
        </w:tc>
        <w:tc>
          <w:tcPr>
            <w:tcW w:w="120" w:type="dxa"/>
            <w:vAlign w:val="bottom"/>
            <w:shd w:val="clear" w:color="auto" w:fill="F4F4F4"/>
          </w:tcPr>
          <w:p>
            <w:pPr>
              <w:spacing w:after="0"/>
              <w:rPr>
                <w:sz w:val="17"/>
                <w:szCs w:val="17"/>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7"/>
                <w:szCs w:val="17"/>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7"/>
                <w:szCs w:val="17"/>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7"/>
                <w:szCs w:val="17"/>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7"/>
        </w:trPr>
        <w:tc>
          <w:tcPr>
            <w:tcW w:w="490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284,780 withheld shares upon equity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(27,685)</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(27,685)</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48,188</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86</w:t>
            </w: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48,274</w:t>
            </w: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20" w:type="dxa"/>
            <w:vAlign w:val="bottom"/>
          </w:tcPr>
          <w:p>
            <w:pPr>
              <w:jc w:val="right"/>
              <w:spacing w:after="0"/>
              <w:rPr>
                <w:sz w:val="20"/>
                <w:szCs w:val="20"/>
                <w:color w:val="auto"/>
              </w:rPr>
            </w:pPr>
            <w:r>
              <w:rPr>
                <w:rFonts w:ascii="Arial" w:cs="Arial" w:eastAsia="Arial" w:hAnsi="Arial"/>
                <w:sz w:val="16"/>
                <w:szCs w:val="16"/>
                <w:color w:val="auto"/>
              </w:rPr>
              <w:t>541,786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(115,162)</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(4,635)</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(4,635)</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line="219" w:lineRule="exact"/>
              <w:rPr>
                <w:sz w:val="20"/>
                <w:szCs w:val="20"/>
                <w:color w:val="auto"/>
              </w:rPr>
            </w:pPr>
            <w:r>
              <w:rPr>
                <w:rFonts w:ascii="Arial" w:cs="Arial" w:eastAsia="Arial" w:hAnsi="Arial"/>
                <w:sz w:val="16"/>
                <w:szCs w:val="16"/>
                <w:color w:val="auto"/>
              </w:rPr>
              <w:t>Reclassification upon adoption of ASU 2018-02</w:t>
            </w:r>
            <w:r>
              <w:rPr>
                <w:rFonts w:ascii="Arial" w:cs="Arial" w:eastAsia="Arial" w:hAnsi="Arial"/>
                <w:sz w:val="21"/>
                <w:szCs w:val="21"/>
                <w:color w:val="auto"/>
                <w:vertAlign w:val="superscript"/>
              </w:rPr>
              <w:t>(1)</w:t>
            </w: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F4F4F4"/>
          </w:tcPr>
          <w:p>
            <w:pPr>
              <w:spacing w:after="0"/>
              <w:rPr>
                <w:sz w:val="19"/>
                <w:szCs w:val="19"/>
                <w:color w:val="auto"/>
              </w:rPr>
            </w:pPr>
          </w:p>
        </w:tc>
        <w:tc>
          <w:tcPr>
            <w:tcW w:w="5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F4F4F4"/>
          </w:tcPr>
          <w:p>
            <w:pPr>
              <w:spacing w:after="0"/>
              <w:rPr>
                <w:sz w:val="19"/>
                <w:szCs w:val="19"/>
                <w:color w:val="auto"/>
              </w:rPr>
            </w:pPr>
          </w:p>
        </w:tc>
        <w:tc>
          <w:tcPr>
            <w:tcW w:w="7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167</w:t>
            </w:r>
          </w:p>
        </w:tc>
        <w:tc>
          <w:tcPr>
            <w:tcW w:w="8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(167)</w:t>
            </w:r>
          </w:p>
        </w:tc>
        <w:tc>
          <w:tcPr>
            <w:tcW w:w="240" w:type="dxa"/>
            <w:vAlign w:val="bottom"/>
            <w:tcBorders>
              <w:bottom w:val="single" w:sz="8" w:color="auto"/>
            </w:tcBorders>
            <w:shd w:val="clear" w:color="auto" w:fill="F4F4F4"/>
          </w:tcPr>
          <w:p>
            <w:pPr>
              <w:spacing w:after="0"/>
              <w:rPr>
                <w:sz w:val="19"/>
                <w:szCs w:val="19"/>
                <w:color w:val="auto"/>
              </w:rPr>
            </w:pPr>
          </w:p>
        </w:tc>
        <w:tc>
          <w:tcPr>
            <w:tcW w:w="8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920" w:type="dxa"/>
            <w:vAlign w:val="bottom"/>
          </w:tcPr>
          <w:p>
            <w:pPr>
              <w:jc w:val="right"/>
              <w:spacing w:after="0"/>
              <w:rPr>
                <w:sz w:val="20"/>
                <w:szCs w:val="20"/>
                <w:color w:val="auto"/>
              </w:rPr>
            </w:pPr>
            <w:r>
              <w:rPr>
                <w:rFonts w:ascii="Arial" w:cs="Arial" w:eastAsia="Arial" w:hAnsi="Arial"/>
                <w:sz w:val="16"/>
                <w:szCs w:val="16"/>
                <w:color w:val="auto"/>
              </w:rPr>
              <w:t>59,327,633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399,241</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 (266,884)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(5,110)</w:t>
            </w:r>
          </w:p>
        </w:tc>
        <w:tc>
          <w:tcPr>
            <w:tcW w:w="840" w:type="dxa"/>
            <w:vAlign w:val="bottom"/>
          </w:tcPr>
          <w:p>
            <w:pPr>
              <w:jc w:val="right"/>
              <w:spacing w:after="0"/>
              <w:rPr>
                <w:sz w:val="20"/>
                <w:szCs w:val="20"/>
                <w:color w:val="auto"/>
              </w:rPr>
            </w:pPr>
            <w:r>
              <w:rPr>
                <w:rFonts w:ascii="Arial" w:cs="Arial" w:eastAsia="Arial" w:hAnsi="Arial"/>
                <w:sz w:val="16"/>
                <w:szCs w:val="16"/>
                <w:color w:val="auto"/>
              </w:rPr>
              <w:t>$ 246,477</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373,783</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11,908</w:t>
            </w: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11,908</w:t>
            </w: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Payment of dividends ($0.48 per share)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(23,607)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(23,607)</w:t>
            </w:r>
          </w:p>
        </w:tc>
        <w:tc>
          <w:tcPr>
            <w:tcW w:w="0" w:type="dxa"/>
            <w:vAlign w:val="bottom"/>
          </w:tcPr>
          <w:p>
            <w:pPr>
              <w:spacing w:after="0"/>
              <w:rPr>
                <w:sz w:val="1"/>
                <w:szCs w:val="1"/>
                <w:color w:val="auto"/>
              </w:rPr>
            </w:pPr>
          </w:p>
        </w:tc>
      </w:tr>
      <w:tr>
        <w:trPr>
          <w:trHeight w:val="180"/>
        </w:trPr>
        <w:tc>
          <w:tcPr>
            <w:tcW w:w="4900" w:type="dxa"/>
            <w:vAlign w:val="bottom"/>
            <w:shd w:val="clear" w:color="auto" w:fill="F4F4F4"/>
          </w:tcPr>
          <w:p>
            <w:pPr>
              <w:ind w:left="140"/>
              <w:spacing w:after="0" w:line="181" w:lineRule="exact"/>
              <w:rPr>
                <w:sz w:val="20"/>
                <w:szCs w:val="20"/>
                <w:color w:val="auto"/>
              </w:rPr>
            </w:pPr>
            <w:r>
              <w:rPr>
                <w:rFonts w:ascii="Arial" w:cs="Arial" w:eastAsia="Arial" w:hAnsi="Arial"/>
                <w:sz w:val="16"/>
                <w:szCs w:val="16"/>
                <w:color w:val="auto"/>
              </w:rPr>
              <w:t>Exercise of stock options and stock appreciation rights and</w:t>
            </w:r>
          </w:p>
        </w:tc>
        <w:tc>
          <w:tcPr>
            <w:tcW w:w="920" w:type="dxa"/>
            <w:vAlign w:val="bottom"/>
            <w:shd w:val="clear" w:color="auto" w:fill="F4F4F4"/>
          </w:tcPr>
          <w:p>
            <w:pPr>
              <w:spacing w:after="0"/>
              <w:rPr>
                <w:sz w:val="15"/>
                <w:szCs w:val="15"/>
                <w:color w:val="auto"/>
              </w:rPr>
            </w:pPr>
          </w:p>
        </w:tc>
        <w:tc>
          <w:tcPr>
            <w:tcW w:w="120" w:type="dxa"/>
            <w:vAlign w:val="bottom"/>
            <w:shd w:val="clear" w:color="auto" w:fill="F4F4F4"/>
          </w:tcPr>
          <w:p>
            <w:pPr>
              <w:spacing w:after="0"/>
              <w:rPr>
                <w:sz w:val="15"/>
                <w:szCs w:val="15"/>
                <w:color w:val="auto"/>
              </w:rPr>
            </w:pPr>
          </w:p>
        </w:tc>
        <w:tc>
          <w:tcPr>
            <w:tcW w:w="580" w:type="dxa"/>
            <w:vAlign w:val="bottom"/>
            <w:shd w:val="clear" w:color="auto" w:fill="F4F4F4"/>
          </w:tcPr>
          <w:p>
            <w:pPr>
              <w:spacing w:after="0"/>
              <w:rPr>
                <w:sz w:val="15"/>
                <w:szCs w:val="15"/>
                <w:color w:val="auto"/>
              </w:rPr>
            </w:pPr>
          </w:p>
        </w:tc>
        <w:tc>
          <w:tcPr>
            <w:tcW w:w="120" w:type="dxa"/>
            <w:vAlign w:val="bottom"/>
            <w:shd w:val="clear" w:color="auto" w:fill="F4F4F4"/>
          </w:tcPr>
          <w:p>
            <w:pPr>
              <w:spacing w:after="0"/>
              <w:rPr>
                <w:sz w:val="15"/>
                <w:szCs w:val="15"/>
                <w:color w:val="auto"/>
              </w:rPr>
            </w:pPr>
          </w:p>
        </w:tc>
        <w:tc>
          <w:tcPr>
            <w:tcW w:w="720" w:type="dxa"/>
            <w:vAlign w:val="bottom"/>
            <w:shd w:val="clear" w:color="auto" w:fill="F4F4F4"/>
          </w:tcPr>
          <w:p>
            <w:pPr>
              <w:spacing w:after="0"/>
              <w:rPr>
                <w:sz w:val="15"/>
                <w:szCs w:val="15"/>
                <w:color w:val="auto"/>
              </w:rPr>
            </w:pPr>
          </w:p>
        </w:tc>
        <w:tc>
          <w:tcPr>
            <w:tcW w:w="860" w:type="dxa"/>
            <w:vAlign w:val="bottom"/>
            <w:shd w:val="clear" w:color="auto" w:fill="F4F4F4"/>
          </w:tcPr>
          <w:p>
            <w:pPr>
              <w:spacing w:after="0"/>
              <w:rPr>
                <w:sz w:val="15"/>
                <w:szCs w:val="15"/>
                <w:color w:val="auto"/>
              </w:rPr>
            </w:pPr>
          </w:p>
        </w:tc>
        <w:tc>
          <w:tcPr>
            <w:tcW w:w="160" w:type="dxa"/>
            <w:vAlign w:val="bottom"/>
            <w:shd w:val="clear" w:color="auto" w:fill="F4F4F4"/>
          </w:tcPr>
          <w:p>
            <w:pPr>
              <w:spacing w:after="0"/>
              <w:rPr>
                <w:sz w:val="15"/>
                <w:szCs w:val="15"/>
                <w:color w:val="auto"/>
              </w:rPr>
            </w:pPr>
          </w:p>
        </w:tc>
        <w:tc>
          <w:tcPr>
            <w:tcW w:w="980" w:type="dxa"/>
            <w:vAlign w:val="bottom"/>
            <w:shd w:val="clear" w:color="auto" w:fill="F4F4F4"/>
          </w:tcPr>
          <w:p>
            <w:pPr>
              <w:spacing w:after="0"/>
              <w:rPr>
                <w:sz w:val="15"/>
                <w:szCs w:val="15"/>
                <w:color w:val="auto"/>
              </w:rPr>
            </w:pPr>
          </w:p>
        </w:tc>
        <w:tc>
          <w:tcPr>
            <w:tcW w:w="840" w:type="dxa"/>
            <w:vAlign w:val="bottom"/>
            <w:shd w:val="clear" w:color="auto" w:fill="F4F4F4"/>
          </w:tcPr>
          <w:p>
            <w:pPr>
              <w:spacing w:after="0"/>
              <w:rPr>
                <w:sz w:val="15"/>
                <w:szCs w:val="15"/>
                <w:color w:val="auto"/>
              </w:rPr>
            </w:pPr>
          </w:p>
        </w:tc>
        <w:tc>
          <w:tcPr>
            <w:tcW w:w="240" w:type="dxa"/>
            <w:vAlign w:val="bottom"/>
            <w:shd w:val="clear" w:color="auto" w:fill="F4F4F4"/>
          </w:tcPr>
          <w:p>
            <w:pPr>
              <w:spacing w:after="0"/>
              <w:rPr>
                <w:sz w:val="15"/>
                <w:szCs w:val="15"/>
                <w:color w:val="auto"/>
              </w:rPr>
            </w:pPr>
          </w:p>
        </w:tc>
        <w:tc>
          <w:tcPr>
            <w:tcW w:w="800" w:type="dxa"/>
            <w:vAlign w:val="bottom"/>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vesting of restricted stock units</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267,455</w:t>
            </w:r>
          </w:p>
        </w:tc>
        <w:tc>
          <w:tcPr>
            <w:tcW w:w="120" w:type="dxa"/>
            <w:vAlign w:val="bottom"/>
            <w:shd w:val="clear" w:color="auto" w:fill="F4F4F4"/>
          </w:tcPr>
          <w:p>
            <w:pPr>
              <w:spacing w:after="0"/>
              <w:rPr>
                <w:sz w:val="17"/>
                <w:szCs w:val="17"/>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7"/>
                <w:szCs w:val="17"/>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7"/>
                <w:szCs w:val="17"/>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7"/>
                <w:szCs w:val="17"/>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7"/>
        </w:trPr>
        <w:tc>
          <w:tcPr>
            <w:tcW w:w="490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305,780 withheld shares upon equity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(23,781)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(23,781)</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58,556</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77</w:t>
            </w: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58,633</w:t>
            </w: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20" w:type="dxa"/>
            <w:vAlign w:val="bottom"/>
          </w:tcPr>
          <w:p>
            <w:pPr>
              <w:jc w:val="right"/>
              <w:spacing w:after="0"/>
              <w:rPr>
                <w:sz w:val="20"/>
                <w:szCs w:val="20"/>
                <w:color w:val="auto"/>
              </w:rPr>
            </w:pPr>
            <w:r>
              <w:rPr>
                <w:rFonts w:ascii="Arial" w:cs="Arial" w:eastAsia="Arial" w:hAnsi="Arial"/>
                <w:sz w:val="16"/>
                <w:szCs w:val="16"/>
                <w:color w:val="auto"/>
              </w:rPr>
              <w:t>723,868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(112,865)</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3"/>
        </w:trPr>
        <w:tc>
          <w:tcPr>
            <w:tcW w:w="4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60,206,091</w:t>
            </w:r>
          </w:p>
        </w:tc>
        <w:tc>
          <w:tcPr>
            <w:tcW w:w="1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457,804</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w w:val="97"/>
              </w:rPr>
              <w:t>$ (290,665)</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(5,290)</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$ 234,855</w:t>
            </w:r>
          </w:p>
        </w:tc>
        <w:tc>
          <w:tcPr>
            <w:tcW w:w="240" w:type="dxa"/>
            <w:vAlign w:val="bottom"/>
            <w:shd w:val="clear" w:color="auto" w:fill="F4F4F4"/>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396,764</w:t>
            </w: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7,717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7,717</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line="219" w:lineRule="exact"/>
              <w:rPr>
                <w:sz w:val="20"/>
                <w:szCs w:val="20"/>
                <w:color w:val="auto"/>
              </w:rPr>
            </w:pPr>
            <w:r>
              <w:rPr>
                <w:rFonts w:ascii="Arial" w:cs="Arial" w:eastAsia="Arial" w:hAnsi="Arial"/>
                <w:sz w:val="16"/>
                <w:szCs w:val="16"/>
                <w:color w:val="auto"/>
              </w:rPr>
              <w:t>Payment of dividends ($0.12 per share)</w:t>
            </w:r>
            <w:r>
              <w:rPr>
                <w:rFonts w:ascii="Arial" w:cs="Arial" w:eastAsia="Arial" w:hAnsi="Arial"/>
                <w:sz w:val="21"/>
                <w:szCs w:val="21"/>
                <w:color w:val="auto"/>
                <w:vertAlign w:val="superscript"/>
              </w:rPr>
              <w:t>(2)</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(5,960)</w:t>
            </w: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(5,960)</w:t>
            </w:r>
          </w:p>
        </w:tc>
        <w:tc>
          <w:tcPr>
            <w:tcW w:w="0" w:type="dxa"/>
            <w:vAlign w:val="bottom"/>
          </w:tcPr>
          <w:p>
            <w:pPr>
              <w:spacing w:after="0"/>
              <w:rPr>
                <w:sz w:val="1"/>
                <w:szCs w:val="1"/>
                <w:color w:val="auto"/>
              </w:rPr>
            </w:pPr>
          </w:p>
        </w:tc>
      </w:tr>
      <w:tr>
        <w:trPr>
          <w:trHeight w:val="177"/>
        </w:trPr>
        <w:tc>
          <w:tcPr>
            <w:tcW w:w="4900" w:type="dxa"/>
            <w:vAlign w:val="bottom"/>
          </w:tcPr>
          <w:p>
            <w:pPr>
              <w:ind w:left="140"/>
              <w:spacing w:after="0" w:line="178" w:lineRule="exact"/>
              <w:rPr>
                <w:sz w:val="20"/>
                <w:szCs w:val="20"/>
                <w:color w:val="auto"/>
              </w:rPr>
            </w:pPr>
            <w:r>
              <w:rPr>
                <w:rFonts w:ascii="Arial" w:cs="Arial" w:eastAsia="Arial" w:hAnsi="Arial"/>
                <w:sz w:val="16"/>
                <w:szCs w:val="16"/>
                <w:color w:val="auto"/>
              </w:rPr>
              <w:t>Purchase of 714,000 treasury shares under stock repurchase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140"/>
              <w:spacing w:after="0"/>
              <w:rPr>
                <w:sz w:val="20"/>
                <w:szCs w:val="20"/>
                <w:color w:val="auto"/>
              </w:rPr>
            </w:pPr>
            <w:r>
              <w:rPr>
                <w:rFonts w:ascii="Arial" w:cs="Arial" w:eastAsia="Arial" w:hAnsi="Arial"/>
                <w:sz w:val="16"/>
                <w:szCs w:val="16"/>
                <w:color w:val="auto"/>
              </w:rPr>
              <w:t>program</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(41,001)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(41,001)</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Exercise of stock options and vesting of restricted stock units</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218,141</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7"/>
        </w:trPr>
        <w:tc>
          <w:tcPr>
            <w:tcW w:w="490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273,914 withheld shares upon equity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(21,425)</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(21,425)</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87,155</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102</w:t>
            </w: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87,257</w:t>
            </w: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20" w:type="dxa"/>
            <w:vAlign w:val="bottom"/>
          </w:tcPr>
          <w:p>
            <w:pPr>
              <w:jc w:val="right"/>
              <w:spacing w:after="0"/>
              <w:rPr>
                <w:sz w:val="20"/>
                <w:szCs w:val="20"/>
                <w:color w:val="auto"/>
              </w:rPr>
            </w:pPr>
            <w:r>
              <w:rPr>
                <w:rFonts w:ascii="Arial" w:cs="Arial" w:eastAsia="Arial" w:hAnsi="Arial"/>
                <w:sz w:val="16"/>
                <w:szCs w:val="16"/>
                <w:color w:val="auto"/>
              </w:rPr>
              <w:t>657,483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9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(177,077)</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60,904,638</w:t>
            </w:r>
          </w:p>
        </w:tc>
        <w:tc>
          <w:tcPr>
            <w:tcW w:w="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544,963</w:t>
            </w:r>
          </w:p>
        </w:tc>
        <w:tc>
          <w:tcPr>
            <w:tcW w:w="8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97"/>
              </w:rPr>
              <w:t>$ (353,091)</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(2,497)</w:t>
            </w:r>
          </w:p>
        </w:tc>
        <w:tc>
          <w:tcPr>
            <w:tcW w:w="8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$ 236,714</w:t>
            </w:r>
          </w:p>
        </w:tc>
        <w:tc>
          <w:tcPr>
            <w:tcW w:w="240" w:type="dxa"/>
            <w:vAlign w:val="bottom"/>
            <w:tcBorders>
              <w:bottom w:val="single" w:sz="8" w:color="71BF43"/>
            </w:tcBorders>
            <w:shd w:val="clear" w:color="auto" w:fill="F4F4F4"/>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426,150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-4996815</wp:posOffset>
            </wp:positionV>
            <wp:extent cx="10204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160" w:hanging="134"/>
        <w:spacing w:after="0"/>
        <w:tabs>
          <w:tab w:leader="none" w:pos="160" w:val="left"/>
        </w:tabs>
        <w:numPr>
          <w:ilvl w:val="0"/>
          <w:numId w:val="57"/>
        </w:numPr>
        <w:rPr>
          <w:rFonts w:ascii="Arial" w:cs="Arial" w:eastAsia="Arial" w:hAnsi="Arial"/>
          <w:sz w:val="9"/>
          <w:szCs w:val="9"/>
          <w:color w:val="auto"/>
        </w:rPr>
      </w:pPr>
      <w:r>
        <w:rPr>
          <w:rFonts w:ascii="Arial" w:cs="Arial" w:eastAsia="Arial" w:hAnsi="Arial"/>
          <w:sz w:val="9"/>
          <w:szCs w:val="9"/>
          <w:color w:val="auto"/>
        </w:rPr>
        <w:t>Refer to the discussion of recently adopted accounting pronouncements in Note 2 of our Annual Report on Form 10-K for the fiscal year ended December 31, 2018, as filed with the SEC on February 20, 2019.</w:t>
      </w:r>
    </w:p>
    <w:p>
      <w:pPr>
        <w:spacing w:after="0" w:line="31" w:lineRule="exact"/>
        <w:rPr>
          <w:rFonts w:ascii="Arial" w:cs="Arial" w:eastAsia="Arial" w:hAnsi="Arial"/>
          <w:sz w:val="9"/>
          <w:szCs w:val="9"/>
          <w:color w:val="auto"/>
        </w:rPr>
      </w:pPr>
    </w:p>
    <w:p>
      <w:pPr>
        <w:ind w:left="160" w:hanging="134"/>
        <w:spacing w:after="0"/>
        <w:tabs>
          <w:tab w:leader="none" w:pos="160" w:val="left"/>
        </w:tabs>
        <w:numPr>
          <w:ilvl w:val="0"/>
          <w:numId w:val="57"/>
        </w:numPr>
        <w:rPr>
          <w:rFonts w:ascii="Arial" w:cs="Arial" w:eastAsia="Arial" w:hAnsi="Arial"/>
          <w:sz w:val="9"/>
          <w:szCs w:val="9"/>
          <w:color w:val="auto"/>
        </w:rPr>
      </w:pPr>
      <w:r>
        <w:rPr>
          <w:rFonts w:ascii="Arial" w:cs="Arial" w:eastAsia="Arial" w:hAnsi="Arial"/>
          <w:sz w:val="9"/>
          <w:szCs w:val="9"/>
          <w:color w:val="auto"/>
        </w:rPr>
        <w:t>Represents dividends paid in Q1 2020. See Note 14 of these consolidated financial statements for a discussion of our Board of Directors' decision to discontinue the declaration and payments of all cash dividends beginning in Q2 2020.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68 </w:t>
      </w:r>
      <w:r>
        <w:rPr>
          <w:sz w:val="1"/>
          <w:szCs w:val="1"/>
          <w:color w:val="auto"/>
        </w:rPr>
        <w:drawing>
          <wp:inline distT="0" distB="0" distL="0" distR="0">
            <wp:extent cx="728345" cy="18859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and individuals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nearly four decades, we are headquartered in Charleston, South Carolina, and have operations in the United States, Australia, Canada, Costa Rica and the United Kingdom. As of December 31, 2020, we had over 45,000 global customers.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related to COVID-19</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risks and uncertainties as a result of the global COVID-19 pandemic. We believe that COVID-19 has impacted and will continue to impact all of our vertical markets across all of our geographies to some degree, but the significance and duration of the impact on our business cannot be determined at this time due to numerous uncertainties, including, the duration of the outbreak, travel restrictions and business closures, the effectiveness of vaccination programs and other actions taken to contain the disease and other unforeseeable consequences.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and loss contingencies, among others. Changes in the facts or circumstances underlying these estimates, including due to COVID-19, could result in material changes and actual results could materially differ from these estimates.</w:t>
      </w:r>
    </w:p>
    <w:p>
      <w:pPr>
        <w:spacing w:after="0" w:line="285"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COVID-19</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better enable us to weather the extraordinary business challenges brought about by the global COVID-19 pandemic, to protect the safety and welfare of our employees, and to further effect our long-term strategy to deliver the greatest value to our stockholders, we have taken several actions. These measures taken are expected to provide us the financial flexibility needed to manage a wide array of outcomes that may result from the pandemic. Some of these actions include the following:</w:t>
      </w:r>
    </w:p>
    <w:p>
      <w:pPr>
        <w:spacing w:after="0" w:line="96" w:lineRule="exact"/>
        <w:rPr>
          <w:sz w:val="20"/>
          <w:szCs w:val="20"/>
          <w:color w:val="auto"/>
        </w:rPr>
      </w:pPr>
    </w:p>
    <w:p>
      <w:pPr>
        <w:ind w:left="460" w:hanging="128"/>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Temporarily closed our offices worldwide and transitioned our employees to work remotely;</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4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Rescinded our previously announced policy to pay an annual dividend at a rate of $0.48 per share of common stock and discontinued the declaration and payment of all cash dividends, beginning with the second quarter of 2020 and thereafter until such time, if any, as our Board of Directors may otherwise determine in its sole discretion;</w:t>
      </w:r>
    </w:p>
    <w:p>
      <w:pPr>
        <w:spacing w:after="0" w:line="1" w:lineRule="exact"/>
        <w:rPr>
          <w:rFonts w:ascii="Arial" w:cs="Arial" w:eastAsia="Arial" w:hAnsi="Arial"/>
          <w:sz w:val="18"/>
          <w:szCs w:val="18"/>
          <w:color w:val="auto"/>
        </w:rPr>
      </w:pPr>
    </w:p>
    <w:p>
      <w:pPr>
        <w:ind w:left="500" w:hanging="168"/>
        <w:spacing w:after="0" w:line="250" w:lineRule="auto"/>
        <w:tabs>
          <w:tab w:leader="none" w:pos="4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Suspended our 401(k)-match program, whereby we have historically matched 50% of qualified U.S. employees' contributions to our 401(k) plan up to 6% of their salaries, between April 1, 2020 and December 31, 2020;</w:t>
      </w:r>
    </w:p>
    <w:p>
      <w:pPr>
        <w:ind w:left="500" w:hanging="168"/>
        <w:spacing w:after="0" w:line="250" w:lineRule="auto"/>
        <w:tabs>
          <w:tab w:leader="none" w:pos="4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Made a discretionary matching contribution to eligible employees 401(k) plans in December 2020 totaling $1.2 million, given our financial performance during the fourth quarter;</w:t>
      </w:r>
    </w:p>
    <w:p>
      <w:pPr>
        <w:ind w:left="500" w:right="20" w:hanging="168"/>
        <w:spacing w:after="0" w:line="250" w:lineRule="auto"/>
        <w:tabs>
          <w:tab w:leader="none" w:pos="4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Temporarily froze our hiring efforts and implemented a modest and targeted headcount reduction, though we have since begun backfilling key roles, including engineering positions;</w:t>
      </w:r>
    </w:p>
    <w:p>
      <w:pPr>
        <w:jc w:val="both"/>
        <w:ind w:left="500" w:hanging="168"/>
        <w:spacing w:after="0" w:line="250" w:lineRule="auto"/>
        <w:tabs>
          <w:tab w:leader="none" w:pos="4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Michael Gianoni, our President and Chief Executive Officer, elected to forego receipt of all but that portion of his base salary necessary to fund, on a pre-tax basis, his contributions to continue to participate in our health benefits plan, between April 1, 2020 and June 16, 2020;</w:t>
      </w:r>
    </w:p>
    <w:p>
      <w:pPr>
        <w:spacing w:after="0" w:line="1" w:lineRule="exact"/>
        <w:rPr>
          <w:rFonts w:ascii="Arial" w:cs="Arial" w:eastAsia="Arial" w:hAnsi="Arial"/>
          <w:sz w:val="18"/>
          <w:szCs w:val="18"/>
          <w:color w:val="auto"/>
        </w:rPr>
      </w:pPr>
    </w:p>
    <w:p>
      <w:pPr>
        <w:ind w:left="460" w:hanging="128"/>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Restricted non-essential employee travel and put in place other operating cost containment actions;</w:t>
      </w:r>
    </w:p>
    <w:p>
      <w:pPr>
        <w:spacing w:after="0" w:line="9" w:lineRule="exact"/>
        <w:rPr>
          <w:rFonts w:ascii="Arial" w:cs="Arial" w:eastAsia="Arial" w:hAnsi="Arial"/>
          <w:sz w:val="18"/>
          <w:szCs w:val="18"/>
          <w:color w:val="auto"/>
        </w:rPr>
      </w:pPr>
    </w:p>
    <w:p>
      <w:pPr>
        <w:ind w:left="500" w:hanging="168"/>
        <w:spacing w:after="0" w:line="250" w:lineRule="auto"/>
        <w:tabs>
          <w:tab w:leader="none" w:pos="4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our employees with a base salary equal to or less than $75 thousand received financial support in the form of a one-time bonus of $1 thousand on April 30, 2020;</w:t>
      </w:r>
    </w:p>
    <w:p>
      <w:pPr>
        <w:jc w:val="both"/>
        <w:ind w:left="500" w:hanging="168"/>
        <w:spacing w:after="0" w:line="250" w:lineRule="auto"/>
        <w:tabs>
          <w:tab w:leader="none" w:pos="4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May 1, 2020, we granted restricted stock units with a total grant date fair value of $8.3 million to our employees that were eligible for base salary merit increases in lieu of such increases, which will vest on May 1, 2021 subject to the recipient's continued employment with us;</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4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May 1, 2020, we granted performance-based restricted stock units with a total grant date fair value of $34.4 million to our employees that were eligible for a 2020 cash bonus plan in lieu of such cash bonus, which may be earned and become eligible for vesting on May 1, 2021 subject to meeting certain performance conditions and the recipient's continued employment with us; and</w:t>
      </w:r>
    </w:p>
    <w:p>
      <w:pPr>
        <w:spacing w:after="0" w:line="1" w:lineRule="exact"/>
        <w:rPr>
          <w:rFonts w:ascii="Arial" w:cs="Arial" w:eastAsia="Arial" w:hAnsi="Arial"/>
          <w:sz w:val="18"/>
          <w:szCs w:val="18"/>
          <w:color w:val="auto"/>
        </w:rPr>
      </w:pPr>
    </w:p>
    <w:p>
      <w:pPr>
        <w:jc w:val="both"/>
        <w:ind w:left="500" w:hanging="168"/>
        <w:spacing w:after="0" w:line="252" w:lineRule="auto"/>
        <w:tabs>
          <w:tab w:leader="none" w:pos="4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the third quarter of 2020, we adjusted our workforce strategy to provide more flexibility for our employees to work remotely when our offices reopen. This change also expands our access to a larger and more diverse talent pool, empowers our leaders to make decisions based on skills and business need rather than location, and it is expected to create efficiencies within our real estate strategy as we optimize our footprint and shift toward more collaborative workspaces within our offices. Most of the transactions related to these real estate activities closed during the fourth quarter of 2020 with an aggregate one-time cash outlay of $21.9 million during the third and fourth quarters of 2020. We incurred approximately $23.1 million of pre-tax costs related to these real estate activities during the third and fourth quarters of 2020. These activities are expected to result in future annual before-tax savings of approximately $14.0 million beginning in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Instruments-Credit Losses (Topic 326): Measurement of Credit Losses on Financial Instruments </w:t>
      </w:r>
      <w:r>
        <w:rPr>
          <w:rFonts w:ascii="Arial" w:cs="Arial" w:eastAsia="Arial" w:hAnsi="Arial"/>
          <w:sz w:val="18"/>
          <w:szCs w:val="18"/>
          <w:color w:val="auto"/>
        </w:rPr>
        <w:t>(“ASU 2016-13”). ASU 2016-13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types of financial instruments, including trade receivables, to be presented at the net amount expected to be collected based on historical events, current conditions and forward-looking information. We adopted ASU 2016-13 as of the January 1, 2020 effective date and the adoption did not have a material impact on our consolidated financial statements.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accounting for implementation costs related to a hosting arrangement that is a service contract with the guidance on capitalizing costs associated with developing or obtaining internal-use software. We adopted ASU 2018-15 prospectively as of the January 1, 2020 effective date and the adoption did not have a material impact on our consolidated financial statements.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70  </w:t>
      </w:r>
      <w:r>
        <w:rPr>
          <w:sz w:val="1"/>
          <w:szCs w:val="1"/>
          <w:color w:val="auto"/>
        </w:rPr>
        <w:drawing>
          <wp:inline distT="0" distB="0" distL="0" distR="0">
            <wp:extent cx="728345" cy="18859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ASU 2016-02 requires lessees to record most leases on their balance sheet but recognize expenses in the income statement in a manner similar to previous guidance. The way in which entities classify leases determines how to recognize lease-related revenue and expense.</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adopted ASU 2016-02 as of January 1, 2019 using the transition method that allowed us to initially apply the guidance at the adoption date of January 1, 2019 without adjusting comparative periods presented. We elected to use the package of practical expedients that allowed us to not reassess: (1) whether any expired or existing contracts are or contain leases, (2) lease classification for any expired or existing leases and (3) initial direct costs for any existing leases. We did not elect to use the hindsight practical expedient, which permits entities to use hindsight in determining the lease term and assessing impairment. Additionally, we elected not to apply the recognition requirements of the new lease accounting standard to short-term leases. Adopting ASU 2016-02 had a material impact on our consolidated balance sheet as of January 1, 2019, as we recognized $121.6 million of lease liabilities and $113.4 million of right-of-use ("ROU") assets for those leases classified as operating leases.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3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recently issued accounting pronouncements that are expected to have a material impact on our financial position or results of operations when adopted in the future.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transaction services; (iii) providing software maintenance and support services; and (iv) providing professional services, including implementation, consulting, training, analytic and other services. Revenues are recognized when control of these services is transferred to our customers, in an amount that reflects the consideration we expect to be entitled to in exchange for those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280" w:hanging="543"/>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280" w:hanging="543"/>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280" w:hanging="543"/>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280" w:hanging="543"/>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280" w:hanging="543"/>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represents stand-ready performance obligations in which we are making our solutions or services available to our customers continuously over time or the value of the contract renews. Therefore, recurring revenue is generally recognized over time on a ratable basis over the contract term, beginning on the date that the solution or service is made available to the customer. Our recurring revenue contracts are generally for a term of 3 years at contract inception with 1 to 3-year renewals thereafter, billed annually in advance and non-cancelable.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payment services, online training programs, subscription-based analytic services, such as donor acquisitions and data enrichment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payment services are offered with the assistance of third-party vendors. In general, when we are the principal in a transaction based on the factors identified in ASC 606-10-55-36 through 55-40, we record the revenue and related</w:t>
      </w:r>
    </w:p>
    <w:p>
      <w:pPr>
        <w:spacing w:after="0" w:line="277"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on a gross basis. Otherwise, we net the cost of revenue associated with the service against the gross revenue (amount billed to the customer) and record the net amount as revenue. For payment and transaction services, we have the right to invoice the customer in an amount that directly corresponds with the value to the customer of our performance to date. Therefore, we recognize revenue for these services over time based on the amount billable to the customer in accordance with the 'as invoiced' practical expedient in ASC 606-10-55-18.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One-time services and other</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primarily comprised of fees for one-time consulting, analytic and onsite training services, fees for retained and managed services contracts that we do not expect to have a term consistent with our cloud solution contracts, and fees from user conferences.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bill consulting services based on hourly rates plus reimbursable travel-related expenses. Fixed price consulting engagements are generally billed as milestones towards completion are reached. Revenue for all consulting services is recognized over time as the services are performed.</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generally recognize analytic services revenue from donor prospect research engagements, the sale of lists of potential donors, data enrichment engagements and benchmarking studies at a point in time (upon delivery).</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certain cases, we sell training at a fixed rate for each specific class at a per attendee price or at a packaged price for several attendees, and recognize the related revenue upon the customer attending and completing training.</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Fees for retained and managed services contracts are generally billed in advance and recognized over time on a ratable basis over the contract term, beginning on the date the service is made available to the customer.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our solutions and services are typically estimated based on observable transactions when the solutions or services are sold on a standalone basis.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of obtaining contracts, contract assets and deferred revenue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pay sales commissions at the time contracts with customers are signed or shortly thereafter, depending on the size and duration of the sales contract. Sales commissions and related fringe benefits earned by our sales force are considered incremental and recoverable costs of obtaining a contract with a customer. These costs are deferred and then amortized in a manner that aligns with the expected period of benefit, which we have determined to be 5 years. We determined the period of benefit by taking into consideration our customer contracts, including renewals, retention, our technology and other factors. We do not generally pay commissions for contract renewals. The related amortization expense is included in sales, marketing and customer success expense in our consolidated statements of comprehensive income.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contract asset is recorded when revenue is recognized in advance of our right to receive consideration (i.e., we must satisfy additional performance obligations in order to receive consideration). Amounts are recorded as receivables when our right to consideration is unconditional (i.e., only the passage of time is required before payment of the consideration is due). Our contract assets are recorded within prepaid expenses and other current assets on our consolidated balance sheets. To the extent that our customers are billed for our solutions and services in advance of us satisfying the related performance obligations, we record such amounts in deferred revenue.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taxes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present sales taxes and other taxes collected from customers and remitted to governmental authorities on a net basis and, as such, exclude them from revenues.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72  </w:t>
      </w:r>
      <w:r>
        <w:rPr>
          <w:sz w:val="1"/>
          <w:szCs w:val="1"/>
          <w:color w:val="auto"/>
        </w:rPr>
        <w:drawing>
          <wp:inline distT="0" distB="0" distL="0" distR="0">
            <wp:extent cx="728345" cy="18859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certain financial assets and liabilities at fair value on a recurring basis, including derivative instruments. Fair value is defined as the price that would be received to sell an asset or paid to transfer a liability (an exit price) in an orderly transaction between market participants at the measurement date. An active market is defined as a market in which transactions for the asset or liability take place with sufficient frequency and volume to provide pricing information on an ongoing basis. We use a three-tier fair value hierarchy to measure fair value. This hierarchy prioritizes the inputs into three broad levels as follows:</w:t>
      </w:r>
    </w:p>
    <w:p>
      <w:pPr>
        <w:spacing w:after="0" w:line="97" w:lineRule="exact"/>
        <w:rPr>
          <w:sz w:val="20"/>
          <w:szCs w:val="20"/>
          <w:color w:val="auto"/>
        </w:rPr>
      </w:pPr>
    </w:p>
    <w:p>
      <w:pPr>
        <w:ind w:left="700" w:hanging="287"/>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17" w:lineRule="exact"/>
        <w:rPr>
          <w:rFonts w:ascii="Arial" w:cs="Arial" w:eastAsia="Arial" w:hAnsi="Arial"/>
          <w:sz w:val="18"/>
          <w:szCs w:val="18"/>
          <w:color w:val="auto"/>
        </w:rPr>
      </w:pPr>
    </w:p>
    <w:p>
      <w:pPr>
        <w:jc w:val="both"/>
        <w:ind w:left="740" w:hanging="327"/>
        <w:spacing w:after="0" w:line="256" w:lineRule="auto"/>
        <w:tabs>
          <w:tab w:leader="none" w:pos="7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93" w:lineRule="exact"/>
        <w:rPr>
          <w:rFonts w:ascii="Arial" w:cs="Arial" w:eastAsia="Arial" w:hAnsi="Arial"/>
          <w:sz w:val="18"/>
          <w:szCs w:val="18"/>
          <w:color w:val="auto"/>
        </w:rPr>
      </w:pPr>
    </w:p>
    <w:p>
      <w:pPr>
        <w:ind w:left="700" w:hanging="287"/>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assets and liabilities are classified in their entirety within the hierarchy based on the lowest level of input that is significant to fair value measurement. Changes to a financial asset's or liability's level within the fair value hierarchy are determined as of the end of a reporting period. All methods of assessing fair value result in a general approximation of value, and such value may never actually be realized.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generally use derivative instruments to manage interest rate risk. We view derivative instruments as risk management tools and do not use them for trading or speculative purposes. Our policy requires that derivatives used for hedging purposes be designated and effective as a hedge of the identified risk exposure at the inception of the contract. Accordingly, changes in fair value of the derivative contract must be highly correlated with changes in the fair value of the underlying hedged item at inception of the hedge and over the life of the hedge contract.</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all derivative instruments on our consolidated balance sheets at fair value as either an asset or liability. If the derivative is designated as a cash flow hedge, the effective portions of the changes in fair value of the derivative are recorded in other comprehensive income and reclassified to earnings in a manner that matches the timing of the earnings impact of the hedged transactions. Ineffective portions of the changes in the fair value of cash flow hedges are recognized currently in earnings. See Note 10 to these consolidated financial statements for further discussion of our derivative instruments.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and cash items in transit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 due to customers; Customer funds receivable; Due to customers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Restricted cash due to customers consists of monies collected by us and payable to our customers, net of the associated transaction fees earned. Monies associated with amounts due to customers are segregated in separate bank accounts and used exclusively for the payment of amounts due to customers. This usage restriction is either legally or internally imposed and reflects our intention with regard to such deposits. Customer funds receivable consists of monies we expect to collect and remit to our customers.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and cash equivalents, restricted cash due to customers and accounts receivable. Our cash and cash equivalents and restricted cash due to customers are placed with high credit-quality financial institutions. Our accounts receivable is derived from sales to customers who primarily operate in the nonprofit sector. With respect to accounts receivable, we perform ongoing evaluations of our customers and maintain an allowance for credit losses based on historical experience and our</w:t>
      </w:r>
    </w:p>
    <w:p>
      <w:pPr>
        <w:spacing w:after="0" w:line="284"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expectations of future credit losses. As of and for the years ended December 31, 2020, 2019 and 2018, there were no significant concentrations with respect to our consolidated revenues or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 property and equipment assets at cost and depreciate them over their estimated useful lives using the straight-line method. Leasehold improvements are depreciated over the lesser of the term of the lease or the estimated useful life of the asset. Upon retirement or sale, the cost of assets disposed of and the related accumulated depreciation are removed from the accounts and any resulting gain or loss is credited or charged to earnings. Repair and maintenance costs are expensed as incurred.</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Construction-in-progress primarily related to purchases of facilities and information technology assets which had not been placed in service at the respective balance sheet dates. We transfer these assets to the applicable property and equipment category on the date they are placed in service. There was no capitalized interest applicable to construction-in-progress for the years ended December 31, 2020, 2019 and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include the operating results of acquired companies as well as the net assets acquired and liabilities assumed in our consolidated financial statements from the date of acquisition. We are required to allocate the purchase price of acquired companies to the tangible and intangible assets acquired and liabilities assumed at the acquisition date based upon their estimated fair values. Goodwill as of the acquisition date represents the excess of the purchase consideration of an acquired business over the fair value of the underlying net tangible and intangible assets acquired and liabilities assumed. This allocation and valuation require management to make significant estimates and assumptions, especially with respect to long-lived and intangible assets.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Critical estimates in valuing intangible assets include, but are not limited to, estimates about: expected future cash flows from customers, including revenue and operating expenses; royalty and customer attrition rates; proprietary technology obsolescence curve; the acquired company's brand awareness and market position, the market awareness of the acquired company's branded technology solutions and services; assumptions about the period of time the brand will continue to be valuable; as well as expected costs to develop any in-process research and development into commercially viable solutions and estimated cash flows from the projects when completed, and discount rates. Our estimates of fair value are based upon assumptions we believe to be reasonable, but which are inherently uncertain and unpredictable, and unanticipated events and changes in circumstances may occur.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represents the purchase price in excess of the net amount assigned to assets acquired and liabilities assumed by us in a business combination. Goodwill is not amortized, but tested annually for impairment on the first day of our fourth quarter, or more frequently if indicators of potential impairment arise.</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Accounting guidance permits entities to first assess qualitative factors to determine whether it is more likely than not that the fair value of a reporting unit is less than its carrying amount as a basis to determine whether it is necessary to perform the quantitative impairment test. Significant judgment is required in the assessment of qualitative factors, including but not limited to an evaluation of macroeconomic conditions as they relate to our business, industry and market trends, as well as the overall future financial performance of identified reporting units and future opportunities in the markets in which we operate.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quantitative impairment test compares the fair values of identified reporting units with their respective carrying amounts. If the carrying amount of a reporting unit exceeds its fair value, an impairment loss is recognized in an amount equal to that excess. Based on our current internal reporting structure, we currently have one operating segment, one reportable segment, and one reporting unit. In each of 2020, 2019 and 2018, we performed the quantitative impairment test, which indicated that the estimated fair values of the identified reporting units significantly exceeded their respective carrying values. There was no impairment of goodwill during 2020, 2019 and 2018.</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74  </w:t>
      </w:r>
      <w:r>
        <w:rPr>
          <w:sz w:val="1"/>
          <w:szCs w:val="1"/>
          <w:color w:val="auto"/>
        </w:rPr>
        <w:drawing>
          <wp:inline distT="0" distB="0" distL="0" distR="0">
            <wp:extent cx="728345" cy="18859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other than 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amortize finite-lived intangible assets over their estimated useful lives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shd w:val="clear" w:color="auto" w:fill="ACACAC"/>
          </w:tcPr>
          <w:p>
            <w:pPr>
              <w:spacing w:after="0"/>
              <w:rPr>
                <w:sz w:val="14"/>
                <w:szCs w:val="14"/>
                <w:color w:val="auto"/>
              </w:rPr>
            </w:pPr>
          </w:p>
        </w:tc>
        <w:tc>
          <w:tcPr>
            <w:tcW w:w="5020" w:type="dxa"/>
            <w:vAlign w:val="bottom"/>
            <w:shd w:val="clear" w:color="auto" w:fill="ACACAC"/>
          </w:tcPr>
          <w:p>
            <w:pPr>
              <w:spacing w:after="0"/>
              <w:rPr>
                <w:sz w:val="14"/>
                <w:szCs w:val="14"/>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Amortization</w:t>
            </w:r>
          </w:p>
        </w:tc>
        <w:tc>
          <w:tcPr>
            <w:tcW w:w="0" w:type="dxa"/>
            <w:vAlign w:val="bottom"/>
          </w:tcPr>
          <w:p>
            <w:pPr>
              <w:spacing w:after="0"/>
              <w:rPr>
                <w:sz w:val="1"/>
                <w:szCs w:val="1"/>
                <w:color w:val="auto"/>
              </w:rPr>
            </w:pPr>
          </w:p>
        </w:tc>
      </w:tr>
      <w:tr>
        <w:trPr>
          <w:trHeight w:val="135"/>
        </w:trPr>
        <w:tc>
          <w:tcPr>
            <w:tcW w:w="4780" w:type="dxa"/>
            <w:vAlign w:val="bottom"/>
            <w:shd w:val="clear" w:color="auto" w:fill="ACACAC"/>
          </w:tcPr>
          <w:p>
            <w:pPr>
              <w:spacing w:after="0"/>
              <w:rPr>
                <w:sz w:val="11"/>
                <w:szCs w:val="11"/>
                <w:color w:val="auto"/>
              </w:rPr>
            </w:pPr>
          </w:p>
        </w:tc>
        <w:tc>
          <w:tcPr>
            <w:tcW w:w="5020" w:type="dxa"/>
            <w:vAlign w:val="bottom"/>
            <w:vMerge w:val="restart"/>
            <w:shd w:val="clear" w:color="auto" w:fill="ACACAC"/>
          </w:tcPr>
          <w:p>
            <w:pPr>
              <w:jc w:val="center"/>
              <w:ind w:left="1395"/>
              <w:spacing w:after="0"/>
              <w:rPr>
                <w:sz w:val="20"/>
                <w:szCs w:val="20"/>
                <w:color w:val="auto"/>
              </w:rPr>
            </w:pPr>
            <w:r>
              <w:rPr>
                <w:rFonts w:ascii="Arial" w:cs="Arial" w:eastAsia="Arial" w:hAnsi="Arial"/>
                <w:sz w:val="14"/>
                <w:szCs w:val="14"/>
                <w:b w:val="1"/>
                <w:bCs w:val="1"/>
                <w:color w:val="FFFFFF"/>
              </w:rPr>
              <w:t>Basis of amortization</w:t>
            </w:r>
          </w:p>
        </w:tc>
        <w:tc>
          <w:tcPr>
            <w:tcW w:w="14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period</w:t>
            </w:r>
          </w:p>
        </w:tc>
        <w:tc>
          <w:tcPr>
            <w:tcW w:w="0" w:type="dxa"/>
            <w:vAlign w:val="bottom"/>
          </w:tcPr>
          <w:p>
            <w:pPr>
              <w:spacing w:after="0"/>
              <w:rPr>
                <w:sz w:val="1"/>
                <w:szCs w:val="1"/>
                <w:color w:val="auto"/>
              </w:rPr>
            </w:pPr>
          </w:p>
        </w:tc>
      </w:tr>
      <w:tr>
        <w:trPr>
          <w:trHeight w:val="176"/>
        </w:trPr>
        <w:tc>
          <w:tcPr>
            <w:tcW w:w="4780" w:type="dxa"/>
            <w:vAlign w:val="bottom"/>
            <w:shd w:val="clear" w:color="auto" w:fill="ACACAC"/>
          </w:tcPr>
          <w:p>
            <w:pPr>
              <w:spacing w:after="0"/>
              <w:rPr>
                <w:sz w:val="15"/>
                <w:szCs w:val="15"/>
                <w:color w:val="auto"/>
              </w:rPr>
            </w:pPr>
          </w:p>
        </w:tc>
        <w:tc>
          <w:tcPr>
            <w:tcW w:w="5020" w:type="dxa"/>
            <w:vAlign w:val="bottom"/>
            <w:vMerge w:val="continue"/>
            <w:shd w:val="clear" w:color="auto" w:fill="ACACAC"/>
          </w:tcPr>
          <w:p>
            <w:pPr>
              <w:spacing w:after="0"/>
              <w:rPr>
                <w:sz w:val="15"/>
                <w:szCs w:val="15"/>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years)</w:t>
            </w:r>
          </w:p>
        </w:tc>
        <w:tc>
          <w:tcPr>
            <w:tcW w:w="0" w:type="dxa"/>
            <w:vAlign w:val="bottom"/>
          </w:tcPr>
          <w:p>
            <w:pPr>
              <w:spacing w:after="0"/>
              <w:rPr>
                <w:sz w:val="1"/>
                <w:szCs w:val="1"/>
                <w:color w:val="auto"/>
              </w:rPr>
            </w:pPr>
          </w:p>
        </w:tc>
      </w:tr>
      <w:tr>
        <w:trPr>
          <w:trHeight w:val="229"/>
        </w:trPr>
        <w:tc>
          <w:tcPr>
            <w:tcW w:w="4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Customer relationships</w:t>
            </w:r>
          </w:p>
        </w:tc>
        <w:tc>
          <w:tcPr>
            <w:tcW w:w="5020" w:type="dxa"/>
            <w:vAlign w:val="bottom"/>
            <w:shd w:val="clear" w:color="auto" w:fill="F4F4F4"/>
          </w:tcPr>
          <w:p>
            <w:pPr>
              <w:jc w:val="center"/>
              <w:ind w:left="1395"/>
              <w:spacing w:after="0" w:line="230" w:lineRule="exact"/>
              <w:rPr>
                <w:sz w:val="20"/>
                <w:szCs w:val="20"/>
                <w:color w:val="auto"/>
              </w:rPr>
            </w:pPr>
            <w:r>
              <w:rPr>
                <w:rFonts w:ascii="Arial" w:cs="Arial" w:eastAsia="Arial" w:hAnsi="Arial"/>
                <w:sz w:val="18"/>
                <w:szCs w:val="18"/>
                <w:color w:val="auto"/>
                <w:w w:val="97"/>
              </w:rPr>
              <w:t>Straight-line and accelerated</w:t>
            </w:r>
            <w:r>
              <w:rPr>
                <w:rFonts w:ascii="Arial" w:cs="Arial" w:eastAsia="Arial" w:hAnsi="Arial"/>
                <w:sz w:val="23"/>
                <w:szCs w:val="23"/>
                <w:color w:val="auto"/>
                <w:w w:val="97"/>
                <w:vertAlign w:val="superscript"/>
              </w:rPr>
              <w:t>(1)</w:t>
            </w:r>
          </w:p>
        </w:tc>
        <w:tc>
          <w:tcPr>
            <w:tcW w:w="14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Marketing assets</w:t>
            </w:r>
          </w:p>
        </w:tc>
        <w:tc>
          <w:tcPr>
            <w:tcW w:w="5020" w:type="dxa"/>
            <w:vAlign w:val="bottom"/>
          </w:tcPr>
          <w:p>
            <w:pPr>
              <w:jc w:val="center"/>
              <w:ind w:left="1375"/>
              <w:spacing w:after="0"/>
              <w:rPr>
                <w:sz w:val="20"/>
                <w:szCs w:val="20"/>
                <w:color w:val="auto"/>
              </w:rPr>
            </w:pPr>
            <w:r>
              <w:rPr>
                <w:rFonts w:ascii="Arial" w:cs="Arial" w:eastAsia="Arial" w:hAnsi="Arial"/>
                <w:sz w:val="18"/>
                <w:szCs w:val="18"/>
                <w:color w:val="auto"/>
                <w:w w:val="99"/>
              </w:rPr>
              <w:t>Straight-line</w:t>
            </w:r>
          </w:p>
        </w:tc>
        <w:tc>
          <w:tcPr>
            <w:tcW w:w="14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8CBE4F"/>
            </w:tcBorders>
            <w:shd w:val="clear" w:color="auto" w:fill="F4F4F4"/>
          </w:tcPr>
          <w:p>
            <w:pPr>
              <w:ind w:left="20"/>
              <w:spacing w:after="0"/>
              <w:rPr>
                <w:sz w:val="20"/>
                <w:szCs w:val="20"/>
                <w:color w:val="auto"/>
              </w:rPr>
            </w:pPr>
            <w:r>
              <w:rPr>
                <w:rFonts w:ascii="Arial" w:cs="Arial" w:eastAsia="Arial" w:hAnsi="Arial"/>
                <w:sz w:val="18"/>
                <w:szCs w:val="18"/>
                <w:color w:val="auto"/>
              </w:rPr>
              <w:t>Acquired software and technology</w:t>
            </w:r>
          </w:p>
        </w:tc>
        <w:tc>
          <w:tcPr>
            <w:tcW w:w="5020" w:type="dxa"/>
            <w:vAlign w:val="bottom"/>
            <w:tcBorders>
              <w:bottom w:val="single" w:sz="8" w:color="8CBE4F"/>
            </w:tcBorders>
            <w:shd w:val="clear" w:color="auto" w:fill="F4F4F4"/>
          </w:tcPr>
          <w:p>
            <w:pPr>
              <w:jc w:val="center"/>
              <w:ind w:left="1395"/>
              <w:spacing w:after="0" w:line="230" w:lineRule="exact"/>
              <w:rPr>
                <w:sz w:val="20"/>
                <w:szCs w:val="20"/>
                <w:color w:val="auto"/>
              </w:rPr>
            </w:pPr>
            <w:r>
              <w:rPr>
                <w:rFonts w:ascii="Arial" w:cs="Arial" w:eastAsia="Arial" w:hAnsi="Arial"/>
                <w:sz w:val="18"/>
                <w:szCs w:val="18"/>
                <w:color w:val="auto"/>
                <w:w w:val="97"/>
              </w:rPr>
              <w:t>Straight-line and accelerated</w:t>
            </w:r>
            <w:r>
              <w:rPr>
                <w:rFonts w:ascii="Arial" w:cs="Arial" w:eastAsia="Arial" w:hAnsi="Arial"/>
                <w:sz w:val="23"/>
                <w:szCs w:val="23"/>
                <w:color w:val="auto"/>
                <w:w w:val="97"/>
                <w:vertAlign w:val="superscript"/>
              </w:rPr>
              <w:t>(1)</w:t>
            </w:r>
          </w:p>
        </w:tc>
        <w:tc>
          <w:tcPr>
            <w:tcW w:w="144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Certain of the customer relationships and acquired software and technology assets are amortized on an accelerated basis.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write off the gross carrying amount and accumulated amortization balances for all fully amortized intangible assets. We evaluate the estimated useful lives and the potential for impairment of finite and indefinite-lived intangible assets on an annual basis or more frequently if events or circumstances indicate revised estimates of useful lives may be appropriate or that the carrying amount may be impaired. If the carrying amount of a finite-lived intangible asset is no longer recoverable based upon the undiscounted cash flows of the asset, the amount of impairment is the difference between the carrying amount and the fair value of the asset. Substantially all of our intangible assets were acquired in business combinations. See Note 6 to these consolidated financial statements for a discussion of our impairment of certain acquired intangible assets during 2019. There were no impairments of acquired intangible assets during 2020 and 2018.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review long-lived assets for impairment when events change or circumstances indicate the carrying amount may not be recoverable. Events or changes in circumstances that indicate the carrying amount may not be recoverable include, but are not limited to, a significant decrease in the market value of the business or asset acquired, a significant adverse change in the extent or manner in which the business or asset acquired is used or significant adverse change in the business climate. If such events or changes in circumstances are present, the undiscounted cash flow method is used to determine whether the asset is impaired. See Note 6 to these consolidated financial statements for a discussion of our impairment of certain long-lived assets during 2020 and 2019. There was no impairment of long-lived assets during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costs and debt discount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financing costs included in other assets represent the direct third-party costs of entering into the revolving (line-of-credit) portion of our credit facility in October 2020 and portions of the unamortized deferred financing costs from prior facilities. These costs are amortized ratably over the term of the credit facility as interest expense.</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debt issuance costs, as well as the debt discount associated with our 2020 Credit facility (as defined below) and portions of the unamortized balances from prior facilities, are recorded as a direct deduction from debt. These costs are amortized over the term of the credit facility as interest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stock-based compensation cost at the grant date based on the fair value of the award and recognize it as expense over the requisite service period, which is the vesting period. We determine the fair value of stock options and stock appreciation rights using a Black-Scholes option pricing model, which requires us to use significant judgment to make estimates regarding the life of the award, volatility of our stock price, the risk-free interest rate and the dividend yield of our stock over the life of the award. We determine the fair value of awards that contain market conditions using a Monte Carlo simulation model. Changes to these estimates would result in different fair values of awards.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recognize the effect of awards for which the requisite service period is not rendered when the award is forfeited (that is, we recognize the effect of forfeitures in compensation cost when they occur). Previously recognized compensation cost for an award is reversed in the period that the award is forfeited. Income tax benefits resulting from</w:t>
      </w:r>
    </w:p>
    <w:p>
      <w:pPr>
        <w:spacing w:after="0" w:line="294"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vesting and exercise of stock-based compensation awards are recognized in the period the unit or award is vested or option or right is exercised.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make estimates and judgments in accounting for income taxes. The calculation of the income tax provision requires estimates due to transactions, credits and calculations where the ultimate tax determination is uncertain. Uncertainties arise as a consequence of the actual source of taxable income between domestic and foreign locations, the outcome of tax audits and the ultimate utilization of tax credits. To the extent actual results differ from estimated amounts recorded, such differences will impact the income tax provision in the period in which the determination is made.</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make estimates in determining tax assets and liabilities, which arise from differences in the timing of recognition of revenue and expense for tax and financial statement purposes. We record valuation allowances to reduce our deferred tax assets to the amount expected to be realized. In assessing the adequacy of a recorded valuation allowance significant judgment is required. We consider all positive and negative evidence and a variety of factors including the scheduled reversal of deferred tax liabilities, historical and projected future taxable income, and prudent and feasible tax planning strategies. If we determine there is less than a 50% likelihood that we will be able to use a deferred tax asset in the future in excess of its net carrying value, then an adjustment to the deferred tax asset valuation allowance is made to increase income tax expense, thereby reducing net income in the period such determination was made.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measure and recognize uncertain tax positions. To recognize such positions, we must first determine if it is more likely than not that the position will be sustained upon audit. We must then measure the benefit as the largest amount that is more than 50% likely of being realized upon ultimate settlement. Significant judgment is required in the identification and measurement of uncertain tax 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assets recorded in a foreign currency are translated at the exchange rate on the balance sheet date. Revenue and expense items are translated using an average of monthly exchange rates. The resulting translation adjustments are recorded in accumulated other comprehensive income.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Gains and losses resulting from foreign currency transactions denominated in currency other than the functional currency are recorded at the approximate rate of exchange at the transaction date in other income, net. For the years ended December 31, 2020 and 2018, we recorded net foreign currency losses of $1.1 million and $0.9 million, respectively. For the year ended 2019, we recorded a net foreign currency loss that was insignificant.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Research and development costs are expensed as incurred except as noted below under </w:t>
      </w:r>
      <w:r>
        <w:rPr>
          <w:rFonts w:ascii="Arial" w:cs="Arial" w:eastAsia="Arial" w:hAnsi="Arial"/>
          <w:sz w:val="18"/>
          <w:szCs w:val="18"/>
          <w:i w:val="1"/>
          <w:iCs w:val="1"/>
          <w:color w:val="auto"/>
        </w:rPr>
        <w:t>Software development costs</w:t>
      </w:r>
      <w:r>
        <w:rPr>
          <w:rFonts w:ascii="Arial" w:cs="Arial" w:eastAsia="Arial" w:hAnsi="Arial"/>
          <w:sz w:val="18"/>
          <w:szCs w:val="18"/>
          <w:color w:val="auto"/>
        </w:rPr>
        <w:t>. These costs include compensation costs for engineering and product management personnel, third-party contractor expenses, software development tools and other expenses related to researching and developing new solutions or upgrading and enhancing existing solutions that do not qualify for capitalization, and allocated depreciation, facilities and IT support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Software development costs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incur certain costs associated with the development of internal-use software, which are primarily related to activities performed to develop our cloud solutions. Internal and external costs incurred in the preliminary project stage of internal-use software development are expensed as incurred. Once the software being developed has reached the application development stage, qualifying internal costs including payroll and payroll-related costs of employees who are directly associated with and devote time to the software project as well as external direct costs of materials and services are capitalized. Capitalization ceases at the point at which the developed software is substantially complete and ready for its intended use, which is typically upon completion of all substantial testing. Qualifying costs capitalized during the application development stage include those related to specific upgrades and enhancements when it is probable that those costs incurred will result in additional functionality. Overhead costs, including general and administrative costs, as well as maintenance, training and all other costs associated with post-implementation stage</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76  </w:t>
      </w:r>
      <w:r>
        <w:rPr>
          <w:sz w:val="1"/>
          <w:szCs w:val="1"/>
          <w:color w:val="auto"/>
        </w:rPr>
        <w:drawing>
          <wp:inline distT="0" distB="0" distL="0" distR="0">
            <wp:extent cx="728345" cy="18859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activities are expensed as incurred. In addition, internal costs that cannot be reasonably separated between maintenance and relatively minor upgrades and enhancements are expensed as incurred.</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Qualifying capitalized software development costs are amortized on a straight-line basis over the software asset's estimated useful life, which is generally 3 to 7 years. We evaluate the useful lives of these assets on an annual basis and test for impairment whenever events or changes in circumstances occur that could impact the recoverability of these assets. See Note 6 to these consolidated financial statements for a discussion of our impairment of certain capitalized software development costs during 2020. There were no impairment charges related to capitalized software development costs during the years ended December 31, 2019 and 2018. We write off the gross carrying amount and accumulated amortization balances for all fully amortized software development cost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accounts receivable consist of a single portfolio segment. Accounts receivable are recorded at original invoice amounts less an allowance for credit losses, an amount we estimate to be sufficient to provide adequate protection against lifetime expected losses resulting from extending credit to our customers. In judging the adequacy of the allowance for credit losses, we consider multiple factors including historical bad debt experience, the current aging of our receivables and current economic conditions that may affect our customers' ability to pay. A considerable amount of judgment is required in assessing these factors and if any receivables were to deteriorate, an additional provision for credit losses could be required. Accounts are written off after all means of collection are exhausted and recovery is considered remote. Provisions for credit losses are recorded in general and administrative expense.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credit losses.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ended December 31,</w:t>
            </w:r>
          </w:p>
        </w:tc>
        <w:tc>
          <w:tcPr>
            <w:tcW w:w="900" w:type="dxa"/>
            <w:vAlign w:val="bottom"/>
            <w:shd w:val="clear" w:color="auto" w:fill="ACACAC"/>
          </w:tcPr>
          <w:p>
            <w:pPr>
              <w:spacing w:after="0"/>
              <w:rPr>
                <w:sz w:val="14"/>
                <w:szCs w:val="14"/>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460" w:type="dxa"/>
            <w:vAlign w:val="bottom"/>
            <w:shd w:val="clear" w:color="auto" w:fill="ACACAC"/>
          </w:tcPr>
          <w:p>
            <w:pPr>
              <w:spacing w:after="0"/>
              <w:rPr>
                <w:sz w:val="14"/>
                <w:szCs w:val="14"/>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Provision/</w:t>
            </w:r>
          </w:p>
        </w:tc>
        <w:tc>
          <w:tcPr>
            <w:tcW w:w="520" w:type="dxa"/>
            <w:vAlign w:val="bottom"/>
            <w:shd w:val="clear" w:color="auto" w:fill="ACACAC"/>
          </w:tcPr>
          <w:p>
            <w:pPr>
              <w:spacing w:after="0"/>
              <w:rPr>
                <w:sz w:val="14"/>
                <w:szCs w:val="14"/>
                <w:color w:val="auto"/>
              </w:rPr>
            </w:pPr>
          </w:p>
        </w:tc>
        <w:tc>
          <w:tcPr>
            <w:tcW w:w="1020" w:type="dxa"/>
            <w:vAlign w:val="bottom"/>
            <w:vMerge w:val="restart"/>
            <w:shd w:val="clear" w:color="auto" w:fill="ACACAC"/>
          </w:tcPr>
          <w:p>
            <w:pPr>
              <w:ind w:left="420"/>
              <w:spacing w:after="0"/>
              <w:rPr>
                <w:sz w:val="20"/>
                <w:szCs w:val="20"/>
                <w:color w:val="auto"/>
              </w:rPr>
            </w:pPr>
            <w:r>
              <w:rPr>
                <w:rFonts w:ascii="Arial" w:cs="Arial" w:eastAsia="Arial" w:hAnsi="Arial"/>
                <w:sz w:val="14"/>
                <w:szCs w:val="14"/>
                <w:b w:val="1"/>
                <w:bCs w:val="1"/>
                <w:color w:val="FFFFFF"/>
              </w:rPr>
              <w:t>Write-off</w:t>
            </w:r>
          </w:p>
        </w:tc>
        <w:tc>
          <w:tcPr>
            <w:tcW w:w="500" w:type="dxa"/>
            <w:vAlign w:val="bottom"/>
            <w:shd w:val="clear" w:color="auto" w:fill="ACACAC"/>
          </w:tcPr>
          <w:p>
            <w:pPr>
              <w:spacing w:after="0"/>
              <w:rPr>
                <w:sz w:val="14"/>
                <w:szCs w:val="14"/>
                <w:color w:val="auto"/>
              </w:rPr>
            </w:pPr>
          </w:p>
        </w:tc>
        <w:tc>
          <w:tcPr>
            <w:tcW w:w="10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Recovery</w:t>
            </w:r>
          </w:p>
        </w:tc>
        <w:tc>
          <w:tcPr>
            <w:tcW w:w="56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0" w:type="dxa"/>
            <w:vAlign w:val="bottom"/>
          </w:tcPr>
          <w:p>
            <w:pPr>
              <w:spacing w:after="0"/>
              <w:rPr>
                <w:sz w:val="1"/>
                <w:szCs w:val="1"/>
                <w:color w:val="auto"/>
              </w:rPr>
            </w:pPr>
          </w:p>
        </w:tc>
      </w:tr>
      <w:tr>
        <w:trPr>
          <w:trHeight w:val="175"/>
        </w:trPr>
        <w:tc>
          <w:tcPr>
            <w:tcW w:w="2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900" w:type="dxa"/>
            <w:vAlign w:val="bottom"/>
            <w:shd w:val="clear" w:color="auto" w:fill="ACACAC"/>
          </w:tcPr>
          <w:p>
            <w:pPr>
              <w:spacing w:after="0"/>
              <w:rPr>
                <w:sz w:val="15"/>
                <w:szCs w:val="15"/>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beginning of year</w:t>
            </w:r>
          </w:p>
        </w:tc>
        <w:tc>
          <w:tcPr>
            <w:tcW w:w="460" w:type="dxa"/>
            <w:vAlign w:val="bottom"/>
            <w:shd w:val="clear" w:color="auto" w:fill="ACACAC"/>
          </w:tcPr>
          <w:p>
            <w:pPr>
              <w:spacing w:after="0"/>
              <w:rPr>
                <w:sz w:val="15"/>
                <w:szCs w:val="15"/>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adjustment</w:t>
            </w:r>
          </w:p>
        </w:tc>
        <w:tc>
          <w:tcPr>
            <w:tcW w:w="520" w:type="dxa"/>
            <w:vAlign w:val="bottom"/>
            <w:shd w:val="clear" w:color="auto" w:fill="ACACAC"/>
          </w:tcPr>
          <w:p>
            <w:pPr>
              <w:spacing w:after="0"/>
              <w:rPr>
                <w:sz w:val="15"/>
                <w:szCs w:val="15"/>
                <w:color w:val="auto"/>
              </w:rPr>
            </w:pPr>
          </w:p>
        </w:tc>
        <w:tc>
          <w:tcPr>
            <w:tcW w:w="1020" w:type="dxa"/>
            <w:vAlign w:val="bottom"/>
            <w:vMerge w:val="continue"/>
            <w:shd w:val="clear" w:color="auto" w:fill="ACACAC"/>
          </w:tcPr>
          <w:p>
            <w:pPr>
              <w:spacing w:after="0"/>
              <w:rPr>
                <w:sz w:val="15"/>
                <w:szCs w:val="15"/>
                <w:color w:val="auto"/>
              </w:rPr>
            </w:pPr>
          </w:p>
        </w:tc>
        <w:tc>
          <w:tcPr>
            <w:tcW w:w="500" w:type="dxa"/>
            <w:vAlign w:val="bottom"/>
            <w:shd w:val="clear" w:color="auto" w:fill="ACACAC"/>
          </w:tcPr>
          <w:p>
            <w:pPr>
              <w:spacing w:after="0"/>
              <w:rPr>
                <w:sz w:val="15"/>
                <w:szCs w:val="15"/>
                <w:color w:val="auto"/>
              </w:rPr>
            </w:pPr>
          </w:p>
        </w:tc>
        <w:tc>
          <w:tcPr>
            <w:tcW w:w="1060" w:type="dxa"/>
            <w:vAlign w:val="bottom"/>
            <w:vMerge w:val="continue"/>
            <w:shd w:val="clear" w:color="auto" w:fill="ACACAC"/>
          </w:tcPr>
          <w:p>
            <w:pPr>
              <w:spacing w:after="0"/>
              <w:rPr>
                <w:sz w:val="15"/>
                <w:szCs w:val="15"/>
                <w:color w:val="auto"/>
              </w:rPr>
            </w:pPr>
          </w:p>
        </w:tc>
        <w:tc>
          <w:tcPr>
            <w:tcW w:w="56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end of year</w:t>
            </w:r>
          </w:p>
        </w:tc>
        <w:tc>
          <w:tcPr>
            <w:tcW w:w="0" w:type="dxa"/>
            <w:vAlign w:val="bottom"/>
          </w:tcPr>
          <w:p>
            <w:pPr>
              <w:spacing w:after="0"/>
              <w:rPr>
                <w:sz w:val="1"/>
                <w:szCs w:val="1"/>
                <w:color w:val="auto"/>
              </w:rPr>
            </w:pPr>
          </w:p>
        </w:tc>
      </w:tr>
      <w:tr>
        <w:trPr>
          <w:trHeight w:val="230"/>
        </w:trPr>
        <w:tc>
          <w:tcPr>
            <w:tcW w:w="232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900" w:type="dxa"/>
            <w:vAlign w:val="bottom"/>
            <w:shd w:val="clear" w:color="auto" w:fill="F4F4F4"/>
          </w:tcPr>
          <w:p>
            <w:pPr>
              <w:jc w:val="right"/>
              <w:ind w:right="2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4,011</w:t>
            </w:r>
          </w:p>
        </w:tc>
        <w:tc>
          <w:tcPr>
            <w:tcW w:w="46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6,787</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F4F4F4"/>
          </w:tcPr>
          <w:p>
            <w:pPr>
              <w:ind w:left="420"/>
              <w:spacing w:after="0"/>
              <w:rPr>
                <w:sz w:val="20"/>
                <w:szCs w:val="20"/>
                <w:color w:val="auto"/>
              </w:rPr>
            </w:pPr>
            <w:r>
              <w:rPr>
                <w:rFonts w:ascii="Arial" w:cs="Arial" w:eastAsia="Arial" w:hAnsi="Arial"/>
                <w:sz w:val="18"/>
                <w:szCs w:val="18"/>
                <w:color w:val="auto"/>
              </w:rPr>
              <w:t>(2,363)</w:t>
            </w:r>
          </w:p>
        </w:tc>
        <w:tc>
          <w:tcPr>
            <w:tcW w:w="500" w:type="dxa"/>
            <w:vAlign w:val="bottom"/>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581</w:t>
            </w:r>
          </w:p>
        </w:tc>
        <w:tc>
          <w:tcPr>
            <w:tcW w:w="560" w:type="dxa"/>
            <w:vAlign w:val="bottom"/>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2019</w:t>
            </w:r>
          </w:p>
        </w:tc>
        <w:tc>
          <w:tcPr>
            <w:tcW w:w="9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1,345</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2,476</w:t>
            </w:r>
          </w:p>
        </w:tc>
        <w:tc>
          <w:tcPr>
            <w:tcW w:w="520" w:type="dxa"/>
            <w:vAlign w:val="bottom"/>
          </w:tcPr>
          <w:p>
            <w:pPr>
              <w:spacing w:after="0"/>
              <w:rPr>
                <w:sz w:val="19"/>
                <w:szCs w:val="19"/>
                <w:color w:val="auto"/>
              </w:rPr>
            </w:pPr>
          </w:p>
        </w:tc>
        <w:tc>
          <w:tcPr>
            <w:tcW w:w="1020" w:type="dxa"/>
            <w:vAlign w:val="bottom"/>
          </w:tcPr>
          <w:p>
            <w:pPr>
              <w:ind w:left="420"/>
              <w:spacing w:after="0"/>
              <w:rPr>
                <w:sz w:val="20"/>
                <w:szCs w:val="20"/>
                <w:color w:val="auto"/>
              </w:rPr>
            </w:pPr>
            <w:r>
              <w:rPr>
                <w:rFonts w:ascii="Arial" w:cs="Arial" w:eastAsia="Arial" w:hAnsi="Arial"/>
                <w:sz w:val="18"/>
                <w:szCs w:val="18"/>
                <w:color w:val="auto"/>
              </w:rPr>
              <w:t>(2,617)</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679</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2018</w:t>
            </w:r>
          </w:p>
        </w:tc>
        <w:tc>
          <w:tcPr>
            <w:tcW w:w="900" w:type="dxa"/>
            <w:vAlign w:val="bottom"/>
            <w:tcBorders>
              <w:bottom w:val="single" w:sz="8" w:color="71BF43"/>
            </w:tcBorders>
            <w:shd w:val="clear" w:color="auto" w:fill="F4F4F4"/>
          </w:tcPr>
          <w:p>
            <w:pPr>
              <w:spacing w:after="0"/>
              <w:rPr>
                <w:sz w:val="19"/>
                <w:szCs w:val="19"/>
                <w:color w:val="auto"/>
              </w:rPr>
            </w:pPr>
          </w:p>
        </w:tc>
        <w:tc>
          <w:tcPr>
            <w:tcW w:w="15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741</w:t>
            </w:r>
          </w:p>
        </w:tc>
        <w:tc>
          <w:tcPr>
            <w:tcW w:w="460" w:type="dxa"/>
            <w:vAlign w:val="bottom"/>
            <w:tcBorders>
              <w:bottom w:val="single" w:sz="8" w:color="71BF43"/>
            </w:tcBorders>
            <w:shd w:val="clear" w:color="auto" w:fill="F4F4F4"/>
          </w:tcPr>
          <w:p>
            <w:pPr>
              <w:spacing w:after="0"/>
              <w:rPr>
                <w:sz w:val="19"/>
                <w:szCs w:val="19"/>
                <w:color w:val="auto"/>
              </w:rPr>
            </w:pP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2,446</w:t>
            </w:r>
          </w:p>
        </w:tc>
        <w:tc>
          <w:tcPr>
            <w:tcW w:w="520" w:type="dxa"/>
            <w:vAlign w:val="bottom"/>
            <w:tcBorders>
              <w:bottom w:val="single" w:sz="8" w:color="71BF43"/>
            </w:tcBorders>
            <w:shd w:val="clear" w:color="auto" w:fill="F4F4F4"/>
          </w:tcPr>
          <w:p>
            <w:pPr>
              <w:spacing w:after="0"/>
              <w:rPr>
                <w:sz w:val="19"/>
                <w:szCs w:val="19"/>
                <w:color w:val="auto"/>
              </w:rPr>
            </w:pPr>
          </w:p>
        </w:tc>
        <w:tc>
          <w:tcPr>
            <w:tcW w:w="1020" w:type="dxa"/>
            <w:vAlign w:val="bottom"/>
            <w:tcBorders>
              <w:bottom w:val="single" w:sz="8" w:color="71BF43"/>
            </w:tcBorders>
            <w:shd w:val="clear" w:color="auto" w:fill="F4F4F4"/>
          </w:tcPr>
          <w:p>
            <w:pPr>
              <w:ind w:left="420"/>
              <w:spacing w:after="0"/>
              <w:rPr>
                <w:sz w:val="20"/>
                <w:szCs w:val="20"/>
                <w:color w:val="auto"/>
              </w:rPr>
            </w:pPr>
            <w:r>
              <w:rPr>
                <w:rFonts w:ascii="Arial" w:cs="Arial" w:eastAsia="Arial" w:hAnsi="Arial"/>
                <w:sz w:val="18"/>
                <w:szCs w:val="18"/>
                <w:color w:val="auto"/>
              </w:rPr>
              <w:t>(2,663)</w:t>
            </w:r>
          </w:p>
        </w:tc>
        <w:tc>
          <w:tcPr>
            <w:tcW w:w="500" w:type="dxa"/>
            <w:vAlign w:val="bottom"/>
            <w:tcBorders>
              <w:bottom w:val="single" w:sz="8" w:color="71BF43"/>
            </w:tcBorders>
            <w:shd w:val="clear" w:color="auto" w:fill="F4F4F4"/>
          </w:tcPr>
          <w:p>
            <w:pPr>
              <w:spacing w:after="0"/>
              <w:rPr>
                <w:sz w:val="19"/>
                <w:szCs w:val="19"/>
                <w:color w:val="auto"/>
              </w:rPr>
            </w:pPr>
          </w:p>
        </w:tc>
        <w:tc>
          <w:tcPr>
            <w:tcW w:w="10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821</w:t>
            </w:r>
          </w:p>
        </w:tc>
        <w:tc>
          <w:tcPr>
            <w:tcW w:w="560" w:type="dxa"/>
            <w:vAlign w:val="bottom"/>
            <w:tcBorders>
              <w:bottom w:val="single" w:sz="8" w:color="71BF43"/>
            </w:tcBorders>
            <w:shd w:val="clear" w:color="auto" w:fill="F4F4F4"/>
          </w:tcPr>
          <w:p>
            <w:pPr>
              <w:spacing w:after="0"/>
              <w:rPr>
                <w:sz w:val="19"/>
                <w:szCs w:val="19"/>
                <w:color w:val="auto"/>
              </w:rPr>
            </w:pP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20" w:hanging="332"/>
        <w:spacing w:after="0" w:line="258" w:lineRule="auto"/>
        <w:tabs>
          <w:tab w:leader="none" w:pos="354" w:val="left"/>
        </w:tabs>
        <w:numPr>
          <w:ilvl w:val="0"/>
          <w:numId w:val="62"/>
        </w:numPr>
        <w:rPr>
          <w:rFonts w:ascii="Arial" w:cs="Arial" w:eastAsia="Arial" w:hAnsi="Arial"/>
          <w:sz w:val="14"/>
          <w:szCs w:val="14"/>
          <w:color w:val="auto"/>
        </w:rPr>
      </w:pPr>
      <w:r>
        <w:rPr>
          <w:rFonts w:ascii="Arial" w:cs="Arial" w:eastAsia="Arial" w:hAnsi="Arial"/>
          <w:sz w:val="14"/>
          <w:szCs w:val="14"/>
          <w:color w:val="auto"/>
        </w:rPr>
        <w:t>Upon adoption of ASU 2016-13 at January 1, 2020, we reclassified certain balances previously disclosed within the allowance for sales returns to the allowance for credit losses, as these amounts reflect the credit risk associated with our accounts receivable. The amount reclassified was $2.1 million.</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increase in our allowance for credit losses during the year ended December 31, 2020 was primarily due to an increase in the aging of our receivables during the second and third quarters of 2020 associated with the COVID-19 pandemic. We saw some improvement in our customers' payment behavior during the fourth quarter. The amount of write-offs during the year ended December 31, 2020 was lower than the amount of write-offs during the same period in 2019 as we temporarily suspended sending past due customer accounts to collections during the second and third quarters due to payment delays related to COVID-19.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sales returns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a reserve for returns and credits which is estimated based on several factors including historical experience, known credits yet to be issued, the aging of customer accounts and the nature of service level commitments. A considerable amount of judgment is required in assessing these factors. Provisions for sales returns and credits are charged against the related revenue items.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sales returns.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ended December 31,</w:t>
            </w:r>
          </w:p>
        </w:tc>
        <w:tc>
          <w:tcPr>
            <w:tcW w:w="900" w:type="dxa"/>
            <w:vAlign w:val="bottom"/>
            <w:shd w:val="clear" w:color="auto" w:fill="ACACAC"/>
          </w:tcPr>
          <w:p>
            <w:pPr>
              <w:spacing w:after="0"/>
              <w:rPr>
                <w:sz w:val="14"/>
                <w:szCs w:val="14"/>
                <w:color w:val="auto"/>
              </w:rPr>
            </w:pPr>
          </w:p>
        </w:tc>
        <w:tc>
          <w:tcPr>
            <w:tcW w:w="15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820" w:type="dxa"/>
            <w:vAlign w:val="bottom"/>
            <w:shd w:val="clear" w:color="auto" w:fill="ACACAC"/>
          </w:tcPr>
          <w:p>
            <w:pPr>
              <w:spacing w:after="0"/>
              <w:rPr>
                <w:sz w:val="14"/>
                <w:szCs w:val="14"/>
                <w:color w:val="auto"/>
              </w:rPr>
            </w:pP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Provision/</w:t>
            </w:r>
          </w:p>
        </w:tc>
        <w:tc>
          <w:tcPr>
            <w:tcW w:w="860" w:type="dxa"/>
            <w:vAlign w:val="bottom"/>
            <w:shd w:val="clear" w:color="auto" w:fill="ACACAC"/>
          </w:tcPr>
          <w:p>
            <w:pPr>
              <w:spacing w:after="0"/>
              <w:rPr>
                <w:sz w:val="14"/>
                <w:szCs w:val="14"/>
                <w:color w:val="auto"/>
              </w:rPr>
            </w:pPr>
          </w:p>
        </w:tc>
        <w:tc>
          <w:tcPr>
            <w:tcW w:w="14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Deduction</w:t>
            </w:r>
          </w:p>
        </w:tc>
        <w:tc>
          <w:tcPr>
            <w:tcW w:w="58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0" w:type="dxa"/>
            <w:vAlign w:val="bottom"/>
          </w:tcPr>
          <w:p>
            <w:pPr>
              <w:spacing w:after="0"/>
              <w:rPr>
                <w:sz w:val="1"/>
                <w:szCs w:val="1"/>
                <w:color w:val="auto"/>
              </w:rPr>
            </w:pPr>
          </w:p>
        </w:tc>
      </w:tr>
      <w:tr>
        <w:trPr>
          <w:trHeight w:val="175"/>
        </w:trPr>
        <w:tc>
          <w:tcPr>
            <w:tcW w:w="2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900" w:type="dxa"/>
            <w:vAlign w:val="bottom"/>
            <w:shd w:val="clear" w:color="auto" w:fill="ACACAC"/>
          </w:tcPr>
          <w:p>
            <w:pPr>
              <w:spacing w:after="0"/>
              <w:rPr>
                <w:sz w:val="15"/>
                <w:szCs w:val="15"/>
                <w:color w:val="auto"/>
              </w:rPr>
            </w:pPr>
          </w:p>
        </w:tc>
        <w:tc>
          <w:tcPr>
            <w:tcW w:w="15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beginning of year</w:t>
            </w:r>
          </w:p>
        </w:tc>
        <w:tc>
          <w:tcPr>
            <w:tcW w:w="820" w:type="dxa"/>
            <w:vAlign w:val="bottom"/>
            <w:shd w:val="clear" w:color="auto" w:fill="ACACAC"/>
          </w:tcPr>
          <w:p>
            <w:pPr>
              <w:spacing w:after="0"/>
              <w:rPr>
                <w:sz w:val="15"/>
                <w:szCs w:val="15"/>
                <w:color w:val="auto"/>
              </w:rPr>
            </w:pPr>
          </w:p>
        </w:tc>
        <w:tc>
          <w:tcPr>
            <w:tcW w:w="15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adjustment</w:t>
            </w:r>
          </w:p>
        </w:tc>
        <w:tc>
          <w:tcPr>
            <w:tcW w:w="860" w:type="dxa"/>
            <w:vAlign w:val="bottom"/>
            <w:shd w:val="clear" w:color="auto" w:fill="ACACAC"/>
          </w:tcPr>
          <w:p>
            <w:pPr>
              <w:spacing w:after="0"/>
              <w:rPr>
                <w:sz w:val="15"/>
                <w:szCs w:val="15"/>
                <w:color w:val="auto"/>
              </w:rPr>
            </w:pPr>
          </w:p>
        </w:tc>
        <w:tc>
          <w:tcPr>
            <w:tcW w:w="1460" w:type="dxa"/>
            <w:vAlign w:val="bottom"/>
            <w:vMerge w:val="continue"/>
            <w:shd w:val="clear" w:color="auto" w:fill="ACACAC"/>
          </w:tcPr>
          <w:p>
            <w:pPr>
              <w:spacing w:after="0"/>
              <w:rPr>
                <w:sz w:val="15"/>
                <w:szCs w:val="15"/>
                <w:color w:val="auto"/>
              </w:rPr>
            </w:pPr>
          </w:p>
        </w:tc>
        <w:tc>
          <w:tcPr>
            <w:tcW w:w="58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end of year</w:t>
            </w:r>
          </w:p>
        </w:tc>
        <w:tc>
          <w:tcPr>
            <w:tcW w:w="0" w:type="dxa"/>
            <w:vAlign w:val="bottom"/>
          </w:tcPr>
          <w:p>
            <w:pPr>
              <w:spacing w:after="0"/>
              <w:rPr>
                <w:sz w:val="1"/>
                <w:szCs w:val="1"/>
                <w:color w:val="auto"/>
              </w:rPr>
            </w:pPr>
          </w:p>
        </w:tc>
      </w:tr>
      <w:tr>
        <w:trPr>
          <w:trHeight w:val="230"/>
        </w:trPr>
        <w:tc>
          <w:tcPr>
            <w:tcW w:w="232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900" w:type="dxa"/>
            <w:vAlign w:val="bottom"/>
            <w:shd w:val="clear" w:color="auto" w:fill="F4F4F4"/>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1,518</w:t>
            </w:r>
          </w:p>
        </w:tc>
        <w:tc>
          <w:tcPr>
            <w:tcW w:w="820" w:type="dxa"/>
            <w:vAlign w:val="bottom"/>
            <w:shd w:val="clear" w:color="auto" w:fill="F4F4F4"/>
          </w:tcPr>
          <w:p>
            <w:pPr>
              <w:jc w:val="right"/>
              <w:ind w:right="6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6,443</w:t>
            </w:r>
          </w:p>
        </w:tc>
        <w:tc>
          <w:tcPr>
            <w:tcW w:w="860" w:type="dxa"/>
            <w:vAlign w:val="bottom"/>
            <w:shd w:val="clear" w:color="auto" w:fill="F4F4F4"/>
          </w:tcPr>
          <w:p>
            <w:pPr>
              <w:jc w:val="right"/>
              <w:ind w:right="6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(6,685)</w:t>
            </w:r>
          </w:p>
        </w:tc>
        <w:tc>
          <w:tcPr>
            <w:tcW w:w="580" w:type="dxa"/>
            <w:vAlign w:val="bottom"/>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2019</w:t>
            </w:r>
          </w:p>
        </w:tc>
        <w:tc>
          <w:tcPr>
            <w:tcW w:w="9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3,377</w:t>
            </w:r>
          </w:p>
        </w:tc>
        <w:tc>
          <w:tcPr>
            <w:tcW w:w="8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6,232</w:t>
            </w:r>
          </w:p>
        </w:tc>
        <w:tc>
          <w:tcPr>
            <w:tcW w:w="8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(5,963)</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2018</w:t>
            </w:r>
          </w:p>
        </w:tc>
        <w:tc>
          <w:tcPr>
            <w:tcW w:w="900" w:type="dxa"/>
            <w:vAlign w:val="bottom"/>
            <w:tcBorders>
              <w:bottom w:val="single" w:sz="8" w:color="71BF43"/>
            </w:tcBorders>
            <w:shd w:val="clear" w:color="auto" w:fill="F4F4F4"/>
          </w:tcPr>
          <w:p>
            <w:pPr>
              <w:spacing w:after="0"/>
              <w:rPr>
                <w:sz w:val="19"/>
                <w:szCs w:val="19"/>
                <w:color w:val="auto"/>
              </w:rPr>
            </w:pPr>
          </w:p>
        </w:tc>
        <w:tc>
          <w:tcPr>
            <w:tcW w:w="15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4,400</w:t>
            </w:r>
          </w:p>
        </w:tc>
        <w:tc>
          <w:tcPr>
            <w:tcW w:w="820" w:type="dxa"/>
            <w:vAlign w:val="bottom"/>
            <w:tcBorders>
              <w:bottom w:val="single" w:sz="8" w:color="71BF43"/>
            </w:tcBorders>
            <w:shd w:val="clear" w:color="auto" w:fill="F4F4F4"/>
          </w:tcPr>
          <w:p>
            <w:pPr>
              <w:spacing w:after="0"/>
              <w:rPr>
                <w:sz w:val="19"/>
                <w:szCs w:val="19"/>
                <w:color w:val="auto"/>
              </w:rPr>
            </w:pPr>
          </w:p>
        </w:tc>
        <w:tc>
          <w:tcPr>
            <w:tcW w:w="15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4,952</w:t>
            </w:r>
          </w:p>
        </w:tc>
        <w:tc>
          <w:tcPr>
            <w:tcW w:w="860" w:type="dxa"/>
            <w:vAlign w:val="bottom"/>
            <w:tcBorders>
              <w:bottom w:val="single" w:sz="8" w:color="71BF43"/>
            </w:tcBorders>
            <w:shd w:val="clear" w:color="auto" w:fill="F4F4F4"/>
          </w:tcPr>
          <w:p>
            <w:pPr>
              <w:spacing w:after="0"/>
              <w:rPr>
                <w:sz w:val="19"/>
                <w:szCs w:val="19"/>
                <w:color w:val="auto"/>
              </w:rPr>
            </w:pPr>
          </w:p>
        </w:tc>
        <w:tc>
          <w:tcPr>
            <w:tcW w:w="14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(5,975)</w:t>
            </w:r>
          </w:p>
        </w:tc>
        <w:tc>
          <w:tcPr>
            <w:tcW w:w="580" w:type="dxa"/>
            <w:vAlign w:val="bottom"/>
            <w:tcBorders>
              <w:bottom w:val="single" w:sz="8" w:color="71BF43"/>
            </w:tcBorders>
            <w:shd w:val="clear" w:color="auto" w:fill="F4F4F4"/>
          </w:tcPr>
          <w:p>
            <w:pPr>
              <w:spacing w:after="0"/>
              <w:rPr>
                <w:sz w:val="19"/>
                <w:szCs w:val="19"/>
                <w:color w:val="auto"/>
              </w:rPr>
            </w:pP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58" w:lineRule="auto"/>
        <w:tabs>
          <w:tab w:leader="none" w:pos="354"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 discussed above, we reclassified certain balances previously disclosed within the allowance for sales returns to the allowance for credit losses upon adoption of ASU 2016-13 at January 1, 2020. The amount reclassified was $2.1 million.</w:t>
      </w:r>
    </w:p>
    <w:p>
      <w:pPr>
        <w:spacing w:after="0" w:line="267"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expense advertising costs as incurred, which were $3.0 million, $3.1 million and $4.0 million for the years ended December 31, 2020, 2019 and 2018,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costs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Restructuring costs include charges for the costs of exit or disposal activities. The liability for costs associated with exit or disposal activities is measured initially at fair value and only recognized when the liability is incurred. For details of our restructuring activities, see Note 19 to these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ROU assets, accrued expense and other current liabilities, and operating lease liabilities, net of current portion in our consolidated balance sheet as of December 31, 2020.</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most of our leases do not provide an implicit rate, we generally use our incremental borrowing rate in determining the present value of lease payments. Our incremental borrowing rate is based on the estimated rate of interest for collateralized borrowing over a similar term of the lease payments at the commencement date. We use the implicit rate when readily determinable. The operating lease ROU asset also includes any initial direct costs and lease payments made and excludes lease incentives. Our lease terms may include options to extend or terminate the lease when it is reasonably certain that we will exercise that option. Lease expense for lease payments related to our operating leases is recognized on a straight-line basis over the lease term. We have lease agreements with lease and non-lease components, which are generally accounted for separately. We do not recognize short-term leases (those that, at the commencement date, have a lease term of 12 months or less) on our consolidated balance sheets. Variable lease payments, which are primarily comprised of common-area maintenance, utilities and real estate taxes that are passed on from the lessor in proportion to the space leased by us, are recognized in operating expenses in the period in which the obligation for those payments is incurred.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the possibility of various loss contingencies in the normal course of business. We record an accrual for a contingency when it is both probable that a liability has been incurred and the amount of the loss can be reasonably estimated. Often these issues are subject to substantial uncertainties and, therefore, the probability of loss and the estimation of damages are difficult to ascertain. These assessments can involve a series of complex judgments about future events and can rely heavily on estimates and assumptions that have been deemed reasonable by us. Although we believe we have substantial defenses in these matters, we could incur judgments or enter into settlements of claims that could have a material adverse effect on our consolidated financial position, results of operations or cash flows in any particular period.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compute basic earnings per share by dividing net income available to common stockholders by the weighted average number of common shares outstanding during the period. Diluted earnings per share is computed by dividing net income available to common stockholders by the weighted average number of common shares and dilutive potential common shares outstanding during the period. Diluted earnings per share reflect the assumed exercise, settlement and vesting of all dilutive securities using the “treasury stock method” except when the effect is anti-dilutive. Potentially dilutive securities consist of shares issuable upon the exercise of stock options and stock appreciation rights and vesting of restricted stock awards and units.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78  </w:t>
      </w:r>
      <w:r>
        <w:rPr>
          <w:sz w:val="1"/>
          <w:szCs w:val="1"/>
          <w:color w:val="auto"/>
        </w:rPr>
        <w:drawing>
          <wp:inline distT="0" distB="0" distL="0" distR="0">
            <wp:extent cx="728345" cy="18859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YourCause</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2, 2019, we acquired all of the outstanding equity securities, including all voting equity interests, of YourCause Holdings, LLC, a Delaware limited liability company ("YourCause"), pursuant to a purchase agreement and plan of merger. The acquisition expanded our footprint in corporate social responsibility and employee engagement and enhanced our position as a leader in providing solutions to both nonprofit organizations and for-profit companies committed to addressing social issues. We acquired the equity securities for an aggregate purchase price of $157.7 million in cash, net of closing adjustments. The purchase price and related expenses were funded primarily through borrowings under the 2017 Credit Facility. As a result of the acquisition, YourCause became a wholly owned subsidiary of ours. We finalized the purchase price allocation of YourCause, including the valuation of assets acquired and liabilities assumed, during the fourth quarter of 2019. All measurement period adjustments were insignificant. We determined that the impact of this acquisition was not material to our consolidated financial statements; therefore, revenue and earnings since the acquisition date and pro forma information are not required or presented.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Reeher</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2018, we acquired all of the outstanding equity securities, including all voting equity interests, of Reeher LLC, a Minnesota limited liability company (“Reeher”), pursuant to a securities purchase agreement. The acquisition expanded our fundraising performance management capabilities with the goal of driving more effective fundraising and greater social good outcomes for our customers. We acquired the equity securities for an aggregate purchase price of $41.2 million in cash, net of closing adjustments. The purchase price and related expenses were funded primarily through borrowings under the 2017 Credit Facility. As a result of the acquisition, Reeher became a wholly owned subsidiary of ours. We finalized the purchase price allocation of Reeher, including the valuation of assets acquired and liabilities assumed, during the second quarter of 2019. All measurement period adjustments were insignificant. We determined that the impact of this acquisition was not material to our consolidated financial statements; therefore, revenue and earnings since the acquisition date and pro forma information are not required or presented.</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goodwill during 2020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16"/>
                <w:szCs w:val="16"/>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30"/>
        </w:trPr>
        <w:tc>
          <w:tcPr>
            <w:tcW w:w="1004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0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634,088</w:t>
            </w:r>
          </w:p>
        </w:tc>
      </w:tr>
      <w:tr>
        <w:trPr>
          <w:trHeight w:val="230"/>
        </w:trPr>
        <w:tc>
          <w:tcPr>
            <w:tcW w:w="1004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r>
      <w:tr>
        <w:trPr>
          <w:trHeight w:val="223"/>
        </w:trPr>
        <w:tc>
          <w:tcPr>
            <w:tcW w:w="100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00" w:type="dxa"/>
            <w:vAlign w:val="bottom"/>
            <w:tcBorders>
              <w:bottom w:val="single" w:sz="8" w:color="71BF43"/>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635,854</w:t>
            </w:r>
          </w:p>
        </w:tc>
      </w:tr>
      <w:tr>
        <w:trPr>
          <w:trHeight w:val="697"/>
        </w:trPr>
        <w:tc>
          <w:tcPr>
            <w:tcW w:w="10040" w:type="dxa"/>
            <w:vAlign w:val="bottom"/>
          </w:tcPr>
          <w:p>
            <w:pPr>
              <w:ind w:left="8420"/>
              <w:spacing w:after="0"/>
              <w:rPr>
                <w:sz w:val="20"/>
                <w:szCs w:val="20"/>
                <w:color w:val="auto"/>
              </w:rPr>
            </w:pPr>
            <w:r>
              <w:rPr>
                <w:rFonts w:ascii="Arial" w:cs="Arial" w:eastAsia="Arial" w:hAnsi="Arial"/>
                <w:sz w:val="14"/>
                <w:szCs w:val="14"/>
                <w:color w:val="auto"/>
              </w:rPr>
              <w:t>2020 Form 10-K</w:t>
            </w:r>
          </w:p>
        </w:tc>
        <w:tc>
          <w:tcPr>
            <w:tcW w:w="300" w:type="dxa"/>
            <w:vAlign w:val="bottom"/>
          </w:tcPr>
          <w:p>
            <w:pPr>
              <w:spacing w:after="0"/>
              <w:rPr>
                <w:sz w:val="24"/>
                <w:szCs w:val="2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color w:val="auto"/>
              </w:rPr>
              <w:t>79</w:t>
            </w:r>
          </w:p>
        </w:tc>
      </w:tr>
      <w:tr>
        <w:trPr>
          <w:trHeight w:val="316"/>
        </w:trPr>
        <w:tc>
          <w:tcPr>
            <w:tcW w:w="10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-393700</wp:posOffset>
            </wp:positionV>
            <wp:extent cx="72898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recorded intangible assets acquired in various business combinations based on their fair values at the date of acquisition. The table below sets forth the balances of each class of intangible asset and related amortization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3"/>
        </w:trPr>
        <w:tc>
          <w:tcPr>
            <w:tcW w:w="85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60" w:type="dxa"/>
            <w:vAlign w:val="bottom"/>
            <w:shd w:val="clear" w:color="auto" w:fill="ACACAC"/>
          </w:tcPr>
          <w:p>
            <w:pPr>
              <w:spacing w:after="0"/>
              <w:rPr>
                <w:sz w:val="17"/>
                <w:szCs w:val="17"/>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29"/>
        </w:trPr>
        <w:tc>
          <w:tcPr>
            <w:tcW w:w="85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Finite-lived gross carrying amount</w:t>
            </w:r>
          </w:p>
        </w:tc>
        <w:tc>
          <w:tcPr>
            <w:tcW w:w="32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r>
      <w:tr>
        <w:trPr>
          <w:trHeight w:val="230"/>
        </w:trPr>
        <w:tc>
          <w:tcPr>
            <w:tcW w:w="85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287,116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286,951</w:t>
            </w:r>
          </w:p>
        </w:tc>
      </w:tr>
      <w:tr>
        <w:trPr>
          <w:trHeight w:val="229"/>
        </w:trPr>
        <w:tc>
          <w:tcPr>
            <w:tcW w:w="85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Marketing assets</w:t>
            </w:r>
          </w:p>
        </w:tc>
        <w:tc>
          <w:tcPr>
            <w:tcW w:w="320" w:type="dxa"/>
            <w:vAlign w:val="bottom"/>
            <w:shd w:val="clear" w:color="auto" w:fill="F4F4F4"/>
          </w:tcPr>
          <w:p>
            <w:pPr>
              <w:spacing w:after="0"/>
              <w:rPr>
                <w:sz w:val="19"/>
                <w:szCs w:val="19"/>
                <w:color w:val="auto"/>
              </w:rPr>
            </w:pP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34,642</w:t>
            </w:r>
          </w:p>
        </w:tc>
        <w:tc>
          <w:tcPr>
            <w:tcW w:w="26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34,246</w:t>
            </w:r>
          </w:p>
        </w:tc>
      </w:tr>
      <w:tr>
        <w:trPr>
          <w:trHeight w:val="229"/>
        </w:trPr>
        <w:tc>
          <w:tcPr>
            <w:tcW w:w="8520" w:type="dxa"/>
            <w:vAlign w:val="bottom"/>
          </w:tcPr>
          <w:p>
            <w:pPr>
              <w:ind w:left="140"/>
              <w:spacing w:after="0"/>
              <w:rPr>
                <w:sz w:val="20"/>
                <w:szCs w:val="20"/>
                <w:color w:val="auto"/>
              </w:rPr>
            </w:pPr>
            <w:r>
              <w:rPr>
                <w:rFonts w:ascii="Arial" w:cs="Arial" w:eastAsia="Arial" w:hAnsi="Arial"/>
                <w:sz w:val="18"/>
                <w:szCs w:val="18"/>
                <w:color w:val="auto"/>
              </w:rPr>
              <w:t>Acquired software and technology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232,339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233,094</w:t>
            </w:r>
          </w:p>
        </w:tc>
      </w:tr>
      <w:tr>
        <w:trPr>
          <w:trHeight w:val="230"/>
        </w:trPr>
        <w:tc>
          <w:tcPr>
            <w:tcW w:w="85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Non-compete agreements</w:t>
            </w:r>
          </w:p>
        </w:tc>
        <w:tc>
          <w:tcPr>
            <w:tcW w:w="32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2,200</w:t>
            </w:r>
          </w:p>
        </w:tc>
      </w:tr>
      <w:tr>
        <w:trPr>
          <w:trHeight w:val="223"/>
        </w:trPr>
        <w:tc>
          <w:tcPr>
            <w:tcW w:w="8520" w:type="dxa"/>
            <w:vAlign w:val="bottom"/>
            <w:tcBorders>
              <w:bottom w:val="single" w:sz="8" w:color="F4F4F4"/>
            </w:tcBorders>
          </w:tcPr>
          <w:p>
            <w:pPr>
              <w:ind w:left="20"/>
              <w:spacing w:after="0"/>
              <w:rPr>
                <w:sz w:val="20"/>
                <w:szCs w:val="20"/>
                <w:color w:val="auto"/>
              </w:rPr>
            </w:pPr>
            <w:r>
              <w:rPr>
                <w:rFonts w:ascii="Arial" w:cs="Arial" w:eastAsia="Arial" w:hAnsi="Arial"/>
                <w:sz w:val="18"/>
                <w:szCs w:val="18"/>
                <w:b w:val="1"/>
                <w:bCs w:val="1"/>
                <w:color w:val="auto"/>
              </w:rPr>
              <w:t>Total finite-lived gross carrying amount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554,097</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556,491</w:t>
            </w:r>
          </w:p>
        </w:tc>
      </w:tr>
      <w:tr>
        <w:trPr>
          <w:trHeight w:val="210"/>
        </w:trPr>
        <w:tc>
          <w:tcPr>
            <w:tcW w:w="85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320" w:type="dxa"/>
            <w:vAlign w:val="bottom"/>
            <w:shd w:val="clear" w:color="auto" w:fill="F4F4F4"/>
          </w:tcPr>
          <w:p>
            <w:pPr>
              <w:spacing w:after="0"/>
              <w:rPr>
                <w:sz w:val="18"/>
                <w:szCs w:val="18"/>
                <w:color w:val="auto"/>
              </w:rPr>
            </w:pPr>
          </w:p>
        </w:tc>
        <w:tc>
          <w:tcPr>
            <w:tcW w:w="1020" w:type="dxa"/>
            <w:vAlign w:val="bottom"/>
            <w:shd w:val="clear" w:color="auto" w:fill="F4F4F4"/>
          </w:tcPr>
          <w:p>
            <w:pPr>
              <w:spacing w:after="0"/>
              <w:rPr>
                <w:sz w:val="18"/>
                <w:szCs w:val="18"/>
                <w:color w:val="auto"/>
              </w:rPr>
            </w:pPr>
          </w:p>
        </w:tc>
        <w:tc>
          <w:tcPr>
            <w:tcW w:w="260" w:type="dxa"/>
            <w:vAlign w:val="bottom"/>
            <w:shd w:val="clear" w:color="auto" w:fill="F4F4F4"/>
          </w:tcPr>
          <w:p>
            <w:pPr>
              <w:spacing w:after="0"/>
              <w:rPr>
                <w:sz w:val="18"/>
                <w:szCs w:val="18"/>
                <w:color w:val="auto"/>
              </w:rPr>
            </w:pPr>
          </w:p>
        </w:tc>
        <w:tc>
          <w:tcPr>
            <w:tcW w:w="1100" w:type="dxa"/>
            <w:vAlign w:val="bottom"/>
            <w:shd w:val="clear" w:color="auto" w:fill="F4F4F4"/>
          </w:tcPr>
          <w:p>
            <w:pPr>
              <w:spacing w:after="0"/>
              <w:rPr>
                <w:sz w:val="18"/>
                <w:szCs w:val="18"/>
                <w:color w:val="auto"/>
              </w:rPr>
            </w:pPr>
          </w:p>
        </w:tc>
      </w:tr>
      <w:tr>
        <w:trPr>
          <w:trHeight w:val="229"/>
        </w:trPr>
        <w:tc>
          <w:tcPr>
            <w:tcW w:w="85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(138,635)</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(118,031)</w:t>
            </w:r>
          </w:p>
        </w:tc>
      </w:tr>
      <w:tr>
        <w:trPr>
          <w:trHeight w:val="230"/>
        </w:trPr>
        <w:tc>
          <w:tcPr>
            <w:tcW w:w="85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Marketing assets</w:t>
            </w:r>
          </w:p>
        </w:tc>
        <w:tc>
          <w:tcPr>
            <w:tcW w:w="320" w:type="dxa"/>
            <w:vAlign w:val="bottom"/>
            <w:shd w:val="clear" w:color="auto" w:fill="F4F4F4"/>
          </w:tcPr>
          <w:p>
            <w:pPr>
              <w:spacing w:after="0"/>
              <w:rPr>
                <w:sz w:val="19"/>
                <w:szCs w:val="19"/>
                <w:color w:val="auto"/>
              </w:rPr>
            </w:pP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(5,918)</w:t>
            </w:r>
          </w:p>
        </w:tc>
        <w:tc>
          <w:tcPr>
            <w:tcW w:w="26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(3,648)</w:t>
            </w:r>
          </w:p>
        </w:tc>
      </w:tr>
      <w:tr>
        <w:trPr>
          <w:trHeight w:val="229"/>
        </w:trPr>
        <w:tc>
          <w:tcPr>
            <w:tcW w:w="8520" w:type="dxa"/>
            <w:vAlign w:val="bottom"/>
          </w:tcPr>
          <w:p>
            <w:pPr>
              <w:ind w:left="140"/>
              <w:spacing w:after="0"/>
              <w:rPr>
                <w:sz w:val="20"/>
                <w:szCs w:val="20"/>
                <w:color w:val="auto"/>
              </w:rPr>
            </w:pPr>
            <w:r>
              <w:rPr>
                <w:rFonts w:ascii="Arial" w:cs="Arial" w:eastAsia="Arial" w:hAnsi="Arial"/>
                <w:sz w:val="18"/>
                <w:szCs w:val="18"/>
                <w:color w:val="auto"/>
              </w:rPr>
              <w:t>Acquired software and technology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(132,038)</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(115,048)</w:t>
            </w:r>
          </w:p>
        </w:tc>
      </w:tr>
      <w:tr>
        <w:trPr>
          <w:trHeight w:val="229"/>
        </w:trPr>
        <w:tc>
          <w:tcPr>
            <w:tcW w:w="85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Non-compete agreements</w:t>
            </w:r>
          </w:p>
        </w:tc>
        <w:tc>
          <w:tcPr>
            <w:tcW w:w="32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(1,869)</w:t>
            </w:r>
          </w:p>
        </w:tc>
      </w:tr>
      <w:tr>
        <w:trPr>
          <w:trHeight w:val="223"/>
        </w:trPr>
        <w:tc>
          <w:tcPr>
            <w:tcW w:w="8520" w:type="dxa"/>
            <w:vAlign w:val="bottom"/>
            <w:tcBorders>
              <w:bottom w:val="single" w:sz="8" w:color="F4F4F4"/>
            </w:tcBorders>
          </w:tcPr>
          <w:p>
            <w:pPr>
              <w:ind w:left="20"/>
              <w:spacing w:after="0"/>
              <w:rPr>
                <w:sz w:val="20"/>
                <w:szCs w:val="20"/>
                <w:color w:val="auto"/>
              </w:rPr>
            </w:pPr>
            <w:r>
              <w:rPr>
                <w:rFonts w:ascii="Arial" w:cs="Arial" w:eastAsia="Arial" w:hAnsi="Arial"/>
                <w:sz w:val="18"/>
                <w:szCs w:val="18"/>
                <w:b w:val="1"/>
                <w:bCs w:val="1"/>
                <w:color w:val="auto"/>
              </w:rPr>
              <w:t>Total accumulated amortization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(276,591)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(238,596)</w:t>
            </w:r>
          </w:p>
        </w:tc>
      </w:tr>
      <w:tr>
        <w:trPr>
          <w:trHeight w:val="223"/>
        </w:trPr>
        <w:tc>
          <w:tcPr>
            <w:tcW w:w="85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320" w:type="dxa"/>
            <w:vAlign w:val="bottom"/>
            <w:tcBorders>
              <w:bottom w:val="single" w:sz="8" w:color="71BF43"/>
            </w:tcBorders>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277,506</w:t>
            </w:r>
          </w:p>
        </w:tc>
        <w:tc>
          <w:tcPr>
            <w:tcW w:w="26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317,895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-2056765</wp:posOffset>
            </wp:positionV>
            <wp:extent cx="1714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year ended December 31, 2020, changes to the gross carrying amounts of intangible asset classes were primarily related to write-offs of fully amortized intangible assets and the effect of foreign currency translation.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2019, we recorded an impairment charge of $0.9 million against an acquired marketing asset that reduced the carrying value of the asset to zero. The impairment charge resulted from our decision during the year to rebrand the solution to which the asset related. This impairment charge was recorded as amortization on our consolidated statements of comprehensive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related to finite-lived intangible assets acquired in business combinations is allocated to cost of revenue on the consolidated statements of comprehensive income based on the revenue stream to which the asset contributes, except for marketing assets and non-compete agreements, for which the associated amortization expense is included in operating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amortization expense of our finite-lived intangible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660" w:type="dxa"/>
            <w:vAlign w:val="bottom"/>
            <w:shd w:val="clear" w:color="auto" w:fill="ACACAC"/>
          </w:tcPr>
          <w:p>
            <w:pPr>
              <w:spacing w:after="0"/>
              <w:rPr>
                <w:sz w:val="16"/>
                <w:szCs w:val="16"/>
                <w:color w:val="auto"/>
              </w:rPr>
            </w:pPr>
          </w:p>
        </w:tc>
        <w:tc>
          <w:tcPr>
            <w:tcW w:w="550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500" w:type="dxa"/>
            <w:vAlign w:val="bottom"/>
            <w:shd w:val="clear" w:color="auto" w:fill="ACACAC"/>
          </w:tcPr>
          <w:p>
            <w:pPr>
              <w:spacing w:after="0"/>
              <w:rPr>
                <w:sz w:val="17"/>
                <w:szCs w:val="17"/>
                <w:color w:val="auto"/>
              </w:rPr>
            </w:pPr>
          </w:p>
        </w:tc>
        <w:tc>
          <w:tcPr>
            <w:tcW w:w="420" w:type="dxa"/>
            <w:vAlign w:val="bottom"/>
            <w:shd w:val="clear" w:color="auto" w:fill="ACACAC"/>
          </w:tcPr>
          <w:p>
            <w:pPr>
              <w:spacing w:after="0"/>
              <w:rPr>
                <w:sz w:val="17"/>
                <w:szCs w:val="17"/>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ACACAC"/>
          </w:tcPr>
          <w:p>
            <w:pPr>
              <w:spacing w:after="0"/>
              <w:rPr>
                <w:sz w:val="17"/>
                <w:szCs w:val="17"/>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420" w:type="dxa"/>
            <w:vAlign w:val="bottom"/>
            <w:shd w:val="clear" w:color="auto" w:fill="ACACAC"/>
          </w:tcPr>
          <w:p>
            <w:pPr>
              <w:spacing w:after="0"/>
              <w:rPr>
                <w:sz w:val="17"/>
                <w:szCs w:val="17"/>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shd w:val="clear" w:color="auto" w:fill="F4F4F4"/>
          </w:tcPr>
          <w:p>
            <w:pPr>
              <w:ind w:left="120"/>
              <w:spacing w:after="0"/>
              <w:rPr>
                <w:sz w:val="20"/>
                <w:szCs w:val="20"/>
                <w:color w:val="auto"/>
              </w:rPr>
            </w:pPr>
            <w:r>
              <w:rPr>
                <w:rFonts w:ascii="Arial" w:cs="Arial" w:eastAsia="Arial" w:hAnsi="Arial"/>
                <w:sz w:val="18"/>
                <w:szCs w:val="18"/>
                <w:color w:val="auto"/>
              </w:rPr>
              <w:t>Included in cost of revenue:</w:t>
            </w:r>
          </w:p>
        </w:tc>
        <w:tc>
          <w:tcPr>
            <w:tcW w:w="42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ind w:left="240"/>
              <w:spacing w:after="0"/>
              <w:rPr>
                <w:sz w:val="20"/>
                <w:szCs w:val="20"/>
                <w:color w:val="auto"/>
              </w:rPr>
            </w:pPr>
            <w:r>
              <w:rPr>
                <w:rFonts w:ascii="Arial" w:cs="Arial" w:eastAsia="Arial" w:hAnsi="Arial"/>
                <w:sz w:val="18"/>
                <w:szCs w:val="18"/>
                <w:color w:val="auto"/>
              </w:rPr>
              <w:t>Cost of recurring</w:t>
            </w:r>
          </w:p>
        </w:tc>
        <w:tc>
          <w:tcPr>
            <w:tcW w:w="55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36,835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42,565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39,877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F4F4F4"/>
          </w:tcPr>
          <w:p>
            <w:pPr>
              <w:ind w:left="240"/>
              <w:spacing w:after="0"/>
              <w:rPr>
                <w:sz w:val="20"/>
                <w:szCs w:val="20"/>
                <w:color w:val="auto"/>
              </w:rPr>
            </w:pPr>
            <w:r>
              <w:rPr>
                <w:rFonts w:ascii="Arial" w:cs="Arial" w:eastAsia="Arial" w:hAnsi="Arial"/>
                <w:sz w:val="18"/>
                <w:szCs w:val="18"/>
                <w:color w:val="auto"/>
              </w:rPr>
              <w:t>Cost of one-time services and other</w:t>
            </w:r>
          </w:p>
        </w:tc>
        <w:tc>
          <w:tcPr>
            <w:tcW w:w="42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2,133</w:t>
            </w:r>
          </w:p>
        </w:tc>
        <w:tc>
          <w:tcPr>
            <w:tcW w:w="42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2,204</w:t>
            </w:r>
          </w:p>
        </w:tc>
        <w:tc>
          <w:tcPr>
            <w:tcW w:w="42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2,356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 included in cost of revenue</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38,968</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44,769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42,233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F4F4F4"/>
          </w:tcPr>
          <w:p>
            <w:pPr>
              <w:ind w:left="120"/>
              <w:spacing w:after="0"/>
              <w:rPr>
                <w:sz w:val="20"/>
                <w:szCs w:val="20"/>
                <w:color w:val="auto"/>
              </w:rPr>
            </w:pPr>
            <w:r>
              <w:rPr>
                <w:rFonts w:ascii="Arial" w:cs="Arial" w:eastAsia="Arial" w:hAnsi="Arial"/>
                <w:sz w:val="18"/>
                <w:szCs w:val="18"/>
                <w:color w:val="auto"/>
              </w:rPr>
              <w:t>Included in operating expenses</w:t>
            </w:r>
          </w:p>
        </w:tc>
        <w:tc>
          <w:tcPr>
            <w:tcW w:w="42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2,915</w:t>
            </w:r>
          </w:p>
        </w:tc>
        <w:tc>
          <w:tcPr>
            <w:tcW w:w="42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5,316</w:t>
            </w:r>
          </w:p>
        </w:tc>
        <w:tc>
          <w:tcPr>
            <w:tcW w:w="42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4,844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71BF43"/>
            </w:tcBorders>
            <w:gridSpan w:val="2"/>
          </w:tcPr>
          <w:p>
            <w:pPr>
              <w:ind w:left="540"/>
              <w:spacing w:after="0"/>
              <w:rPr>
                <w:sz w:val="20"/>
                <w:szCs w:val="20"/>
                <w:color w:val="auto"/>
              </w:rPr>
            </w:pPr>
            <w:r>
              <w:rPr>
                <w:rFonts w:ascii="Arial" w:cs="Arial" w:eastAsia="Arial" w:hAnsi="Arial"/>
                <w:sz w:val="18"/>
                <w:szCs w:val="18"/>
                <w:color w:val="auto"/>
              </w:rPr>
              <w:t>Total amortization of intangibles from business combinations</w:t>
            </w:r>
          </w:p>
        </w:tc>
        <w:tc>
          <w:tcPr>
            <w:tcW w:w="420" w:type="dxa"/>
            <w:vAlign w:val="bottom"/>
            <w:tcBorders>
              <w:bottom w:val="single" w:sz="8" w:color="71BF43"/>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41,883</w:t>
            </w:r>
          </w:p>
        </w:tc>
        <w:tc>
          <w:tcPr>
            <w:tcW w:w="420" w:type="dxa"/>
            <w:vAlign w:val="bottom"/>
            <w:tcBorders>
              <w:bottom w:val="single" w:sz="8" w:color="71BF43"/>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50,085</w:t>
            </w:r>
          </w:p>
        </w:tc>
        <w:tc>
          <w:tcPr>
            <w:tcW w:w="420" w:type="dxa"/>
            <w:vAlign w:val="bottom"/>
            <w:tcBorders>
              <w:bottom w:val="single" w:sz="8" w:color="71BF43"/>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47,077</w:t>
            </w:r>
          </w:p>
        </w:tc>
        <w:tc>
          <w:tcPr>
            <w:tcW w:w="20" w:type="dxa"/>
            <w:vAlign w:val="bottom"/>
          </w:tcPr>
          <w:p>
            <w:pPr>
              <w:spacing w:after="0"/>
              <w:rPr>
                <w:sz w:val="19"/>
                <w:szCs w:val="19"/>
                <w:color w:val="auto"/>
              </w:rPr>
            </w:pPr>
          </w:p>
        </w:tc>
      </w:tr>
      <w:tr>
        <w:trPr>
          <w:trHeight w:val="697"/>
        </w:trPr>
        <w:tc>
          <w:tcPr>
            <w:tcW w:w="1680" w:type="dxa"/>
            <w:vAlign w:val="bottom"/>
            <w:gridSpan w:val="2"/>
          </w:tcPr>
          <w:p>
            <w:pPr>
              <w:jc w:val="right"/>
              <w:ind w:right="1193"/>
              <w:spacing w:after="0"/>
              <w:rPr>
                <w:sz w:val="20"/>
                <w:szCs w:val="20"/>
                <w:color w:val="auto"/>
              </w:rPr>
            </w:pPr>
            <w:r>
              <w:rPr>
                <w:rFonts w:ascii="Arial" w:cs="Arial" w:eastAsia="Arial" w:hAnsi="Arial"/>
                <w:sz w:val="14"/>
                <w:szCs w:val="14"/>
                <w:color w:val="auto"/>
              </w:rPr>
              <w:t>80</w:t>
            </w:r>
          </w:p>
        </w:tc>
        <w:tc>
          <w:tcPr>
            <w:tcW w:w="5500" w:type="dxa"/>
            <w:vAlign w:val="bottom"/>
          </w:tcPr>
          <w:p>
            <w:pPr>
              <w:ind w:left="80"/>
              <w:spacing w:after="0"/>
              <w:rPr>
                <w:sz w:val="20"/>
                <w:szCs w:val="20"/>
                <w:color w:val="auto"/>
              </w:rPr>
            </w:pPr>
            <w:r>
              <w:rPr>
                <w:rFonts w:ascii="Arial" w:cs="Arial" w:eastAsia="Arial" w:hAnsi="Arial"/>
                <w:sz w:val="14"/>
                <w:szCs w:val="14"/>
                <w:color w:val="auto"/>
              </w:rPr>
              <w:t>2020 Form 10-K</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-1687830</wp:posOffset>
            </wp:positionV>
            <wp:extent cx="25717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-393700</wp:posOffset>
            </wp:positionV>
            <wp:extent cx="728345"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outlines the estimated future amortization expense for each of the next five years for our finite-lived intangible assets as of December 31,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ending December 31,</w:t>
            </w:r>
          </w:p>
        </w:tc>
        <w:tc>
          <w:tcPr>
            <w:tcW w:w="440" w:type="dxa"/>
            <w:vAlign w:val="bottom"/>
            <w:shd w:val="clear" w:color="auto" w:fill="ACACAC"/>
          </w:tcPr>
          <w:p>
            <w:pPr>
              <w:spacing w:after="0"/>
              <w:rPr>
                <w:sz w:val="14"/>
                <w:szCs w:val="14"/>
                <w:color w:val="auto"/>
              </w:rPr>
            </w:pPr>
          </w:p>
        </w:tc>
        <w:tc>
          <w:tcPr>
            <w:tcW w:w="1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Amortization</w:t>
            </w:r>
          </w:p>
        </w:tc>
      </w:tr>
      <w:tr>
        <w:trPr>
          <w:trHeight w:val="176"/>
        </w:trPr>
        <w:tc>
          <w:tcPr>
            <w:tcW w:w="95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shd w:val="clear" w:color="auto" w:fill="ACACAC"/>
          </w:tcPr>
          <w:p>
            <w:pPr>
              <w:spacing w:after="0"/>
              <w:rPr>
                <w:sz w:val="15"/>
                <w:szCs w:val="15"/>
                <w:color w:val="auto"/>
              </w:rPr>
            </w:pPr>
          </w:p>
        </w:tc>
        <w:tc>
          <w:tcPr>
            <w:tcW w:w="12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expense</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36,933</w:t>
            </w:r>
          </w:p>
        </w:tc>
      </w:tr>
      <w:tr>
        <w:trPr>
          <w:trHeight w:val="230"/>
        </w:trPr>
        <w:tc>
          <w:tcPr>
            <w:tcW w:w="958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F4F4F4"/>
          </w:tcPr>
          <w:p>
            <w:pPr>
              <w:spacing w:after="0"/>
              <w:rPr>
                <w:sz w:val="19"/>
                <w:szCs w:val="19"/>
                <w:color w:val="auto"/>
              </w:rPr>
            </w:pPr>
          </w:p>
        </w:tc>
        <w:tc>
          <w:tcPr>
            <w:tcW w:w="12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34,739</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33,735</w:t>
            </w:r>
          </w:p>
        </w:tc>
      </w:tr>
      <w:tr>
        <w:trPr>
          <w:trHeight w:val="230"/>
        </w:trPr>
        <w:tc>
          <w:tcPr>
            <w:tcW w:w="958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F4F4F4"/>
          </w:tcPr>
          <w:p>
            <w:pPr>
              <w:spacing w:after="0"/>
              <w:rPr>
                <w:sz w:val="19"/>
                <w:szCs w:val="19"/>
                <w:color w:val="auto"/>
              </w:rPr>
            </w:pPr>
          </w:p>
        </w:tc>
        <w:tc>
          <w:tcPr>
            <w:tcW w:w="12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33,222</w:t>
            </w:r>
          </w:p>
        </w:tc>
      </w:tr>
      <w:tr>
        <w:trPr>
          <w:trHeight w:val="229"/>
        </w:trPr>
        <w:tc>
          <w:tcPr>
            <w:tcW w:w="958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30,482</w:t>
            </w:r>
          </w:p>
        </w:tc>
      </w:tr>
      <w:tr>
        <w:trPr>
          <w:trHeight w:val="223"/>
        </w:trPr>
        <w:tc>
          <w:tcPr>
            <w:tcW w:w="958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71BF43"/>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169,111</w:t>
            </w:r>
          </w:p>
        </w:tc>
      </w:tr>
    </w:tbl>
    <w:p>
      <w:pPr>
        <w:spacing w:after="0" w:line="3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08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24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73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20" w:type="dxa"/>
            <w:vAlign w:val="bottom"/>
            <w:shd w:val="clear" w:color="auto" w:fill="ACACAC"/>
          </w:tcPr>
          <w:p>
            <w:pPr>
              <w:spacing w:after="0"/>
              <w:rPr>
                <w:sz w:val="17"/>
                <w:szCs w:val="17"/>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20" w:type="dxa"/>
            <w:vAlign w:val="bottom"/>
            <w:shd w:val="clear" w:color="auto" w:fill="ACACAC"/>
          </w:tcPr>
          <w:p>
            <w:pPr>
              <w:spacing w:after="0"/>
              <w:rPr>
                <w:sz w:val="17"/>
                <w:szCs w:val="17"/>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20" w:type="dxa"/>
            <w:vAlign w:val="bottom"/>
            <w:shd w:val="clear" w:color="auto" w:fill="ACACAC"/>
          </w:tcPr>
          <w:p>
            <w:pPr>
              <w:spacing w:after="0"/>
              <w:rPr>
                <w:sz w:val="17"/>
                <w:szCs w:val="17"/>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29"/>
        </w:trPr>
        <w:tc>
          <w:tcPr>
            <w:tcW w:w="7320" w:type="dxa"/>
            <w:vAlign w:val="bottom"/>
            <w:shd w:val="clear" w:color="auto" w:fill="F4F4F4"/>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44,841</w:t>
            </w:r>
          </w:p>
        </w:tc>
      </w:tr>
      <w:tr>
        <w:trPr>
          <w:trHeight w:val="230"/>
        </w:trPr>
        <w:tc>
          <w:tcPr>
            <w:tcW w:w="732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48,184,714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47,695,383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47,206,669</w:t>
            </w:r>
          </w:p>
        </w:tc>
      </w:tr>
      <w:tr>
        <w:trPr>
          <w:trHeight w:val="229"/>
        </w:trPr>
        <w:tc>
          <w:tcPr>
            <w:tcW w:w="73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r>
      <w:tr>
        <w:trPr>
          <w:trHeight w:val="230"/>
        </w:trPr>
        <w:tc>
          <w:tcPr>
            <w:tcW w:w="7320" w:type="dxa"/>
            <w:vAlign w:val="bottom"/>
            <w:tcBorders>
              <w:bottom w:val="single" w:sz="8" w:color="F4F4F4"/>
            </w:tcBorders>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511,627</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616,888</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838,415</w:t>
            </w:r>
          </w:p>
        </w:tc>
      </w:tr>
      <w:tr>
        <w:trPr>
          <w:trHeight w:val="223"/>
        </w:trPr>
        <w:tc>
          <w:tcPr>
            <w:tcW w:w="73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Weighted average common shares assuming dilution</w:t>
            </w:r>
          </w:p>
        </w:tc>
        <w:tc>
          <w:tcPr>
            <w:tcW w:w="22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48,696,341</w:t>
            </w:r>
          </w:p>
        </w:tc>
        <w:tc>
          <w:tcPr>
            <w:tcW w:w="22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48,312,271</w:t>
            </w:r>
          </w:p>
        </w:tc>
        <w:tc>
          <w:tcPr>
            <w:tcW w:w="22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48,045,084</w:t>
            </w:r>
          </w:p>
        </w:tc>
      </w:tr>
      <w:tr>
        <w:trPr>
          <w:trHeight w:val="209"/>
        </w:trPr>
        <w:tc>
          <w:tcPr>
            <w:tcW w:w="73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73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0.95</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0.93</w:t>
            </w:r>
          </w:p>
        </w:tc>
      </w:tr>
      <w:tr>
        <w:trPr>
          <w:trHeight w:val="270"/>
        </w:trPr>
        <w:tc>
          <w:tcPr>
            <w:tcW w:w="732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r>
      <w:tr>
        <w:trPr>
          <w:trHeight w:val="230"/>
        </w:trPr>
        <w:tc>
          <w:tcPr>
            <w:tcW w:w="732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Anti-dilutive shares excluded from calculations of diluted earnings per share</w:t>
            </w:r>
          </w:p>
        </w:tc>
        <w:tc>
          <w:tcPr>
            <w:tcW w:w="220" w:type="dxa"/>
            <w:vAlign w:val="bottom"/>
            <w:tcBorders>
              <w:bottom w:val="single" w:sz="8" w:color="71BF43"/>
            </w:tcBorders>
          </w:tcPr>
          <w:p>
            <w:pPr>
              <w:spacing w:after="0"/>
              <w:rPr>
                <w:sz w:val="19"/>
                <w:szCs w:val="19"/>
                <w:color w:val="auto"/>
              </w:rPr>
            </w:pP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956,303</w:t>
            </w:r>
          </w:p>
        </w:tc>
        <w:tc>
          <w:tcPr>
            <w:tcW w:w="220" w:type="dxa"/>
            <w:vAlign w:val="bottom"/>
            <w:tcBorders>
              <w:bottom w:val="single" w:sz="8" w:color="71BF43"/>
            </w:tcBorders>
          </w:tcPr>
          <w:p>
            <w:pPr>
              <w:spacing w:after="0"/>
              <w:rPr>
                <w:sz w:val="19"/>
                <w:szCs w:val="19"/>
                <w:color w:val="auto"/>
              </w:rPr>
            </w:pPr>
          </w:p>
        </w:tc>
        <w:tc>
          <w:tcPr>
            <w:tcW w:w="11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241,336</w:t>
            </w:r>
          </w:p>
        </w:tc>
        <w:tc>
          <w:tcPr>
            <w:tcW w:w="220" w:type="dxa"/>
            <w:vAlign w:val="bottom"/>
            <w:tcBorders>
              <w:bottom w:val="single" w:sz="8" w:color="71BF43"/>
            </w:tcBorders>
          </w:tcPr>
          <w:p>
            <w:pPr>
              <w:spacing w:after="0"/>
              <w:rPr>
                <w:sz w:val="19"/>
                <w:szCs w:val="19"/>
                <w:color w:val="auto"/>
              </w:rPr>
            </w:pP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48,881</w:t>
            </w:r>
          </w:p>
        </w:tc>
      </w:tr>
      <w:tr>
        <w:trPr>
          <w:trHeight w:val="697"/>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3"/>
          </w:tcPr>
          <w:p>
            <w:pPr>
              <w:jc w:val="right"/>
              <w:ind w:right="394"/>
              <w:spacing w:after="0"/>
              <w:rPr>
                <w:sz w:val="20"/>
                <w:szCs w:val="20"/>
                <w:color w:val="auto"/>
              </w:rPr>
            </w:pPr>
            <w:r>
              <w:rPr>
                <w:rFonts w:ascii="Arial" w:cs="Arial" w:eastAsia="Arial" w:hAnsi="Arial"/>
                <w:sz w:val="14"/>
                <w:szCs w:val="14"/>
                <w:color w:val="auto"/>
              </w:rPr>
              <w:t>2020 Form 10-K</w:t>
            </w:r>
          </w:p>
        </w:tc>
        <w:tc>
          <w:tcPr>
            <w:tcW w:w="220" w:type="dxa"/>
            <w:vAlign w:val="bottom"/>
          </w:tcPr>
          <w:p>
            <w:pPr>
              <w:spacing w:after="0"/>
              <w:rPr>
                <w:sz w:val="24"/>
                <w:szCs w:val="24"/>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color w:val="auto"/>
              </w:rPr>
              <w:t>81</w:t>
            </w:r>
          </w:p>
        </w:tc>
      </w:tr>
      <w:tr>
        <w:trPr>
          <w:trHeight w:val="316"/>
        </w:trPr>
        <w:tc>
          <w:tcPr>
            <w:tcW w:w="7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-2579370</wp:posOffset>
            </wp:positionV>
            <wp:extent cx="24942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-393700</wp:posOffset>
            </wp:positionV>
            <wp:extent cx="72898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shd w:val="clear" w:color="auto" w:fill="ACACAC"/>
          </w:tcPr>
          <w:p>
            <w:pPr>
              <w:spacing w:after="0"/>
              <w:rPr>
                <w:sz w:val="16"/>
                <w:szCs w:val="16"/>
                <w:color w:val="auto"/>
              </w:rPr>
            </w:pPr>
          </w:p>
        </w:tc>
        <w:tc>
          <w:tcPr>
            <w:tcW w:w="560" w:type="dxa"/>
            <w:vAlign w:val="bottom"/>
            <w:shd w:val="clear" w:color="auto" w:fill="ACACAC"/>
          </w:tcPr>
          <w:p>
            <w:pPr>
              <w:spacing w:after="0"/>
              <w:rPr>
                <w:sz w:val="16"/>
                <w:szCs w:val="16"/>
                <w:color w:val="auto"/>
              </w:rPr>
            </w:pPr>
          </w:p>
        </w:tc>
        <w:tc>
          <w:tcPr>
            <w:tcW w:w="3240" w:type="dxa"/>
            <w:vAlign w:val="bottom"/>
            <w:gridSpan w:val="6"/>
            <w:shd w:val="clear" w:color="auto" w:fill="ACACAC"/>
          </w:tcPr>
          <w:p>
            <w:pPr>
              <w:ind w:left="760"/>
              <w:spacing w:after="0"/>
              <w:rPr>
                <w:sz w:val="20"/>
                <w:szCs w:val="20"/>
                <w:color w:val="auto"/>
              </w:rPr>
            </w:pPr>
            <w:r>
              <w:rPr>
                <w:rFonts w:ascii="Arial" w:cs="Arial" w:eastAsia="Arial" w:hAnsi="Arial"/>
                <w:sz w:val="14"/>
                <w:szCs w:val="14"/>
                <w:b w:val="1"/>
                <w:bCs w:val="1"/>
                <w:color w:val="FFFFFF"/>
              </w:rPr>
              <w:t>Fair value measurement using</w:t>
            </w:r>
          </w:p>
        </w:tc>
        <w:tc>
          <w:tcPr>
            <w:tcW w:w="92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5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r>
      <w:tr>
        <w:trPr>
          <w:trHeight w:val="203"/>
        </w:trPr>
        <w:tc>
          <w:tcPr>
            <w:tcW w:w="49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shd w:val="clear" w:color="auto" w:fill="ACACAC"/>
          </w:tcPr>
          <w:p>
            <w:pPr>
              <w:spacing w:after="0"/>
              <w:rPr>
                <w:sz w:val="17"/>
                <w:szCs w:val="17"/>
                <w:color w:val="auto"/>
              </w:rPr>
            </w:pPr>
          </w:p>
        </w:tc>
        <w:tc>
          <w:tcPr>
            <w:tcW w:w="1040" w:type="dxa"/>
            <w:vAlign w:val="bottom"/>
            <w:gridSpan w:val="2"/>
            <w:shd w:val="clear" w:color="auto" w:fill="ACACAC"/>
          </w:tcPr>
          <w:p>
            <w:pPr>
              <w:ind w:left="440"/>
              <w:spacing w:after="0"/>
              <w:rPr>
                <w:sz w:val="20"/>
                <w:szCs w:val="20"/>
                <w:color w:val="auto"/>
              </w:rPr>
            </w:pPr>
            <w:r>
              <w:rPr>
                <w:rFonts w:ascii="Arial" w:cs="Arial" w:eastAsia="Arial" w:hAnsi="Arial"/>
                <w:sz w:val="14"/>
                <w:szCs w:val="14"/>
                <w:b w:val="1"/>
                <w:bCs w:val="1"/>
                <w:color w:val="FFFFFF"/>
              </w:rPr>
              <w:t>Level 1</w:t>
            </w:r>
          </w:p>
        </w:tc>
        <w:tc>
          <w:tcPr>
            <w:tcW w:w="560" w:type="dxa"/>
            <w:vAlign w:val="bottom"/>
            <w:shd w:val="clear" w:color="auto" w:fill="ACACAC"/>
          </w:tcPr>
          <w:p>
            <w:pPr>
              <w:spacing w:after="0"/>
              <w:rPr>
                <w:sz w:val="17"/>
                <w:szCs w:val="17"/>
                <w:color w:val="auto"/>
              </w:rPr>
            </w:pPr>
          </w:p>
        </w:tc>
        <w:tc>
          <w:tcPr>
            <w:tcW w:w="1060" w:type="dxa"/>
            <w:vAlign w:val="bottom"/>
            <w:gridSpan w:val="2"/>
            <w:shd w:val="clear" w:color="auto" w:fill="ACACAC"/>
          </w:tcPr>
          <w:p>
            <w:pPr>
              <w:ind w:left="440"/>
              <w:spacing w:after="0"/>
              <w:rPr>
                <w:sz w:val="20"/>
                <w:szCs w:val="20"/>
                <w:color w:val="auto"/>
              </w:rPr>
            </w:pPr>
            <w:r>
              <w:rPr>
                <w:rFonts w:ascii="Arial" w:cs="Arial" w:eastAsia="Arial" w:hAnsi="Arial"/>
                <w:sz w:val="14"/>
                <w:szCs w:val="14"/>
                <w:b w:val="1"/>
                <w:bCs w:val="1"/>
                <w:color w:val="FFFFFF"/>
              </w:rPr>
              <w:t>Level 2</w:t>
            </w:r>
          </w:p>
        </w:tc>
        <w:tc>
          <w:tcPr>
            <w:tcW w:w="580" w:type="dxa"/>
            <w:vAlign w:val="bottom"/>
            <w:shd w:val="clear" w:color="auto" w:fill="ACACAC"/>
          </w:tcPr>
          <w:p>
            <w:pPr>
              <w:spacing w:after="0"/>
              <w:rPr>
                <w:sz w:val="17"/>
                <w:szCs w:val="17"/>
                <w:color w:val="auto"/>
              </w:rPr>
            </w:pPr>
          </w:p>
        </w:tc>
        <w:tc>
          <w:tcPr>
            <w:tcW w:w="1020" w:type="dxa"/>
            <w:vAlign w:val="bottom"/>
            <w:gridSpan w:val="2"/>
            <w:shd w:val="clear" w:color="auto" w:fill="ACACAC"/>
          </w:tcPr>
          <w:p>
            <w:pPr>
              <w:ind w:left="400"/>
              <w:spacing w:after="0"/>
              <w:rPr>
                <w:sz w:val="20"/>
                <w:szCs w:val="20"/>
                <w:color w:val="auto"/>
              </w:rPr>
            </w:pPr>
            <w:r>
              <w:rPr>
                <w:rFonts w:ascii="Arial" w:cs="Arial" w:eastAsia="Arial" w:hAnsi="Arial"/>
                <w:sz w:val="14"/>
                <w:szCs w:val="14"/>
                <w:b w:val="1"/>
                <w:bCs w:val="1"/>
                <w:color w:val="FFFFFF"/>
              </w:rPr>
              <w:t>Level 3</w:t>
            </w:r>
          </w:p>
        </w:tc>
        <w:tc>
          <w:tcPr>
            <w:tcW w:w="54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29"/>
        </w:trPr>
        <w:tc>
          <w:tcPr>
            <w:tcW w:w="49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Fair value as of December 31, 2020</w:t>
            </w:r>
          </w:p>
        </w:tc>
        <w:tc>
          <w:tcPr>
            <w:tcW w:w="5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4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4F4F4"/>
          </w:tcPr>
          <w:p>
            <w:pPr>
              <w:spacing w:after="0"/>
              <w:rPr>
                <w:sz w:val="19"/>
                <w:szCs w:val="19"/>
                <w:color w:val="auto"/>
              </w:rPr>
            </w:pP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4F4F4"/>
          </w:tcPr>
          <w:p>
            <w:pPr>
              <w:ind w:left="420"/>
              <w:spacing w:after="0"/>
              <w:rPr>
                <w:sz w:val="20"/>
                <w:szCs w:val="20"/>
                <w:color w:val="auto"/>
              </w:rPr>
            </w:pPr>
            <w:r>
              <w:rPr>
                <w:rFonts w:ascii="Arial" w:cs="Arial" w:eastAsia="Arial" w:hAnsi="Arial"/>
                <w:sz w:val="18"/>
                <w:szCs w:val="18"/>
                <w:color w:val="auto"/>
              </w:rPr>
              <w:t>4,159</w:t>
            </w:r>
          </w:p>
        </w:tc>
        <w:tc>
          <w:tcPr>
            <w:tcW w:w="120" w:type="dxa"/>
            <w:vAlign w:val="bottom"/>
            <w:shd w:val="clear" w:color="auto" w:fill="F4F4F4"/>
          </w:tcPr>
          <w:p>
            <w:pPr>
              <w:spacing w:after="0"/>
              <w:rPr>
                <w:sz w:val="19"/>
                <w:szCs w:val="19"/>
                <w:color w:val="auto"/>
              </w:rPr>
            </w:pPr>
          </w:p>
        </w:tc>
        <w:tc>
          <w:tcPr>
            <w:tcW w:w="580" w:type="dxa"/>
            <w:vAlign w:val="bottom"/>
            <w:tcBorders>
              <w:bottom w:val="single" w:sz="8" w:color="auto"/>
            </w:tcBorders>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4F4F4"/>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4F4F4"/>
          </w:tcPr>
          <w:p>
            <w:pPr>
              <w:spacing w:after="0"/>
              <w:rPr>
                <w:sz w:val="19"/>
                <w:szCs w:val="19"/>
                <w:color w:val="auto"/>
              </w:rPr>
            </w:pPr>
          </w:p>
        </w:tc>
        <w:tc>
          <w:tcPr>
            <w:tcW w:w="540" w:type="dxa"/>
            <w:vAlign w:val="bottom"/>
            <w:tcBorders>
              <w:bottom w:val="single" w:sz="8" w:color="auto"/>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4,159</w:t>
            </w: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financial liabilities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4,159</w:t>
            </w:r>
          </w:p>
        </w:tc>
      </w:tr>
      <w:tr>
        <w:trPr>
          <w:trHeight w:val="270"/>
        </w:trPr>
        <w:tc>
          <w:tcPr>
            <w:tcW w:w="49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580" w:type="dxa"/>
            <w:vAlign w:val="bottom"/>
            <w:shd w:val="clear" w:color="auto" w:fill="F4F4F4"/>
          </w:tcPr>
          <w:p>
            <w:pPr>
              <w:spacing w:after="0"/>
              <w:rPr>
                <w:sz w:val="23"/>
                <w:szCs w:val="23"/>
                <w:color w:val="auto"/>
              </w:rPr>
            </w:pPr>
          </w:p>
        </w:tc>
        <w:tc>
          <w:tcPr>
            <w:tcW w:w="92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Fair value as of December 31, 2019</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920" w:type="dxa"/>
            <w:vAlign w:val="bottom"/>
            <w:shd w:val="clear" w:color="auto" w:fill="F4F4F4"/>
          </w:tcPr>
          <w:p>
            <w:pPr>
              <w:ind w:left="20"/>
              <w:spacing w:after="0"/>
              <w:rPr>
                <w:sz w:val="20"/>
                <w:szCs w:val="20"/>
                <w:color w:val="auto"/>
              </w:rPr>
            </w:pPr>
            <w:r>
              <w:rPr>
                <w:rFonts w:ascii="Arial" w:cs="Arial" w:eastAsia="Arial" w:hAnsi="Arial"/>
                <w:sz w:val="18"/>
                <w:szCs w:val="18"/>
                <w:color w:val="auto"/>
              </w:rPr>
              <w:t>Financial liabilities:</w:t>
            </w:r>
          </w:p>
        </w:tc>
        <w:tc>
          <w:tcPr>
            <w:tcW w:w="5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4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r>
      <w:tr>
        <w:trPr>
          <w:trHeight w:val="230"/>
        </w:trPr>
        <w:tc>
          <w:tcPr>
            <w:tcW w:w="492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F4F4F4"/>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r>
      <w:tr>
        <w:trPr>
          <w:trHeight w:val="223"/>
        </w:trPr>
        <w:tc>
          <w:tcPr>
            <w:tcW w:w="4920" w:type="dxa"/>
            <w:vAlign w:val="bottom"/>
            <w:tcBorders>
              <w:bottom w:val="single" w:sz="8" w:color="71BF43"/>
            </w:tcBorders>
            <w:shd w:val="clear" w:color="auto" w:fill="F4F4F4"/>
          </w:tcPr>
          <w:p>
            <w:pPr>
              <w:ind w:left="220"/>
              <w:spacing w:after="0"/>
              <w:rPr>
                <w:sz w:val="20"/>
                <w:szCs w:val="20"/>
                <w:color w:val="auto"/>
              </w:rPr>
            </w:pPr>
            <w:r>
              <w:rPr>
                <w:rFonts w:ascii="Arial" w:cs="Arial" w:eastAsia="Arial" w:hAnsi="Arial"/>
                <w:sz w:val="18"/>
                <w:szCs w:val="18"/>
                <w:color w:val="auto"/>
              </w:rPr>
              <w:t>Total financial liabilities</w:t>
            </w:r>
          </w:p>
        </w:tc>
        <w:tc>
          <w:tcPr>
            <w:tcW w:w="560" w:type="dxa"/>
            <w:vAlign w:val="bottom"/>
            <w:tcBorders>
              <w:bottom w:val="single" w:sz="8" w:color="71BF43"/>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71BF43"/>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71BF43"/>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71BF43"/>
            </w:tcBorders>
            <w:shd w:val="clear" w:color="auto" w:fill="F4F4F4"/>
          </w:tcPr>
          <w:p>
            <w:pPr>
              <w:ind w:left="420"/>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71BF43"/>
            </w:tcBorders>
            <w:shd w:val="clear" w:color="auto" w:fill="F4F4F4"/>
          </w:tcPr>
          <w:p>
            <w:pPr>
              <w:spacing w:after="0"/>
              <w:rPr>
                <w:sz w:val="19"/>
                <w:szCs w:val="19"/>
                <w:color w:val="auto"/>
              </w:rPr>
            </w:pPr>
          </w:p>
        </w:tc>
        <w:tc>
          <w:tcPr>
            <w:tcW w:w="580" w:type="dxa"/>
            <w:vAlign w:val="bottom"/>
            <w:tcBorders>
              <w:bottom w:val="single" w:sz="8" w:color="71BF43"/>
            </w:tcBorders>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71BF43"/>
            </w:tcBorders>
            <w:gridSpan w:val="2"/>
            <w:shd w:val="clear" w:color="auto" w:fill="F4F4F4"/>
          </w:tcPr>
          <w:p>
            <w:pPr>
              <w:ind w:left="6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71BF43"/>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-1490980</wp:posOffset>
            </wp:positionV>
            <wp:extent cx="29914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the carrying amounts of our cash and cash equivalents, restricted cash, accounts receivable, trade accounts payable, accrued expenses and other current liabilities and due to customers approximate their fair values at December 31, 2020 and December 31, 2019, due to the immediate or short-term maturity of these instruments.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carrying amount of our debt approximates its fair value at December 31, 2020 and December 31, 2019, as the debt bears interest rates that approximate market value. As LIBOR rates are observable at commonly quoted intervals, our debt under the 2020 Credit Facility (as defined below) is classified within Level 2 of the fair value hierarchy. Our fixed rate debt is also classified within Level 2 of the fair value hierarchy.</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did not transfer any assets or liabilities among the levels within the fair value hierarchy during the years ended December 31, 2020, 2019 and 2018. Additionally, we did not hold any Level 3 assets or liabilities during the years ended December 31, 2020, 2019 and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Assets and liabilities that are measured at fair value on a non-recurring basis include long-lived assets, intangible assets, goodwill and operating lease ROU assets, which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82  </w:t>
      </w:r>
      <w:r>
        <w:rPr>
          <w:sz w:val="1"/>
          <w:szCs w:val="1"/>
          <w:color w:val="auto"/>
        </w:rPr>
        <w:drawing>
          <wp:inline distT="0" distB="0" distL="0" distR="0">
            <wp:extent cx="728345" cy="18859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impairment testing, we estimate fair value using market-based methods including the use of market capitalization and consideration of a control premium.</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more fully described in Note 7 and Note 11, during the year ended December 31, 2020, we recorded impairment charges of $4.3 million against certain previously capitalized software development costs and $4.0 million against our operating lease ROU assets.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2019, we recorded impairment charges of $3.8 million against our operating lease ROU assets, $1.4 million against certain property and equipment assets and $0.9 million against certain finite-lived intangible assets. See Notes 11, 7 and 4, respectively, to these consolidated financial statements for additional details.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no other non-recurring fair value adjustments during 2020, 2019 and 2018 except for certain business combination accounting adjustments to the initial fair value estimates of the assets acquired and liabilities assumed at the acquisition date from updated estimates and assumptions during the measurement period. See Note 3 to these consolidated financial statements for additional details.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Property and Equipment and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Global Headquarters Facility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2020, we completed the purchase of the building, fixtures and other improvements and parcels of land of our Global Headquarters Facility in Charleston, South Carolina, pursuant to a Purchase and Sale Agreement (the "PSA") with HPBB1, LLC, a Georgia limited liability company (the "Seller") (the "Transaction"). Prior to the completion of the Transaction, we leased the Global Headquarters Facility from the Seller. We paid the Seller a purchase price that included the assumption of the Seller's obligations of $61.1 million, cash of $ 15.2 million and certain lender fees, closing costs, adjustments and prorations as set forth in the PSA. We funded the cash portion of the purchase price through borrowings under our then-existing credit facility. We capitalized the insignificant direct transaction costs we incurred as a component of the assets acquired.</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 result of the Transaction, we derecognized the ROU asset and lease liability associated with the former lease and recorded the following long-lived assets on a relative fair value basis in property and equipment, net upon closing: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shd w:val="clear" w:color="auto" w:fill="ACACAC"/>
          </w:tcPr>
          <w:p>
            <w:pPr>
              <w:spacing w:after="0"/>
              <w:rPr>
                <w:sz w:val="14"/>
                <w:szCs w:val="14"/>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Assets</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Estimated useful life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80" w:type="dxa"/>
            <w:vAlign w:val="bottom"/>
            <w:vMerge w:val="continue"/>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acquired</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F4F4F4"/>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9,548</w:t>
            </w:r>
          </w:p>
        </w:tc>
        <w:tc>
          <w:tcPr>
            <w:tcW w:w="16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Building</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61,284</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F4F4F4"/>
          </w:tcPr>
          <w:p>
            <w:pPr>
              <w:ind w:left="20"/>
              <w:spacing w:after="0"/>
              <w:rPr>
                <w:sz w:val="20"/>
                <w:szCs w:val="20"/>
                <w:color w:val="auto"/>
              </w:rPr>
            </w:pPr>
            <w:r>
              <w:rPr>
                <w:rFonts w:ascii="Arial" w:cs="Arial" w:eastAsia="Arial" w:hAnsi="Arial"/>
                <w:sz w:val="18"/>
                <w:szCs w:val="18"/>
                <w:color w:val="auto"/>
              </w:rPr>
              <w:t>Building improvements</w:t>
            </w:r>
          </w:p>
        </w:tc>
        <w:tc>
          <w:tcPr>
            <w:tcW w:w="340" w:type="dxa"/>
            <w:vAlign w:val="bottom"/>
            <w:tcBorders>
              <w:bottom w:val="single" w:sz="8" w:color="auto"/>
            </w:tcBorders>
            <w:shd w:val="clear" w:color="auto" w:fill="F4F4F4"/>
          </w:tcPr>
          <w:p>
            <w:pPr>
              <w:spacing w:after="0"/>
              <w:rPr>
                <w:sz w:val="19"/>
                <w:szCs w:val="19"/>
                <w:color w:val="auto"/>
              </w:rPr>
            </w:pPr>
          </w:p>
        </w:tc>
        <w:tc>
          <w:tcPr>
            <w:tcW w:w="13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4,393</w:t>
            </w:r>
          </w:p>
        </w:tc>
        <w:tc>
          <w:tcPr>
            <w:tcW w:w="16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8CBE4F"/>
            </w:tcBorders>
          </w:tcPr>
          <w:p>
            <w:pPr>
              <w:ind w:left="140"/>
              <w:spacing w:after="0"/>
              <w:rPr>
                <w:sz w:val="20"/>
                <w:szCs w:val="20"/>
                <w:color w:val="auto"/>
              </w:rPr>
            </w:pPr>
            <w:r>
              <w:rPr>
                <w:rFonts w:ascii="Arial" w:cs="Arial" w:eastAsia="Arial" w:hAnsi="Arial"/>
                <w:sz w:val="18"/>
                <w:szCs w:val="18"/>
                <w:color w:val="auto"/>
              </w:rPr>
              <w:t>Total long-lived assets</w:t>
            </w:r>
          </w:p>
        </w:tc>
        <w:tc>
          <w:tcPr>
            <w:tcW w:w="340" w:type="dxa"/>
            <w:vAlign w:val="bottom"/>
            <w:tcBorders>
              <w:bottom w:val="single" w:sz="8" w:color="8CBE4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8CBE4F"/>
            </w:tcBorders>
          </w:tcPr>
          <w:p>
            <w:pPr>
              <w:jc w:val="right"/>
              <w:spacing w:after="0"/>
              <w:rPr>
                <w:sz w:val="20"/>
                <w:szCs w:val="20"/>
                <w:color w:val="auto"/>
              </w:rPr>
            </w:pPr>
            <w:r>
              <w:rPr>
                <w:rFonts w:ascii="Arial" w:cs="Arial" w:eastAsia="Arial" w:hAnsi="Arial"/>
                <w:sz w:val="18"/>
                <w:szCs w:val="18"/>
                <w:color w:val="auto"/>
              </w:rPr>
              <w:t>75,225</w:t>
            </w:r>
          </w:p>
        </w:tc>
        <w:tc>
          <w:tcPr>
            <w:tcW w:w="1660" w:type="dxa"/>
            <w:vAlign w:val="bottom"/>
            <w:tcBorders>
              <w:bottom w:val="single" w:sz="8" w:color="8CBE4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0"/>
        </w:trPr>
        <w:tc>
          <w:tcPr>
            <w:tcW w:w="7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18"/>
              <w:spacing w:after="0"/>
              <w:rPr>
                <w:sz w:val="20"/>
                <w:szCs w:val="20"/>
                <w:color w:val="auto"/>
              </w:rPr>
            </w:pPr>
            <w:r>
              <w:rPr>
                <w:rFonts w:ascii="Arial" w:cs="Arial" w:eastAsia="Arial" w:hAnsi="Arial"/>
                <w:sz w:val="14"/>
                <w:szCs w:val="14"/>
                <w:color w:val="auto"/>
              </w:rPr>
              <w:t>2020 Form 10-K</w:t>
            </w:r>
          </w:p>
        </w:tc>
        <w:tc>
          <w:tcPr>
            <w:tcW w:w="1660" w:type="dxa"/>
            <w:vAlign w:val="bottom"/>
          </w:tcPr>
          <w:p>
            <w:pPr>
              <w:jc w:val="right"/>
              <w:ind w:right="139"/>
              <w:spacing w:after="0"/>
              <w:rPr>
                <w:sz w:val="20"/>
                <w:szCs w:val="20"/>
                <w:color w:val="auto"/>
              </w:rPr>
            </w:pPr>
            <w:r>
              <w:rPr>
                <w:rFonts w:ascii="Arial" w:cs="Arial" w:eastAsia="Arial" w:hAnsi="Arial"/>
                <w:sz w:val="14"/>
                <w:szCs w:val="14"/>
                <w:color w:val="auto"/>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-393700</wp:posOffset>
            </wp:positionV>
            <wp:extent cx="728980"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3780" w:type="dxa"/>
            <w:vAlign w:val="bottom"/>
            <w:shd w:val="clear" w:color="auto" w:fill="ACACAC"/>
          </w:tcPr>
          <w:p>
            <w:pPr>
              <w:spacing w:after="0"/>
              <w:rPr>
                <w:sz w:val="24"/>
                <w:szCs w:val="24"/>
                <w:color w:val="auto"/>
              </w:rPr>
            </w:pPr>
          </w:p>
        </w:tc>
        <w:tc>
          <w:tcPr>
            <w:tcW w:w="5080" w:type="dxa"/>
            <w:vAlign w:val="bottom"/>
            <w:gridSpan w:val="2"/>
            <w:vMerge w:val="restart"/>
            <w:shd w:val="clear" w:color="auto" w:fill="ACACAC"/>
          </w:tcPr>
          <w:p>
            <w:pPr>
              <w:jc w:val="right"/>
              <w:ind w:right="400"/>
              <w:spacing w:after="0"/>
              <w:rPr>
                <w:sz w:val="20"/>
                <w:szCs w:val="20"/>
                <w:color w:val="auto"/>
              </w:rPr>
            </w:pPr>
            <w:r>
              <w:rPr>
                <w:rFonts w:ascii="Arial" w:cs="Arial" w:eastAsia="Arial" w:hAnsi="Arial"/>
                <w:sz w:val="14"/>
                <w:szCs w:val="14"/>
                <w:b w:val="1"/>
                <w:bCs w:val="1"/>
                <w:color w:val="FFFFFF"/>
              </w:rPr>
              <w:t>Estimated</w:t>
            </w:r>
          </w:p>
        </w:tc>
        <w:tc>
          <w:tcPr>
            <w:tcW w:w="1000" w:type="dxa"/>
            <w:vAlign w:val="bottom"/>
            <w:shd w:val="clear" w:color="auto" w:fill="ACACAC"/>
          </w:tcPr>
          <w:p>
            <w:pPr>
              <w:spacing w:after="0"/>
              <w:rPr>
                <w:sz w:val="24"/>
                <w:szCs w:val="24"/>
                <w:color w:val="auto"/>
              </w:rPr>
            </w:pPr>
          </w:p>
        </w:tc>
        <w:tc>
          <w:tcPr>
            <w:tcW w:w="280" w:type="dxa"/>
            <w:vAlign w:val="bottom"/>
            <w:shd w:val="clear" w:color="auto" w:fill="ACACAC"/>
          </w:tcPr>
          <w:p>
            <w:pPr>
              <w:spacing w:after="0"/>
              <w:rPr>
                <w:sz w:val="24"/>
                <w:szCs w:val="2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53"/>
        </w:trPr>
        <w:tc>
          <w:tcPr>
            <w:tcW w:w="3780" w:type="dxa"/>
            <w:vAlign w:val="bottom"/>
            <w:shd w:val="clear" w:color="auto" w:fill="ACACAC"/>
          </w:tcPr>
          <w:p>
            <w:pPr>
              <w:spacing w:after="0"/>
              <w:rPr>
                <w:sz w:val="4"/>
                <w:szCs w:val="4"/>
                <w:color w:val="auto"/>
              </w:rPr>
            </w:pPr>
          </w:p>
        </w:tc>
        <w:tc>
          <w:tcPr>
            <w:tcW w:w="5080" w:type="dxa"/>
            <w:vAlign w:val="bottom"/>
            <w:gridSpan w:val="2"/>
            <w:vMerge w:val="continue"/>
            <w:shd w:val="clear" w:color="auto" w:fill="ACACAC"/>
          </w:tcPr>
          <w:p>
            <w:pPr>
              <w:spacing w:after="0"/>
              <w:rPr>
                <w:sz w:val="4"/>
                <w:szCs w:val="4"/>
                <w:color w:val="auto"/>
              </w:rPr>
            </w:pPr>
          </w:p>
        </w:tc>
        <w:tc>
          <w:tcPr>
            <w:tcW w:w="1000" w:type="dxa"/>
            <w:vAlign w:val="bottom"/>
            <w:shd w:val="clear" w:color="auto" w:fill="ACACAC"/>
          </w:tcPr>
          <w:p>
            <w:pPr>
              <w:spacing w:after="0"/>
              <w:rPr>
                <w:sz w:val="4"/>
                <w:szCs w:val="4"/>
                <w:color w:val="auto"/>
              </w:rPr>
            </w:pPr>
          </w:p>
        </w:tc>
        <w:tc>
          <w:tcPr>
            <w:tcW w:w="280" w:type="dxa"/>
            <w:vAlign w:val="bottom"/>
            <w:shd w:val="clear" w:color="auto" w:fill="ACACAC"/>
          </w:tcPr>
          <w:p>
            <w:pPr>
              <w:spacing w:after="0"/>
              <w:rPr>
                <w:sz w:val="4"/>
                <w:szCs w:val="4"/>
                <w:color w:val="auto"/>
              </w:rPr>
            </w:pPr>
          </w:p>
        </w:tc>
        <w:tc>
          <w:tcPr>
            <w:tcW w:w="1100" w:type="dxa"/>
            <w:vAlign w:val="bottom"/>
            <w:shd w:val="clear" w:color="auto" w:fill="ACACAC"/>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080" w:type="dxa"/>
            <w:vAlign w:val="bottom"/>
            <w:gridSpan w:val="2"/>
            <w:shd w:val="clear" w:color="auto" w:fill="ACACAC"/>
          </w:tcPr>
          <w:p>
            <w:pPr>
              <w:jc w:val="right"/>
              <w:ind w:right="400"/>
              <w:spacing w:after="0" w:line="135" w:lineRule="exact"/>
              <w:rPr>
                <w:sz w:val="20"/>
                <w:szCs w:val="20"/>
                <w:color w:val="auto"/>
              </w:rPr>
            </w:pPr>
            <w:r>
              <w:rPr>
                <w:rFonts w:ascii="Arial" w:cs="Arial" w:eastAsia="Arial" w:hAnsi="Arial"/>
                <w:sz w:val="14"/>
                <w:szCs w:val="14"/>
                <w:b w:val="1"/>
                <w:bCs w:val="1"/>
                <w:color w:val="FFFFFF"/>
              </w:rPr>
              <w:t>useful life</w:t>
            </w:r>
          </w:p>
        </w:tc>
        <w:tc>
          <w:tcPr>
            <w:tcW w:w="10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80" w:type="dxa"/>
            <w:vAlign w:val="bottom"/>
            <w:shd w:val="clear" w:color="auto" w:fill="ACACAC"/>
          </w:tcPr>
          <w:p>
            <w:pPr>
              <w:spacing w:after="0"/>
              <w:rPr>
                <w:sz w:val="11"/>
                <w:szCs w:val="11"/>
                <w:color w:val="auto"/>
              </w:rPr>
            </w:pPr>
          </w:p>
        </w:tc>
        <w:tc>
          <w:tcPr>
            <w:tcW w:w="11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175"/>
        </w:trPr>
        <w:tc>
          <w:tcPr>
            <w:tcW w:w="3780" w:type="dxa"/>
            <w:vAlign w:val="bottom"/>
            <w:vMerge w:val="continue"/>
            <w:shd w:val="clear" w:color="auto" w:fill="ACACAC"/>
          </w:tcPr>
          <w:p>
            <w:pPr>
              <w:spacing w:after="0"/>
              <w:rPr>
                <w:sz w:val="15"/>
                <w:szCs w:val="15"/>
                <w:color w:val="auto"/>
              </w:rPr>
            </w:pPr>
          </w:p>
        </w:tc>
        <w:tc>
          <w:tcPr>
            <w:tcW w:w="5080" w:type="dxa"/>
            <w:vAlign w:val="bottom"/>
            <w:gridSpan w:val="2"/>
            <w:shd w:val="clear" w:color="auto" w:fill="ACACAC"/>
          </w:tcPr>
          <w:p>
            <w:pPr>
              <w:jc w:val="right"/>
              <w:ind w:right="400"/>
              <w:spacing w:after="0"/>
              <w:rPr>
                <w:sz w:val="20"/>
                <w:szCs w:val="20"/>
                <w:color w:val="auto"/>
              </w:rPr>
            </w:pPr>
            <w:r>
              <w:rPr>
                <w:rFonts w:ascii="Arial" w:cs="Arial" w:eastAsia="Arial" w:hAnsi="Arial"/>
                <w:sz w:val="14"/>
                <w:szCs w:val="14"/>
                <w:b w:val="1"/>
                <w:bCs w:val="1"/>
                <w:color w:val="FFFFFF"/>
              </w:rPr>
              <w:t>(years)</w:t>
            </w:r>
          </w:p>
        </w:tc>
        <w:tc>
          <w:tcPr>
            <w:tcW w:w="1000" w:type="dxa"/>
            <w:vAlign w:val="bottom"/>
            <w:vMerge w:val="continue"/>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1100" w:type="dxa"/>
            <w:vAlign w:val="bottom"/>
            <w:vMerge w:val="continue"/>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Land</w:t>
            </w:r>
          </w:p>
        </w:tc>
        <w:tc>
          <w:tcPr>
            <w:tcW w:w="5080" w:type="dxa"/>
            <w:vAlign w:val="bottom"/>
            <w:gridSpan w:val="2"/>
            <w:shd w:val="clear" w:color="auto" w:fill="F4F4F4"/>
          </w:tcPr>
          <w:p>
            <w:pPr>
              <w:jc w:val="right"/>
              <w:ind w:right="26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9,548</w:t>
            </w:r>
          </w:p>
        </w:tc>
        <w:tc>
          <w:tcPr>
            <w:tcW w:w="28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Building</w:t>
            </w:r>
          </w:p>
        </w:tc>
        <w:tc>
          <w:tcPr>
            <w:tcW w:w="470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61,284</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Building improvements</w:t>
            </w:r>
            <w:r>
              <w:rPr>
                <w:rFonts w:ascii="Arial" w:cs="Arial" w:eastAsia="Arial" w:hAnsi="Arial"/>
                <w:sz w:val="23"/>
                <w:szCs w:val="23"/>
                <w:color w:val="auto"/>
                <w:vertAlign w:val="superscript"/>
              </w:rPr>
              <w:t>(1)</w:t>
            </w:r>
          </w:p>
        </w:tc>
        <w:tc>
          <w:tcPr>
            <w:tcW w:w="47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7-20</w:t>
            </w:r>
          </w:p>
        </w:tc>
        <w:tc>
          <w:tcPr>
            <w:tcW w:w="38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9,942</w:t>
            </w:r>
          </w:p>
        </w:tc>
        <w:tc>
          <w:tcPr>
            <w:tcW w:w="28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4700" w:type="dxa"/>
            <w:vAlign w:val="bottom"/>
          </w:tcPr>
          <w:p>
            <w:pPr>
              <w:jc w:val="right"/>
              <w:spacing w:after="0"/>
              <w:rPr>
                <w:sz w:val="20"/>
                <w:szCs w:val="20"/>
                <w:color w:val="auto"/>
              </w:rPr>
            </w:pPr>
            <w:r>
              <w:rPr>
                <w:rFonts w:ascii="Arial" w:cs="Arial" w:eastAsia="Arial" w:hAnsi="Arial"/>
                <w:sz w:val="18"/>
                <w:szCs w:val="18"/>
                <w:color w:val="auto"/>
              </w:rPr>
              <w:t>1 - 5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2,865</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29"/>
        </w:trPr>
        <w:tc>
          <w:tcPr>
            <w:tcW w:w="3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Computer hardware</w:t>
            </w:r>
          </w:p>
        </w:tc>
        <w:tc>
          <w:tcPr>
            <w:tcW w:w="47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1 - 5</w:t>
            </w:r>
          </w:p>
        </w:tc>
        <w:tc>
          <w:tcPr>
            <w:tcW w:w="38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56,202</w:t>
            </w:r>
          </w:p>
        </w:tc>
        <w:tc>
          <w:tcPr>
            <w:tcW w:w="28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67,045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4700" w:type="dxa"/>
            <w:vAlign w:val="bottom"/>
          </w:tcPr>
          <w:p>
            <w:pPr>
              <w:jc w:val="right"/>
              <w:spacing w:after="0"/>
              <w:rPr>
                <w:sz w:val="20"/>
                <w:szCs w:val="20"/>
                <w:color w:val="auto"/>
              </w:rPr>
            </w:pPr>
            <w:r>
              <w:rPr>
                <w:rFonts w:ascii="Arial" w:cs="Arial" w:eastAsia="Arial" w:hAnsi="Arial"/>
                <w:sz w:val="18"/>
                <w:szCs w:val="18"/>
                <w:color w:val="auto"/>
              </w:rPr>
              <w:t>1 - 5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23,116</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35,726</w:t>
            </w:r>
          </w:p>
        </w:tc>
        <w:tc>
          <w:tcPr>
            <w:tcW w:w="0" w:type="dxa"/>
            <w:vAlign w:val="bottom"/>
          </w:tcPr>
          <w:p>
            <w:pPr>
              <w:spacing w:after="0"/>
              <w:rPr>
                <w:sz w:val="1"/>
                <w:szCs w:val="1"/>
                <w:color w:val="auto"/>
              </w:rPr>
            </w:pPr>
          </w:p>
        </w:tc>
      </w:tr>
      <w:tr>
        <w:trPr>
          <w:trHeight w:val="230"/>
        </w:trPr>
        <w:tc>
          <w:tcPr>
            <w:tcW w:w="3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Construction in progress</w:t>
            </w:r>
          </w:p>
        </w:tc>
        <w:tc>
          <w:tcPr>
            <w:tcW w:w="5080" w:type="dxa"/>
            <w:vAlign w:val="bottom"/>
            <w:gridSpan w:val="2"/>
            <w:shd w:val="clear" w:color="auto" w:fill="F4F4F4"/>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3,435</w:t>
            </w:r>
          </w:p>
        </w:tc>
        <w:tc>
          <w:tcPr>
            <w:tcW w:w="28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700" w:type="dxa"/>
            <w:vAlign w:val="bottom"/>
          </w:tcPr>
          <w:p>
            <w:pPr>
              <w:jc w:val="right"/>
              <w:spacing w:after="0"/>
              <w:rPr>
                <w:sz w:val="20"/>
                <w:szCs w:val="20"/>
                <w:color w:val="auto"/>
              </w:rPr>
            </w:pPr>
            <w:r>
              <w:rPr>
                <w:rFonts w:ascii="Arial" w:cs="Arial" w:eastAsia="Arial" w:hAnsi="Arial"/>
                <w:sz w:val="18"/>
                <w:szCs w:val="18"/>
                <w:color w:val="auto"/>
              </w:rPr>
              <w:t>1 - 7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2,796</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30"/>
        </w:trPr>
        <w:tc>
          <w:tcPr>
            <w:tcW w:w="3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Leasehold improvements</w:t>
            </w:r>
          </w:p>
        </w:tc>
        <w:tc>
          <w:tcPr>
            <w:tcW w:w="5080" w:type="dxa"/>
            <w:vAlign w:val="bottom"/>
            <w:gridSpan w:val="2"/>
            <w:shd w:val="clear" w:color="auto" w:fill="F4F4F4"/>
          </w:tcPr>
          <w:p>
            <w:pPr>
              <w:jc w:val="right"/>
              <w:ind w:right="400"/>
              <w:spacing w:after="0"/>
              <w:rPr>
                <w:sz w:val="20"/>
                <w:szCs w:val="20"/>
                <w:color w:val="auto"/>
              </w:rPr>
            </w:pPr>
            <w:r>
              <w:rPr>
                <w:rFonts w:ascii="Arial" w:cs="Arial" w:eastAsia="Arial" w:hAnsi="Arial"/>
                <w:sz w:val="18"/>
                <w:szCs w:val="18"/>
                <w:color w:val="auto"/>
              </w:rPr>
              <w:t>Lesser of lease term or estimated useful life</w:t>
            </w: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6,044</w:t>
            </w:r>
          </w:p>
        </w:tc>
        <w:tc>
          <w:tcPr>
            <w:tcW w:w="28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24,295</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47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175,232</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139,614</w:t>
            </w:r>
          </w:p>
        </w:tc>
        <w:tc>
          <w:tcPr>
            <w:tcW w:w="0" w:type="dxa"/>
            <w:vAlign w:val="bottom"/>
          </w:tcPr>
          <w:p>
            <w:pPr>
              <w:spacing w:after="0"/>
              <w:rPr>
                <w:sz w:val="1"/>
                <w:szCs w:val="1"/>
                <w:color w:val="auto"/>
              </w:rPr>
            </w:pPr>
          </w:p>
        </w:tc>
      </w:tr>
      <w:tr>
        <w:trPr>
          <w:trHeight w:val="230"/>
        </w:trPr>
        <w:tc>
          <w:tcPr>
            <w:tcW w:w="3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Less: accumulated depreciation</w:t>
            </w:r>
          </w:p>
        </w:tc>
        <w:tc>
          <w:tcPr>
            <w:tcW w:w="4700" w:type="dxa"/>
            <w:vAlign w:val="bottom"/>
            <w:shd w:val="clear" w:color="auto" w:fill="F4F4F4"/>
          </w:tcPr>
          <w:p>
            <w:pPr>
              <w:spacing w:after="0"/>
              <w:rPr>
                <w:sz w:val="19"/>
                <w:szCs w:val="19"/>
                <w:color w:val="auto"/>
              </w:rPr>
            </w:pPr>
          </w:p>
        </w:tc>
        <w:tc>
          <w:tcPr>
            <w:tcW w:w="38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(70,055)</w:t>
            </w:r>
          </w:p>
        </w:tc>
        <w:tc>
          <w:tcPr>
            <w:tcW w:w="28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(104,068)</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Property and equipment, net</w:t>
            </w:r>
          </w:p>
        </w:tc>
        <w:tc>
          <w:tcPr>
            <w:tcW w:w="5080" w:type="dxa"/>
            <w:vAlign w:val="bottom"/>
            <w:tcBorders>
              <w:bottom w:val="single" w:sz="8" w:color="71BF43"/>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105,177</w:t>
            </w:r>
          </w:p>
        </w:tc>
        <w:tc>
          <w:tcPr>
            <w:tcW w:w="280" w:type="dxa"/>
            <w:vAlign w:val="bottom"/>
            <w:tcBorders>
              <w:bottom w:val="single" w:sz="8" w:color="71BF43"/>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35,546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-2005330</wp:posOffset>
            </wp:positionV>
            <wp:extent cx="17487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6" w:lineRule="exact"/>
        <w:rPr>
          <w:sz w:val="20"/>
          <w:szCs w:val="20"/>
          <w:color w:val="auto"/>
        </w:rPr>
      </w:pPr>
    </w:p>
    <w:p>
      <w:pPr>
        <w:ind w:left="340" w:hanging="332"/>
        <w:spacing w:after="0" w:line="258" w:lineRule="auto"/>
        <w:tabs>
          <w:tab w:leader="none" w:pos="354" w:val="left"/>
        </w:tabs>
        <w:numPr>
          <w:ilvl w:val="0"/>
          <w:numId w:val="64"/>
        </w:numPr>
        <w:rPr>
          <w:rFonts w:ascii="Arial" w:cs="Arial" w:eastAsia="Arial" w:hAnsi="Arial"/>
          <w:sz w:val="14"/>
          <w:szCs w:val="14"/>
          <w:color w:val="auto"/>
        </w:rPr>
      </w:pPr>
      <w:r>
        <w:rPr>
          <w:rFonts w:ascii="Arial" w:cs="Arial" w:eastAsia="Arial" w:hAnsi="Arial"/>
          <w:sz w:val="14"/>
          <w:szCs w:val="14"/>
          <w:color w:val="auto"/>
        </w:rPr>
        <w:t>Upon acquisition of our Global Headquarters Facility in August 2020, we reclassified related leasehold improvement costs of $5.5 million to building improvements given the acquisition of the underlying assets.</w:t>
      </w:r>
    </w:p>
    <w:p>
      <w:pPr>
        <w:spacing w:after="0" w:line="134"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Depreciation expense was $19.2 million, $15.0 million and $15.9 million for the years ended December 31, 2020, 2019 and 2018, respectively.</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2019, we recorded impairment charges of $1.4 million against certain property and equipment assets that reduced the carrying value of the assets to zero. These impairment charges are reflected in restructuring on the statements of comprehensive income and resulted primarily from our facilities optimization restructuring as we wrote-off facilities-related fixed assets that we would no longer use. See Note 19 to these consolidated financial statements for additional details regarding our facilities optimization restructuring.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development costs consisted of the following as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5200" w:type="dxa"/>
            <w:vAlign w:val="bottom"/>
            <w:shd w:val="clear" w:color="auto" w:fill="ACACAC"/>
          </w:tcPr>
          <w:p>
            <w:pPr>
              <w:spacing w:after="0"/>
              <w:rPr>
                <w:sz w:val="24"/>
                <w:szCs w:val="24"/>
                <w:color w:val="auto"/>
              </w:rPr>
            </w:pPr>
          </w:p>
        </w:tc>
        <w:tc>
          <w:tcPr>
            <w:tcW w:w="32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Estimated</w:t>
            </w:r>
          </w:p>
        </w:tc>
        <w:tc>
          <w:tcPr>
            <w:tcW w:w="380" w:type="dxa"/>
            <w:vAlign w:val="bottom"/>
            <w:shd w:val="clear" w:color="auto" w:fill="ACACAC"/>
          </w:tcPr>
          <w:p>
            <w:pPr>
              <w:spacing w:after="0"/>
              <w:rPr>
                <w:sz w:val="24"/>
                <w:szCs w:val="24"/>
                <w:color w:val="auto"/>
              </w:rPr>
            </w:pPr>
          </w:p>
        </w:tc>
        <w:tc>
          <w:tcPr>
            <w:tcW w:w="1000" w:type="dxa"/>
            <w:vAlign w:val="bottom"/>
            <w:shd w:val="clear" w:color="auto" w:fill="ACACAC"/>
          </w:tcPr>
          <w:p>
            <w:pPr>
              <w:spacing w:after="0"/>
              <w:rPr>
                <w:sz w:val="24"/>
                <w:szCs w:val="24"/>
                <w:color w:val="auto"/>
              </w:rPr>
            </w:pPr>
          </w:p>
        </w:tc>
        <w:tc>
          <w:tcPr>
            <w:tcW w:w="280" w:type="dxa"/>
            <w:vAlign w:val="bottom"/>
            <w:shd w:val="clear" w:color="auto" w:fill="ACACAC"/>
          </w:tcPr>
          <w:p>
            <w:pPr>
              <w:spacing w:after="0"/>
              <w:rPr>
                <w:sz w:val="24"/>
                <w:szCs w:val="2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52"/>
        </w:trPr>
        <w:tc>
          <w:tcPr>
            <w:tcW w:w="5200" w:type="dxa"/>
            <w:vAlign w:val="bottom"/>
            <w:shd w:val="clear" w:color="auto" w:fill="ACACAC"/>
          </w:tcPr>
          <w:p>
            <w:pPr>
              <w:spacing w:after="0"/>
              <w:rPr>
                <w:sz w:val="4"/>
                <w:szCs w:val="4"/>
                <w:color w:val="auto"/>
              </w:rPr>
            </w:pPr>
          </w:p>
        </w:tc>
        <w:tc>
          <w:tcPr>
            <w:tcW w:w="3280" w:type="dxa"/>
            <w:vAlign w:val="bottom"/>
            <w:vMerge w:val="continue"/>
            <w:shd w:val="clear" w:color="auto" w:fill="ACACAC"/>
          </w:tcPr>
          <w:p>
            <w:pPr>
              <w:spacing w:after="0"/>
              <w:rPr>
                <w:sz w:val="4"/>
                <w:szCs w:val="4"/>
                <w:color w:val="auto"/>
              </w:rPr>
            </w:pPr>
          </w:p>
        </w:tc>
        <w:tc>
          <w:tcPr>
            <w:tcW w:w="380" w:type="dxa"/>
            <w:vAlign w:val="bottom"/>
            <w:shd w:val="clear" w:color="auto" w:fill="ACACAC"/>
          </w:tcPr>
          <w:p>
            <w:pPr>
              <w:spacing w:after="0"/>
              <w:rPr>
                <w:sz w:val="4"/>
                <w:szCs w:val="4"/>
                <w:color w:val="auto"/>
              </w:rPr>
            </w:pPr>
          </w:p>
        </w:tc>
        <w:tc>
          <w:tcPr>
            <w:tcW w:w="1000" w:type="dxa"/>
            <w:vAlign w:val="bottom"/>
            <w:shd w:val="clear" w:color="auto" w:fill="ACACAC"/>
          </w:tcPr>
          <w:p>
            <w:pPr>
              <w:spacing w:after="0"/>
              <w:rPr>
                <w:sz w:val="4"/>
                <w:szCs w:val="4"/>
                <w:color w:val="auto"/>
              </w:rPr>
            </w:pPr>
          </w:p>
        </w:tc>
        <w:tc>
          <w:tcPr>
            <w:tcW w:w="280" w:type="dxa"/>
            <w:vAlign w:val="bottom"/>
            <w:shd w:val="clear" w:color="auto" w:fill="ACACAC"/>
          </w:tcPr>
          <w:p>
            <w:pPr>
              <w:spacing w:after="0"/>
              <w:rPr>
                <w:sz w:val="4"/>
                <w:szCs w:val="4"/>
                <w:color w:val="auto"/>
              </w:rPr>
            </w:pPr>
          </w:p>
        </w:tc>
        <w:tc>
          <w:tcPr>
            <w:tcW w:w="1100" w:type="dxa"/>
            <w:vAlign w:val="bottom"/>
            <w:shd w:val="clear" w:color="auto" w:fill="ACACAC"/>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28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useful life</w:t>
            </w:r>
          </w:p>
        </w:tc>
        <w:tc>
          <w:tcPr>
            <w:tcW w:w="380" w:type="dxa"/>
            <w:vAlign w:val="bottom"/>
            <w:shd w:val="clear" w:color="auto" w:fill="ACACAC"/>
          </w:tcPr>
          <w:p>
            <w:pPr>
              <w:spacing w:after="0"/>
              <w:rPr>
                <w:sz w:val="11"/>
                <w:szCs w:val="11"/>
                <w:color w:val="auto"/>
              </w:rPr>
            </w:pPr>
          </w:p>
        </w:tc>
        <w:tc>
          <w:tcPr>
            <w:tcW w:w="10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80" w:type="dxa"/>
            <w:vAlign w:val="bottom"/>
            <w:shd w:val="clear" w:color="auto" w:fill="ACACAC"/>
          </w:tcPr>
          <w:p>
            <w:pPr>
              <w:spacing w:after="0"/>
              <w:rPr>
                <w:sz w:val="11"/>
                <w:szCs w:val="11"/>
                <w:color w:val="auto"/>
              </w:rPr>
            </w:pPr>
          </w:p>
        </w:tc>
        <w:tc>
          <w:tcPr>
            <w:tcW w:w="11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176"/>
        </w:trPr>
        <w:tc>
          <w:tcPr>
            <w:tcW w:w="5200" w:type="dxa"/>
            <w:vAlign w:val="bottom"/>
            <w:vMerge w:val="continue"/>
            <w:shd w:val="clear" w:color="auto" w:fill="ACACAC"/>
          </w:tcPr>
          <w:p>
            <w:pPr>
              <w:spacing w:after="0"/>
              <w:rPr>
                <w:sz w:val="15"/>
                <w:szCs w:val="15"/>
                <w:color w:val="auto"/>
              </w:rPr>
            </w:pPr>
          </w:p>
        </w:tc>
        <w:tc>
          <w:tcPr>
            <w:tcW w:w="3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w:t>
            </w:r>
          </w:p>
        </w:tc>
        <w:tc>
          <w:tcPr>
            <w:tcW w:w="380" w:type="dxa"/>
            <w:vAlign w:val="bottom"/>
            <w:shd w:val="clear" w:color="auto" w:fill="ACACAC"/>
          </w:tcPr>
          <w:p>
            <w:pPr>
              <w:spacing w:after="0"/>
              <w:rPr>
                <w:sz w:val="15"/>
                <w:szCs w:val="15"/>
                <w:color w:val="auto"/>
              </w:rPr>
            </w:pPr>
          </w:p>
        </w:tc>
        <w:tc>
          <w:tcPr>
            <w:tcW w:w="1000" w:type="dxa"/>
            <w:vAlign w:val="bottom"/>
            <w:vMerge w:val="continue"/>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1100" w:type="dxa"/>
            <w:vAlign w:val="bottom"/>
            <w:vMerge w:val="continue"/>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F4F4F4"/>
          </w:tcPr>
          <w:p>
            <w:pPr>
              <w:ind w:left="20"/>
              <w:spacing w:after="0"/>
              <w:rPr>
                <w:sz w:val="20"/>
                <w:szCs w:val="20"/>
                <w:color w:val="auto"/>
              </w:rPr>
            </w:pPr>
            <w:r>
              <w:rPr>
                <w:rFonts w:ascii="Arial" w:cs="Arial" w:eastAsia="Arial" w:hAnsi="Arial"/>
                <w:sz w:val="18"/>
                <w:szCs w:val="18"/>
                <w:color w:val="auto"/>
              </w:rPr>
              <w:t>Software development costs</w:t>
            </w:r>
          </w:p>
        </w:tc>
        <w:tc>
          <w:tcPr>
            <w:tcW w:w="3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3 - 7</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164,665</w:t>
            </w:r>
          </w:p>
        </w:tc>
        <w:tc>
          <w:tcPr>
            <w:tcW w:w="28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139,014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280" w:type="dxa"/>
            <w:vAlign w:val="bottom"/>
            <w:tcBorders>
              <w:bottom w:val="single" w:sz="8" w:color="F4F4F4"/>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(52,838)</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Software development costs, net</w:t>
            </w:r>
          </w:p>
        </w:tc>
        <w:tc>
          <w:tcPr>
            <w:tcW w:w="3280" w:type="dxa"/>
            <w:vAlign w:val="bottom"/>
            <w:tcBorders>
              <w:bottom w:val="single" w:sz="8" w:color="71BF43"/>
            </w:tcBorders>
            <w:shd w:val="clear" w:color="auto" w:fill="F4F4F4"/>
          </w:tcPr>
          <w:p>
            <w:pPr>
              <w:spacing w:after="0"/>
              <w:rPr>
                <w:sz w:val="19"/>
                <w:szCs w:val="19"/>
                <w:color w:val="auto"/>
              </w:rPr>
            </w:pPr>
          </w:p>
        </w:tc>
        <w:tc>
          <w:tcPr>
            <w:tcW w:w="380" w:type="dxa"/>
            <w:vAlign w:val="bottom"/>
            <w:tcBorders>
              <w:bottom w:val="single" w:sz="8" w:color="71BF43"/>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111,827</w:t>
            </w:r>
          </w:p>
        </w:tc>
        <w:tc>
          <w:tcPr>
            <w:tcW w:w="280" w:type="dxa"/>
            <w:vAlign w:val="bottom"/>
            <w:tcBorders>
              <w:bottom w:val="single" w:sz="8" w:color="71BF43"/>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101,302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-685165</wp:posOffset>
            </wp:positionV>
            <wp:extent cx="17487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 ended December 31, 2020, we recorded an impairment charge of $4.3 million against certain previously capitalized software development costs that reduced the carrying value of those assets to zero. The impairment charge is reflected in cost of recurring revenue and resulted primarily from our decision to accelerate the end of customer support for certain solutions. Other changes to the gross carrying amount of software development costs were primarily related to qualifying costs associated with development activities that are required to be capitalized under the internal-use software accounting guidance such as those for our cloud solutions, write-offs of fully amortized assets, and the effect of foreign currency translation.</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related to software development costs was $31.7 million, $20.7 million and $16.6 million for the years ended December 31, 2020, 2019 and 2018, respectively, and is included primarily in cost of recurring.</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84  </w:t>
      </w:r>
      <w:r>
        <w:rPr>
          <w:sz w:val="1"/>
          <w:szCs w:val="1"/>
          <w:color w:val="auto"/>
        </w:rPr>
        <w:drawing>
          <wp:inline distT="0" distB="0" distL="0" distR="0">
            <wp:extent cx="728345" cy="18859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40" w:type="dxa"/>
            <w:vAlign w:val="bottom"/>
            <w:vMerge w:val="continue"/>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Restricted cash due to customers</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607,943</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545,485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Real estate escrow balances</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8CBE4F"/>
            </w:tcBorders>
            <w:shd w:val="clear" w:color="auto" w:fill="F4F4F4"/>
          </w:tcPr>
          <w:p>
            <w:pPr>
              <w:ind w:left="140"/>
              <w:spacing w:after="0"/>
              <w:rPr>
                <w:sz w:val="20"/>
                <w:szCs w:val="20"/>
                <w:color w:val="auto"/>
              </w:rPr>
            </w:pPr>
            <w:r>
              <w:rPr>
                <w:rFonts w:ascii="Arial" w:cs="Arial" w:eastAsia="Arial" w:hAnsi="Arial"/>
                <w:sz w:val="18"/>
                <w:szCs w:val="18"/>
                <w:color w:val="auto"/>
              </w:rPr>
              <w:t>Total restricted cash</w:t>
            </w:r>
          </w:p>
        </w:tc>
        <w:tc>
          <w:tcPr>
            <w:tcW w:w="420" w:type="dxa"/>
            <w:vAlign w:val="bottom"/>
            <w:tcBorders>
              <w:bottom w:val="single" w:sz="8" w:color="8CBE4F"/>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609,219</w:t>
            </w:r>
          </w:p>
        </w:tc>
        <w:tc>
          <w:tcPr>
            <w:tcW w:w="400" w:type="dxa"/>
            <w:vAlign w:val="bottom"/>
            <w:tcBorders>
              <w:bottom w:val="single" w:sz="8" w:color="8CBE4F"/>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545,485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7940" w:type="dxa"/>
            <w:vAlign w:val="bottom"/>
          </w:tcPr>
          <w:p>
            <w:pPr>
              <w:spacing w:after="0"/>
              <w:rPr>
                <w:sz w:val="20"/>
                <w:szCs w:val="20"/>
                <w:color w:val="auto"/>
              </w:rPr>
            </w:pPr>
            <w:r>
              <w:rPr>
                <w:rFonts w:ascii="Arial" w:cs="Arial" w:eastAsia="Arial" w:hAnsi="Arial"/>
                <w:sz w:val="18"/>
                <w:szCs w:val="18"/>
                <w:b w:val="1"/>
                <w:bCs w:val="1"/>
                <w:color w:val="auto"/>
              </w:rPr>
              <w:t>Prepaid expenses and other assets</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94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12"/>
                <w:szCs w:val="12"/>
                <w:color w:val="auto"/>
              </w:rPr>
            </w:pPr>
          </w:p>
        </w:tc>
        <w:tc>
          <w:tcPr>
            <w:tcW w:w="124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2"/>
                <w:szCs w:val="12"/>
                <w:color w:val="auto"/>
              </w:rPr>
            </w:pPr>
          </w:p>
        </w:tc>
        <w:tc>
          <w:tcPr>
            <w:tcW w:w="124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940" w:type="dxa"/>
            <w:vAlign w:val="bottom"/>
            <w:vMerge w:val="continue"/>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Costs of obtaining contracts</w:t>
            </w:r>
            <w:r>
              <w:rPr>
                <w:rFonts w:ascii="Arial" w:cs="Arial" w:eastAsia="Arial" w:hAnsi="Arial"/>
                <w:sz w:val="23"/>
                <w:szCs w:val="23"/>
                <w:color w:val="auto"/>
                <w:vertAlign w:val="superscript"/>
              </w:rPr>
              <w:t>(1)(2)</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84,914</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line="230" w:lineRule="exact"/>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3"/>
                <w:szCs w:val="23"/>
                <w:color w:val="auto"/>
                <w:vertAlign w:val="superscript"/>
              </w:rPr>
              <w:t>(3)</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24,471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3"/>
                <w:szCs w:val="23"/>
                <w:color w:val="auto"/>
                <w:vertAlign w:val="superscript"/>
              </w:rPr>
              <w:t>(4)(5)</w:t>
            </w:r>
          </w:p>
        </w:tc>
        <w:tc>
          <w:tcPr>
            <w:tcW w:w="42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11,298</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10,385</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Receivables for probable insurance recoveries</w:t>
            </w:r>
            <w:r>
              <w:rPr>
                <w:rFonts w:ascii="Arial" w:cs="Arial" w:eastAsia="Arial" w:hAnsi="Arial"/>
                <w:sz w:val="23"/>
                <w:szCs w:val="23"/>
                <w:color w:val="auto"/>
                <w:vertAlign w:val="superscript"/>
              </w:rPr>
              <w:t>(6)</w:t>
            </w:r>
          </w:p>
        </w:tc>
        <w:tc>
          <w:tcPr>
            <w:tcW w:w="42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6,288</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Taxes, prepaid and receivable</w:t>
            </w:r>
          </w:p>
        </w:tc>
        <w:tc>
          <w:tcPr>
            <w:tcW w:w="42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1,891</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Security deposits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9,578</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8,051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8"/>
                <w:szCs w:val="18"/>
                <w:color w:val="auto"/>
              </w:rPr>
              <w:t>Total prepaid expenses and other assets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151,005</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Less: Long-term portion</w:t>
            </w:r>
          </w:p>
        </w:tc>
        <w:tc>
          <w:tcPr>
            <w:tcW w:w="42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72,639</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65,193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71BF43"/>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78,366</w:t>
            </w:r>
          </w:p>
        </w:tc>
        <w:tc>
          <w:tcPr>
            <w:tcW w:w="400" w:type="dxa"/>
            <w:vAlign w:val="bottom"/>
            <w:tcBorders>
              <w:bottom w:val="single" w:sz="8" w:color="71BF43"/>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67,852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40" w:hanging="332"/>
        <w:spacing w:after="0" w:line="241" w:lineRule="auto"/>
        <w:tabs>
          <w:tab w:leader="none" w:pos="354"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Amortization expense from costs of obtaining contracts was $37.4 million, $38.1 million and $35.7 million for the years ended December 31, 2020, 2019 and 2018, respectively, and is included in sales, marketing and customer success expense in our consolidated statements of comprehensive income.</w:t>
      </w: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December 31, 2020 and 2019 was $31.9 million and $33.0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December 31, 2020 and December 31, 2019 was $19.8 million and $16.1 million, respectively.</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54"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costs, which were previously included in prepaid software maintenance and subscriptions, primarily relate to the multi-year implementations of our new global enterprise resource planning and customer relationship management systems.</w:t>
      </w:r>
    </w:p>
    <w:p>
      <w:pPr>
        <w:ind w:left="340" w:right="20" w:hanging="332"/>
        <w:spacing w:after="0" w:line="241" w:lineRule="auto"/>
        <w:tabs>
          <w:tab w:leader="none" w:pos="354"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$0.8 million for the year ended December 31, 2020 and insignificant for the year ended December 31, 2019. Accumulated amortization for these costs was $1.1 million as of December 31, 2020 and insignificant as of December 31, 2019.</w:t>
      </w: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See discussion of the Security Incident at Note 11.</w:t>
      </w:r>
    </w:p>
    <w:p>
      <w:pPr>
        <w:spacing w:after="0" w:line="291"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76"/>
        </w:trPr>
        <w:tc>
          <w:tcPr>
            <w:tcW w:w="7940" w:type="dxa"/>
            <w:vAlign w:val="bottom"/>
            <w:vMerge w:val="continue"/>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9,359</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19,784</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line="230" w:lineRule="exact"/>
              <w:rPr>
                <w:sz w:val="20"/>
                <w:szCs w:val="20"/>
                <w:color w:val="auto"/>
              </w:rPr>
            </w:pPr>
            <w:r>
              <w:rPr>
                <w:rFonts w:ascii="Arial" w:cs="Arial" w:eastAsia="Arial" w:hAnsi="Arial"/>
                <w:sz w:val="18"/>
                <w:szCs w:val="18"/>
                <w:color w:val="auto"/>
              </w:rPr>
              <w:t>Accrued bonuses</w:t>
            </w:r>
            <w:r>
              <w:rPr>
                <w:rFonts w:ascii="Arial" w:cs="Arial" w:eastAsia="Arial" w:hAnsi="Arial"/>
                <w:sz w:val="23"/>
                <w:szCs w:val="23"/>
                <w:color w:val="auto"/>
                <w:vertAlign w:val="superscript"/>
              </w:rPr>
              <w:t>(1)</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24,617</w:t>
            </w: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Taxes payable</w:t>
            </w:r>
            <w:r>
              <w:rPr>
                <w:rFonts w:ascii="Arial" w:cs="Arial" w:eastAsia="Arial" w:hAnsi="Arial"/>
                <w:sz w:val="23"/>
                <w:szCs w:val="23"/>
                <w:color w:val="auto"/>
                <w:vertAlign w:val="superscript"/>
              </w:rPr>
              <w:t>(2)</w:t>
            </w:r>
          </w:p>
        </w:tc>
        <w:tc>
          <w:tcPr>
            <w:tcW w:w="42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19,577</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Customer credit balances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Accrued commissions and salaries</w:t>
            </w:r>
          </w:p>
        </w:tc>
        <w:tc>
          <w:tcPr>
            <w:tcW w:w="42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5,010</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Accrued legal costs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4,808</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42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4,159</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Unrecognized tax benefit</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Accrued health care costs</w:t>
            </w:r>
          </w:p>
        </w:tc>
        <w:tc>
          <w:tcPr>
            <w:tcW w:w="42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2,341</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Accrued vacation costs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6,304</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8"/>
                <w:szCs w:val="18"/>
                <w:color w:val="auto"/>
              </w:rPr>
              <w:t>Total accrued expenses and other liabilities</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63,094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79,059</w:t>
            </w: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Less: Long-term portion</w:t>
            </w:r>
          </w:p>
        </w:tc>
        <w:tc>
          <w:tcPr>
            <w:tcW w:w="42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10,866</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Borders>
              <w:bottom w:val="single" w:sz="8" w:color="71BF43"/>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52,228</w:t>
            </w:r>
          </w:p>
        </w:tc>
        <w:tc>
          <w:tcPr>
            <w:tcW w:w="400" w:type="dxa"/>
            <w:vAlign w:val="bottom"/>
            <w:tcBorders>
              <w:bottom w:val="single" w:sz="8" w:color="71BF43"/>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73,317</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right="20" w:hanging="332"/>
        <w:spacing w:after="0" w:line="241" w:lineRule="auto"/>
        <w:tabs>
          <w:tab w:leader="none" w:pos="354"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March 2020, we reduced our accrued bonuses due to the payment of bonuses from the prior year and, in response to COVID-19, determined to replace our 2020 cash bonus plans with performance-based equity awards (see Note 2).</w:t>
      </w:r>
    </w:p>
    <w:p>
      <w:pPr>
        <w:ind w:left="340" w:hanging="332"/>
        <w:spacing w:after="0" w:line="258" w:lineRule="auto"/>
        <w:tabs>
          <w:tab w:leader="none" w:pos="354" w:val="left"/>
        </w:tabs>
        <w:numPr>
          <w:ilvl w:val="0"/>
          <w:numId w:val="66"/>
        </w:numPr>
        <w:rPr>
          <w:rFonts w:ascii="Arial" w:cs="Arial" w:eastAsia="Arial" w:hAnsi="Arial"/>
          <w:sz w:val="14"/>
          <w:szCs w:val="14"/>
          <w:color w:val="auto"/>
        </w:rPr>
      </w:pPr>
      <w:r>
        <w:rPr>
          <w:rFonts w:ascii="Arial" w:cs="Arial" w:eastAsia="Arial" w:hAnsi="Arial"/>
          <w:sz w:val="14"/>
          <w:szCs w:val="14"/>
          <w:color w:val="auto"/>
        </w:rPr>
        <w:t>We deferred payments of the employer's portion of Social Security taxes during 2020 under the Coronavirus, Aid, Relief and Economic Security Act ("CARES Act"), half of which is due by the end of calendar year 2021 with the remainder due by the end of calendar year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620" w:type="dxa"/>
            <w:vAlign w:val="bottom"/>
            <w:shd w:val="clear" w:color="auto" w:fill="ACACAC"/>
          </w:tcPr>
          <w:p>
            <w:pPr>
              <w:spacing w:after="0"/>
              <w:rPr>
                <w:sz w:val="14"/>
                <w:szCs w:val="14"/>
                <w:color w:val="auto"/>
              </w:rPr>
            </w:pPr>
          </w:p>
        </w:tc>
        <w:tc>
          <w:tcPr>
            <w:tcW w:w="62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42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75"/>
        </w:trPr>
        <w:tc>
          <w:tcPr>
            <w:tcW w:w="1680" w:type="dxa"/>
            <w:vAlign w:val="bottom"/>
            <w:vMerge w:val="continue"/>
            <w:shd w:val="clear" w:color="auto" w:fill="ACACAC"/>
          </w:tcPr>
          <w:p>
            <w:pPr>
              <w:spacing w:after="0"/>
              <w:rPr>
                <w:sz w:val="15"/>
                <w:szCs w:val="15"/>
                <w:color w:val="auto"/>
              </w:rPr>
            </w:pPr>
          </w:p>
        </w:tc>
        <w:tc>
          <w:tcPr>
            <w:tcW w:w="4620" w:type="dxa"/>
            <w:vAlign w:val="bottom"/>
            <w:shd w:val="clear" w:color="auto" w:fill="ACACAC"/>
          </w:tcPr>
          <w:p>
            <w:pPr>
              <w:spacing w:after="0"/>
              <w:rPr>
                <w:sz w:val="15"/>
                <w:szCs w:val="15"/>
                <w:color w:val="auto"/>
              </w:rPr>
            </w:pPr>
          </w:p>
        </w:tc>
        <w:tc>
          <w:tcPr>
            <w:tcW w:w="620" w:type="dxa"/>
            <w:vAlign w:val="bottom"/>
            <w:shd w:val="clear" w:color="auto" w:fill="ACACAC"/>
          </w:tcPr>
          <w:p>
            <w:pPr>
              <w:spacing w:after="0"/>
              <w:rPr>
                <w:sz w:val="15"/>
                <w:szCs w:val="15"/>
                <w:color w:val="auto"/>
              </w:rPr>
            </w:pPr>
          </w:p>
        </w:tc>
        <w:tc>
          <w:tcPr>
            <w:tcW w:w="1020" w:type="dxa"/>
            <w:vAlign w:val="bottom"/>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30"/>
        </w:trPr>
        <w:tc>
          <w:tcPr>
            <w:tcW w:w="168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Recurring</w:t>
            </w:r>
          </w:p>
        </w:tc>
        <w:tc>
          <w:tcPr>
            <w:tcW w:w="4620" w:type="dxa"/>
            <w:vAlign w:val="bottom"/>
            <w:shd w:val="clear" w:color="auto" w:fill="F4F4F4"/>
          </w:tcPr>
          <w:p>
            <w:pPr>
              <w:spacing w:after="0"/>
              <w:rPr>
                <w:sz w:val="19"/>
                <w:szCs w:val="19"/>
                <w:color w:val="auto"/>
              </w:rPr>
            </w:pPr>
          </w:p>
        </w:tc>
        <w:tc>
          <w:tcPr>
            <w:tcW w:w="62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303,840</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302,751</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F4F4F4"/>
            </w:tcBorders>
            <w:gridSpan w:val="2"/>
          </w:tcPr>
          <w:p>
            <w:pPr>
              <w:ind w:left="20"/>
              <w:spacing w:after="0"/>
              <w:rPr>
                <w:sz w:val="20"/>
                <w:szCs w:val="20"/>
                <w:color w:val="auto"/>
              </w:rPr>
            </w:pPr>
            <w:r>
              <w:rPr>
                <w:rFonts w:ascii="Arial" w:cs="Arial" w:eastAsia="Arial" w:hAnsi="Arial"/>
                <w:sz w:val="18"/>
                <w:szCs w:val="18"/>
                <w:color w:val="auto"/>
              </w:rPr>
              <w:t>One-time services and other</w:t>
            </w:r>
          </w:p>
        </w:tc>
        <w:tc>
          <w:tcPr>
            <w:tcW w:w="620" w:type="dxa"/>
            <w:vAlign w:val="bottom"/>
            <w:tcBorders>
              <w:bottom w:val="single" w:sz="8" w:color="F4F4F4"/>
            </w:tcBorders>
          </w:tcPr>
          <w:p>
            <w:pPr>
              <w:spacing w:after="0"/>
              <w:rPr>
                <w:sz w:val="19"/>
                <w:szCs w:val="19"/>
                <w:color w:val="auto"/>
              </w:rPr>
            </w:pPr>
          </w:p>
        </w:tc>
        <w:tc>
          <w:tcPr>
            <w:tcW w:w="1020" w:type="dxa"/>
            <w:vAlign w:val="bottom"/>
            <w:tcBorders>
              <w:bottom w:val="single" w:sz="8" w:color="F4F4F4"/>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13,074</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23"/>
        </w:trPr>
        <w:tc>
          <w:tcPr>
            <w:tcW w:w="6300" w:type="dxa"/>
            <w:vAlign w:val="bottom"/>
            <w:gridSpan w:val="2"/>
            <w:shd w:val="clear" w:color="auto" w:fill="F4F4F4"/>
          </w:tcPr>
          <w:p>
            <w:pPr>
              <w:ind w:left="140"/>
              <w:spacing w:after="0"/>
              <w:rPr>
                <w:sz w:val="20"/>
                <w:szCs w:val="20"/>
                <w:color w:val="auto"/>
              </w:rPr>
            </w:pPr>
            <w:r>
              <w:rPr>
                <w:rFonts w:ascii="Arial" w:cs="Arial" w:eastAsia="Arial" w:hAnsi="Arial"/>
                <w:sz w:val="18"/>
                <w:szCs w:val="18"/>
                <w:color w:val="auto"/>
              </w:rPr>
              <w:t>Total deferred revenue</w:t>
            </w:r>
          </w:p>
        </w:tc>
        <w:tc>
          <w:tcPr>
            <w:tcW w:w="62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316,914</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316,137</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F4F4F4"/>
            </w:tcBorders>
            <w:gridSpan w:val="2"/>
          </w:tcPr>
          <w:p>
            <w:pPr>
              <w:ind w:left="20"/>
              <w:spacing w:after="0"/>
              <w:rPr>
                <w:sz w:val="20"/>
                <w:szCs w:val="20"/>
                <w:color w:val="auto"/>
              </w:rPr>
            </w:pPr>
            <w:r>
              <w:rPr>
                <w:rFonts w:ascii="Arial" w:cs="Arial" w:eastAsia="Arial" w:hAnsi="Arial"/>
                <w:sz w:val="18"/>
                <w:szCs w:val="18"/>
                <w:color w:val="auto"/>
              </w:rPr>
              <w:t>Less: Long-term portion</w:t>
            </w:r>
          </w:p>
        </w:tc>
        <w:tc>
          <w:tcPr>
            <w:tcW w:w="620" w:type="dxa"/>
            <w:vAlign w:val="bottom"/>
            <w:tcBorders>
              <w:bottom w:val="single" w:sz="8" w:color="F4F4F4"/>
            </w:tcBorders>
          </w:tcPr>
          <w:p>
            <w:pPr>
              <w:spacing w:after="0"/>
              <w:rPr>
                <w:sz w:val="19"/>
                <w:szCs w:val="19"/>
                <w:color w:val="auto"/>
              </w:rPr>
            </w:pPr>
          </w:p>
        </w:tc>
        <w:tc>
          <w:tcPr>
            <w:tcW w:w="1020" w:type="dxa"/>
            <w:vAlign w:val="bottom"/>
            <w:tcBorders>
              <w:bottom w:val="single" w:sz="8" w:color="F4F4F4"/>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71BF43"/>
            </w:tcBorders>
            <w:gridSpan w:val="2"/>
            <w:shd w:val="clear" w:color="auto" w:fill="F4F4F4"/>
          </w:tcPr>
          <w:p>
            <w:pPr>
              <w:ind w:left="20"/>
              <w:spacing w:after="0"/>
              <w:rPr>
                <w:sz w:val="20"/>
                <w:szCs w:val="20"/>
                <w:color w:val="auto"/>
              </w:rPr>
            </w:pPr>
            <w:r>
              <w:rPr>
                <w:rFonts w:ascii="Arial" w:cs="Arial" w:eastAsia="Arial" w:hAnsi="Arial"/>
                <w:sz w:val="18"/>
                <w:szCs w:val="18"/>
                <w:color w:val="auto"/>
              </w:rPr>
              <w:t>Deferred revenue, current portion</w:t>
            </w:r>
          </w:p>
        </w:tc>
        <w:tc>
          <w:tcPr>
            <w:tcW w:w="620" w:type="dxa"/>
            <w:vAlign w:val="bottom"/>
            <w:tcBorders>
              <w:bottom w:val="single" w:sz="8" w:color="71BF43"/>
            </w:tcBorders>
            <w:shd w:val="clear" w:color="auto" w:fill="F4F4F4"/>
          </w:tcPr>
          <w:p>
            <w:pPr>
              <w:spacing w:after="0"/>
              <w:rPr>
                <w:sz w:val="19"/>
                <w:szCs w:val="19"/>
                <w:color w:val="auto"/>
              </w:rPr>
            </w:pPr>
          </w:p>
        </w:tc>
        <w:tc>
          <w:tcPr>
            <w:tcW w:w="1020" w:type="dxa"/>
            <w:vAlign w:val="bottom"/>
            <w:tcBorders>
              <w:bottom w:val="single" w:sz="8" w:color="71BF43"/>
            </w:tcBorders>
            <w:shd w:val="clear" w:color="auto" w:fill="F4F4F4"/>
          </w:tcPr>
          <w:p>
            <w:pPr>
              <w:spacing w:after="0"/>
              <w:rPr>
                <w:sz w:val="19"/>
                <w:szCs w:val="19"/>
                <w:color w:val="auto"/>
              </w:rPr>
            </w:pP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312,236</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314,335</w:t>
            </w:r>
          </w:p>
        </w:tc>
        <w:tc>
          <w:tcPr>
            <w:tcW w:w="0" w:type="dxa"/>
            <w:vAlign w:val="bottom"/>
          </w:tcPr>
          <w:p>
            <w:pPr>
              <w:spacing w:after="0"/>
              <w:rPr>
                <w:sz w:val="1"/>
                <w:szCs w:val="1"/>
                <w:color w:val="auto"/>
              </w:rPr>
            </w:pPr>
          </w:p>
        </w:tc>
      </w:tr>
      <w:tr>
        <w:trPr>
          <w:trHeight w:val="480"/>
        </w:trPr>
        <w:tc>
          <w:tcPr>
            <w:tcW w:w="1680" w:type="dxa"/>
            <w:vAlign w:val="bottom"/>
          </w:tcPr>
          <w:p>
            <w:pPr>
              <w:spacing w:after="0"/>
              <w:rPr>
                <w:sz w:val="20"/>
                <w:szCs w:val="20"/>
                <w:color w:val="auto"/>
              </w:rPr>
            </w:pPr>
            <w:r>
              <w:rPr>
                <w:rFonts w:ascii="Arial" w:cs="Arial" w:eastAsia="Arial" w:hAnsi="Arial"/>
                <w:sz w:val="18"/>
                <w:szCs w:val="18"/>
                <w:b w:val="1"/>
                <w:bCs w:val="1"/>
                <w:color w:val="auto"/>
              </w:rPr>
              <w:t>Other income, net</w:t>
            </w:r>
          </w:p>
        </w:tc>
        <w:tc>
          <w:tcPr>
            <w:tcW w:w="4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80" w:type="dxa"/>
            <w:vAlign w:val="bottom"/>
            <w:shd w:val="clear" w:color="auto" w:fill="ACACAC"/>
          </w:tcPr>
          <w:p>
            <w:pPr>
              <w:spacing w:after="0"/>
              <w:rPr>
                <w:sz w:val="16"/>
                <w:szCs w:val="16"/>
                <w:color w:val="auto"/>
              </w:rPr>
            </w:pPr>
          </w:p>
        </w:tc>
        <w:tc>
          <w:tcPr>
            <w:tcW w:w="4620" w:type="dxa"/>
            <w:vAlign w:val="bottom"/>
            <w:shd w:val="clear" w:color="auto" w:fill="ACACAC"/>
          </w:tcPr>
          <w:p>
            <w:pPr>
              <w:spacing w:after="0"/>
              <w:rPr>
                <w:sz w:val="16"/>
                <w:szCs w:val="16"/>
                <w:color w:val="auto"/>
              </w:rPr>
            </w:pPr>
          </w:p>
        </w:tc>
        <w:tc>
          <w:tcPr>
            <w:tcW w:w="62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28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0" w:type="dxa"/>
            <w:vAlign w:val="bottom"/>
          </w:tcPr>
          <w:p>
            <w:pPr>
              <w:spacing w:after="0"/>
              <w:rPr>
                <w:sz w:val="1"/>
                <w:szCs w:val="1"/>
                <w:color w:val="auto"/>
              </w:rPr>
            </w:pPr>
          </w:p>
        </w:tc>
      </w:tr>
      <w:tr>
        <w:trPr>
          <w:trHeight w:val="203"/>
        </w:trPr>
        <w:tc>
          <w:tcPr>
            <w:tcW w:w="16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620" w:type="dxa"/>
            <w:vAlign w:val="bottom"/>
            <w:shd w:val="clear" w:color="auto" w:fill="ACACAC"/>
          </w:tcPr>
          <w:p>
            <w:pPr>
              <w:spacing w:after="0"/>
              <w:rPr>
                <w:sz w:val="17"/>
                <w:szCs w:val="17"/>
                <w:color w:val="auto"/>
              </w:rPr>
            </w:pPr>
          </w:p>
        </w:tc>
        <w:tc>
          <w:tcPr>
            <w:tcW w:w="62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30"/>
        </w:trPr>
        <w:tc>
          <w:tcPr>
            <w:tcW w:w="168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Interest income</w:t>
            </w:r>
          </w:p>
        </w:tc>
        <w:tc>
          <w:tcPr>
            <w:tcW w:w="4620" w:type="dxa"/>
            <w:vAlign w:val="bottom"/>
            <w:shd w:val="clear" w:color="auto" w:fill="F4F4F4"/>
          </w:tcPr>
          <w:p>
            <w:pPr>
              <w:spacing w:after="0"/>
              <w:rPr>
                <w:sz w:val="19"/>
                <w:szCs w:val="19"/>
                <w:color w:val="auto"/>
              </w:rPr>
            </w:pPr>
          </w:p>
        </w:tc>
        <w:tc>
          <w:tcPr>
            <w:tcW w:w="620" w:type="dxa"/>
            <w:vAlign w:val="bottom"/>
            <w:shd w:val="clear" w:color="auto" w:fill="F4F4F4"/>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1,660</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2,802</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F4F4F4"/>
            </w:tcBorders>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Other income, net</w:t>
            </w:r>
          </w:p>
        </w:tc>
        <w:tc>
          <w:tcPr>
            <w:tcW w:w="4620" w:type="dxa"/>
            <w:vAlign w:val="bottom"/>
            <w:tcBorders>
              <w:bottom w:val="single" w:sz="8" w:color="71BF43"/>
            </w:tcBorders>
            <w:shd w:val="clear" w:color="auto" w:fill="F4F4F4"/>
          </w:tcPr>
          <w:p>
            <w:pPr>
              <w:spacing w:after="0"/>
              <w:rPr>
                <w:sz w:val="19"/>
                <w:szCs w:val="19"/>
                <w:color w:val="auto"/>
              </w:rPr>
            </w:pPr>
          </w:p>
        </w:tc>
        <w:tc>
          <w:tcPr>
            <w:tcW w:w="620" w:type="dxa"/>
            <w:vAlign w:val="bottom"/>
            <w:tcBorders>
              <w:bottom w:val="single" w:sz="8" w:color="71BF43"/>
            </w:tcBorders>
            <w:shd w:val="clear" w:color="auto" w:fill="F4F4F4"/>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1,658</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4,058</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697"/>
        </w:trPr>
        <w:tc>
          <w:tcPr>
            <w:tcW w:w="1680" w:type="dxa"/>
            <w:vAlign w:val="bottom"/>
          </w:tcPr>
          <w:p>
            <w:pPr>
              <w:ind w:left="240"/>
              <w:spacing w:after="0"/>
              <w:rPr>
                <w:sz w:val="20"/>
                <w:szCs w:val="20"/>
                <w:color w:val="auto"/>
              </w:rPr>
            </w:pPr>
            <w:r>
              <w:rPr>
                <w:rFonts w:ascii="Arial" w:cs="Arial" w:eastAsia="Arial" w:hAnsi="Arial"/>
                <w:sz w:val="14"/>
                <w:szCs w:val="14"/>
                <w:color w:val="auto"/>
              </w:rPr>
              <w:t>86</w:t>
            </w:r>
          </w:p>
        </w:tc>
        <w:tc>
          <w:tcPr>
            <w:tcW w:w="4620" w:type="dxa"/>
            <w:vAlign w:val="bottom"/>
          </w:tcPr>
          <w:p>
            <w:pPr>
              <w:ind w:left="80"/>
              <w:spacing w:after="0"/>
              <w:rPr>
                <w:sz w:val="20"/>
                <w:szCs w:val="20"/>
                <w:color w:val="auto"/>
              </w:rPr>
            </w:pPr>
            <w:r>
              <w:rPr>
                <w:rFonts w:ascii="Arial" w:cs="Arial" w:eastAsia="Arial" w:hAnsi="Arial"/>
                <w:sz w:val="14"/>
                <w:szCs w:val="14"/>
                <w:color w:val="auto"/>
              </w:rPr>
              <w:t>2020 Form 10-K</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-1233805</wp:posOffset>
            </wp:positionV>
            <wp:extent cx="31375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1375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-385445</wp:posOffset>
            </wp:positionV>
            <wp:extent cx="728345"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shd w:val="clear" w:color="auto" w:fill="ACACAC"/>
          </w:tcPr>
          <w:p>
            <w:pPr>
              <w:spacing w:after="0"/>
              <w:rPr>
                <w:sz w:val="14"/>
                <w:szCs w:val="14"/>
                <w:color w:val="auto"/>
              </w:rPr>
            </w:pPr>
          </w:p>
        </w:tc>
        <w:tc>
          <w:tcPr>
            <w:tcW w:w="320" w:type="dxa"/>
            <w:vAlign w:val="bottom"/>
            <w:shd w:val="clear" w:color="auto" w:fill="ACACAC"/>
          </w:tcPr>
          <w:p>
            <w:pPr>
              <w:spacing w:after="0"/>
              <w:rPr>
                <w:sz w:val="14"/>
                <w:szCs w:val="14"/>
                <w:color w:val="auto"/>
              </w:rPr>
            </w:pPr>
          </w:p>
        </w:tc>
        <w:tc>
          <w:tcPr>
            <w:tcW w:w="1180" w:type="dxa"/>
            <w:vAlign w:val="bottom"/>
            <w:shd w:val="clear" w:color="auto" w:fill="ACACAC"/>
          </w:tcPr>
          <w:p>
            <w:pPr>
              <w:spacing w:after="0"/>
              <w:rPr>
                <w:sz w:val="14"/>
                <w:szCs w:val="14"/>
                <w:color w:val="auto"/>
              </w:rPr>
            </w:pPr>
          </w:p>
        </w:tc>
        <w:tc>
          <w:tcPr>
            <w:tcW w:w="260" w:type="dxa"/>
            <w:vAlign w:val="bottom"/>
            <w:shd w:val="clear" w:color="auto" w:fill="ACACAC"/>
          </w:tcPr>
          <w:p>
            <w:pPr>
              <w:spacing w:after="0"/>
              <w:rPr>
                <w:sz w:val="14"/>
                <w:szCs w:val="14"/>
                <w:color w:val="auto"/>
              </w:rPr>
            </w:pPr>
          </w:p>
        </w:tc>
        <w:tc>
          <w:tcPr>
            <w:tcW w:w="1360" w:type="dxa"/>
            <w:vAlign w:val="bottom"/>
            <w:gridSpan w:val="2"/>
            <w:vMerge w:val="restart"/>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Debt balance at</w:t>
            </w:r>
          </w:p>
        </w:tc>
        <w:tc>
          <w:tcPr>
            <w:tcW w:w="1640" w:type="dxa"/>
            <w:vAlign w:val="bottom"/>
            <w:shd w:val="clear" w:color="auto" w:fill="ACACAC"/>
          </w:tcPr>
          <w:p>
            <w:pPr>
              <w:spacing w:after="0"/>
              <w:rPr>
                <w:sz w:val="14"/>
                <w:szCs w:val="14"/>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0" w:type="dxa"/>
            <w:vAlign w:val="bottom"/>
          </w:tcPr>
          <w:p>
            <w:pPr>
              <w:spacing w:after="0"/>
              <w:rPr>
                <w:sz w:val="1"/>
                <w:szCs w:val="1"/>
                <w:color w:val="auto"/>
              </w:rPr>
            </w:pPr>
          </w:p>
        </w:tc>
      </w:tr>
      <w:tr>
        <w:trPr>
          <w:trHeight w:val="175"/>
        </w:trPr>
        <w:tc>
          <w:tcPr>
            <w:tcW w:w="4780" w:type="dxa"/>
            <w:vAlign w:val="bottom"/>
            <w:shd w:val="clear" w:color="auto" w:fill="ACACAC"/>
          </w:tcPr>
          <w:p>
            <w:pPr>
              <w:spacing w:after="0"/>
              <w:rPr>
                <w:sz w:val="15"/>
                <w:szCs w:val="15"/>
                <w:color w:val="auto"/>
              </w:rPr>
            </w:pPr>
          </w:p>
        </w:tc>
        <w:tc>
          <w:tcPr>
            <w:tcW w:w="320" w:type="dxa"/>
            <w:vAlign w:val="bottom"/>
            <w:shd w:val="clear" w:color="auto" w:fill="ACACAC"/>
          </w:tcPr>
          <w:p>
            <w:pPr>
              <w:spacing w:after="0"/>
              <w:rPr>
                <w:sz w:val="15"/>
                <w:szCs w:val="15"/>
                <w:color w:val="auto"/>
              </w:rPr>
            </w:pPr>
          </w:p>
        </w:tc>
        <w:tc>
          <w:tcPr>
            <w:tcW w:w="1180" w:type="dxa"/>
            <w:vAlign w:val="bottom"/>
            <w:shd w:val="clear" w:color="auto" w:fill="ACACAC"/>
          </w:tcPr>
          <w:p>
            <w:pPr>
              <w:spacing w:after="0"/>
              <w:rPr>
                <w:sz w:val="15"/>
                <w:szCs w:val="15"/>
                <w:color w:val="auto"/>
              </w:rPr>
            </w:pPr>
          </w:p>
        </w:tc>
        <w:tc>
          <w:tcPr>
            <w:tcW w:w="260" w:type="dxa"/>
            <w:vAlign w:val="bottom"/>
            <w:shd w:val="clear" w:color="auto" w:fill="ACACAC"/>
          </w:tcPr>
          <w:p>
            <w:pPr>
              <w:spacing w:after="0"/>
              <w:rPr>
                <w:sz w:val="15"/>
                <w:szCs w:val="15"/>
                <w:color w:val="auto"/>
              </w:rPr>
            </w:pPr>
          </w:p>
        </w:tc>
        <w:tc>
          <w:tcPr>
            <w:tcW w:w="1360" w:type="dxa"/>
            <w:vAlign w:val="bottom"/>
            <w:gridSpan w:val="2"/>
            <w:vMerge w:val="continue"/>
            <w:shd w:val="clear" w:color="auto" w:fill="ACACAC"/>
          </w:tcPr>
          <w:p>
            <w:pPr>
              <w:spacing w:after="0"/>
              <w:rPr>
                <w:sz w:val="15"/>
                <w:szCs w:val="15"/>
                <w:color w:val="auto"/>
              </w:rPr>
            </w:pPr>
          </w:p>
        </w:tc>
        <w:tc>
          <w:tcPr>
            <w:tcW w:w="1640" w:type="dxa"/>
            <w:vAlign w:val="bottom"/>
            <w:shd w:val="clear" w:color="auto" w:fill="ACACAC"/>
          </w:tcPr>
          <w:p>
            <w:pPr>
              <w:spacing w:after="0"/>
              <w:rPr>
                <w:sz w:val="15"/>
                <w:szCs w:val="15"/>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0" w:type="dxa"/>
            <w:vAlign w:val="bottom"/>
          </w:tcPr>
          <w:p>
            <w:pPr>
              <w:spacing w:after="0"/>
              <w:rPr>
                <w:sz w:val="1"/>
                <w:szCs w:val="1"/>
                <w:color w:val="auto"/>
              </w:rPr>
            </w:pPr>
          </w:p>
        </w:tc>
      </w:tr>
      <w:tr>
        <w:trPr>
          <w:trHeight w:val="162"/>
        </w:trPr>
        <w:tc>
          <w:tcPr>
            <w:tcW w:w="478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shd w:val="clear" w:color="auto" w:fill="ACACAC"/>
          </w:tcPr>
          <w:p>
            <w:pPr>
              <w:spacing w:after="0"/>
              <w:rPr>
                <w:sz w:val="14"/>
                <w:szCs w:val="14"/>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60" w:type="dxa"/>
            <w:vAlign w:val="bottom"/>
            <w:shd w:val="clear" w:color="auto" w:fill="ACACAC"/>
          </w:tcPr>
          <w:p>
            <w:pPr>
              <w:spacing w:after="0"/>
              <w:rPr>
                <w:sz w:val="14"/>
                <w:szCs w:val="14"/>
                <w:color w:val="auto"/>
              </w:rPr>
            </w:pPr>
          </w:p>
        </w:tc>
        <w:tc>
          <w:tcPr>
            <w:tcW w:w="1360" w:type="dxa"/>
            <w:vAlign w:val="bottom"/>
            <w:gridSpan w:val="2"/>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December 31,</w:t>
            </w: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75"/>
        </w:trPr>
        <w:tc>
          <w:tcPr>
            <w:tcW w:w="4780" w:type="dxa"/>
            <w:vAlign w:val="bottom"/>
            <w:vMerge w:val="continue"/>
            <w:shd w:val="clear" w:color="auto" w:fill="ACACAC"/>
          </w:tcPr>
          <w:p>
            <w:pPr>
              <w:spacing w:after="0"/>
              <w:rPr>
                <w:sz w:val="15"/>
                <w:szCs w:val="15"/>
                <w:color w:val="auto"/>
              </w:rPr>
            </w:pPr>
          </w:p>
        </w:tc>
        <w:tc>
          <w:tcPr>
            <w:tcW w:w="320" w:type="dxa"/>
            <w:vAlign w:val="bottom"/>
            <w:shd w:val="clear" w:color="auto" w:fill="ACACAC"/>
          </w:tcPr>
          <w:p>
            <w:pPr>
              <w:spacing w:after="0"/>
              <w:rPr>
                <w:sz w:val="15"/>
                <w:szCs w:val="15"/>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6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ACACAC"/>
          </w:tcPr>
          <w:p>
            <w:pPr>
              <w:spacing w:after="0"/>
              <w:rPr>
                <w:sz w:val="15"/>
                <w:szCs w:val="15"/>
                <w:color w:val="auto"/>
              </w:rPr>
            </w:pP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30"/>
        </w:trPr>
        <w:tc>
          <w:tcPr>
            <w:tcW w:w="4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Credit facility:</w:t>
            </w:r>
          </w:p>
        </w:tc>
        <w:tc>
          <w:tcPr>
            <w:tcW w:w="320" w:type="dxa"/>
            <w:vAlign w:val="bottom"/>
            <w:shd w:val="clear" w:color="auto" w:fill="F4F4F4"/>
          </w:tcPr>
          <w:p>
            <w:pPr>
              <w:spacing w:after="0"/>
              <w:rPr>
                <w:sz w:val="19"/>
                <w:szCs w:val="19"/>
                <w:color w:val="auto"/>
              </w:rPr>
            </w:pPr>
          </w:p>
        </w:tc>
        <w:tc>
          <w:tcPr>
            <w:tcW w:w="118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164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Revolving credit loans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69,625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187,000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1.83 %</w:t>
            </w:r>
          </w:p>
        </w:tc>
        <w:tc>
          <w:tcPr>
            <w:tcW w:w="1660" w:type="dxa"/>
            <w:vAlign w:val="bottom"/>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29"/>
        </w:trPr>
        <w:tc>
          <w:tcPr>
            <w:tcW w:w="4780" w:type="dxa"/>
            <w:vAlign w:val="bottom"/>
            <w:shd w:val="clear" w:color="auto" w:fill="F4F4F4"/>
          </w:tcPr>
          <w:p>
            <w:pPr>
              <w:ind w:left="220"/>
              <w:spacing w:after="0"/>
              <w:rPr>
                <w:sz w:val="20"/>
                <w:szCs w:val="20"/>
                <w:color w:val="auto"/>
              </w:rPr>
            </w:pPr>
            <w:r>
              <w:rPr>
                <w:rFonts w:ascii="Arial" w:cs="Arial" w:eastAsia="Arial" w:hAnsi="Arial"/>
                <w:sz w:val="18"/>
                <w:szCs w:val="18"/>
                <w:color w:val="auto"/>
              </w:rPr>
              <w:t>Term loans</w:t>
            </w:r>
          </w:p>
        </w:tc>
        <w:tc>
          <w:tcPr>
            <w:tcW w:w="32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281,250</w:t>
            </w:r>
          </w:p>
        </w:tc>
        <w:tc>
          <w:tcPr>
            <w:tcW w:w="120" w:type="dxa"/>
            <w:vAlign w:val="bottom"/>
            <w:shd w:val="clear" w:color="auto" w:fill="F4F4F4"/>
          </w:tcPr>
          <w:p>
            <w:pPr>
              <w:spacing w:after="0"/>
              <w:rPr>
                <w:sz w:val="19"/>
                <w:szCs w:val="19"/>
                <w:color w:val="auto"/>
              </w:rPr>
            </w:pPr>
          </w:p>
        </w:tc>
        <w:tc>
          <w:tcPr>
            <w:tcW w:w="16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3.12 %</w:t>
            </w:r>
          </w:p>
        </w:tc>
        <w:tc>
          <w:tcPr>
            <w:tcW w:w="16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3.22 %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60,626</w:t>
            </w:r>
          </w:p>
        </w:tc>
        <w:tc>
          <w:tcPr>
            <w:tcW w:w="2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5.22 %</w:t>
            </w: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debt</w:t>
            </w:r>
          </w:p>
        </w:tc>
        <w:tc>
          <w:tcPr>
            <w:tcW w:w="32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3,926</w:t>
            </w:r>
          </w:p>
        </w:tc>
        <w:tc>
          <w:tcPr>
            <w:tcW w:w="260" w:type="dxa"/>
            <w:vAlign w:val="bottom"/>
            <w:shd w:val="clear" w:color="auto" w:fill="F4F4F4"/>
          </w:tcPr>
          <w:p>
            <w:pPr>
              <w:spacing w:after="0"/>
              <w:rPr>
                <w:sz w:val="19"/>
                <w:szCs w:val="19"/>
                <w:color w:val="auto"/>
              </w:rPr>
            </w:pPr>
          </w:p>
        </w:tc>
        <w:tc>
          <w:tcPr>
            <w:tcW w:w="1360" w:type="dxa"/>
            <w:vAlign w:val="bottom"/>
            <w:gridSpan w:val="2"/>
            <w:shd w:val="clear" w:color="auto" w:fill="F4F4F4"/>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16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780" w:type="dxa"/>
            <w:vAlign w:val="bottom"/>
          </w:tcPr>
          <w:p>
            <w:pPr>
              <w:ind w:left="48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534,177</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468,250</w:t>
            </w:r>
          </w:p>
        </w:tc>
        <w:tc>
          <w:tcPr>
            <w:tcW w:w="12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3.21 %</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229"/>
        </w:trPr>
        <w:tc>
          <w:tcPr>
            <w:tcW w:w="4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32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3,144</w:t>
            </w:r>
          </w:p>
        </w:tc>
        <w:tc>
          <w:tcPr>
            <w:tcW w:w="26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F4F4F4"/>
          </w:tcPr>
          <w:p>
            <w:pPr>
              <w:spacing w:after="0"/>
              <w:rPr>
                <w:sz w:val="19"/>
                <w:szCs w:val="19"/>
                <w:color w:val="auto"/>
              </w:rPr>
            </w:pPr>
          </w:p>
        </w:tc>
        <w:tc>
          <w:tcPr>
            <w:tcW w:w="164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Debt, current portion</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F4F4F4"/>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2.61 %</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Debt, net of current portion</w:t>
            </w:r>
          </w:p>
        </w:tc>
        <w:tc>
          <w:tcPr>
            <w:tcW w:w="320" w:type="dxa"/>
            <w:vAlign w:val="bottom"/>
            <w:tcBorders>
              <w:bottom w:val="single" w:sz="8" w:color="71BF43"/>
            </w:tcBorders>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518,193</w:t>
            </w:r>
          </w:p>
        </w:tc>
        <w:tc>
          <w:tcPr>
            <w:tcW w:w="26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459,600</w:t>
            </w:r>
          </w:p>
        </w:tc>
        <w:tc>
          <w:tcPr>
            <w:tcW w:w="120" w:type="dxa"/>
            <w:vAlign w:val="bottom"/>
            <w:tcBorders>
              <w:bottom w:val="single" w:sz="8" w:color="71BF43"/>
            </w:tcBorders>
            <w:shd w:val="clear" w:color="auto" w:fill="F4F4F4"/>
          </w:tcPr>
          <w:p>
            <w:pPr>
              <w:spacing w:after="0"/>
              <w:rPr>
                <w:sz w:val="19"/>
                <w:szCs w:val="19"/>
                <w:color w:val="auto"/>
              </w:rPr>
            </w:pPr>
          </w:p>
        </w:tc>
        <w:tc>
          <w:tcPr>
            <w:tcW w:w="16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3.22 %</w:t>
            </w:r>
          </w:p>
        </w:tc>
        <w:tc>
          <w:tcPr>
            <w:tcW w:w="16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-1550670</wp:posOffset>
            </wp:positionV>
            <wp:extent cx="408051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refinancing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were previously party to a 5-year $700.0 million credit facility entered into during June 2017. The credit facility included: a dollar and a designated currency revolving credit facility with sublimits for letters of credit, swingline loans and multicurrency borrowings (the “2017 Revolving Facility”) and a term loan (the “2017 Term Loan”) together, (the “2017 Credit Facility”).</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2020, we entered into a 5-year $900.0 million Amended and Restated Credit Agreement (the “2020 Credit Facility”). The 2020 Credit Facility matures in October 2025 and replaced the 2017 Credit Facility by amending and restating it to include a $500.0 million revolving credit facility (the “2020 Revolving Facility”) and a $400.0 million term loan facility (the “2020 Term Loan”). Upon closing, we borrowed $400.0 million pursuant to the 2020 Term Loan and used the proceeds to repay the outstanding principal balance of the term loan under the 2017 Credit Facility, and repay $124.4 million of outstanding revolving credit loans under the 2017 Revolving Facility.</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amendment and restatement of the 2017 Credit Facility, the existing Pledge Agreement dated June 2, 2017 (as amended, supplemented or modified from time to time, the “2017 Pledge Agreement”), by us in favor of Bank of America, N.A., as administrative agent, was likewise amended and restated.</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lenders of the 2020 Term Loan participated in the 2017 Term Loan and the change in present value of our future cash flows to these lenders under the 2017 Term Loan and under the 2020 Term Loan was less than 10%. Accordingly, we accounted for the refinancing event as a debt modification. Certain lenders of the 2017 Term Loan did not participate in the 2020 Term Loan. Accordingly, we accounted for the refinancing event for these lenders as a debt extinguishment. Certain lenders of the 2017 Revolving Facility participated in the 2020 Revolving Facility and provided increased borrowing capacities. Accordingly, we accounted for the refinancing event for these lenders as a debt modification. Certain lenders of the 2017 Revolving Facility did not participate in the 2020 Revolving Facility. Accordingly, we accounted for the refinancing event for these lenders as a debt extinguishment.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an insignificant loss on debt extinguishment related to the write-off of debt discount and deferred financing costs for the portions of the 2017 Credit Facility considered to be extinguished. This loss was recognized in the consolidated statements of comprehensive income within other income, net.</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entry into the 2020 Credit Facility, we paid $4.0 million in financing costs, of which $1.2 million were capitalized in other assets and, together with a portion of the unamortized deferred financing costs from the 2017 Credit Facility and prior facilities, are being amortized into interest expense over the term of the new facility. As of December 31, 2020, deferred financing costs totaling $1.5 million were included in other assets on our consolidated balance sheets. We recorded aggregate financing costs of $2.0 million as a direct deduction from the carrying amount</w:t>
      </w:r>
    </w:p>
    <w:p>
      <w:pPr>
        <w:spacing w:after="0" w:line="298"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of our debt liability, which related to debt discount (fees paid to lenders) and debt issuance costs for the 2020 Term Loan.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2020 Credit Facility</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2020 Revolving Facility includes (i) a $ 50.0 million sublimit available for the issuance of standby letters of credit, (ii) a $50.0 million sublimit available for swingline loans, and (iii) a $100.0 million sublimit available for multicurrency borrowings.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obligations under the 2020 Credit Facility are secured by the stock and limited liability company interests of certain of our direct subsidiaries and any of our material domestic subsidiaries, if any, and the proceeds therefrom pledged pursuant to an Amended and Restated Pledge Agreement dated as of October 30, 2020 (the “2020 Pledge Agreement”), by us in favor of Bank of America, N.A., as administrative agent, for the ratable benefit of itself and the secured parties referred to therein.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Dollar tranche loans under the 2020 Revolving Facility and 2020 Term Loan bear interest at a rate per annum equal to (a) a base rate equal to the highest of (i) the Federal Funds Rate plus 0.50%, (ii) the prime rate announced by Bank of America, N.A., and (iii) the Eurocurrency Rate (which varies depending on the currency in which the loan is denominated) plus 1.00% (the “Base Rate”), plus (b) an applicable margin as specified in the 2020 Credit Facility (the “Applicable Margin”). Each Eurocurrency Rate Loan under the 2020 Credit Facility shall bear interest at a rate per annum equal to the Eurocurrency Rate, plus the Applicable Margin. The Applicable Margin shall be adjusted quarterly, varies based on our net leverage ratio and varies based on whether the loan is a Base Rate Loan (0.375% to 1.125%) or a Eurocurrency Rate Loan (1.375% to 2.125%).</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pay a quarterly commitment fee on the unused portion of the 2020 Revolving Facility from 0.250% to 0.375% per annum, depending on our net leverage ratio. At December 31, 2020, the commitment fee was 0.25%.</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 loan under the 2020 Credit Facility requires periodic principal payments. The balance of the term loan and any amounts drawn on the revolving credit loans are due upon maturity of the 2020 Credit Facility in October 2025. We evaluate the classification of our debt as current or non-current based on the required annual maturities of the 2020 Credit Facility. We may prepay the 2020 Credit Facility in whole or in part at any time without premium or penalty, other than customary breakage costs with respect to certain types of loans.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2020 Credit Facility contains various representations, warranties and affirmative, negative and financial covenants customary for financings of this type. Financial covenants include a net leverage ratio and an interest coverage ratio. At December 31, 2020, we were in compliance with our debt covenants under the 2020 Credit Facility.</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2020 Credit Facility, we are entitled on one or more occasions, subject to the satisfaction of certain conditions, to request an increase in the commitments under the Revolving Credit Facility and/or request additional incremental term loans in the aggregate principal amount of up to $250.0 million plus an amount, if any, such that the net leverage ratio shall be no greater than 3.25 to 1.00. At December 31, 2020, our available borrowing capacity under the 2020 Credit Facility was $429.3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August 2020, we completed the purchase of our Global Headquarters Facility. As part of the purchase price, we assumed the Seller’s obligations under (i) a 5.12% Senior Secured Note, Series A1, in the outstanding principal amount of $49.1 million, dated May 2, 2018, and</w:t>
      </w:r>
    </w:p>
    <w:p>
      <w:pPr>
        <w:spacing w:after="0" w:line="1" w:lineRule="exact"/>
        <w:rPr>
          <w:sz w:val="20"/>
          <w:szCs w:val="20"/>
          <w:color w:val="auto"/>
        </w:rPr>
      </w:pPr>
    </w:p>
    <w:p>
      <w:pPr>
        <w:jc w:val="both"/>
        <w:ind w:firstLine="8"/>
        <w:spacing w:after="0" w:line="252" w:lineRule="auto"/>
        <w:tabs>
          <w:tab w:leader="none" w:pos="2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5.61% Senior Secured Note, Series A2, in the outstanding principal amount of $12.0 million, dated May 2, 2018, or an aggregate outstanding principal amount of $61.1 million (collectively, the “Real Estate Loans”). The Series A1 Note provides that we will pay the remaining principal amount due thereunder together with interest thereon at the rate indicated above, in monthly installments until it matures in April 2038. The Series A2 Note provides that we pay interest only in monthly installments at the rate indicated above with the principal amount due at maturity in April 2038. The Real Estate Loans are secured by a first priority lien on the real property constituting the Global Headquarters Facility. Our assumption of the Real Estate Loans was a noncash investing and financing transaction and is reflected in our supplemental disclosure of cash flow information. At December 31, 2020, we were in compliance with our debt covenants under the Real Estate Loans.</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88  </w:t>
      </w:r>
      <w:r>
        <w:rPr>
          <w:sz w:val="1"/>
          <w:szCs w:val="1"/>
          <w:color w:val="auto"/>
        </w:rPr>
        <w:drawing>
          <wp:inline distT="0" distB="0" distL="0" distR="0">
            <wp:extent cx="728345" cy="18859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we entered into a 51-month $2.2 million agreement to finance our purchase of software and related services for our internal use. The agreement is a non-interest-bearing note requiring four equal annual payments, where the first payment was due in January 2020. Interest associated with the note has been imputed at the rate we would incur for amounts borrowed under our then-existing credit facility.</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2020, we entered into an additional 39-month $ 3.5 million agreement to finance our purchase of software and related services for our internal use. The agreement is a non-interest-bearing note requiring three equal annual payments, where the first payment was due in March 2020. Interest associated with the note has been imputed at the rate we would incur for amounts borrowed under our then-existing credit facility.</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2020, the required annual maturities related to the 2020 Credit Facility, the Real Estate Loans and our other debt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ending December 31,</w:t>
            </w:r>
          </w:p>
        </w:tc>
        <w:tc>
          <w:tcPr>
            <w:tcW w:w="320" w:type="dxa"/>
            <w:vAlign w:val="bottom"/>
            <w:shd w:val="clear" w:color="auto" w:fill="ACACAC"/>
          </w:tcPr>
          <w:p>
            <w:pPr>
              <w:spacing w:after="0"/>
              <w:rPr>
                <w:sz w:val="14"/>
                <w:szCs w:val="14"/>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Annual</w:t>
            </w:r>
          </w:p>
        </w:tc>
      </w:tr>
      <w:tr>
        <w:trPr>
          <w:trHeight w:val="176"/>
        </w:trPr>
        <w:tc>
          <w:tcPr>
            <w:tcW w:w="99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shd w:val="clear" w:color="auto" w:fill="ACACAC"/>
          </w:tcPr>
          <w:p>
            <w:pPr>
              <w:spacing w:after="0"/>
              <w:rPr>
                <w:sz w:val="15"/>
                <w:szCs w:val="15"/>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maturities</w:t>
            </w:r>
          </w:p>
        </w:tc>
      </w:tr>
      <w:tr>
        <w:trPr>
          <w:trHeight w:val="229"/>
        </w:trPr>
        <w:tc>
          <w:tcPr>
            <w:tcW w:w="998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12,840</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12,985</w:t>
            </w:r>
          </w:p>
        </w:tc>
      </w:tr>
      <w:tr>
        <w:trPr>
          <w:trHeight w:val="229"/>
        </w:trPr>
        <w:tc>
          <w:tcPr>
            <w:tcW w:w="998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F4F4F4"/>
          </w:tcPr>
          <w:p>
            <w:pPr>
              <w:spacing w:after="0"/>
              <w:rPr>
                <w:sz w:val="19"/>
                <w:szCs w:val="19"/>
                <w:color w:val="auto"/>
              </w:rPr>
            </w:pPr>
          </w:p>
        </w:tc>
        <w:tc>
          <w:tcPr>
            <w:tcW w:w="9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11,983</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11,609</w:t>
            </w:r>
          </w:p>
        </w:tc>
      </w:tr>
      <w:tr>
        <w:trPr>
          <w:trHeight w:val="229"/>
        </w:trPr>
        <w:tc>
          <w:tcPr>
            <w:tcW w:w="998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F4F4F4"/>
          </w:tcPr>
          <w:p>
            <w:pPr>
              <w:spacing w:after="0"/>
              <w:rPr>
                <w:sz w:val="19"/>
                <w:szCs w:val="19"/>
                <w:color w:val="auto"/>
              </w:rPr>
            </w:pPr>
          </w:p>
        </w:tc>
        <w:tc>
          <w:tcPr>
            <w:tcW w:w="9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431,408</w:t>
            </w:r>
          </w:p>
        </w:tc>
      </w:tr>
      <w:tr>
        <w:trPr>
          <w:trHeight w:val="229"/>
        </w:trPr>
        <w:tc>
          <w:tcPr>
            <w:tcW w:w="998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53,352</w:t>
            </w:r>
          </w:p>
        </w:tc>
      </w:tr>
      <w:tr>
        <w:trPr>
          <w:trHeight w:val="223"/>
        </w:trPr>
        <w:tc>
          <w:tcPr>
            <w:tcW w:w="998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Total required maturities</w:t>
            </w:r>
          </w:p>
        </w:tc>
        <w:tc>
          <w:tcPr>
            <w:tcW w:w="320" w:type="dxa"/>
            <w:vAlign w:val="bottom"/>
            <w:tcBorders>
              <w:bottom w:val="single" w:sz="8" w:color="71BF43"/>
            </w:tcBorders>
            <w:shd w:val="clear" w:color="auto" w:fill="F4F4F4"/>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534,177</w:t>
            </w:r>
          </w:p>
        </w:tc>
      </w:tr>
    </w:tbl>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10.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2020 Credit Facility to a fixed rate for the term of the swap agreements. We designated each of the interest rate swap agreements as a cash flow hedge at the inception of the contracts.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2228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0575" cy="22288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(dollars in thousands)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Term of derivative instrument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FFFFFF"/>
        </w:rPr>
        <w:t>Notional</w:t>
      </w:r>
    </w:p>
    <w:p>
      <w:pPr>
        <w:jc w:val="right"/>
        <w:ind w:right="20"/>
        <w:spacing w:after="0"/>
        <w:rPr>
          <w:sz w:val="20"/>
          <w:szCs w:val="20"/>
          <w:color w:val="auto"/>
        </w:rPr>
      </w:pPr>
      <w:r>
        <w:rPr>
          <w:rFonts w:ascii="Arial" w:cs="Arial" w:eastAsia="Arial" w:hAnsi="Arial"/>
          <w:sz w:val="14"/>
          <w:szCs w:val="14"/>
          <w:b w:val="1"/>
          <w:bCs w:val="1"/>
          <w:color w:val="FFFFFF"/>
        </w:rPr>
        <w:t>value</w:t>
      </w:r>
    </w:p>
    <w:p>
      <w:pPr>
        <w:spacing w:after="0" w:line="14" w:lineRule="exact"/>
        <w:rPr>
          <w:sz w:val="20"/>
          <w:szCs w:val="20"/>
          <w:color w:val="auto"/>
        </w:rPr>
      </w:pPr>
    </w:p>
    <w:p>
      <w:pPr>
        <w:sectPr>
          <w:pgSz w:w="11900" w:h="16838" w:orient="portrait"/>
          <w:cols w:equalWidth="0" w:num="3">
            <w:col w:w="7140" w:space="720"/>
            <w:col w:w="2060" w:space="720"/>
            <w:col w:w="60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62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3240" w:type="dxa"/>
            <w:vAlign w:val="bottom"/>
            <w:gridSpan w:val="2"/>
            <w:shd w:val="clear" w:color="auto" w:fill="F4F4F4"/>
          </w:tcPr>
          <w:p>
            <w:pPr>
              <w:jc w:val="right"/>
              <w:spacing w:after="0"/>
              <w:rPr>
                <w:sz w:val="20"/>
                <w:szCs w:val="20"/>
                <w:color w:val="auto"/>
              </w:rPr>
            </w:pPr>
            <w:r>
              <w:rPr>
                <w:rFonts w:ascii="Arial" w:cs="Arial" w:eastAsia="Arial" w:hAnsi="Arial"/>
                <w:sz w:val="18"/>
                <w:szCs w:val="18"/>
                <w:color w:val="auto"/>
              </w:rPr>
              <w:t>July 2017 - July</w:t>
            </w:r>
          </w:p>
        </w:tc>
        <w:tc>
          <w:tcPr>
            <w:tcW w:w="42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2021</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February 2018 - June</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2021</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2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3240" w:type="dxa"/>
            <w:vAlign w:val="bottom"/>
            <w:gridSpan w:val="2"/>
            <w:shd w:val="clear" w:color="auto" w:fill="F4F4F4"/>
          </w:tcPr>
          <w:p>
            <w:pPr>
              <w:jc w:val="right"/>
              <w:spacing w:after="0"/>
              <w:rPr>
                <w:sz w:val="20"/>
                <w:szCs w:val="20"/>
                <w:color w:val="auto"/>
              </w:rPr>
            </w:pPr>
            <w:r>
              <w:rPr>
                <w:rFonts w:ascii="Arial" w:cs="Arial" w:eastAsia="Arial" w:hAnsi="Arial"/>
                <w:sz w:val="18"/>
                <w:szCs w:val="18"/>
                <w:color w:val="auto"/>
              </w:rPr>
              <w:t>June 2019 - June</w:t>
            </w:r>
          </w:p>
        </w:tc>
        <w:tc>
          <w:tcPr>
            <w:tcW w:w="42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2021</w:t>
            </w:r>
          </w:p>
        </w:tc>
        <w:tc>
          <w:tcPr>
            <w:tcW w:w="38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622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420" w:type="dxa"/>
            <w:vAlign w:val="bottom"/>
          </w:tcPr>
          <w:p>
            <w:pPr>
              <w:jc w:val="right"/>
              <w:spacing w:after="0"/>
              <w:rPr>
                <w:sz w:val="20"/>
                <w:szCs w:val="20"/>
                <w:color w:val="auto"/>
              </w:rPr>
            </w:pPr>
            <w:r>
              <w:rPr>
                <w:rFonts w:ascii="Arial" w:cs="Arial" w:eastAsia="Arial" w:hAnsi="Arial"/>
                <w:sz w:val="18"/>
                <w:szCs w:val="18"/>
                <w:color w:val="auto"/>
              </w:rPr>
              <w:t>November 2020</w:t>
            </w:r>
          </w:p>
        </w:tc>
        <w:tc>
          <w:tcPr>
            <w:tcW w:w="820" w:type="dxa"/>
            <w:vAlign w:val="bottom"/>
          </w:tcPr>
          <w:p>
            <w:pPr>
              <w:jc w:val="right"/>
              <w:spacing w:after="0"/>
              <w:rPr>
                <w:sz w:val="20"/>
                <w:szCs w:val="20"/>
                <w:color w:val="auto"/>
              </w:rPr>
            </w:pPr>
            <w:r>
              <w:rPr>
                <w:rFonts w:ascii="Arial" w:cs="Arial" w:eastAsia="Arial" w:hAnsi="Arial"/>
                <w:sz w:val="18"/>
                <w:szCs w:val="18"/>
                <w:color w:val="auto"/>
              </w:rPr>
              <w:t>- October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2024</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30"/>
        </w:trPr>
        <w:tc>
          <w:tcPr>
            <w:tcW w:w="62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November 2020</w:t>
            </w:r>
          </w:p>
        </w:tc>
        <w:tc>
          <w:tcPr>
            <w:tcW w:w="8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 October</w:t>
            </w:r>
          </w:p>
        </w:tc>
        <w:tc>
          <w:tcPr>
            <w:tcW w:w="42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2024</w:t>
            </w:r>
          </w:p>
        </w:tc>
        <w:tc>
          <w:tcPr>
            <w:tcW w:w="38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60,000</w:t>
            </w:r>
          </w:p>
        </w:tc>
      </w:tr>
      <w:tr>
        <w:trPr>
          <w:trHeight w:val="223"/>
        </w:trPr>
        <w:tc>
          <w:tcPr>
            <w:tcW w:w="6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395,000</w:t>
            </w:r>
          </w:p>
        </w:tc>
      </w:tr>
      <w:tr>
        <w:trPr>
          <w:trHeight w:val="257"/>
        </w:trPr>
        <w:tc>
          <w:tcPr>
            <w:tcW w:w="6220" w:type="dxa"/>
            <w:vAlign w:val="bottom"/>
            <w:shd w:val="clear" w:color="auto" w:fill="F4F4F4"/>
          </w:tcPr>
          <w:p>
            <w:pPr>
              <w:spacing w:after="0"/>
              <w:rPr>
                <w:sz w:val="22"/>
                <w:szCs w:val="22"/>
                <w:color w:val="auto"/>
              </w:rPr>
            </w:pPr>
          </w:p>
        </w:tc>
        <w:tc>
          <w:tcPr>
            <w:tcW w:w="2420" w:type="dxa"/>
            <w:vAlign w:val="bottom"/>
            <w:shd w:val="clear" w:color="auto" w:fill="F4F4F4"/>
          </w:tcPr>
          <w:p>
            <w:pPr>
              <w:spacing w:after="0"/>
              <w:rPr>
                <w:sz w:val="22"/>
                <w:szCs w:val="22"/>
                <w:color w:val="auto"/>
              </w:rPr>
            </w:pPr>
          </w:p>
        </w:tc>
        <w:tc>
          <w:tcPr>
            <w:tcW w:w="820" w:type="dxa"/>
            <w:vAlign w:val="bottom"/>
            <w:shd w:val="clear" w:color="auto" w:fill="F4F4F4"/>
          </w:tcPr>
          <w:p>
            <w:pPr>
              <w:spacing w:after="0"/>
              <w:rPr>
                <w:sz w:val="22"/>
                <w:szCs w:val="22"/>
                <w:color w:val="auto"/>
              </w:rPr>
            </w:pPr>
          </w:p>
        </w:tc>
        <w:tc>
          <w:tcPr>
            <w:tcW w:w="420" w:type="dxa"/>
            <w:vAlign w:val="bottom"/>
            <w:shd w:val="clear" w:color="auto" w:fill="F4F4F4"/>
          </w:tcPr>
          <w:p>
            <w:pPr>
              <w:spacing w:after="0"/>
              <w:rPr>
                <w:sz w:val="22"/>
                <w:szCs w:val="22"/>
                <w:color w:val="auto"/>
              </w:rPr>
            </w:pPr>
          </w:p>
        </w:tc>
        <w:tc>
          <w:tcPr>
            <w:tcW w:w="380" w:type="dxa"/>
            <w:vAlign w:val="bottom"/>
            <w:shd w:val="clear" w:color="auto" w:fill="F4F4F4"/>
          </w:tcPr>
          <w:p>
            <w:pPr>
              <w:spacing w:after="0"/>
              <w:rPr>
                <w:sz w:val="22"/>
                <w:szCs w:val="22"/>
                <w:color w:val="auto"/>
              </w:rPr>
            </w:pPr>
          </w:p>
        </w:tc>
        <w:tc>
          <w:tcPr>
            <w:tcW w:w="980" w:type="dxa"/>
            <w:vAlign w:val="bottom"/>
            <w:shd w:val="clear" w:color="auto" w:fill="F4F4F4"/>
          </w:tcPr>
          <w:p>
            <w:pPr>
              <w:spacing w:after="0"/>
              <w:rPr>
                <w:sz w:val="22"/>
                <w:szCs w:val="22"/>
                <w:color w:val="auto"/>
              </w:rPr>
            </w:pP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Forward-starting interest rate swap</w:t>
            </w:r>
          </w:p>
        </w:tc>
        <w:tc>
          <w:tcPr>
            <w:tcW w:w="2420" w:type="dxa"/>
            <w:vAlign w:val="bottom"/>
          </w:tcPr>
          <w:p>
            <w:pPr>
              <w:jc w:val="right"/>
              <w:spacing w:after="0"/>
              <w:rPr>
                <w:sz w:val="20"/>
                <w:szCs w:val="20"/>
                <w:color w:val="auto"/>
              </w:rPr>
            </w:pPr>
            <w:r>
              <w:rPr>
                <w:rFonts w:ascii="Arial" w:cs="Arial" w:eastAsia="Arial" w:hAnsi="Arial"/>
                <w:sz w:val="18"/>
                <w:szCs w:val="18"/>
                <w:color w:val="auto"/>
              </w:rPr>
              <w:t>June 2021</w:t>
            </w:r>
          </w:p>
        </w:tc>
        <w:tc>
          <w:tcPr>
            <w:tcW w:w="820" w:type="dxa"/>
            <w:vAlign w:val="bottom"/>
          </w:tcPr>
          <w:p>
            <w:pPr>
              <w:jc w:val="right"/>
              <w:spacing w:after="0"/>
              <w:rPr>
                <w:sz w:val="20"/>
                <w:szCs w:val="20"/>
                <w:color w:val="auto"/>
              </w:rPr>
            </w:pPr>
            <w:r>
              <w:rPr>
                <w:rFonts w:ascii="Arial" w:cs="Arial" w:eastAsia="Arial" w:hAnsi="Arial"/>
                <w:sz w:val="18"/>
                <w:szCs w:val="18"/>
                <w:color w:val="auto"/>
              </w:rPr>
              <w:t>- October</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2024</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29"/>
        </w:trPr>
        <w:tc>
          <w:tcPr>
            <w:tcW w:w="62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Forward-starting interest rate swap</w:t>
            </w:r>
          </w:p>
        </w:tc>
        <w:tc>
          <w:tcPr>
            <w:tcW w:w="2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July 2021</w:t>
            </w:r>
          </w:p>
        </w:tc>
        <w:tc>
          <w:tcPr>
            <w:tcW w:w="8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 October</w:t>
            </w:r>
          </w:p>
        </w:tc>
        <w:tc>
          <w:tcPr>
            <w:tcW w:w="42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2024</w:t>
            </w:r>
          </w:p>
        </w:tc>
        <w:tc>
          <w:tcPr>
            <w:tcW w:w="38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120,000</w:t>
            </w:r>
          </w:p>
        </w:tc>
      </w:tr>
      <w:tr>
        <w:trPr>
          <w:trHeight w:val="223"/>
        </w:trPr>
        <w:tc>
          <w:tcPr>
            <w:tcW w:w="6220" w:type="dxa"/>
            <w:vAlign w:val="bottom"/>
            <w:tcBorders>
              <w:bottom w:val="single" w:sz="8" w:color="8CBE4F"/>
            </w:tcBorders>
          </w:tcPr>
          <w:p>
            <w:pPr>
              <w:spacing w:after="0"/>
              <w:rPr>
                <w:sz w:val="19"/>
                <w:szCs w:val="19"/>
                <w:color w:val="auto"/>
              </w:rPr>
            </w:pPr>
          </w:p>
        </w:tc>
        <w:tc>
          <w:tcPr>
            <w:tcW w:w="2420" w:type="dxa"/>
            <w:vAlign w:val="bottom"/>
            <w:tcBorders>
              <w:bottom w:val="single" w:sz="8" w:color="8CBE4F"/>
            </w:tcBorders>
          </w:tcPr>
          <w:p>
            <w:pPr>
              <w:spacing w:after="0"/>
              <w:rPr>
                <w:sz w:val="19"/>
                <w:szCs w:val="19"/>
                <w:color w:val="auto"/>
              </w:rPr>
            </w:pPr>
          </w:p>
        </w:tc>
        <w:tc>
          <w:tcPr>
            <w:tcW w:w="820" w:type="dxa"/>
            <w:vAlign w:val="bottom"/>
            <w:tcBorders>
              <w:bottom w:val="single" w:sz="8" w:color="8CBE4F"/>
            </w:tcBorders>
          </w:tcPr>
          <w:p>
            <w:pPr>
              <w:spacing w:after="0"/>
              <w:rPr>
                <w:sz w:val="19"/>
                <w:szCs w:val="19"/>
                <w:color w:val="auto"/>
              </w:rPr>
            </w:pPr>
          </w:p>
        </w:tc>
        <w:tc>
          <w:tcPr>
            <w:tcW w:w="420" w:type="dxa"/>
            <w:vAlign w:val="bottom"/>
            <w:tcBorders>
              <w:bottom w:val="single" w:sz="8" w:color="8CBE4F"/>
            </w:tcBorders>
          </w:tcPr>
          <w:p>
            <w:pPr>
              <w:spacing w:after="0"/>
              <w:rPr>
                <w:sz w:val="19"/>
                <w:szCs w:val="19"/>
                <w:color w:val="auto"/>
              </w:rPr>
            </w:pPr>
          </w:p>
        </w:tc>
        <w:tc>
          <w:tcPr>
            <w:tcW w:w="380" w:type="dxa"/>
            <w:vAlign w:val="bottom"/>
            <w:tcBorders>
              <w:bottom w:val="single" w:sz="8" w:color="8CBE4F"/>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8CBE4F"/>
            </w:tcBorders>
          </w:tcPr>
          <w:p>
            <w:pPr>
              <w:jc w:val="right"/>
              <w:spacing w:after="0"/>
              <w:rPr>
                <w:sz w:val="20"/>
                <w:szCs w:val="20"/>
                <w:color w:val="auto"/>
              </w:rPr>
            </w:pPr>
            <w:r>
              <w:rPr>
                <w:rFonts w:ascii="Arial" w:cs="Arial" w:eastAsia="Arial" w:hAnsi="Arial"/>
                <w:sz w:val="18"/>
                <w:szCs w:val="18"/>
                <w:color w:val="auto"/>
              </w:rPr>
              <w:t>240,000</w:t>
            </w:r>
          </w:p>
        </w:tc>
      </w:tr>
      <w:tr>
        <w:trPr>
          <w:trHeight w:val="697"/>
        </w:trPr>
        <w:tc>
          <w:tcPr>
            <w:tcW w:w="6220" w:type="dxa"/>
            <w:vAlign w:val="bottom"/>
          </w:tcPr>
          <w:p>
            <w:pPr>
              <w:spacing w:after="0"/>
              <w:rPr>
                <w:sz w:val="24"/>
                <w:szCs w:val="24"/>
                <w:color w:val="auto"/>
              </w:rPr>
            </w:pP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2020 Form 10-K</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89</w:t>
            </w:r>
          </w:p>
        </w:tc>
      </w:tr>
      <w:tr>
        <w:trPr>
          <w:trHeight w:val="316"/>
        </w:trPr>
        <w:tc>
          <w:tcPr>
            <w:tcW w:w="6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-393700</wp:posOffset>
            </wp:positionV>
            <wp:extent cx="72898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1" w:name="page92"/>
    <w:bookmarkEnd w:id="9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shd w:val="clear" w:color="auto" w:fill="ACACAC"/>
          </w:tcPr>
          <w:p>
            <w:pPr>
              <w:spacing w:after="0"/>
              <w:rPr>
                <w:sz w:val="16"/>
                <w:szCs w:val="16"/>
                <w:color w:val="auto"/>
              </w:rPr>
            </w:pPr>
          </w:p>
        </w:tc>
        <w:tc>
          <w:tcPr>
            <w:tcW w:w="224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2420" w:type="dxa"/>
            <w:vAlign w:val="bottom"/>
            <w:gridSpan w:val="3"/>
            <w:shd w:val="clear" w:color="auto" w:fill="ACACAC"/>
          </w:tcPr>
          <w:p>
            <w:pPr>
              <w:jc w:val="right"/>
              <w:ind w:right="577"/>
              <w:spacing w:after="0"/>
              <w:rPr>
                <w:sz w:val="20"/>
                <w:szCs w:val="20"/>
                <w:color w:val="auto"/>
              </w:rPr>
            </w:pPr>
            <w:r>
              <w:rPr>
                <w:rFonts w:ascii="Arial" w:cs="Arial" w:eastAsia="Arial" w:hAnsi="Arial"/>
                <w:sz w:val="14"/>
                <w:szCs w:val="14"/>
                <w:b w:val="1"/>
                <w:bCs w:val="1"/>
                <w:color w:val="FFFFFF"/>
              </w:rPr>
              <w:t>Liability Derivatives</w:t>
            </w:r>
          </w:p>
        </w:tc>
        <w:tc>
          <w:tcPr>
            <w:tcW w:w="0" w:type="dxa"/>
            <w:vAlign w:val="bottom"/>
          </w:tcPr>
          <w:p>
            <w:pPr>
              <w:spacing w:after="0"/>
              <w:rPr>
                <w:sz w:val="1"/>
                <w:szCs w:val="1"/>
                <w:color w:val="auto"/>
              </w:rPr>
            </w:pPr>
          </w:p>
        </w:tc>
      </w:tr>
      <w:tr>
        <w:trPr>
          <w:trHeight w:val="162"/>
        </w:trPr>
        <w:tc>
          <w:tcPr>
            <w:tcW w:w="632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500" w:type="dxa"/>
            <w:vAlign w:val="bottom"/>
            <w:gridSpan w:val="2"/>
            <w:vMerge w:val="restart"/>
            <w:shd w:val="clear" w:color="auto" w:fill="ACACAC"/>
          </w:tcPr>
          <w:p>
            <w:pPr>
              <w:jc w:val="right"/>
              <w:ind w:right="280"/>
              <w:spacing w:after="0"/>
              <w:rPr>
                <w:sz w:val="20"/>
                <w:szCs w:val="20"/>
                <w:color w:val="auto"/>
              </w:rPr>
            </w:pPr>
            <w:r>
              <w:rPr>
                <w:rFonts w:ascii="Arial" w:cs="Arial" w:eastAsia="Arial" w:hAnsi="Arial"/>
                <w:sz w:val="14"/>
                <w:szCs w:val="14"/>
                <w:b w:val="1"/>
                <w:bCs w:val="1"/>
                <w:color w:val="FFFFFF"/>
              </w:rPr>
              <w:t>Balance sheet location</w:t>
            </w: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60" w:type="dxa"/>
            <w:vAlign w:val="bottom"/>
            <w:shd w:val="clear" w:color="auto" w:fill="ACACAC"/>
          </w:tcPr>
          <w:p>
            <w:pPr>
              <w:spacing w:after="0"/>
              <w:rPr>
                <w:sz w:val="14"/>
                <w:szCs w:val="1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75"/>
        </w:trPr>
        <w:tc>
          <w:tcPr>
            <w:tcW w:w="6320" w:type="dxa"/>
            <w:vAlign w:val="bottom"/>
            <w:vMerge w:val="continue"/>
            <w:shd w:val="clear" w:color="auto" w:fill="ACACAC"/>
          </w:tcPr>
          <w:p>
            <w:pPr>
              <w:spacing w:after="0"/>
              <w:rPr>
                <w:sz w:val="15"/>
                <w:szCs w:val="15"/>
                <w:color w:val="auto"/>
              </w:rPr>
            </w:pPr>
          </w:p>
        </w:tc>
        <w:tc>
          <w:tcPr>
            <w:tcW w:w="2500" w:type="dxa"/>
            <w:vAlign w:val="bottom"/>
            <w:gridSpan w:val="2"/>
            <w:vMerge w:val="continue"/>
            <w:shd w:val="clear" w:color="auto" w:fill="ACACAC"/>
          </w:tcPr>
          <w:p>
            <w:pPr>
              <w:spacing w:after="0"/>
              <w:rPr>
                <w:sz w:val="15"/>
                <w:szCs w:val="15"/>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60" w:type="dxa"/>
            <w:vAlign w:val="bottom"/>
            <w:shd w:val="clear" w:color="auto" w:fill="ACACAC"/>
          </w:tcPr>
          <w:p>
            <w:pPr>
              <w:spacing w:after="0"/>
              <w:rPr>
                <w:sz w:val="15"/>
                <w:szCs w:val="15"/>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29"/>
        </w:trPr>
        <w:tc>
          <w:tcPr>
            <w:tcW w:w="63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24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40"/>
              <w:spacing w:after="0" w:line="189" w:lineRule="exact"/>
              <w:rPr>
                <w:sz w:val="20"/>
                <w:szCs w:val="20"/>
                <w:color w:val="auto"/>
              </w:rPr>
            </w:pPr>
            <w:r>
              <w:rPr>
                <w:rFonts w:ascii="Arial" w:cs="Arial" w:eastAsia="Arial" w:hAnsi="Arial"/>
                <w:sz w:val="18"/>
                <w:szCs w:val="18"/>
                <w:color w:val="auto"/>
              </w:rPr>
              <w:t>Interest rate swaps, current portion</w:t>
            </w:r>
          </w:p>
        </w:tc>
        <w:tc>
          <w:tcPr>
            <w:tcW w:w="250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tcPr>
          <w:p>
            <w:pPr>
              <w:spacing w:after="0"/>
              <w:rPr>
                <w:sz w:val="18"/>
                <w:szCs w:val="18"/>
                <w:color w:val="auto"/>
              </w:rPr>
            </w:pPr>
          </w:p>
        </w:tc>
        <w:tc>
          <w:tcPr>
            <w:tcW w:w="2500" w:type="dxa"/>
            <w:vAlign w:val="bottom"/>
            <w:gridSpan w:val="2"/>
          </w:tcPr>
          <w:p>
            <w:pPr>
              <w:jc w:val="right"/>
              <w:ind w:right="140"/>
              <w:spacing w:after="0"/>
              <w:rPr>
                <w:sz w:val="20"/>
                <w:szCs w:val="20"/>
                <w:color w:val="auto"/>
              </w:rPr>
            </w:pPr>
            <w:r>
              <w:rPr>
                <w:rFonts w:ascii="Arial" w:cs="Arial" w:eastAsia="Arial" w:hAnsi="Arial"/>
                <w:sz w:val="18"/>
                <w:szCs w:val="18"/>
                <w:color w:val="auto"/>
              </w:rPr>
              <w:t>and other current liabilities $</w:t>
            </w:r>
          </w:p>
        </w:tc>
        <w:tc>
          <w:tcPr>
            <w:tcW w:w="1080" w:type="dxa"/>
            <w:vAlign w:val="bottom"/>
          </w:tcPr>
          <w:p>
            <w:pPr>
              <w:jc w:val="right"/>
              <w:spacing w:after="0"/>
              <w:rPr>
                <w:sz w:val="20"/>
                <w:szCs w:val="20"/>
                <w:color w:val="auto"/>
              </w:rPr>
            </w:pPr>
            <w:r>
              <w:rPr>
                <w:rFonts w:ascii="Arial" w:cs="Arial" w:eastAsia="Arial" w:hAnsi="Arial"/>
                <w:sz w:val="18"/>
                <w:szCs w:val="18"/>
                <w:color w:val="auto"/>
              </w:rPr>
              <w:t>2,698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rate swaps, long-term portion</w:t>
            </w:r>
          </w:p>
        </w:tc>
        <w:tc>
          <w:tcPr>
            <w:tcW w:w="2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1,461</w:t>
            </w:r>
          </w:p>
        </w:tc>
        <w:tc>
          <w:tcPr>
            <w:tcW w:w="26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71BF43"/>
            </w:tcBorders>
          </w:tcPr>
          <w:p>
            <w:pPr>
              <w:ind w:left="20"/>
              <w:spacing w:after="0"/>
              <w:rPr>
                <w:sz w:val="20"/>
                <w:szCs w:val="20"/>
                <w:color w:val="auto"/>
              </w:rPr>
            </w:pPr>
            <w:r>
              <w:rPr>
                <w:rFonts w:ascii="Arial" w:cs="Arial" w:eastAsia="Arial" w:hAnsi="Arial"/>
                <w:sz w:val="18"/>
                <w:szCs w:val="18"/>
                <w:b w:val="1"/>
                <w:bCs w:val="1"/>
                <w:color w:val="auto"/>
              </w:rPr>
              <w:t>Total derivative instruments designated as hedging instruments</w:t>
            </w:r>
          </w:p>
        </w:tc>
        <w:tc>
          <w:tcPr>
            <w:tcW w:w="2500" w:type="dxa"/>
            <w:vAlign w:val="bottom"/>
            <w:tcBorders>
              <w:bottom w:val="single" w:sz="8" w:color="71BF43"/>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4,159</w:t>
            </w:r>
          </w:p>
        </w:tc>
        <w:tc>
          <w:tcPr>
            <w:tcW w:w="260" w:type="dxa"/>
            <w:vAlign w:val="bottom"/>
            <w:tcBorders>
              <w:bottom w:val="single" w:sz="8" w:color="71BF43"/>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-925195</wp:posOffset>
            </wp:positionV>
            <wp:extent cx="17056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derivative instruments in cash flow hedging relationships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shd w:val="clear" w:color="auto" w:fill="ACACAC"/>
          </w:tcPr>
          <w:p>
            <w:pPr>
              <w:spacing w:after="0"/>
              <w:rPr>
                <w:sz w:val="17"/>
                <w:szCs w:val="17"/>
                <w:color w:val="auto"/>
              </w:rPr>
            </w:pPr>
          </w:p>
        </w:tc>
        <w:tc>
          <w:tcPr>
            <w:tcW w:w="300" w:type="dxa"/>
            <w:vAlign w:val="bottom"/>
            <w:shd w:val="clear" w:color="auto" w:fill="ACACAC"/>
          </w:tcPr>
          <w:p>
            <w:pPr>
              <w:spacing w:after="0"/>
              <w:rPr>
                <w:sz w:val="17"/>
                <w:szCs w:val="17"/>
                <w:color w:val="auto"/>
              </w:rPr>
            </w:pPr>
          </w:p>
        </w:tc>
        <w:tc>
          <w:tcPr>
            <w:tcW w:w="17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recognized</w:t>
            </w:r>
          </w:p>
        </w:tc>
        <w:tc>
          <w:tcPr>
            <w:tcW w:w="3220" w:type="dxa"/>
            <w:vAlign w:val="bottom"/>
            <w:gridSpan w:val="2"/>
            <w:vMerge w:val="restart"/>
            <w:shd w:val="clear" w:color="auto" w:fill="ACACAC"/>
          </w:tcPr>
          <w:p>
            <w:pPr>
              <w:jc w:val="right"/>
              <w:ind w:right="1000"/>
              <w:spacing w:after="0"/>
              <w:rPr>
                <w:sz w:val="20"/>
                <w:szCs w:val="20"/>
                <w:color w:val="auto"/>
              </w:rPr>
            </w:pPr>
            <w:r>
              <w:rPr>
                <w:rFonts w:ascii="Arial" w:cs="Arial" w:eastAsia="Arial" w:hAnsi="Arial"/>
                <w:sz w:val="14"/>
                <w:szCs w:val="14"/>
                <w:b w:val="1"/>
                <w:bCs w:val="1"/>
                <w:color w:val="FFFFFF"/>
              </w:rPr>
              <w:t>Location</w:t>
            </w:r>
          </w:p>
        </w:tc>
        <w:tc>
          <w:tcPr>
            <w:tcW w:w="370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ACACAC"/>
          </w:tcPr>
          <w:p>
            <w:pPr>
              <w:spacing w:after="0"/>
              <w:rPr>
                <w:sz w:val="12"/>
                <w:szCs w:val="12"/>
                <w:color w:val="auto"/>
              </w:rPr>
            </w:pPr>
          </w:p>
        </w:tc>
        <w:tc>
          <w:tcPr>
            <w:tcW w:w="300" w:type="dxa"/>
            <w:vAlign w:val="bottom"/>
            <w:shd w:val="clear" w:color="auto" w:fill="ACACAC"/>
          </w:tcPr>
          <w:p>
            <w:pPr>
              <w:spacing w:after="0"/>
              <w:rPr>
                <w:sz w:val="12"/>
                <w:szCs w:val="12"/>
                <w:color w:val="auto"/>
              </w:rPr>
            </w:pPr>
          </w:p>
        </w:tc>
        <w:tc>
          <w:tcPr>
            <w:tcW w:w="174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in accumulated other</w:t>
            </w:r>
          </w:p>
        </w:tc>
        <w:tc>
          <w:tcPr>
            <w:tcW w:w="3220" w:type="dxa"/>
            <w:vAlign w:val="bottom"/>
            <w:gridSpan w:val="2"/>
            <w:vMerge w:val="continue"/>
            <w:shd w:val="clear" w:color="auto" w:fill="ACACAC"/>
          </w:tcPr>
          <w:p>
            <w:pPr>
              <w:spacing w:after="0"/>
              <w:rPr>
                <w:sz w:val="12"/>
                <w:szCs w:val="12"/>
                <w:color w:val="auto"/>
              </w:rPr>
            </w:pPr>
          </w:p>
        </w:tc>
        <w:tc>
          <w:tcPr>
            <w:tcW w:w="37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reclassified from accumulated</w:t>
            </w:r>
          </w:p>
        </w:tc>
        <w:tc>
          <w:tcPr>
            <w:tcW w:w="0" w:type="dxa"/>
            <w:vAlign w:val="bottom"/>
          </w:tcPr>
          <w:p>
            <w:pPr>
              <w:spacing w:after="0"/>
              <w:rPr>
                <w:sz w:val="1"/>
                <w:szCs w:val="1"/>
                <w:color w:val="auto"/>
              </w:rPr>
            </w:pPr>
          </w:p>
        </w:tc>
      </w:tr>
      <w:tr>
        <w:trPr>
          <w:trHeight w:val="126"/>
        </w:trPr>
        <w:tc>
          <w:tcPr>
            <w:tcW w:w="2280" w:type="dxa"/>
            <w:vAlign w:val="bottom"/>
            <w:shd w:val="clear" w:color="auto" w:fill="ACACAC"/>
          </w:tcPr>
          <w:p>
            <w:pPr>
              <w:spacing w:after="0"/>
              <w:rPr>
                <w:sz w:val="10"/>
                <w:szCs w:val="10"/>
                <w:color w:val="auto"/>
              </w:rPr>
            </w:pPr>
          </w:p>
        </w:tc>
        <w:tc>
          <w:tcPr>
            <w:tcW w:w="300" w:type="dxa"/>
            <w:vAlign w:val="bottom"/>
            <w:shd w:val="clear" w:color="auto" w:fill="ACACAC"/>
          </w:tcPr>
          <w:p>
            <w:pPr>
              <w:spacing w:after="0"/>
              <w:rPr>
                <w:sz w:val="10"/>
                <w:szCs w:val="10"/>
                <w:color w:val="auto"/>
              </w:rPr>
            </w:pPr>
          </w:p>
        </w:tc>
        <w:tc>
          <w:tcPr>
            <w:tcW w:w="1740" w:type="dxa"/>
            <w:vAlign w:val="bottom"/>
            <w:shd w:val="clear" w:color="auto" w:fill="ACACAC"/>
          </w:tcPr>
          <w:p>
            <w:pPr>
              <w:jc w:val="right"/>
              <w:spacing w:after="0" w:line="127" w:lineRule="exact"/>
              <w:rPr>
                <w:sz w:val="20"/>
                <w:szCs w:val="20"/>
                <w:color w:val="auto"/>
              </w:rPr>
            </w:pPr>
            <w:r>
              <w:rPr>
                <w:rFonts w:ascii="Arial" w:cs="Arial" w:eastAsia="Arial" w:hAnsi="Arial"/>
                <w:sz w:val="14"/>
                <w:szCs w:val="14"/>
                <w:b w:val="1"/>
                <w:bCs w:val="1"/>
                <w:color w:val="FFFFFF"/>
              </w:rPr>
              <w:t>comprehensive</w:t>
            </w:r>
          </w:p>
        </w:tc>
        <w:tc>
          <w:tcPr>
            <w:tcW w:w="3220" w:type="dxa"/>
            <w:vAlign w:val="bottom"/>
            <w:gridSpan w:val="2"/>
            <w:shd w:val="clear" w:color="auto" w:fill="ACACAC"/>
          </w:tcPr>
          <w:p>
            <w:pPr>
              <w:jc w:val="right"/>
              <w:ind w:right="1000"/>
              <w:spacing w:after="0" w:line="127" w:lineRule="exact"/>
              <w:rPr>
                <w:sz w:val="20"/>
                <w:szCs w:val="20"/>
                <w:color w:val="auto"/>
              </w:rPr>
            </w:pPr>
            <w:r>
              <w:rPr>
                <w:rFonts w:ascii="Arial" w:cs="Arial" w:eastAsia="Arial" w:hAnsi="Arial"/>
                <w:sz w:val="14"/>
                <w:szCs w:val="14"/>
                <w:b w:val="1"/>
                <w:bCs w:val="1"/>
                <w:color w:val="FFFFFF"/>
              </w:rPr>
              <w:t>of gain (loss)</w:t>
            </w:r>
          </w:p>
        </w:tc>
        <w:tc>
          <w:tcPr>
            <w:tcW w:w="3700" w:type="dxa"/>
            <w:vAlign w:val="bottom"/>
            <w:vMerge w:val="continue"/>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80" w:type="dxa"/>
            <w:vAlign w:val="bottom"/>
            <w:shd w:val="clear" w:color="auto" w:fill="ACACAC"/>
          </w:tcPr>
          <w:p>
            <w:pPr>
              <w:spacing w:after="0"/>
              <w:rPr>
                <w:sz w:val="12"/>
                <w:szCs w:val="12"/>
                <w:color w:val="auto"/>
              </w:rPr>
            </w:pPr>
          </w:p>
        </w:tc>
        <w:tc>
          <w:tcPr>
            <w:tcW w:w="300" w:type="dxa"/>
            <w:vAlign w:val="bottom"/>
            <w:shd w:val="clear" w:color="auto" w:fill="ACACAC"/>
          </w:tcPr>
          <w:p>
            <w:pPr>
              <w:spacing w:after="0"/>
              <w:rPr>
                <w:sz w:val="12"/>
                <w:szCs w:val="12"/>
                <w:color w:val="auto"/>
              </w:rPr>
            </w:pPr>
          </w:p>
        </w:tc>
        <w:tc>
          <w:tcPr>
            <w:tcW w:w="1740" w:type="dxa"/>
            <w:vAlign w:val="bottom"/>
            <w:shd w:val="clear" w:color="auto" w:fill="ACACAC"/>
          </w:tcPr>
          <w:p>
            <w:pPr>
              <w:jc w:val="right"/>
              <w:spacing w:after="0" w:line="144" w:lineRule="exact"/>
              <w:rPr>
                <w:sz w:val="20"/>
                <w:szCs w:val="20"/>
                <w:color w:val="auto"/>
              </w:rPr>
            </w:pPr>
            <w:r>
              <w:rPr>
                <w:rFonts w:ascii="Arial" w:cs="Arial" w:eastAsia="Arial" w:hAnsi="Arial"/>
                <w:sz w:val="14"/>
                <w:szCs w:val="14"/>
                <w:b w:val="1"/>
                <w:bCs w:val="1"/>
                <w:color w:val="FFFFFF"/>
              </w:rPr>
              <w:t>loss as of</w:t>
            </w:r>
          </w:p>
        </w:tc>
        <w:tc>
          <w:tcPr>
            <w:tcW w:w="3220" w:type="dxa"/>
            <w:vAlign w:val="bottom"/>
            <w:gridSpan w:val="2"/>
            <w:shd w:val="clear" w:color="auto" w:fill="ACACAC"/>
          </w:tcPr>
          <w:p>
            <w:pPr>
              <w:jc w:val="right"/>
              <w:ind w:right="1000"/>
              <w:spacing w:after="0" w:line="144" w:lineRule="exact"/>
              <w:rPr>
                <w:sz w:val="20"/>
                <w:szCs w:val="20"/>
                <w:color w:val="auto"/>
              </w:rPr>
            </w:pPr>
            <w:r>
              <w:rPr>
                <w:rFonts w:ascii="Arial" w:cs="Arial" w:eastAsia="Arial" w:hAnsi="Arial"/>
                <w:sz w:val="14"/>
                <w:szCs w:val="14"/>
                <w:b w:val="1"/>
                <w:bCs w:val="1"/>
                <w:color w:val="FFFFFF"/>
              </w:rPr>
              <w:t>reclassified from</w:t>
            </w:r>
          </w:p>
        </w:tc>
        <w:tc>
          <w:tcPr>
            <w:tcW w:w="3700" w:type="dxa"/>
            <w:vAlign w:val="bottom"/>
            <w:shd w:val="clear" w:color="auto" w:fill="ACACAC"/>
          </w:tcPr>
          <w:p>
            <w:pPr>
              <w:jc w:val="right"/>
              <w:spacing w:after="0" w:line="144" w:lineRule="exact"/>
              <w:rPr>
                <w:sz w:val="20"/>
                <w:szCs w:val="20"/>
                <w:color w:val="auto"/>
              </w:rPr>
            </w:pPr>
            <w:r>
              <w:rPr>
                <w:rFonts w:ascii="Arial" w:cs="Arial" w:eastAsia="Arial" w:hAnsi="Arial"/>
                <w:sz w:val="14"/>
                <w:szCs w:val="14"/>
                <w:b w:val="1"/>
                <w:bCs w:val="1"/>
                <w:color w:val="FFFFFF"/>
              </w:rPr>
              <w:t>other comprehensive loss into income</w:t>
            </w:r>
          </w:p>
        </w:tc>
        <w:tc>
          <w:tcPr>
            <w:tcW w:w="0" w:type="dxa"/>
            <w:vAlign w:val="bottom"/>
          </w:tcPr>
          <w:p>
            <w:pPr>
              <w:spacing w:after="0"/>
              <w:rPr>
                <w:sz w:val="1"/>
                <w:szCs w:val="1"/>
                <w:color w:val="auto"/>
              </w:rPr>
            </w:pPr>
          </w:p>
        </w:tc>
      </w:tr>
      <w:tr>
        <w:trPr>
          <w:trHeight w:val="135"/>
        </w:trPr>
        <w:tc>
          <w:tcPr>
            <w:tcW w:w="2280" w:type="dxa"/>
            <w:vAlign w:val="bottom"/>
            <w:shd w:val="clear" w:color="auto" w:fill="ACACAC"/>
          </w:tcPr>
          <w:p>
            <w:pPr>
              <w:spacing w:after="0"/>
              <w:rPr>
                <w:sz w:val="11"/>
                <w:szCs w:val="11"/>
                <w:color w:val="auto"/>
              </w:rPr>
            </w:pPr>
          </w:p>
        </w:tc>
        <w:tc>
          <w:tcPr>
            <w:tcW w:w="300" w:type="dxa"/>
            <w:vAlign w:val="bottom"/>
            <w:shd w:val="clear" w:color="auto" w:fill="ACACAC"/>
          </w:tcPr>
          <w:p>
            <w:pPr>
              <w:spacing w:after="0"/>
              <w:rPr>
                <w:sz w:val="11"/>
                <w:szCs w:val="11"/>
                <w:color w:val="auto"/>
              </w:rPr>
            </w:pPr>
          </w:p>
        </w:tc>
        <w:tc>
          <w:tcPr>
            <w:tcW w:w="1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3220" w:type="dxa"/>
            <w:vAlign w:val="bottom"/>
            <w:gridSpan w:val="2"/>
            <w:shd w:val="clear" w:color="auto" w:fill="ACACAC"/>
          </w:tcPr>
          <w:p>
            <w:pPr>
              <w:jc w:val="right"/>
              <w:ind w:right="1000"/>
              <w:spacing w:after="0" w:line="135" w:lineRule="exact"/>
              <w:rPr>
                <w:sz w:val="20"/>
                <w:szCs w:val="20"/>
                <w:color w:val="auto"/>
              </w:rPr>
            </w:pPr>
            <w:r>
              <w:rPr>
                <w:rFonts w:ascii="Arial" w:cs="Arial" w:eastAsia="Arial" w:hAnsi="Arial"/>
                <w:sz w:val="14"/>
                <w:szCs w:val="14"/>
                <w:b w:val="1"/>
                <w:bCs w:val="1"/>
                <w:color w:val="FFFFFF"/>
              </w:rPr>
              <w:t>accumulated other</w:t>
            </w:r>
          </w:p>
        </w:tc>
        <w:tc>
          <w:tcPr>
            <w:tcW w:w="37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Year ended</w:t>
            </w:r>
          </w:p>
        </w:tc>
        <w:tc>
          <w:tcPr>
            <w:tcW w:w="0" w:type="dxa"/>
            <w:vAlign w:val="bottom"/>
          </w:tcPr>
          <w:p>
            <w:pPr>
              <w:spacing w:after="0"/>
              <w:rPr>
                <w:sz w:val="1"/>
                <w:szCs w:val="1"/>
                <w:color w:val="auto"/>
              </w:rPr>
            </w:pPr>
          </w:p>
        </w:tc>
      </w:tr>
      <w:tr>
        <w:trPr>
          <w:trHeight w:val="135"/>
        </w:trPr>
        <w:tc>
          <w:tcPr>
            <w:tcW w:w="228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11"/>
                <w:szCs w:val="11"/>
                <w:color w:val="auto"/>
              </w:rPr>
            </w:pPr>
          </w:p>
        </w:tc>
        <w:tc>
          <w:tcPr>
            <w:tcW w:w="1740" w:type="dxa"/>
            <w:vAlign w:val="bottom"/>
            <w:vMerge w:val="continue"/>
            <w:shd w:val="clear" w:color="auto" w:fill="ACACAC"/>
          </w:tcPr>
          <w:p>
            <w:pPr>
              <w:spacing w:after="0"/>
              <w:rPr>
                <w:sz w:val="11"/>
                <w:szCs w:val="11"/>
                <w:color w:val="auto"/>
              </w:rPr>
            </w:pPr>
          </w:p>
        </w:tc>
        <w:tc>
          <w:tcPr>
            <w:tcW w:w="3220" w:type="dxa"/>
            <w:vAlign w:val="bottom"/>
            <w:gridSpan w:val="2"/>
            <w:shd w:val="clear" w:color="auto" w:fill="ACACAC"/>
          </w:tcPr>
          <w:p>
            <w:pPr>
              <w:jc w:val="right"/>
              <w:ind w:right="1000"/>
              <w:spacing w:after="0" w:line="135" w:lineRule="exact"/>
              <w:rPr>
                <w:sz w:val="20"/>
                <w:szCs w:val="20"/>
                <w:color w:val="auto"/>
              </w:rPr>
            </w:pPr>
            <w:r>
              <w:rPr>
                <w:rFonts w:ascii="Arial" w:cs="Arial" w:eastAsia="Arial" w:hAnsi="Arial"/>
                <w:sz w:val="14"/>
                <w:szCs w:val="14"/>
                <w:b w:val="1"/>
                <w:bCs w:val="1"/>
                <w:color w:val="FFFFFF"/>
              </w:rPr>
              <w:t>comprehensive</w:t>
            </w:r>
          </w:p>
        </w:tc>
        <w:tc>
          <w:tcPr>
            <w:tcW w:w="3700" w:type="dxa"/>
            <w:vAlign w:val="bottom"/>
            <w:vMerge w:val="continue"/>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80" w:type="dxa"/>
            <w:vAlign w:val="bottom"/>
            <w:vMerge w:val="continue"/>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17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220" w:type="dxa"/>
            <w:vAlign w:val="bottom"/>
            <w:gridSpan w:val="2"/>
            <w:shd w:val="clear" w:color="auto" w:fill="ACACAC"/>
          </w:tcPr>
          <w:p>
            <w:pPr>
              <w:ind w:left="1120"/>
              <w:spacing w:after="0"/>
              <w:rPr>
                <w:sz w:val="20"/>
                <w:szCs w:val="20"/>
                <w:color w:val="auto"/>
              </w:rPr>
            </w:pPr>
            <w:r>
              <w:rPr>
                <w:rFonts w:ascii="Arial" w:cs="Arial" w:eastAsia="Arial" w:hAnsi="Arial"/>
                <w:sz w:val="14"/>
                <w:szCs w:val="14"/>
                <w:b w:val="1"/>
                <w:bCs w:val="1"/>
                <w:color w:val="FFFFFF"/>
              </w:rPr>
              <w:t>loss into income</w:t>
            </w:r>
          </w:p>
        </w:tc>
        <w:tc>
          <w:tcPr>
            <w:tcW w:w="37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 2020</w:t>
            </w:r>
          </w:p>
        </w:tc>
        <w:tc>
          <w:tcPr>
            <w:tcW w:w="0" w:type="dxa"/>
            <w:vAlign w:val="bottom"/>
          </w:tcPr>
          <w:p>
            <w:pPr>
              <w:spacing w:after="0"/>
              <w:rPr>
                <w:sz w:val="1"/>
                <w:szCs w:val="1"/>
                <w:color w:val="auto"/>
              </w:rPr>
            </w:pPr>
          </w:p>
        </w:tc>
      </w:tr>
      <w:tr>
        <w:trPr>
          <w:trHeight w:val="230"/>
        </w:trPr>
        <w:tc>
          <w:tcPr>
            <w:tcW w:w="228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30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(4,159)</w:t>
            </w:r>
          </w:p>
        </w:tc>
        <w:tc>
          <w:tcPr>
            <w:tcW w:w="3220" w:type="dxa"/>
            <w:vAlign w:val="bottom"/>
            <w:gridSpan w:val="2"/>
            <w:shd w:val="clear" w:color="auto" w:fill="F4F4F4"/>
          </w:tcPr>
          <w:p>
            <w:pPr>
              <w:ind w:left="920"/>
              <w:spacing w:after="0"/>
              <w:rPr>
                <w:sz w:val="20"/>
                <w:szCs w:val="20"/>
                <w:color w:val="auto"/>
              </w:rPr>
            </w:pPr>
            <w:r>
              <w:rPr>
                <w:rFonts w:ascii="Arial" w:cs="Arial" w:eastAsia="Arial" w:hAnsi="Arial"/>
                <w:sz w:val="18"/>
                <w:szCs w:val="18"/>
                <w:color w:val="auto"/>
              </w:rPr>
              <w:t>Interest expense $</w:t>
            </w:r>
          </w:p>
        </w:tc>
        <w:tc>
          <w:tcPr>
            <w:tcW w:w="37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 w:type="dxa"/>
            <w:vAlign w:val="bottom"/>
            <w:shd w:val="clear" w:color="auto" w:fill="ACACAC"/>
          </w:tcPr>
          <w:p>
            <w:pPr>
              <w:spacing w:after="0"/>
              <w:rPr>
                <w:sz w:val="12"/>
                <w:szCs w:val="12"/>
                <w:color w:val="auto"/>
              </w:rPr>
            </w:pPr>
          </w:p>
        </w:tc>
        <w:tc>
          <w:tcPr>
            <w:tcW w:w="174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December 31,</w:t>
            </w:r>
          </w:p>
        </w:tc>
        <w:tc>
          <w:tcPr>
            <w:tcW w:w="2280" w:type="dxa"/>
            <w:vAlign w:val="bottom"/>
          </w:tcPr>
          <w:p>
            <w:pPr>
              <w:spacing w:after="0"/>
              <w:rPr>
                <w:sz w:val="12"/>
                <w:szCs w:val="12"/>
                <w:color w:val="auto"/>
              </w:rPr>
            </w:pPr>
          </w:p>
        </w:tc>
        <w:tc>
          <w:tcPr>
            <w:tcW w:w="940" w:type="dxa"/>
            <w:vAlign w:val="bottom"/>
            <w:shd w:val="clear" w:color="auto" w:fill="ACACAC"/>
          </w:tcPr>
          <w:p>
            <w:pPr>
              <w:spacing w:after="0"/>
              <w:rPr>
                <w:sz w:val="12"/>
                <w:szCs w:val="12"/>
                <w:color w:val="auto"/>
              </w:rPr>
            </w:pPr>
          </w:p>
        </w:tc>
        <w:tc>
          <w:tcPr>
            <w:tcW w:w="370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Year ended</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17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280" w:type="dxa"/>
            <w:vAlign w:val="bottom"/>
          </w:tcPr>
          <w:p>
            <w:pPr>
              <w:spacing w:after="0"/>
              <w:rPr>
                <w:sz w:val="15"/>
                <w:szCs w:val="15"/>
                <w:color w:val="auto"/>
              </w:rPr>
            </w:pPr>
          </w:p>
        </w:tc>
        <w:tc>
          <w:tcPr>
            <w:tcW w:w="940" w:type="dxa"/>
            <w:vAlign w:val="bottom"/>
            <w:shd w:val="clear" w:color="auto" w:fill="ACACAC"/>
          </w:tcPr>
          <w:p>
            <w:pPr>
              <w:spacing w:after="0"/>
              <w:rPr>
                <w:sz w:val="15"/>
                <w:szCs w:val="15"/>
                <w:color w:val="auto"/>
              </w:rPr>
            </w:pPr>
          </w:p>
        </w:tc>
        <w:tc>
          <w:tcPr>
            <w:tcW w:w="37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 2019</w:t>
            </w:r>
          </w:p>
        </w:tc>
        <w:tc>
          <w:tcPr>
            <w:tcW w:w="0" w:type="dxa"/>
            <w:vAlign w:val="bottom"/>
          </w:tcPr>
          <w:p>
            <w:pPr>
              <w:spacing w:after="0"/>
              <w:rPr>
                <w:sz w:val="1"/>
                <w:szCs w:val="1"/>
                <w:color w:val="auto"/>
              </w:rPr>
            </w:pPr>
          </w:p>
        </w:tc>
      </w:tr>
      <w:tr>
        <w:trPr>
          <w:trHeight w:val="230"/>
        </w:trPr>
        <w:tc>
          <w:tcPr>
            <w:tcW w:w="228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30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(1,757)</w:t>
            </w:r>
          </w:p>
        </w:tc>
        <w:tc>
          <w:tcPr>
            <w:tcW w:w="3220" w:type="dxa"/>
            <w:vAlign w:val="bottom"/>
            <w:gridSpan w:val="2"/>
            <w:shd w:val="clear" w:color="auto" w:fill="F4F4F4"/>
          </w:tcPr>
          <w:p>
            <w:pPr>
              <w:ind w:left="920"/>
              <w:spacing w:after="0"/>
              <w:rPr>
                <w:sz w:val="20"/>
                <w:szCs w:val="20"/>
                <w:color w:val="auto"/>
              </w:rPr>
            </w:pPr>
            <w:r>
              <w:rPr>
                <w:rFonts w:ascii="Arial" w:cs="Arial" w:eastAsia="Arial" w:hAnsi="Arial"/>
                <w:sz w:val="18"/>
                <w:szCs w:val="18"/>
                <w:color w:val="auto"/>
              </w:rPr>
              <w:t>Interest expense $</w:t>
            </w:r>
          </w:p>
        </w:tc>
        <w:tc>
          <w:tcPr>
            <w:tcW w:w="3700" w:type="dxa"/>
            <w:vAlign w:val="bottom"/>
            <w:shd w:val="clear" w:color="auto" w:fill="F4F4F4"/>
          </w:tcPr>
          <w:p>
            <w:pPr>
              <w:jc w:val="right"/>
              <w:ind w:right="3"/>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0" w:type="dxa"/>
            <w:vAlign w:val="bottom"/>
            <w:shd w:val="clear" w:color="auto" w:fill="ACACAC"/>
          </w:tcPr>
          <w:p>
            <w:pPr>
              <w:spacing w:after="0"/>
              <w:rPr>
                <w:sz w:val="12"/>
                <w:szCs w:val="12"/>
                <w:color w:val="auto"/>
              </w:rPr>
            </w:pPr>
          </w:p>
        </w:tc>
        <w:tc>
          <w:tcPr>
            <w:tcW w:w="174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December 31,</w:t>
            </w:r>
          </w:p>
        </w:tc>
        <w:tc>
          <w:tcPr>
            <w:tcW w:w="2280" w:type="dxa"/>
            <w:vAlign w:val="bottom"/>
          </w:tcPr>
          <w:p>
            <w:pPr>
              <w:spacing w:after="0"/>
              <w:rPr>
                <w:sz w:val="12"/>
                <w:szCs w:val="12"/>
                <w:color w:val="auto"/>
              </w:rPr>
            </w:pPr>
          </w:p>
        </w:tc>
        <w:tc>
          <w:tcPr>
            <w:tcW w:w="940" w:type="dxa"/>
            <w:vAlign w:val="bottom"/>
            <w:shd w:val="clear" w:color="auto" w:fill="ACACAC"/>
          </w:tcPr>
          <w:p>
            <w:pPr>
              <w:spacing w:after="0"/>
              <w:rPr>
                <w:sz w:val="12"/>
                <w:szCs w:val="12"/>
                <w:color w:val="auto"/>
              </w:rPr>
            </w:pPr>
          </w:p>
        </w:tc>
        <w:tc>
          <w:tcPr>
            <w:tcW w:w="370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Year ended</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17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c>
          <w:tcPr>
            <w:tcW w:w="2280" w:type="dxa"/>
            <w:vAlign w:val="bottom"/>
          </w:tcPr>
          <w:p>
            <w:pPr>
              <w:spacing w:after="0"/>
              <w:rPr>
                <w:sz w:val="15"/>
                <w:szCs w:val="15"/>
                <w:color w:val="auto"/>
              </w:rPr>
            </w:pPr>
          </w:p>
        </w:tc>
        <w:tc>
          <w:tcPr>
            <w:tcW w:w="940" w:type="dxa"/>
            <w:vAlign w:val="bottom"/>
            <w:shd w:val="clear" w:color="auto" w:fill="ACACAC"/>
          </w:tcPr>
          <w:p>
            <w:pPr>
              <w:spacing w:after="0"/>
              <w:rPr>
                <w:sz w:val="15"/>
                <w:szCs w:val="15"/>
                <w:color w:val="auto"/>
              </w:rPr>
            </w:pPr>
          </w:p>
        </w:tc>
        <w:tc>
          <w:tcPr>
            <w:tcW w:w="37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 2018</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300" w:type="dxa"/>
            <w:vAlign w:val="bottom"/>
            <w:tcBorders>
              <w:bottom w:val="single" w:sz="8" w:color="71BF43"/>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71BF43"/>
            </w:tcBorders>
            <w:shd w:val="clear" w:color="auto" w:fill="F4F4F4"/>
          </w:tcPr>
          <w:p>
            <w:pPr>
              <w:jc w:val="right"/>
              <w:ind w:right="4"/>
              <w:spacing w:after="0"/>
              <w:rPr>
                <w:sz w:val="20"/>
                <w:szCs w:val="20"/>
                <w:color w:val="auto"/>
              </w:rPr>
            </w:pPr>
            <w:r>
              <w:rPr>
                <w:rFonts w:ascii="Arial" w:cs="Arial" w:eastAsia="Arial" w:hAnsi="Arial"/>
                <w:sz w:val="18"/>
                <w:szCs w:val="18"/>
                <w:color w:val="auto"/>
              </w:rPr>
              <w:t>2,074</w:t>
            </w:r>
          </w:p>
        </w:tc>
        <w:tc>
          <w:tcPr>
            <w:tcW w:w="3220" w:type="dxa"/>
            <w:vAlign w:val="bottom"/>
            <w:tcBorders>
              <w:bottom w:val="single" w:sz="8" w:color="71BF43"/>
            </w:tcBorders>
            <w:gridSpan w:val="2"/>
            <w:shd w:val="clear" w:color="auto" w:fill="F4F4F4"/>
          </w:tcPr>
          <w:p>
            <w:pPr>
              <w:ind w:left="920"/>
              <w:spacing w:after="0"/>
              <w:rPr>
                <w:sz w:val="20"/>
                <w:szCs w:val="20"/>
                <w:color w:val="auto"/>
              </w:rPr>
            </w:pPr>
            <w:r>
              <w:rPr>
                <w:rFonts w:ascii="Arial" w:cs="Arial" w:eastAsia="Arial" w:hAnsi="Arial"/>
                <w:sz w:val="18"/>
                <w:szCs w:val="18"/>
                <w:color w:val="auto"/>
              </w:rPr>
              <w:t>Interest expense $</w:t>
            </w:r>
          </w:p>
        </w:tc>
        <w:tc>
          <w:tcPr>
            <w:tcW w:w="370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-1191260</wp:posOffset>
            </wp:positionV>
            <wp:extent cx="56921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loss as of December 31, 2020 that is expected to be reclassified into earnings within the next twelve months is $ 3.4 million. There were no ineffective portions of our interest rate swap derivatives during the years ended December 31, 2020, 2019 and 2018. See Note 14 to these consolidated financial statements for a summary of the changes in accumulated other comprehensive income (loss) by component.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undesignated derivative instruments during 2020, 2019 and 2018.</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11.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In August 2020, we completed the purchase of our Global Headquarters Facility that we previously leased (see Note 7). As of December 31, 2020, we had operating leases for office space that had not yet commenced with future rent payments of $3.5 million with a lease term of approximately 3 years.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90  </w:t>
      </w:r>
      <w:r>
        <w:rPr>
          <w:sz w:val="1"/>
          <w:szCs w:val="1"/>
          <w:color w:val="auto"/>
        </w:rPr>
        <w:drawing>
          <wp:inline distT="0" distB="0" distL="0" distR="0">
            <wp:extent cx="728345" cy="18859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year ended December 31, 2020,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shd w:val="clear" w:color="auto" w:fill="ACACAC"/>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180" w:type="dxa"/>
            <w:vAlign w:val="bottom"/>
            <w:shd w:val="clear" w:color="auto" w:fill="ACACAC"/>
          </w:tcPr>
          <w:p>
            <w:pPr>
              <w:spacing w:after="0"/>
              <w:rPr>
                <w:sz w:val="14"/>
                <w:szCs w:val="14"/>
                <w:color w:val="auto"/>
              </w:rPr>
            </w:pPr>
          </w:p>
        </w:tc>
        <w:tc>
          <w:tcPr>
            <w:tcW w:w="5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 ended</w:t>
            </w:r>
          </w:p>
        </w:tc>
      </w:tr>
      <w:tr>
        <w:trPr>
          <w:trHeight w:val="175"/>
        </w:trPr>
        <w:tc>
          <w:tcPr>
            <w:tcW w:w="7480" w:type="dxa"/>
            <w:vAlign w:val="bottom"/>
            <w:shd w:val="clear" w:color="auto" w:fill="ACACAC"/>
          </w:tcPr>
          <w:p>
            <w:pPr>
              <w:spacing w:after="0"/>
              <w:rPr>
                <w:sz w:val="15"/>
                <w:szCs w:val="15"/>
                <w:color w:val="auto"/>
              </w:rPr>
            </w:pPr>
          </w:p>
        </w:tc>
        <w:tc>
          <w:tcPr>
            <w:tcW w:w="700" w:type="dxa"/>
            <w:vAlign w:val="bottom"/>
            <w:shd w:val="clear" w:color="auto" w:fill="ACACAC"/>
          </w:tcPr>
          <w:p>
            <w:pPr>
              <w:spacing w:after="0"/>
              <w:rPr>
                <w:sz w:val="15"/>
                <w:szCs w:val="15"/>
                <w:color w:val="auto"/>
              </w:rPr>
            </w:pPr>
          </w:p>
        </w:tc>
        <w:tc>
          <w:tcPr>
            <w:tcW w:w="1180" w:type="dxa"/>
            <w:vAlign w:val="bottom"/>
            <w:shd w:val="clear" w:color="auto" w:fill="ACACAC"/>
          </w:tcPr>
          <w:p>
            <w:pPr>
              <w:spacing w:after="0"/>
              <w:rPr>
                <w:sz w:val="15"/>
                <w:szCs w:val="15"/>
                <w:color w:val="auto"/>
              </w:rPr>
            </w:pPr>
          </w:p>
        </w:tc>
        <w:tc>
          <w:tcPr>
            <w:tcW w:w="520" w:type="dxa"/>
            <w:vAlign w:val="bottom"/>
            <w:shd w:val="clear" w:color="auto" w:fill="ACACAC"/>
          </w:tcPr>
          <w:p>
            <w:pPr>
              <w:spacing w:after="0"/>
              <w:rPr>
                <w:sz w:val="15"/>
                <w:szCs w:val="15"/>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3"/>
        </w:trPr>
        <w:tc>
          <w:tcPr>
            <w:tcW w:w="74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700" w:type="dxa"/>
            <w:vAlign w:val="bottom"/>
            <w:shd w:val="clear" w:color="auto" w:fill="ACACAC"/>
          </w:tcPr>
          <w:p>
            <w:pPr>
              <w:spacing w:after="0"/>
              <w:rPr>
                <w:sz w:val="17"/>
                <w:szCs w:val="17"/>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20" w:type="dxa"/>
            <w:vAlign w:val="bottom"/>
            <w:shd w:val="clear" w:color="auto" w:fill="ACACAC"/>
          </w:tcPr>
          <w:p>
            <w:pPr>
              <w:spacing w:after="0"/>
              <w:rPr>
                <w:sz w:val="17"/>
                <w:szCs w:val="17"/>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30"/>
        </w:trPr>
        <w:tc>
          <w:tcPr>
            <w:tcW w:w="7480" w:type="dxa"/>
            <w:vAlign w:val="bottom"/>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41,210</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27,519</w:t>
            </w:r>
          </w:p>
        </w:tc>
      </w:tr>
      <w:tr>
        <w:trPr>
          <w:trHeight w:val="229"/>
        </w:trPr>
        <w:tc>
          <w:tcPr>
            <w:tcW w:w="7480" w:type="dxa"/>
            <w:vAlign w:val="bottom"/>
            <w:shd w:val="clear" w:color="auto" w:fill="F4F4F4"/>
          </w:tcPr>
          <w:p>
            <w:pPr>
              <w:ind w:left="20"/>
              <w:spacing w:after="0"/>
              <w:rPr>
                <w:sz w:val="20"/>
                <w:szCs w:val="20"/>
                <w:color w:val="auto"/>
              </w:rPr>
            </w:pPr>
            <w:r>
              <w:rPr>
                <w:rFonts w:ascii="Arial" w:cs="Arial" w:eastAsia="Arial" w:hAnsi="Arial"/>
                <w:sz w:val="18"/>
                <w:szCs w:val="18"/>
                <w:color w:val="auto"/>
              </w:rPr>
              <w:t>Variable lease cost</w:t>
            </w:r>
          </w:p>
        </w:tc>
        <w:tc>
          <w:tcPr>
            <w:tcW w:w="70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4,266</w:t>
            </w:r>
          </w:p>
        </w:tc>
        <w:tc>
          <w:tcPr>
            <w:tcW w:w="520" w:type="dxa"/>
            <w:vAlign w:val="bottom"/>
            <w:shd w:val="clear" w:color="auto" w:fill="F4F4F4"/>
          </w:tcPr>
          <w:p>
            <w:pPr>
              <w:spacing w:after="0"/>
              <w:rPr>
                <w:sz w:val="19"/>
                <w:szCs w:val="19"/>
                <w:color w:val="auto"/>
              </w:rPr>
            </w:pP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4,035</w:t>
            </w:r>
          </w:p>
        </w:tc>
      </w:tr>
      <w:tr>
        <w:trPr>
          <w:trHeight w:val="229"/>
        </w:trPr>
        <w:tc>
          <w:tcPr>
            <w:tcW w:w="748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Sublease income</w:t>
            </w: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r>
      <w:tr>
        <w:trPr>
          <w:trHeight w:val="223"/>
        </w:trPr>
        <w:tc>
          <w:tcPr>
            <w:tcW w:w="748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Net lease cost</w:t>
            </w:r>
          </w:p>
        </w:tc>
        <w:tc>
          <w:tcPr>
            <w:tcW w:w="700" w:type="dxa"/>
            <w:vAlign w:val="bottom"/>
            <w:tcBorders>
              <w:bottom w:val="single" w:sz="8" w:color="71BF43"/>
            </w:tcBorders>
            <w:shd w:val="clear" w:color="auto" w:fill="F4F4F4"/>
          </w:tcPr>
          <w:p>
            <w:pPr>
              <w:jc w:val="right"/>
              <w:ind w:right="4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42,356</w:t>
            </w:r>
          </w:p>
        </w:tc>
        <w:tc>
          <w:tcPr>
            <w:tcW w:w="520" w:type="dxa"/>
            <w:vAlign w:val="bottom"/>
            <w:tcBorders>
              <w:bottom w:val="single" w:sz="8" w:color="71BF43"/>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28,365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-728345</wp:posOffset>
            </wp:positionV>
            <wp:extent cx="23831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third quarter of 2020, we adjusted our workforce strategy to provide more flexibility for our employees to work remotely when our offices reopen. This change is expected to create efficiencies within our real estate strategy as we optimize our footprint and shift toward more collaborative workspaces within our offices. As a result, during the three months ended September 30, 2020, we reduced the estimated useful lives of our operating lease ROU assets for certain of our office locations we expected to exit. We recorded $16.2 million in incremental operating lease costs during 2020 related to this change in accounting estimate, which accounts for a substantial portion of the increase in operating lease costs during 2020. For these same office locations, we also reduced the estimated useful lives of certain facilities-related fixed assets, which resulted in incremental depreciation expense of $4.6 million during 2020 (see Note 7). During the twelve months ended December 31, 2020, we also recorded $4.0 million in impairments of operating lease ROU assets associated with certain leased office spaces we have ceased using as a result of our adjusted workforce strategy. These impairment charges are reflected in general and administrative expense.</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twelve months ended December 31, 2019, we recorded $3.8 million in impairments of operating lease ROU assets associated with certain leased office spaces we ceased using as part of our facilities optimization restructuring. These impairments, which were based on our estimates about our inability to sublease the office spaces, were recorded as restructuring expense on our consolidated statements of comprehensive income. See Note 19 to these consolidated financial statements for additional details regarding our facilities optimization restructuring.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as determined under ASC 840 was $22.2 million for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operating lease liabilities as of December 31, 2020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2"/>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ending December 31,</w:t>
            </w:r>
          </w:p>
        </w:tc>
        <w:tc>
          <w:tcPr>
            <w:tcW w:w="340" w:type="dxa"/>
            <w:vAlign w:val="bottom"/>
            <w:shd w:val="clear" w:color="auto" w:fill="ACACAC"/>
          </w:tcPr>
          <w:p>
            <w:pPr>
              <w:spacing w:after="0"/>
              <w:rPr>
                <w:sz w:val="14"/>
                <w:szCs w:val="14"/>
                <w:color w:val="auto"/>
              </w:rPr>
            </w:pPr>
          </w:p>
        </w:tc>
        <w:tc>
          <w:tcPr>
            <w:tcW w:w="14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Operating leases</w:t>
            </w:r>
          </w:p>
        </w:tc>
        <w:tc>
          <w:tcPr>
            <w:tcW w:w="0" w:type="dxa"/>
            <w:vAlign w:val="bottom"/>
          </w:tcPr>
          <w:p>
            <w:pPr>
              <w:spacing w:after="0"/>
              <w:rPr>
                <w:sz w:val="1"/>
                <w:szCs w:val="1"/>
                <w:color w:val="auto"/>
              </w:rPr>
            </w:pPr>
          </w:p>
        </w:tc>
      </w:tr>
      <w:tr>
        <w:trPr>
          <w:trHeight w:val="176"/>
        </w:trPr>
        <w:tc>
          <w:tcPr>
            <w:tcW w:w="9480" w:type="dxa"/>
            <w:vAlign w:val="bottom"/>
            <w:gridSpan w:val="2"/>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shd w:val="clear" w:color="auto" w:fill="ACACAC"/>
          </w:tcPr>
          <w:p>
            <w:pPr>
              <w:spacing w:after="0"/>
              <w:rPr>
                <w:sz w:val="15"/>
                <w:szCs w:val="15"/>
                <w:color w:val="auto"/>
              </w:rPr>
            </w:pPr>
          </w:p>
        </w:tc>
        <w:tc>
          <w:tcPr>
            <w:tcW w:w="1420" w:type="dxa"/>
            <w:vAlign w:val="bottom"/>
            <w:vMerge w:val="continue"/>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6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F4F4F4"/>
          </w:tcPr>
          <w:p>
            <w:pPr>
              <w:spacing w:after="0"/>
              <w:rPr>
                <w:sz w:val="19"/>
                <w:szCs w:val="19"/>
                <w:color w:val="auto"/>
              </w:rPr>
            </w:pPr>
          </w:p>
        </w:tc>
        <w:tc>
          <w:tcPr>
            <w:tcW w:w="340" w:type="dxa"/>
            <w:vAlign w:val="bottom"/>
            <w:shd w:val="clear" w:color="auto" w:fill="F4F4F4"/>
          </w:tcPr>
          <w:p>
            <w:pPr>
              <w:spacing w:after="0"/>
              <w:rPr>
                <w:sz w:val="19"/>
                <w:szCs w:val="19"/>
                <w:color w:val="auto"/>
              </w:rPr>
            </w:pP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10,353</w:t>
            </w:r>
          </w:p>
        </w:tc>
        <w:tc>
          <w:tcPr>
            <w:tcW w:w="0" w:type="dxa"/>
            <w:vAlign w:val="bottom"/>
          </w:tcPr>
          <w:p>
            <w:pPr>
              <w:spacing w:after="0"/>
              <w:rPr>
                <w:sz w:val="1"/>
                <w:szCs w:val="1"/>
                <w:color w:val="auto"/>
              </w:rPr>
            </w:pP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30"/>
        </w:trPr>
        <w:tc>
          <w:tcPr>
            <w:tcW w:w="946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F4F4F4"/>
          </w:tcPr>
          <w:p>
            <w:pPr>
              <w:spacing w:after="0"/>
              <w:rPr>
                <w:sz w:val="19"/>
                <w:szCs w:val="19"/>
                <w:color w:val="auto"/>
              </w:rPr>
            </w:pPr>
          </w:p>
        </w:tc>
        <w:tc>
          <w:tcPr>
            <w:tcW w:w="340" w:type="dxa"/>
            <w:vAlign w:val="bottom"/>
            <w:shd w:val="clear" w:color="auto" w:fill="F4F4F4"/>
          </w:tcPr>
          <w:p>
            <w:pPr>
              <w:spacing w:after="0"/>
              <w:rPr>
                <w:sz w:val="19"/>
                <w:szCs w:val="19"/>
                <w:color w:val="auto"/>
              </w:rPr>
            </w:pP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29"/>
        </w:trPr>
        <w:tc>
          <w:tcPr>
            <w:tcW w:w="946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F4F4F4"/>
          </w:tcPr>
          <w:p>
            <w:pPr>
              <w:spacing w:after="0"/>
              <w:rPr>
                <w:sz w:val="19"/>
                <w:szCs w:val="19"/>
                <w:color w:val="auto"/>
              </w:rPr>
            </w:pPr>
          </w:p>
        </w:tc>
        <w:tc>
          <w:tcPr>
            <w:tcW w:w="340" w:type="dxa"/>
            <w:vAlign w:val="bottom"/>
            <w:shd w:val="clear" w:color="auto" w:fill="F4F4F4"/>
          </w:tcPr>
          <w:p>
            <w:pPr>
              <w:spacing w:after="0"/>
              <w:rPr>
                <w:sz w:val="19"/>
                <w:szCs w:val="19"/>
                <w:color w:val="auto"/>
              </w:rPr>
            </w:pP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30"/>
        </w:trPr>
        <w:tc>
          <w:tcPr>
            <w:tcW w:w="946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23"/>
        </w:trPr>
        <w:tc>
          <w:tcPr>
            <w:tcW w:w="9480" w:type="dxa"/>
            <w:vAlign w:val="bottom"/>
            <w:gridSpan w:val="2"/>
            <w:shd w:val="clear" w:color="auto" w:fill="F4F4F4"/>
          </w:tcPr>
          <w:p>
            <w:pPr>
              <w:ind w:left="22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F4F4F4"/>
          </w:tcPr>
          <w:p>
            <w:pPr>
              <w:spacing w:after="0"/>
              <w:rPr>
                <w:sz w:val="19"/>
                <w:szCs w:val="19"/>
                <w:color w:val="auto"/>
              </w:rPr>
            </w:pP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29,529</w:t>
            </w:r>
          </w:p>
        </w:tc>
        <w:tc>
          <w:tcPr>
            <w:tcW w:w="0" w:type="dxa"/>
            <w:vAlign w:val="bottom"/>
          </w:tcPr>
          <w:p>
            <w:pPr>
              <w:spacing w:after="0"/>
              <w:rPr>
                <w:sz w:val="1"/>
                <w:szCs w:val="1"/>
                <w:color w:val="auto"/>
              </w:rPr>
            </w:pPr>
          </w:p>
        </w:tc>
      </w:tr>
      <w:tr>
        <w:trPr>
          <w:trHeight w:val="230"/>
        </w:trPr>
        <w:tc>
          <w:tcPr>
            <w:tcW w:w="946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71BF43"/>
            </w:tcBorders>
            <w:gridSpan w:val="2"/>
            <w:shd w:val="clear" w:color="auto" w:fill="F4F4F4"/>
          </w:tcPr>
          <w:p>
            <w:pPr>
              <w:ind w:left="20"/>
              <w:spacing w:after="0"/>
              <w:rPr>
                <w:sz w:val="20"/>
                <w:szCs w:val="20"/>
                <w:color w:val="auto"/>
              </w:rPr>
            </w:pPr>
            <w:r>
              <w:rPr>
                <w:rFonts w:ascii="Arial" w:cs="Arial" w:eastAsia="Arial" w:hAnsi="Arial"/>
                <w:sz w:val="18"/>
                <w:szCs w:val="18"/>
                <w:color w:val="auto"/>
              </w:rPr>
              <w:t>Present value of future payments</w:t>
            </w:r>
          </w:p>
        </w:tc>
        <w:tc>
          <w:tcPr>
            <w:tcW w:w="340" w:type="dxa"/>
            <w:vAlign w:val="bottom"/>
            <w:tcBorders>
              <w:bottom w:val="single" w:sz="8" w:color="71BF43"/>
            </w:tcBorders>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26,716</w:t>
            </w:r>
          </w:p>
        </w:tc>
        <w:tc>
          <w:tcPr>
            <w:tcW w:w="0" w:type="dxa"/>
            <w:vAlign w:val="bottom"/>
          </w:tcPr>
          <w:p>
            <w:pPr>
              <w:spacing w:after="0"/>
              <w:rPr>
                <w:sz w:val="1"/>
                <w:szCs w:val="1"/>
                <w:color w:val="auto"/>
              </w:rPr>
            </w:pPr>
          </w:p>
        </w:tc>
      </w:tr>
      <w:tr>
        <w:trPr>
          <w:trHeight w:val="697"/>
        </w:trPr>
        <w:tc>
          <w:tcPr>
            <w:tcW w:w="9480" w:type="dxa"/>
            <w:vAlign w:val="bottom"/>
            <w:gridSpan w:val="2"/>
          </w:tcPr>
          <w:p>
            <w:pPr>
              <w:ind w:left="8420"/>
              <w:spacing w:after="0"/>
              <w:rPr>
                <w:sz w:val="20"/>
                <w:szCs w:val="20"/>
                <w:color w:val="auto"/>
              </w:rPr>
            </w:pPr>
            <w:r>
              <w:rPr>
                <w:rFonts w:ascii="Arial" w:cs="Arial" w:eastAsia="Arial" w:hAnsi="Arial"/>
                <w:sz w:val="14"/>
                <w:szCs w:val="14"/>
                <w:color w:val="auto"/>
              </w:rPr>
              <w:t>2020 Form 10-K</w:t>
            </w:r>
          </w:p>
        </w:tc>
        <w:tc>
          <w:tcPr>
            <w:tcW w:w="340" w:type="dxa"/>
            <w:vAlign w:val="bottom"/>
          </w:tcPr>
          <w:p>
            <w:pPr>
              <w:spacing w:after="0"/>
              <w:rPr>
                <w:sz w:val="24"/>
                <w:szCs w:val="2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316"/>
        </w:trPr>
        <w:tc>
          <w:tcPr>
            <w:tcW w:w="9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-393700</wp:posOffset>
            </wp:positionV>
            <wp:extent cx="72898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Our ROU assets and lease liabilities are included in the following line items in our consolidated balance sheet: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shd w:val="clear" w:color="auto" w:fill="ACACAC"/>
          </w:tcPr>
          <w:p>
            <w:pPr>
              <w:spacing w:after="0"/>
              <w:rPr>
                <w:sz w:val="14"/>
                <w:szCs w:val="14"/>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80" w:type="dxa"/>
            <w:vAlign w:val="bottom"/>
            <w:shd w:val="clear" w:color="auto" w:fill="ACACAC"/>
          </w:tcPr>
          <w:p>
            <w:pPr>
              <w:spacing w:after="0"/>
              <w:rPr>
                <w:sz w:val="14"/>
                <w:szCs w:val="14"/>
                <w:color w:val="auto"/>
              </w:rPr>
            </w:pP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75"/>
        </w:trPr>
        <w:tc>
          <w:tcPr>
            <w:tcW w:w="7580" w:type="dxa"/>
            <w:vAlign w:val="bottom"/>
            <w:vMerge w:val="continue"/>
            <w:shd w:val="clear" w:color="auto" w:fill="ACACAC"/>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80" w:type="dxa"/>
            <w:vAlign w:val="bottom"/>
            <w:shd w:val="clear" w:color="auto" w:fill="ACACAC"/>
          </w:tcPr>
          <w:p>
            <w:pPr>
              <w:spacing w:after="0"/>
              <w:rPr>
                <w:sz w:val="15"/>
                <w:szCs w:val="15"/>
                <w:color w:val="auto"/>
              </w:rPr>
            </w:pP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30"/>
        </w:trPr>
        <w:tc>
          <w:tcPr>
            <w:tcW w:w="758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Operating leases</w:t>
            </w:r>
          </w:p>
        </w:tc>
        <w:tc>
          <w:tcPr>
            <w:tcW w:w="460" w:type="dxa"/>
            <w:vAlign w:val="bottom"/>
            <w:shd w:val="clear" w:color="auto" w:fill="F4F4F4"/>
          </w:tcPr>
          <w:p>
            <w:pPr>
              <w:spacing w:after="0"/>
              <w:rPr>
                <w:sz w:val="19"/>
                <w:szCs w:val="19"/>
                <w:color w:val="auto"/>
              </w:rPr>
            </w:pPr>
          </w:p>
        </w:tc>
        <w:tc>
          <w:tcPr>
            <w:tcW w:w="1420" w:type="dxa"/>
            <w:vAlign w:val="bottom"/>
            <w:shd w:val="clear" w:color="auto" w:fill="F4F4F4"/>
          </w:tcPr>
          <w:p>
            <w:pPr>
              <w:spacing w:after="0"/>
              <w:rPr>
                <w:sz w:val="19"/>
                <w:szCs w:val="19"/>
                <w:color w:val="auto"/>
              </w:rPr>
            </w:pPr>
          </w:p>
        </w:tc>
        <w:tc>
          <w:tcPr>
            <w:tcW w:w="480" w:type="dxa"/>
            <w:vAlign w:val="bottom"/>
            <w:shd w:val="clear" w:color="auto" w:fill="F4F4F4"/>
          </w:tcPr>
          <w:p>
            <w:pPr>
              <w:spacing w:after="0"/>
              <w:rPr>
                <w:sz w:val="19"/>
                <w:szCs w:val="19"/>
                <w:color w:val="auto"/>
              </w:rPr>
            </w:pPr>
          </w:p>
        </w:tc>
        <w:tc>
          <w:tcPr>
            <w:tcW w:w="130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22,671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104,400</w:t>
            </w:r>
          </w:p>
        </w:tc>
        <w:tc>
          <w:tcPr>
            <w:tcW w:w="0" w:type="dxa"/>
            <w:vAlign w:val="bottom"/>
          </w:tcPr>
          <w:p>
            <w:pPr>
              <w:spacing w:after="0"/>
              <w:rPr>
                <w:sz w:val="1"/>
                <w:szCs w:val="1"/>
                <w:color w:val="auto"/>
              </w:rPr>
            </w:pPr>
          </w:p>
        </w:tc>
      </w:tr>
      <w:tr>
        <w:trPr>
          <w:trHeight w:val="270"/>
        </w:trPr>
        <w:tc>
          <w:tcPr>
            <w:tcW w:w="7580" w:type="dxa"/>
            <w:vAlign w:val="bottom"/>
            <w:shd w:val="clear" w:color="auto" w:fill="F4F4F4"/>
          </w:tcPr>
          <w:p>
            <w:pPr>
              <w:spacing w:after="0"/>
              <w:rPr>
                <w:sz w:val="23"/>
                <w:szCs w:val="23"/>
                <w:color w:val="auto"/>
              </w:rPr>
            </w:pPr>
          </w:p>
        </w:tc>
        <w:tc>
          <w:tcPr>
            <w:tcW w:w="460" w:type="dxa"/>
            <w:vAlign w:val="bottom"/>
            <w:shd w:val="clear" w:color="auto" w:fill="F4F4F4"/>
          </w:tcPr>
          <w:p>
            <w:pPr>
              <w:spacing w:after="0"/>
              <w:rPr>
                <w:sz w:val="23"/>
                <w:szCs w:val="23"/>
                <w:color w:val="auto"/>
              </w:rPr>
            </w:pPr>
          </w:p>
        </w:tc>
        <w:tc>
          <w:tcPr>
            <w:tcW w:w="1420" w:type="dxa"/>
            <w:vAlign w:val="bottom"/>
            <w:shd w:val="clear" w:color="auto" w:fill="F4F4F4"/>
          </w:tcPr>
          <w:p>
            <w:pPr>
              <w:spacing w:after="0"/>
              <w:rPr>
                <w:sz w:val="23"/>
                <w:szCs w:val="23"/>
                <w:color w:val="auto"/>
              </w:rPr>
            </w:pPr>
          </w:p>
        </w:tc>
        <w:tc>
          <w:tcPr>
            <w:tcW w:w="480" w:type="dxa"/>
            <w:vAlign w:val="bottom"/>
            <w:shd w:val="clear" w:color="auto" w:fill="F4F4F4"/>
          </w:tcPr>
          <w:p>
            <w:pPr>
              <w:spacing w:after="0"/>
              <w:rPr>
                <w:sz w:val="23"/>
                <w:szCs w:val="23"/>
                <w:color w:val="auto"/>
              </w:rPr>
            </w:pPr>
          </w:p>
        </w:tc>
        <w:tc>
          <w:tcPr>
            <w:tcW w:w="1300" w:type="dxa"/>
            <w:vAlign w:val="bottom"/>
            <w:shd w:val="clear" w:color="auto" w:fill="F4F4F4"/>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9,359</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19,784</w:t>
            </w:r>
          </w:p>
        </w:tc>
        <w:tc>
          <w:tcPr>
            <w:tcW w:w="0" w:type="dxa"/>
            <w:vAlign w:val="bottom"/>
          </w:tcPr>
          <w:p>
            <w:pPr>
              <w:spacing w:after="0"/>
              <w:rPr>
                <w:sz w:val="1"/>
                <w:szCs w:val="1"/>
                <w:color w:val="auto"/>
              </w:rPr>
            </w:pPr>
          </w:p>
        </w:tc>
      </w:tr>
      <w:tr>
        <w:trPr>
          <w:trHeight w:val="230"/>
        </w:trPr>
        <w:tc>
          <w:tcPr>
            <w:tcW w:w="75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460" w:type="dxa"/>
            <w:vAlign w:val="bottom"/>
            <w:tcBorders>
              <w:bottom w:val="single" w:sz="8" w:color="auto"/>
            </w:tcBorders>
            <w:shd w:val="clear" w:color="auto" w:fill="F4F4F4"/>
          </w:tcPr>
          <w:p>
            <w:pPr>
              <w:spacing w:after="0"/>
              <w:rPr>
                <w:sz w:val="19"/>
                <w:szCs w:val="19"/>
                <w:color w:val="auto"/>
              </w:rPr>
            </w:pPr>
          </w:p>
        </w:tc>
        <w:tc>
          <w:tcPr>
            <w:tcW w:w="14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17,357</w:t>
            </w:r>
          </w:p>
        </w:tc>
        <w:tc>
          <w:tcPr>
            <w:tcW w:w="480" w:type="dxa"/>
            <w:vAlign w:val="bottom"/>
            <w:tcBorders>
              <w:bottom w:val="single" w:sz="8" w:color="auto"/>
            </w:tcBorders>
            <w:shd w:val="clear" w:color="auto" w:fill="F4F4F4"/>
          </w:tcPr>
          <w:p>
            <w:pPr>
              <w:spacing w:after="0"/>
              <w:rPr>
                <w:sz w:val="19"/>
                <w:szCs w:val="19"/>
                <w:color w:val="auto"/>
              </w:rPr>
            </w:pPr>
          </w:p>
        </w:tc>
        <w:tc>
          <w:tcPr>
            <w:tcW w:w="13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95,624</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71BF43"/>
            </w:tcBorders>
          </w:tcPr>
          <w:p>
            <w:pPr>
              <w:ind w:left="220"/>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bottom w:val="single" w:sz="8" w:color="71BF43"/>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26,716</w:t>
            </w:r>
          </w:p>
        </w:tc>
        <w:tc>
          <w:tcPr>
            <w:tcW w:w="480" w:type="dxa"/>
            <w:vAlign w:val="bottom"/>
            <w:tcBorders>
              <w:bottom w:val="single" w:sz="8" w:color="71BF43"/>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115,408</w:t>
            </w:r>
          </w:p>
        </w:tc>
        <w:tc>
          <w:tcPr>
            <w:tcW w:w="0" w:type="dxa"/>
            <w:vAlign w:val="bottom"/>
          </w:tcPr>
          <w:p>
            <w:pPr>
              <w:spacing w:after="0"/>
              <w:rPr>
                <w:sz w:val="1"/>
                <w:szCs w:val="1"/>
                <w:color w:val="auto"/>
              </w:rPr>
            </w:pPr>
          </w:p>
        </w:tc>
      </w:tr>
      <w:tr>
        <w:trPr>
          <w:trHeight w:val="372"/>
        </w:trPr>
        <w:tc>
          <w:tcPr>
            <w:tcW w:w="9460" w:type="dxa"/>
            <w:vAlign w:val="bottom"/>
            <w:gridSpan w:val="3"/>
          </w:tcPr>
          <w:p>
            <w:pPr>
              <w:spacing w:after="0"/>
              <w:rPr>
                <w:sz w:val="20"/>
                <w:szCs w:val="20"/>
                <w:color w:val="auto"/>
              </w:rPr>
            </w:pPr>
            <w:r>
              <w:rPr>
                <w:rFonts w:ascii="Arial" w:cs="Arial" w:eastAsia="Arial" w:hAnsi="Arial"/>
                <w:sz w:val="18"/>
                <w:szCs w:val="18"/>
                <w:color w:val="auto"/>
              </w:rPr>
              <w:t>As of December 31, 2020, the weighted average remaining lease terms and discount rates were as follows: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58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shd w:val="clear" w:color="auto" w:fill="ACACAC"/>
          </w:tcPr>
          <w:p>
            <w:pPr>
              <w:spacing w:after="0"/>
              <w:rPr>
                <w:sz w:val="12"/>
                <w:szCs w:val="12"/>
                <w:color w:val="auto"/>
              </w:rPr>
            </w:pPr>
          </w:p>
        </w:tc>
        <w:tc>
          <w:tcPr>
            <w:tcW w:w="1420" w:type="dxa"/>
            <w:vAlign w:val="bottom"/>
            <w:shd w:val="clear" w:color="auto" w:fill="ACACAC"/>
          </w:tcPr>
          <w:p>
            <w:pPr>
              <w:jc w:val="right"/>
              <w:ind w:right="57"/>
              <w:spacing w:after="0" w:line="149" w:lineRule="exact"/>
              <w:rPr>
                <w:sz w:val="20"/>
                <w:szCs w:val="20"/>
                <w:color w:val="auto"/>
              </w:rPr>
            </w:pPr>
            <w:r>
              <w:rPr>
                <w:rFonts w:ascii="Arial" w:cs="Arial" w:eastAsia="Arial" w:hAnsi="Arial"/>
                <w:sz w:val="14"/>
                <w:szCs w:val="14"/>
                <w:b w:val="1"/>
                <w:bCs w:val="1"/>
                <w:color w:val="FFFFFF"/>
              </w:rPr>
              <w:t>December 31,</w:t>
            </w:r>
          </w:p>
        </w:tc>
        <w:tc>
          <w:tcPr>
            <w:tcW w:w="480" w:type="dxa"/>
            <w:vAlign w:val="bottom"/>
            <w:shd w:val="clear" w:color="auto" w:fill="ACACAC"/>
          </w:tcPr>
          <w:p>
            <w:pPr>
              <w:spacing w:after="0"/>
              <w:rPr>
                <w:sz w:val="12"/>
                <w:szCs w:val="12"/>
                <w:color w:val="auto"/>
              </w:rPr>
            </w:pPr>
          </w:p>
        </w:tc>
        <w:tc>
          <w:tcPr>
            <w:tcW w:w="130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75"/>
        </w:trPr>
        <w:tc>
          <w:tcPr>
            <w:tcW w:w="7580" w:type="dxa"/>
            <w:vAlign w:val="bottom"/>
            <w:vMerge w:val="continue"/>
            <w:shd w:val="clear" w:color="auto" w:fill="ACACAC"/>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1420" w:type="dxa"/>
            <w:vAlign w:val="bottom"/>
            <w:shd w:val="clear" w:color="auto" w:fill="ACACAC"/>
          </w:tcPr>
          <w:p>
            <w:pPr>
              <w:jc w:val="right"/>
              <w:ind w:right="57"/>
              <w:spacing w:after="0"/>
              <w:rPr>
                <w:sz w:val="20"/>
                <w:szCs w:val="20"/>
                <w:color w:val="auto"/>
              </w:rPr>
            </w:pPr>
            <w:r>
              <w:rPr>
                <w:rFonts w:ascii="Arial" w:cs="Arial" w:eastAsia="Arial" w:hAnsi="Arial"/>
                <w:sz w:val="14"/>
                <w:szCs w:val="14"/>
                <w:b w:val="1"/>
                <w:bCs w:val="1"/>
                <w:color w:val="FFFFFF"/>
              </w:rPr>
              <w:t>2020</w:t>
            </w:r>
          </w:p>
        </w:tc>
        <w:tc>
          <w:tcPr>
            <w:tcW w:w="480" w:type="dxa"/>
            <w:vAlign w:val="bottom"/>
            <w:shd w:val="clear" w:color="auto" w:fill="ACACAC"/>
          </w:tcPr>
          <w:p>
            <w:pPr>
              <w:spacing w:after="0"/>
              <w:rPr>
                <w:sz w:val="15"/>
                <w:szCs w:val="15"/>
                <w:color w:val="auto"/>
              </w:rPr>
            </w:pP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30"/>
        </w:trPr>
        <w:tc>
          <w:tcPr>
            <w:tcW w:w="758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Operating leases</w:t>
            </w:r>
          </w:p>
        </w:tc>
        <w:tc>
          <w:tcPr>
            <w:tcW w:w="460" w:type="dxa"/>
            <w:vAlign w:val="bottom"/>
            <w:shd w:val="clear" w:color="auto" w:fill="F4F4F4"/>
          </w:tcPr>
          <w:p>
            <w:pPr>
              <w:spacing w:after="0"/>
              <w:rPr>
                <w:sz w:val="19"/>
                <w:szCs w:val="19"/>
                <w:color w:val="auto"/>
              </w:rPr>
            </w:pPr>
          </w:p>
        </w:tc>
        <w:tc>
          <w:tcPr>
            <w:tcW w:w="1420" w:type="dxa"/>
            <w:vAlign w:val="bottom"/>
            <w:shd w:val="clear" w:color="auto" w:fill="F4F4F4"/>
          </w:tcPr>
          <w:p>
            <w:pPr>
              <w:spacing w:after="0"/>
              <w:rPr>
                <w:sz w:val="19"/>
                <w:szCs w:val="19"/>
                <w:color w:val="auto"/>
              </w:rPr>
            </w:pPr>
          </w:p>
        </w:tc>
        <w:tc>
          <w:tcPr>
            <w:tcW w:w="480" w:type="dxa"/>
            <w:vAlign w:val="bottom"/>
            <w:shd w:val="clear" w:color="auto" w:fill="F4F4F4"/>
          </w:tcPr>
          <w:p>
            <w:pPr>
              <w:spacing w:after="0"/>
              <w:rPr>
                <w:sz w:val="19"/>
                <w:szCs w:val="19"/>
                <w:color w:val="auto"/>
              </w:rPr>
            </w:pPr>
          </w:p>
        </w:tc>
        <w:tc>
          <w:tcPr>
            <w:tcW w:w="130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460" w:type="dxa"/>
            <w:vAlign w:val="bottom"/>
          </w:tcPr>
          <w:p>
            <w:pPr>
              <w:spacing w:after="0"/>
              <w:rPr>
                <w:sz w:val="19"/>
                <w:szCs w:val="19"/>
                <w:color w:val="auto"/>
              </w:rPr>
            </w:pPr>
          </w:p>
        </w:tc>
        <w:tc>
          <w:tcPr>
            <w:tcW w:w="1420" w:type="dxa"/>
            <w:vAlign w:val="bottom"/>
          </w:tcPr>
          <w:p>
            <w:pPr>
              <w:jc w:val="right"/>
              <w:ind w:right="57"/>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Weighted average discount rate</w:t>
            </w:r>
          </w:p>
        </w:tc>
        <w:tc>
          <w:tcPr>
            <w:tcW w:w="460" w:type="dxa"/>
            <w:vAlign w:val="bottom"/>
            <w:tcBorders>
              <w:bottom w:val="single" w:sz="8" w:color="71BF43"/>
            </w:tcBorders>
            <w:shd w:val="clear" w:color="auto" w:fill="F4F4F4"/>
          </w:tcPr>
          <w:p>
            <w:pPr>
              <w:spacing w:after="0"/>
              <w:rPr>
                <w:sz w:val="19"/>
                <w:szCs w:val="19"/>
                <w:color w:val="auto"/>
              </w:rPr>
            </w:pPr>
          </w:p>
        </w:tc>
        <w:tc>
          <w:tcPr>
            <w:tcW w:w="1420" w:type="dxa"/>
            <w:vAlign w:val="bottom"/>
            <w:tcBorders>
              <w:bottom w:val="single" w:sz="8" w:color="71BF43"/>
            </w:tcBorders>
            <w:shd w:val="clear" w:color="auto" w:fill="F4F4F4"/>
          </w:tcPr>
          <w:p>
            <w:pPr>
              <w:jc w:val="right"/>
              <w:ind w:right="57"/>
              <w:spacing w:after="0"/>
              <w:rPr>
                <w:sz w:val="20"/>
                <w:szCs w:val="20"/>
                <w:color w:val="auto"/>
              </w:rPr>
            </w:pPr>
            <w:r>
              <w:rPr>
                <w:rFonts w:ascii="Arial" w:cs="Arial" w:eastAsia="Arial" w:hAnsi="Arial"/>
                <w:sz w:val="18"/>
                <w:szCs w:val="18"/>
                <w:color w:val="auto"/>
              </w:rPr>
              <w:t>5.70 %</w:t>
            </w:r>
          </w:p>
        </w:tc>
        <w:tc>
          <w:tcPr>
            <w:tcW w:w="480" w:type="dxa"/>
            <w:vAlign w:val="bottom"/>
            <w:tcBorders>
              <w:bottom w:val="single" w:sz="8" w:color="71BF43"/>
            </w:tcBorders>
            <w:shd w:val="clear" w:color="auto" w:fill="F4F4F4"/>
          </w:tcPr>
          <w:p>
            <w:pPr>
              <w:spacing w:after="0"/>
              <w:rPr>
                <w:sz w:val="19"/>
                <w:szCs w:val="19"/>
                <w:color w:val="auto"/>
              </w:rPr>
            </w:pPr>
          </w:p>
        </w:tc>
        <w:tc>
          <w:tcPr>
            <w:tcW w:w="13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5.96 %</w:t>
            </w:r>
          </w:p>
        </w:tc>
        <w:tc>
          <w:tcPr>
            <w:tcW w:w="0" w:type="dxa"/>
            <w:vAlign w:val="bottom"/>
          </w:tcPr>
          <w:p>
            <w:pPr>
              <w:spacing w:after="0"/>
              <w:rPr>
                <w:sz w:val="1"/>
                <w:szCs w:val="1"/>
                <w:color w:val="auto"/>
              </w:rPr>
            </w:pPr>
          </w:p>
        </w:tc>
      </w:tr>
      <w:tr>
        <w:trPr>
          <w:trHeight w:val="371"/>
        </w:trPr>
        <w:tc>
          <w:tcPr>
            <w:tcW w:w="9460" w:type="dxa"/>
            <w:vAlign w:val="bottom"/>
            <w:gridSpan w:val="3"/>
          </w:tcPr>
          <w:p>
            <w:pPr>
              <w:spacing w:after="0"/>
              <w:rPr>
                <w:sz w:val="20"/>
                <w:szCs w:val="20"/>
                <w:color w:val="auto"/>
              </w:rPr>
            </w:pPr>
            <w:r>
              <w:rPr>
                <w:rFonts w:ascii="Arial" w:cs="Arial" w:eastAsia="Arial" w:hAnsi="Arial"/>
                <w:sz w:val="18"/>
                <w:szCs w:val="18"/>
                <w:color w:val="auto"/>
              </w:rPr>
              <w:t>Supplemental cash flow information related to leases during the year ended December 31, 2020, was as follows: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ACACAC"/>
          </w:tcPr>
          <w:p>
            <w:pPr>
              <w:spacing w:after="0"/>
              <w:rPr>
                <w:sz w:val="12"/>
                <w:szCs w:val="12"/>
                <w:color w:val="auto"/>
              </w:rPr>
            </w:pPr>
          </w:p>
        </w:tc>
        <w:tc>
          <w:tcPr>
            <w:tcW w:w="460" w:type="dxa"/>
            <w:vAlign w:val="bottom"/>
            <w:shd w:val="clear" w:color="auto" w:fill="ACACAC"/>
          </w:tcPr>
          <w:p>
            <w:pPr>
              <w:spacing w:after="0"/>
              <w:rPr>
                <w:sz w:val="12"/>
                <w:szCs w:val="12"/>
                <w:color w:val="auto"/>
              </w:rPr>
            </w:pPr>
          </w:p>
        </w:tc>
        <w:tc>
          <w:tcPr>
            <w:tcW w:w="1420" w:type="dxa"/>
            <w:vAlign w:val="bottom"/>
            <w:shd w:val="clear" w:color="auto" w:fill="ACACAC"/>
          </w:tcPr>
          <w:p>
            <w:pPr>
              <w:spacing w:after="0"/>
              <w:rPr>
                <w:sz w:val="12"/>
                <w:szCs w:val="12"/>
                <w:color w:val="auto"/>
              </w:rPr>
            </w:pPr>
          </w:p>
        </w:tc>
        <w:tc>
          <w:tcPr>
            <w:tcW w:w="480" w:type="dxa"/>
            <w:vAlign w:val="bottom"/>
            <w:shd w:val="clear" w:color="auto" w:fill="ACACAC"/>
          </w:tcPr>
          <w:p>
            <w:pPr>
              <w:spacing w:after="0"/>
              <w:rPr>
                <w:sz w:val="12"/>
                <w:szCs w:val="12"/>
                <w:color w:val="auto"/>
              </w:rPr>
            </w:pPr>
          </w:p>
        </w:tc>
        <w:tc>
          <w:tcPr>
            <w:tcW w:w="130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Year ended</w:t>
            </w:r>
          </w:p>
        </w:tc>
        <w:tc>
          <w:tcPr>
            <w:tcW w:w="0" w:type="dxa"/>
            <w:vAlign w:val="bottom"/>
          </w:tcPr>
          <w:p>
            <w:pPr>
              <w:spacing w:after="0"/>
              <w:rPr>
                <w:sz w:val="1"/>
                <w:szCs w:val="1"/>
                <w:color w:val="auto"/>
              </w:rPr>
            </w:pPr>
          </w:p>
        </w:tc>
      </w:tr>
      <w:tr>
        <w:trPr>
          <w:trHeight w:val="176"/>
        </w:trPr>
        <w:tc>
          <w:tcPr>
            <w:tcW w:w="7580" w:type="dxa"/>
            <w:vAlign w:val="bottom"/>
            <w:shd w:val="clear" w:color="auto" w:fill="ACACAC"/>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1420" w:type="dxa"/>
            <w:vAlign w:val="bottom"/>
            <w:shd w:val="clear" w:color="auto" w:fill="ACACAC"/>
          </w:tcPr>
          <w:p>
            <w:pPr>
              <w:spacing w:after="0"/>
              <w:rPr>
                <w:sz w:val="15"/>
                <w:szCs w:val="15"/>
                <w:color w:val="auto"/>
              </w:rPr>
            </w:pPr>
          </w:p>
        </w:tc>
        <w:tc>
          <w:tcPr>
            <w:tcW w:w="480" w:type="dxa"/>
            <w:vAlign w:val="bottom"/>
            <w:shd w:val="clear" w:color="auto" w:fill="ACACAC"/>
          </w:tcPr>
          <w:p>
            <w:pPr>
              <w:spacing w:after="0"/>
              <w:rPr>
                <w:sz w:val="15"/>
                <w:szCs w:val="15"/>
                <w:color w:val="auto"/>
              </w:rPr>
            </w:pP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03"/>
        </w:trPr>
        <w:tc>
          <w:tcPr>
            <w:tcW w:w="75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shd w:val="clear" w:color="auto" w:fill="ACACAC"/>
          </w:tcPr>
          <w:p>
            <w:pPr>
              <w:spacing w:after="0"/>
              <w:rPr>
                <w:sz w:val="17"/>
                <w:szCs w:val="17"/>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80" w:type="dxa"/>
            <w:vAlign w:val="bottom"/>
            <w:shd w:val="clear" w:color="auto" w:fill="ACACAC"/>
          </w:tcPr>
          <w:p>
            <w:pPr>
              <w:spacing w:after="0"/>
              <w:rPr>
                <w:sz w:val="17"/>
                <w:szCs w:val="17"/>
                <w:color w:val="auto"/>
              </w:rPr>
            </w:pP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46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25,120</w:t>
            </w:r>
          </w:p>
        </w:tc>
        <w:tc>
          <w:tcPr>
            <w:tcW w:w="480" w:type="dxa"/>
            <w:vAlign w:val="bottom"/>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24,569</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 (non-cash):</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Operating leases</w:t>
            </w:r>
          </w:p>
        </w:tc>
        <w:tc>
          <w:tcPr>
            <w:tcW w:w="460" w:type="dxa"/>
            <w:vAlign w:val="bottom"/>
            <w:tcBorders>
              <w:bottom w:val="single" w:sz="8" w:color="71BF43"/>
            </w:tcBorders>
            <w:shd w:val="clear" w:color="auto" w:fill="F4F4F4"/>
          </w:tcPr>
          <w:p>
            <w:pPr>
              <w:spacing w:after="0"/>
              <w:rPr>
                <w:sz w:val="19"/>
                <w:szCs w:val="19"/>
                <w:color w:val="auto"/>
              </w:rPr>
            </w:pPr>
          </w:p>
        </w:tc>
        <w:tc>
          <w:tcPr>
            <w:tcW w:w="14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11,002</w:t>
            </w:r>
          </w:p>
        </w:tc>
        <w:tc>
          <w:tcPr>
            <w:tcW w:w="480" w:type="dxa"/>
            <w:vAlign w:val="bottom"/>
            <w:tcBorders>
              <w:bottom w:val="single" w:sz="8" w:color="71BF43"/>
            </w:tcBorders>
            <w:shd w:val="clear" w:color="auto" w:fill="F4F4F4"/>
          </w:tcPr>
          <w:p>
            <w:pPr>
              <w:spacing w:after="0"/>
              <w:rPr>
                <w:sz w:val="19"/>
                <w:szCs w:val="19"/>
                <w:color w:val="auto"/>
              </w:rPr>
            </w:pPr>
          </w:p>
        </w:tc>
        <w:tc>
          <w:tcPr>
            <w:tcW w:w="13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102,245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-719455</wp:posOffset>
            </wp:positionV>
            <wp:extent cx="23228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December 31, 2020, the remaining aggregate minimum purchase commitment under these arrangements was approximately $94.8 million through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 obligations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 into agreements in the ordinary course of business with, among others, customers, creditors, vendors and service providers. Pursuant to certain of these agreements we have agreed to indemnify the other party for certain matters, such as property damage, personal injury, acts or omissions of ours, or our employees, agents or representatives, or third-party claims alleging that the activities of its contractual partner pursuant to the contract infringe a patent, trademark or copyright of such third party.</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92  </w:t>
      </w:r>
      <w:r>
        <w:rPr>
          <w:sz w:val="1"/>
          <w:szCs w:val="1"/>
          <w:color w:val="auto"/>
        </w:rPr>
        <w:drawing>
          <wp:inline distT="0" distB="0" distL="0" distR="0">
            <wp:extent cx="728345" cy="18859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legal proceedings and claims that arise in the ordinary course of business, as well as certain other non-ordinary course proceedings, claims and inquiries,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legal costs are expensed as incurred.</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Legal proceedings are inherently unpredictable. However, we believe that we have valid defenses with respect to the legal matters pending or threatened against us and intend to defend ourselves vigorously against all claims asserted. We further believe that the amount or range of reasonably possible losses related to such pending or threatened legal proceedings will not have a material adverse effect on our business, operating results, cash flows, or financial condition should such litigation be resolved unfavorably. It is possible, nevertheless, that our consolidated financial position, results of operations or cash flows could be negatively affected in any particular period by an unfavorable resolution of one or more of such legal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have no reason to believe that any data went beyond the cybercriminal, was or will be misused, or will be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2020, we recorded $10.4 million of expenses related to the Security Incident and offsetting probable insurance recoveries of $9.4 million. Due to the time required to submit and process such insurance claims, we have not yet received all of the accrued insurance recoveries. Of the insurance recoveries recorded, $3.1 million had been paid as of December 31, 2020. Recorded expenses consisted primarily of payments to third-party service providers and consultants, including legal fees, and enhancements to our cybersecurity measures. We present expenses and insurance recoveries related to the Security Incident in general and administrative expense on our condensed consolidated statements of comprehensive income. We expect to continue to experience increased costs related to our response to the Security Incident and our efforts to further enhance our security measures, which may or may not be material.</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Security Incident, we are currently subject to certain legal proceedings, claims, inquiries and investigations, as discussed below, and could be the subject of additional legal proceedings, claims, inquires and investigations in the future that might result in adverse judgments, settlements, fines, penalties, or other resolution. Although we carry insurance policies that we believe will provide coverage for a significant portion of our current and expected future losses and expenses related to the Security Incident, there can be no assurance that they will do so.</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our analysis of the factors described above, we have not recorded a liability related to the Security Incident as of December 31, 2020 because we are unable at this time to reasonably estimate the possible loss or range of loss.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Customer claims. </w:t>
      </w:r>
      <w:r>
        <w:rPr>
          <w:rFonts w:ascii="Arial" w:cs="Arial" w:eastAsia="Arial" w:hAnsi="Arial"/>
          <w:sz w:val="18"/>
          <w:szCs w:val="18"/>
          <w:color w:val="auto"/>
        </w:rPr>
        <w:t>To date, we have received approximately 570 claims for reimbursement of expenses from customers or their attorneys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 U.K. and Canada related to the Security Incident (none of which have as yet been filed in court or in arbitration). Possible exposure could result from our customers’ costs and expenses associated with notifying their own customers of the Security Incident and taking steps to assure that personal information has not been compromised as a result of the Security Incident. We are in the process of analyzing individual customer contracts into which we have entered, the specific claims made and applicable law. At this time we cannot determine what, if any, exposure we have in the context of customer claims.</w:t>
      </w:r>
    </w:p>
    <w:p>
      <w:pPr>
        <w:spacing w:after="0" w:line="284"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Customer constituent class actions</w:t>
      </w:r>
      <w:r>
        <w:rPr>
          <w:rFonts w:ascii="Arial" w:cs="Arial" w:eastAsia="Arial" w:hAnsi="Arial"/>
          <w:sz w:val="18"/>
          <w:szCs w:val="18"/>
          <w:color w:val="auto"/>
        </w:rPr>
        <w:t>. Presently, we are a defendant in 30 putative consumer class action cases [27 in U.S. federal courts</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which have been consolidated under multi district litigation to a single federal court), 1 in a U.S. state court and 2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for putative class actions, it is often not possible to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Governmental inquiries. </w:t>
      </w:r>
      <w:r>
        <w:rPr>
          <w:rFonts w:ascii="Arial" w:cs="Arial" w:eastAsia="Arial" w:hAnsi="Arial"/>
          <w:sz w:val="18"/>
          <w:szCs w:val="18"/>
          <w:color w:val="auto"/>
        </w:rPr>
        <w:t>To date, we have received a consolidated, multi-state Civil Investigative Demand issued on behalf of 44 state</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Attorneys General and the District of Columbia relating to the Security Incident. In addition, we have received communications, inquires and requests from the U.S. Federal Trade Commission, the U.S. Department of Health and Human Services, the U.S. Securities and Exchange Commission, the Information Commissioner’s Office in the United Kingdom (the “ICO”) under the U.K. Data Protection Act 2018, the Office of the Australian Information Commissioner and the Office of the Privacy Commissioner of Canada. We are cooperating with these offices and responding to their inquiries.</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file income tax returns in the U.S. for federal and various state jurisdictions as well as in foreign jurisdictions including Canada, the U.K., Australia, Ireland and Costa Rica. We are generally subject to U.S. federal income tax examination for calendar tax years 2016 through 2020 as well as state and foreign income tax examinations for various years depending on statutes of limitations of those jurisdictions. We are currently under U.S. federal income tax examination for the calendar year 2016.</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94  </w:t>
      </w:r>
      <w:r>
        <w:rPr>
          <w:sz w:val="1"/>
          <w:szCs w:val="1"/>
          <w:color w:val="auto"/>
        </w:rPr>
        <w:drawing>
          <wp:inline distT="0" distB="0" distL="0" distR="0">
            <wp:extent cx="728345" cy="18859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income tax expense (benefit):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000" w:type="dxa"/>
            <w:vAlign w:val="bottom"/>
            <w:shd w:val="clear" w:color="auto" w:fill="ACACAC"/>
          </w:tcPr>
          <w:p>
            <w:pPr>
              <w:spacing w:after="0"/>
              <w:rPr>
                <w:sz w:val="16"/>
                <w:szCs w:val="16"/>
                <w:color w:val="auto"/>
              </w:rPr>
            </w:pPr>
          </w:p>
        </w:tc>
        <w:tc>
          <w:tcPr>
            <w:tcW w:w="540" w:type="dxa"/>
            <w:vAlign w:val="bottom"/>
            <w:shd w:val="clear" w:color="auto" w:fill="ACACAC"/>
          </w:tcPr>
          <w:p>
            <w:pPr>
              <w:spacing w:after="0"/>
              <w:rPr>
                <w:sz w:val="16"/>
                <w:szCs w:val="16"/>
                <w:color w:val="auto"/>
              </w:rPr>
            </w:pPr>
          </w:p>
        </w:tc>
        <w:tc>
          <w:tcPr>
            <w:tcW w:w="252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66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17"/>
                <w:szCs w:val="17"/>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40" w:type="dxa"/>
            <w:vAlign w:val="bottom"/>
            <w:shd w:val="clear" w:color="auto" w:fill="ACACAC"/>
          </w:tcPr>
          <w:p>
            <w:pPr>
              <w:spacing w:after="0"/>
              <w:rPr>
                <w:sz w:val="17"/>
                <w:szCs w:val="17"/>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520" w:type="dxa"/>
            <w:vAlign w:val="bottom"/>
            <w:shd w:val="clear" w:color="auto" w:fill="ACACAC"/>
          </w:tcPr>
          <w:p>
            <w:pPr>
              <w:spacing w:after="0"/>
              <w:rPr>
                <w:sz w:val="17"/>
                <w:szCs w:val="17"/>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30"/>
        </w:trPr>
        <w:tc>
          <w:tcPr>
            <w:tcW w:w="666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Current taxes:</w:t>
            </w:r>
          </w:p>
        </w:tc>
        <w:tc>
          <w:tcPr>
            <w:tcW w:w="52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54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52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U.S. Federal</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1,534</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29"/>
        </w:trPr>
        <w:tc>
          <w:tcPr>
            <w:tcW w:w="66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U.S. State and local</w:t>
            </w:r>
          </w:p>
        </w:tc>
        <w:tc>
          <w:tcPr>
            <w:tcW w:w="52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1,563</w:t>
            </w:r>
          </w:p>
        </w:tc>
        <w:tc>
          <w:tcPr>
            <w:tcW w:w="54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613</w:t>
            </w:r>
          </w:p>
        </w:tc>
        <w:tc>
          <w:tcPr>
            <w:tcW w:w="52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1,182</w:t>
            </w:r>
          </w:p>
        </w:tc>
      </w:tr>
      <w:tr>
        <w:trPr>
          <w:trHeight w:val="230"/>
        </w:trPr>
        <w:tc>
          <w:tcPr>
            <w:tcW w:w="666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International</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23"/>
        </w:trPr>
        <w:tc>
          <w:tcPr>
            <w:tcW w:w="666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Total current taxes</w:t>
            </w:r>
          </w:p>
        </w:tc>
        <w:tc>
          <w:tcPr>
            <w:tcW w:w="52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5,060</w:t>
            </w:r>
          </w:p>
        </w:tc>
        <w:tc>
          <w:tcPr>
            <w:tcW w:w="54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2,277</w:t>
            </w:r>
          </w:p>
        </w:tc>
        <w:tc>
          <w:tcPr>
            <w:tcW w:w="52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Deferred taxes:</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U.S. Federal</w:t>
            </w:r>
          </w:p>
        </w:tc>
        <w:tc>
          <w:tcPr>
            <w:tcW w:w="52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(1,064)</w:t>
            </w:r>
          </w:p>
        </w:tc>
        <w:tc>
          <w:tcPr>
            <w:tcW w:w="54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(1,724)</w:t>
            </w:r>
          </w:p>
        </w:tc>
        <w:tc>
          <w:tcPr>
            <w:tcW w:w="52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U.S. State and local</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7,725</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66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International</w:t>
            </w:r>
          </w:p>
        </w:tc>
        <w:tc>
          <w:tcPr>
            <w:tcW w:w="52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2,176</w:t>
            </w:r>
          </w:p>
        </w:tc>
        <w:tc>
          <w:tcPr>
            <w:tcW w:w="54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359</w:t>
            </w:r>
          </w:p>
        </w:tc>
        <w:tc>
          <w:tcPr>
            <w:tcW w:w="52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(1,323)</w:t>
            </w:r>
          </w:p>
        </w:tc>
      </w:tr>
      <w:tr>
        <w:trPr>
          <w:trHeight w:val="223"/>
        </w:trPr>
        <w:tc>
          <w:tcPr>
            <w:tcW w:w="6660" w:type="dxa"/>
            <w:vAlign w:val="bottom"/>
            <w:tcBorders>
              <w:bottom w:val="single" w:sz="8" w:color="F4F4F4"/>
            </w:tcBorders>
          </w:tcPr>
          <w:p>
            <w:pPr>
              <w:ind w:left="140"/>
              <w:spacing w:after="0"/>
              <w:rPr>
                <w:sz w:val="20"/>
                <w:szCs w:val="20"/>
                <w:color w:val="auto"/>
              </w:rPr>
            </w:pPr>
            <w:r>
              <w:rPr>
                <w:rFonts w:ascii="Arial" w:cs="Arial" w:eastAsia="Arial" w:hAnsi="Arial"/>
                <w:sz w:val="18"/>
                <w:szCs w:val="18"/>
                <w:b w:val="1"/>
                <w:bCs w:val="1"/>
                <w:color w:val="auto"/>
              </w:rPr>
              <w:t>Total deferred taxes</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6660" w:type="dxa"/>
            <w:vAlign w:val="bottom"/>
            <w:tcBorders>
              <w:bottom w:val="single" w:sz="8" w:color="71BF43"/>
            </w:tcBorders>
            <w:shd w:val="clear" w:color="auto" w:fill="F4F4F4"/>
          </w:tcPr>
          <w:p>
            <w:pPr>
              <w:ind w:left="360"/>
              <w:spacing w:after="0"/>
              <w:rPr>
                <w:sz w:val="20"/>
                <w:szCs w:val="20"/>
                <w:color w:val="auto"/>
              </w:rPr>
            </w:pPr>
            <w:r>
              <w:rPr>
                <w:rFonts w:ascii="Arial" w:cs="Arial" w:eastAsia="Arial" w:hAnsi="Arial"/>
                <w:sz w:val="18"/>
                <w:szCs w:val="18"/>
                <w:b w:val="1"/>
                <w:bCs w:val="1"/>
                <w:color w:val="auto"/>
              </w:rPr>
              <w:t>Total income tax provision (benefit)</w:t>
            </w:r>
          </w:p>
        </w:tc>
        <w:tc>
          <w:tcPr>
            <w:tcW w:w="520" w:type="dxa"/>
            <w:vAlign w:val="bottom"/>
            <w:tcBorders>
              <w:bottom w:val="single" w:sz="8" w:color="71BF43"/>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13,897</w:t>
            </w:r>
          </w:p>
        </w:tc>
        <w:tc>
          <w:tcPr>
            <w:tcW w:w="540" w:type="dxa"/>
            <w:vAlign w:val="bottom"/>
            <w:tcBorders>
              <w:bottom w:val="single" w:sz="8" w:color="71BF43"/>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(1,323)</w:t>
            </w:r>
          </w:p>
        </w:tc>
        <w:tc>
          <w:tcPr>
            <w:tcW w:w="520" w:type="dxa"/>
            <w:vAlign w:val="bottom"/>
            <w:tcBorders>
              <w:bottom w:val="single" w:sz="8" w:color="71BF43"/>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-1765300</wp:posOffset>
            </wp:positionV>
            <wp:extent cx="29057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income before provision for income taxes: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000" w:type="dxa"/>
            <w:vAlign w:val="bottom"/>
            <w:shd w:val="clear" w:color="auto" w:fill="ACACAC"/>
          </w:tcPr>
          <w:p>
            <w:pPr>
              <w:spacing w:after="0"/>
              <w:rPr>
                <w:sz w:val="16"/>
                <w:szCs w:val="16"/>
                <w:color w:val="auto"/>
              </w:rPr>
            </w:pPr>
          </w:p>
        </w:tc>
        <w:tc>
          <w:tcPr>
            <w:tcW w:w="180" w:type="dxa"/>
            <w:vAlign w:val="bottom"/>
            <w:shd w:val="clear" w:color="auto" w:fill="ACACAC"/>
          </w:tcPr>
          <w:p>
            <w:pPr>
              <w:spacing w:after="0"/>
              <w:rPr>
                <w:sz w:val="16"/>
                <w:szCs w:val="16"/>
                <w:color w:val="auto"/>
              </w:rPr>
            </w:pPr>
          </w:p>
        </w:tc>
        <w:tc>
          <w:tcPr>
            <w:tcW w:w="28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66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17"/>
                <w:szCs w:val="17"/>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80" w:type="dxa"/>
            <w:vAlign w:val="bottom"/>
            <w:shd w:val="clear" w:color="auto" w:fill="ACACAC"/>
          </w:tcPr>
          <w:p>
            <w:pPr>
              <w:spacing w:after="0"/>
              <w:rPr>
                <w:sz w:val="17"/>
                <w:szCs w:val="17"/>
                <w:color w:val="auto"/>
              </w:rPr>
            </w:pPr>
          </w:p>
        </w:tc>
        <w:tc>
          <w:tcPr>
            <w:tcW w:w="13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52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30"/>
        </w:trPr>
        <w:tc>
          <w:tcPr>
            <w:tcW w:w="6660" w:type="dxa"/>
            <w:vAlign w:val="bottom"/>
            <w:shd w:val="clear" w:color="auto" w:fill="F4F4F4"/>
          </w:tcPr>
          <w:p>
            <w:pPr>
              <w:ind w:left="20"/>
              <w:spacing w:after="0"/>
              <w:rPr>
                <w:sz w:val="20"/>
                <w:szCs w:val="20"/>
                <w:color w:val="auto"/>
              </w:rPr>
            </w:pPr>
            <w:r>
              <w:rPr>
                <w:rFonts w:ascii="Arial" w:cs="Arial" w:eastAsia="Arial" w:hAnsi="Arial"/>
                <w:sz w:val="18"/>
                <w:szCs w:val="18"/>
                <w:color w:val="auto"/>
              </w:rPr>
              <w:t>U.S.</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(4,112)</w:t>
            </w:r>
          </w:p>
        </w:tc>
        <w:tc>
          <w:tcPr>
            <w:tcW w:w="18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5,149</w:t>
            </w:r>
          </w:p>
        </w:tc>
        <w:tc>
          <w:tcPr>
            <w:tcW w:w="520" w:type="dxa"/>
            <w:vAlign w:val="bottom"/>
            <w:shd w:val="clear" w:color="auto" w:fill="F4F4F4"/>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47,532</w:t>
            </w:r>
          </w:p>
        </w:tc>
      </w:tr>
      <w:tr>
        <w:trPr>
          <w:trHeight w:val="229"/>
        </w:trPr>
        <w:tc>
          <w:tcPr>
            <w:tcW w:w="666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International</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25,726</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r>
      <w:tr>
        <w:trPr>
          <w:trHeight w:val="223"/>
        </w:trPr>
        <w:tc>
          <w:tcPr>
            <w:tcW w:w="666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Income before provision for income taxes</w:t>
            </w:r>
          </w:p>
        </w:tc>
        <w:tc>
          <w:tcPr>
            <w:tcW w:w="520" w:type="dxa"/>
            <w:vAlign w:val="bottom"/>
            <w:tcBorders>
              <w:bottom w:val="single" w:sz="8" w:color="71BF43"/>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21,614</w:t>
            </w:r>
          </w:p>
        </w:tc>
        <w:tc>
          <w:tcPr>
            <w:tcW w:w="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10,585</w:t>
            </w:r>
          </w:p>
        </w:tc>
        <w:tc>
          <w:tcPr>
            <w:tcW w:w="520" w:type="dxa"/>
            <w:vAlign w:val="bottom"/>
            <w:tcBorders>
              <w:bottom w:val="single" w:sz="8" w:color="71BF43"/>
            </w:tcBorders>
            <w:shd w:val="clear" w:color="auto" w:fill="F4F4F4"/>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44,622</w:t>
            </w:r>
          </w:p>
        </w:tc>
      </w:tr>
      <w:tr>
        <w:trPr>
          <w:trHeight w:val="697"/>
        </w:trPr>
        <w:tc>
          <w:tcPr>
            <w:tcW w:w="6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159"/>
              <w:spacing w:after="0"/>
              <w:rPr>
                <w:sz w:val="20"/>
                <w:szCs w:val="20"/>
                <w:color w:val="auto"/>
              </w:rPr>
            </w:pPr>
            <w:r>
              <w:rPr>
                <w:rFonts w:ascii="Arial" w:cs="Arial" w:eastAsia="Arial" w:hAnsi="Arial"/>
                <w:sz w:val="14"/>
                <w:szCs w:val="14"/>
                <w:color w:val="auto"/>
              </w:rPr>
              <w:t>2020 Form 10-K</w:t>
            </w:r>
          </w:p>
        </w:tc>
        <w:tc>
          <w:tcPr>
            <w:tcW w:w="520" w:type="dxa"/>
            <w:vAlign w:val="bottom"/>
          </w:tcPr>
          <w:p>
            <w:pPr>
              <w:spacing w:after="0"/>
              <w:rPr>
                <w:sz w:val="24"/>
                <w:szCs w:val="24"/>
                <w:color w:val="auto"/>
              </w:rPr>
            </w:pPr>
          </w:p>
        </w:tc>
        <w:tc>
          <w:tcPr>
            <w:tcW w:w="1020" w:type="dxa"/>
            <w:vAlign w:val="bottom"/>
          </w:tcPr>
          <w:p>
            <w:pPr>
              <w:jc w:val="right"/>
              <w:ind w:right="157"/>
              <w:spacing w:after="0"/>
              <w:rPr>
                <w:sz w:val="20"/>
                <w:szCs w:val="20"/>
                <w:color w:val="auto"/>
              </w:rPr>
            </w:pPr>
            <w:r>
              <w:rPr>
                <w:rFonts w:ascii="Arial" w:cs="Arial" w:eastAsia="Arial" w:hAnsi="Arial"/>
                <w:sz w:val="14"/>
                <w:szCs w:val="14"/>
                <w:color w:val="auto"/>
              </w:rPr>
              <w:t>95</w:t>
            </w:r>
          </w:p>
        </w:tc>
      </w:tr>
      <w:tr>
        <w:trPr>
          <w:trHeight w:val="316"/>
        </w:trPr>
        <w:tc>
          <w:tcPr>
            <w:tcW w:w="6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-1242695</wp:posOffset>
            </wp:positionV>
            <wp:extent cx="29057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-393700</wp:posOffset>
            </wp:positionV>
            <wp:extent cx="72898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reconciliation between the effect of applying the federal statutory rate and the effective income tax rate used to calculate our income tax provision (benefit)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shd w:val="clear" w:color="auto" w:fill="ACACAC"/>
          </w:tcPr>
          <w:p>
            <w:pPr>
              <w:spacing w:after="0"/>
              <w:rPr>
                <w:sz w:val="16"/>
                <w:szCs w:val="16"/>
                <w:color w:val="auto"/>
              </w:rPr>
            </w:pPr>
          </w:p>
        </w:tc>
        <w:tc>
          <w:tcPr>
            <w:tcW w:w="2100" w:type="dxa"/>
            <w:vAlign w:val="bottom"/>
            <w:shd w:val="clear" w:color="auto" w:fill="ACACAC"/>
          </w:tcPr>
          <w:p>
            <w:pPr>
              <w:spacing w:after="0"/>
              <w:rPr>
                <w:sz w:val="16"/>
                <w:szCs w:val="16"/>
                <w:color w:val="auto"/>
              </w:rPr>
            </w:pPr>
          </w:p>
        </w:tc>
        <w:tc>
          <w:tcPr>
            <w:tcW w:w="27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6380" w:type="dxa"/>
            <w:vAlign w:val="bottom"/>
            <w:shd w:val="clear" w:color="auto" w:fill="ACACAC"/>
          </w:tcPr>
          <w:p>
            <w:pPr>
              <w:spacing w:after="0"/>
              <w:rPr>
                <w:sz w:val="17"/>
                <w:szCs w:val="17"/>
                <w:color w:val="auto"/>
              </w:rPr>
            </w:pPr>
          </w:p>
        </w:tc>
        <w:tc>
          <w:tcPr>
            <w:tcW w:w="2100" w:type="dxa"/>
            <w:vAlign w:val="bottom"/>
            <w:shd w:val="clear" w:color="auto" w:fill="ACACAC"/>
          </w:tcPr>
          <w:p>
            <w:pPr>
              <w:jc w:val="right"/>
              <w:ind w:right="611"/>
              <w:spacing w:after="0"/>
              <w:rPr>
                <w:sz w:val="20"/>
                <w:szCs w:val="20"/>
                <w:color w:val="auto"/>
              </w:rPr>
            </w:pPr>
            <w:r>
              <w:rPr>
                <w:rFonts w:ascii="Arial" w:cs="Arial" w:eastAsia="Arial" w:hAnsi="Arial"/>
                <w:sz w:val="14"/>
                <w:szCs w:val="14"/>
                <w:b w:val="1"/>
                <w:bCs w:val="1"/>
                <w:color w:val="FFFFFF"/>
              </w:rPr>
              <w:t>2020</w:t>
            </w:r>
          </w:p>
        </w:tc>
        <w:tc>
          <w:tcPr>
            <w:tcW w:w="1620" w:type="dxa"/>
            <w:vAlign w:val="bottom"/>
            <w:shd w:val="clear" w:color="auto" w:fill="ACACAC"/>
          </w:tcPr>
          <w:p>
            <w:pPr>
              <w:jc w:val="right"/>
              <w:ind w:right="612"/>
              <w:spacing w:after="0"/>
              <w:rPr>
                <w:sz w:val="20"/>
                <w:szCs w:val="20"/>
                <w:color w:val="auto"/>
              </w:rPr>
            </w:pPr>
            <w:r>
              <w:rPr>
                <w:rFonts w:ascii="Arial" w:cs="Arial" w:eastAsia="Arial" w:hAnsi="Arial"/>
                <w:sz w:val="14"/>
                <w:szCs w:val="14"/>
                <w:b w:val="1"/>
                <w:bCs w:val="1"/>
                <w:color w:val="FFFFFF"/>
              </w:rPr>
              <w:t>2019</w:t>
            </w:r>
          </w:p>
        </w:tc>
        <w:tc>
          <w:tcPr>
            <w:tcW w:w="1140" w:type="dxa"/>
            <w:vAlign w:val="bottom"/>
            <w:shd w:val="clear" w:color="auto" w:fill="ACACAC"/>
          </w:tcPr>
          <w:p>
            <w:pPr>
              <w:jc w:val="right"/>
              <w:ind w:right="131"/>
              <w:spacing w:after="0"/>
              <w:rPr>
                <w:sz w:val="20"/>
                <w:szCs w:val="20"/>
                <w:color w:val="auto"/>
              </w:rPr>
            </w:pPr>
            <w:r>
              <w:rPr>
                <w:rFonts w:ascii="Arial" w:cs="Arial" w:eastAsia="Arial" w:hAnsi="Arial"/>
                <w:sz w:val="14"/>
                <w:szCs w:val="14"/>
                <w:b w:val="1"/>
                <w:bCs w:val="1"/>
                <w:color w:val="FFFFFF"/>
              </w:rPr>
              <w:t>2018</w:t>
            </w:r>
          </w:p>
        </w:tc>
      </w:tr>
      <w:tr>
        <w:trPr>
          <w:trHeight w:val="229"/>
        </w:trPr>
        <w:tc>
          <w:tcPr>
            <w:tcW w:w="6380" w:type="dxa"/>
            <w:vAlign w:val="bottom"/>
            <w:shd w:val="clear" w:color="auto" w:fill="F4F4F4"/>
          </w:tcPr>
          <w:p>
            <w:pPr>
              <w:ind w:left="20"/>
              <w:spacing w:after="0"/>
              <w:rPr>
                <w:sz w:val="20"/>
                <w:szCs w:val="20"/>
                <w:color w:val="auto"/>
              </w:rPr>
            </w:pPr>
            <w:r>
              <w:rPr>
                <w:rFonts w:ascii="Arial" w:cs="Arial" w:eastAsia="Arial" w:hAnsi="Arial"/>
                <w:sz w:val="18"/>
                <w:szCs w:val="18"/>
                <w:color w:val="auto"/>
              </w:rPr>
              <w:t>Federal statutory rate</w:t>
            </w:r>
          </w:p>
        </w:tc>
        <w:tc>
          <w:tcPr>
            <w:tcW w:w="2100" w:type="dxa"/>
            <w:vAlign w:val="bottom"/>
            <w:shd w:val="clear" w:color="auto" w:fill="F4F4F4"/>
          </w:tcPr>
          <w:p>
            <w:pPr>
              <w:jc w:val="right"/>
              <w:ind w:right="411"/>
              <w:spacing w:after="0"/>
              <w:rPr>
                <w:sz w:val="20"/>
                <w:szCs w:val="20"/>
                <w:color w:val="auto"/>
              </w:rPr>
            </w:pPr>
            <w:r>
              <w:rPr>
                <w:rFonts w:ascii="Arial" w:cs="Arial" w:eastAsia="Arial" w:hAnsi="Arial"/>
                <w:sz w:val="18"/>
                <w:szCs w:val="18"/>
                <w:color w:val="auto"/>
              </w:rPr>
              <w:t>21.0 %</w:t>
            </w:r>
          </w:p>
        </w:tc>
        <w:tc>
          <w:tcPr>
            <w:tcW w:w="1620" w:type="dxa"/>
            <w:vAlign w:val="bottom"/>
            <w:shd w:val="clear" w:color="auto" w:fill="F4F4F4"/>
          </w:tcPr>
          <w:p>
            <w:pPr>
              <w:jc w:val="right"/>
              <w:ind w:right="412"/>
              <w:spacing w:after="0"/>
              <w:rPr>
                <w:sz w:val="20"/>
                <w:szCs w:val="20"/>
                <w:color w:val="auto"/>
              </w:rPr>
            </w:pPr>
            <w:r>
              <w:rPr>
                <w:rFonts w:ascii="Arial" w:cs="Arial" w:eastAsia="Arial" w:hAnsi="Arial"/>
                <w:sz w:val="18"/>
                <w:szCs w:val="18"/>
                <w:color w:val="auto"/>
              </w:rPr>
              <w:t>21.0 %</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Effect of:</w:t>
            </w:r>
          </w:p>
        </w:tc>
        <w:tc>
          <w:tcPr>
            <w:tcW w:w="2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3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State income taxes, net of federal benefit</w:t>
            </w:r>
          </w:p>
        </w:tc>
        <w:tc>
          <w:tcPr>
            <w:tcW w:w="2100" w:type="dxa"/>
            <w:vAlign w:val="bottom"/>
            <w:shd w:val="clear" w:color="auto" w:fill="F4F4F4"/>
          </w:tcPr>
          <w:p>
            <w:pPr>
              <w:jc w:val="right"/>
              <w:ind w:right="631"/>
              <w:spacing w:after="0"/>
              <w:rPr>
                <w:sz w:val="20"/>
                <w:szCs w:val="20"/>
                <w:color w:val="auto"/>
              </w:rPr>
            </w:pPr>
            <w:r>
              <w:rPr>
                <w:rFonts w:ascii="Arial" w:cs="Arial" w:eastAsia="Arial" w:hAnsi="Arial"/>
                <w:sz w:val="18"/>
                <w:szCs w:val="18"/>
                <w:color w:val="auto"/>
              </w:rPr>
              <w:t>5.9</w:t>
            </w:r>
          </w:p>
        </w:tc>
        <w:tc>
          <w:tcPr>
            <w:tcW w:w="1620" w:type="dxa"/>
            <w:vAlign w:val="bottom"/>
            <w:shd w:val="clear" w:color="auto" w:fill="F4F4F4"/>
          </w:tcPr>
          <w:p>
            <w:pPr>
              <w:jc w:val="right"/>
              <w:ind w:right="572"/>
              <w:spacing w:after="0"/>
              <w:rPr>
                <w:sz w:val="20"/>
                <w:szCs w:val="20"/>
                <w:color w:val="auto"/>
              </w:rPr>
            </w:pPr>
            <w:r>
              <w:rPr>
                <w:rFonts w:ascii="Arial" w:cs="Arial" w:eastAsia="Arial" w:hAnsi="Arial"/>
                <w:sz w:val="18"/>
                <w:szCs w:val="18"/>
                <w:color w:val="auto"/>
              </w:rPr>
              <w:t>(1.7)</w:t>
            </w:r>
          </w:p>
        </w:tc>
        <w:tc>
          <w:tcPr>
            <w:tcW w:w="114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4.1</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Change in foreign income tax rate applied to deferred tax balances</w:t>
            </w:r>
          </w:p>
        </w:tc>
        <w:tc>
          <w:tcPr>
            <w:tcW w:w="2100" w:type="dxa"/>
            <w:vAlign w:val="bottom"/>
          </w:tcPr>
          <w:p>
            <w:pPr>
              <w:jc w:val="right"/>
              <w:ind w:right="631"/>
              <w:spacing w:after="0"/>
              <w:rPr>
                <w:sz w:val="20"/>
                <w:szCs w:val="20"/>
                <w:color w:val="auto"/>
              </w:rPr>
            </w:pPr>
            <w:r>
              <w:rPr>
                <w:rFonts w:ascii="Arial" w:cs="Arial" w:eastAsia="Arial" w:hAnsi="Arial"/>
                <w:sz w:val="18"/>
                <w:szCs w:val="18"/>
                <w:color w:val="auto"/>
              </w:rPr>
              <w:t>4.0</w:t>
            </w:r>
          </w:p>
        </w:tc>
        <w:tc>
          <w:tcPr>
            <w:tcW w:w="1620" w:type="dxa"/>
            <w:vAlign w:val="bottom"/>
          </w:tcPr>
          <w:p>
            <w:pPr>
              <w:jc w:val="right"/>
              <w:ind w:right="632"/>
              <w:spacing w:after="0"/>
              <w:rPr>
                <w:sz w:val="20"/>
                <w:szCs w:val="20"/>
                <w:color w:val="auto"/>
              </w:rPr>
            </w:pPr>
            <w:r>
              <w:rPr>
                <w:rFonts w:ascii="Arial" w:cs="Arial" w:eastAsia="Arial" w:hAnsi="Arial"/>
                <w:sz w:val="18"/>
                <w:szCs w:val="18"/>
                <w:color w:val="auto"/>
              </w:rPr>
              <w:t>2.0</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63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Change in state income tax rate applied to deferred tax balances</w:t>
            </w:r>
          </w:p>
        </w:tc>
        <w:tc>
          <w:tcPr>
            <w:tcW w:w="2100" w:type="dxa"/>
            <w:vAlign w:val="bottom"/>
            <w:shd w:val="clear" w:color="auto" w:fill="F4F4F4"/>
          </w:tcPr>
          <w:p>
            <w:pPr>
              <w:jc w:val="right"/>
              <w:ind w:right="631"/>
              <w:spacing w:after="0"/>
              <w:rPr>
                <w:sz w:val="20"/>
                <w:szCs w:val="20"/>
                <w:color w:val="auto"/>
              </w:rPr>
            </w:pPr>
            <w:r>
              <w:rPr>
                <w:rFonts w:ascii="Arial" w:cs="Arial" w:eastAsia="Arial" w:hAnsi="Arial"/>
                <w:sz w:val="18"/>
                <w:szCs w:val="18"/>
                <w:color w:val="auto"/>
              </w:rPr>
              <w:t>0.1</w:t>
            </w:r>
          </w:p>
        </w:tc>
        <w:tc>
          <w:tcPr>
            <w:tcW w:w="1620" w:type="dxa"/>
            <w:vAlign w:val="bottom"/>
            <w:shd w:val="clear" w:color="auto" w:fill="F4F4F4"/>
          </w:tcPr>
          <w:p>
            <w:pPr>
              <w:jc w:val="right"/>
              <w:ind w:right="572"/>
              <w:spacing w:after="0"/>
              <w:rPr>
                <w:sz w:val="20"/>
                <w:szCs w:val="20"/>
                <w:color w:val="auto"/>
              </w:rPr>
            </w:pPr>
            <w:r>
              <w:rPr>
                <w:rFonts w:ascii="Arial" w:cs="Arial" w:eastAsia="Arial" w:hAnsi="Arial"/>
                <w:sz w:val="18"/>
                <w:szCs w:val="18"/>
                <w:color w:val="auto"/>
              </w:rPr>
              <w:t>(3.1)</w:t>
            </w:r>
          </w:p>
        </w:tc>
        <w:tc>
          <w:tcPr>
            <w:tcW w:w="1140" w:type="dxa"/>
            <w:vAlign w:val="bottom"/>
            <w:shd w:val="clear" w:color="auto" w:fill="F4F4F4"/>
          </w:tcPr>
          <w:p>
            <w:pPr>
              <w:jc w:val="right"/>
              <w:ind w:right="91"/>
              <w:spacing w:after="0"/>
              <w:rPr>
                <w:sz w:val="20"/>
                <w:szCs w:val="20"/>
                <w:color w:val="auto"/>
              </w:rPr>
            </w:pPr>
            <w:r>
              <w:rPr>
                <w:rFonts w:ascii="Arial" w:cs="Arial" w:eastAsia="Arial" w:hAnsi="Arial"/>
                <w:sz w:val="18"/>
                <w:szCs w:val="18"/>
                <w:color w:val="auto"/>
              </w:rPr>
              <w:t>(0.4)</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Change in valuation reserve (primarily state credit reserves)</w:t>
            </w:r>
          </w:p>
        </w:tc>
        <w:tc>
          <w:tcPr>
            <w:tcW w:w="2100" w:type="dxa"/>
            <w:vAlign w:val="bottom"/>
          </w:tcPr>
          <w:p>
            <w:pPr>
              <w:jc w:val="right"/>
              <w:ind w:right="631"/>
              <w:spacing w:after="0"/>
              <w:rPr>
                <w:sz w:val="20"/>
                <w:szCs w:val="20"/>
                <w:color w:val="auto"/>
              </w:rPr>
            </w:pPr>
            <w:r>
              <w:rPr>
                <w:rFonts w:ascii="Arial" w:cs="Arial" w:eastAsia="Arial" w:hAnsi="Arial"/>
                <w:sz w:val="18"/>
                <w:szCs w:val="18"/>
                <w:color w:val="auto"/>
              </w:rPr>
              <w:t>38.2</w:t>
            </w:r>
          </w:p>
        </w:tc>
        <w:tc>
          <w:tcPr>
            <w:tcW w:w="1620" w:type="dxa"/>
            <w:vAlign w:val="bottom"/>
          </w:tcPr>
          <w:p>
            <w:pPr>
              <w:jc w:val="right"/>
              <w:ind w:right="632"/>
              <w:spacing w:after="0"/>
              <w:rPr>
                <w:sz w:val="20"/>
                <w:szCs w:val="20"/>
                <w:color w:val="auto"/>
              </w:rPr>
            </w:pPr>
            <w:r>
              <w:rPr>
                <w:rFonts w:ascii="Arial" w:cs="Arial" w:eastAsia="Arial" w:hAnsi="Arial"/>
                <w:sz w:val="18"/>
                <w:szCs w:val="18"/>
                <w:color w:val="auto"/>
              </w:rPr>
              <w:t>3.7</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0.4</w:t>
            </w:r>
          </w:p>
        </w:tc>
      </w:tr>
      <w:tr>
        <w:trPr>
          <w:trHeight w:val="230"/>
        </w:trPr>
        <w:tc>
          <w:tcPr>
            <w:tcW w:w="63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Section 162(m) limitation</w:t>
            </w:r>
          </w:p>
        </w:tc>
        <w:tc>
          <w:tcPr>
            <w:tcW w:w="2100" w:type="dxa"/>
            <w:vAlign w:val="bottom"/>
            <w:shd w:val="clear" w:color="auto" w:fill="F4F4F4"/>
          </w:tcPr>
          <w:p>
            <w:pPr>
              <w:jc w:val="right"/>
              <w:ind w:right="631"/>
              <w:spacing w:after="0"/>
              <w:rPr>
                <w:sz w:val="20"/>
                <w:szCs w:val="20"/>
                <w:color w:val="auto"/>
              </w:rPr>
            </w:pPr>
            <w:r>
              <w:rPr>
                <w:rFonts w:ascii="Arial" w:cs="Arial" w:eastAsia="Arial" w:hAnsi="Arial"/>
                <w:sz w:val="18"/>
                <w:szCs w:val="18"/>
                <w:color w:val="auto"/>
              </w:rPr>
              <w:t>17.5</w:t>
            </w:r>
          </w:p>
        </w:tc>
        <w:tc>
          <w:tcPr>
            <w:tcW w:w="1620" w:type="dxa"/>
            <w:vAlign w:val="bottom"/>
            <w:shd w:val="clear" w:color="auto" w:fill="F4F4F4"/>
          </w:tcPr>
          <w:p>
            <w:pPr>
              <w:jc w:val="right"/>
              <w:ind w:right="632"/>
              <w:spacing w:after="0"/>
              <w:rPr>
                <w:sz w:val="20"/>
                <w:szCs w:val="20"/>
                <w:color w:val="auto"/>
              </w:rPr>
            </w:pPr>
            <w:r>
              <w:rPr>
                <w:rFonts w:ascii="Arial" w:cs="Arial" w:eastAsia="Arial" w:hAnsi="Arial"/>
                <w:sz w:val="18"/>
                <w:szCs w:val="18"/>
                <w:color w:val="auto"/>
              </w:rPr>
              <w:t>30.8</w:t>
            </w:r>
          </w:p>
        </w:tc>
        <w:tc>
          <w:tcPr>
            <w:tcW w:w="114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4.2</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Nondeductible meals, entertainment and transportation</w:t>
            </w:r>
          </w:p>
        </w:tc>
        <w:tc>
          <w:tcPr>
            <w:tcW w:w="2100" w:type="dxa"/>
            <w:vAlign w:val="bottom"/>
          </w:tcPr>
          <w:p>
            <w:pPr>
              <w:jc w:val="right"/>
              <w:ind w:right="631"/>
              <w:spacing w:after="0"/>
              <w:rPr>
                <w:sz w:val="20"/>
                <w:szCs w:val="20"/>
                <w:color w:val="auto"/>
              </w:rPr>
            </w:pPr>
            <w:r>
              <w:rPr>
                <w:rFonts w:ascii="Arial" w:cs="Arial" w:eastAsia="Arial" w:hAnsi="Arial"/>
                <w:sz w:val="18"/>
                <w:szCs w:val="18"/>
                <w:color w:val="auto"/>
              </w:rPr>
              <w:t>3.3</w:t>
            </w:r>
          </w:p>
        </w:tc>
        <w:tc>
          <w:tcPr>
            <w:tcW w:w="1620" w:type="dxa"/>
            <w:vAlign w:val="bottom"/>
          </w:tcPr>
          <w:p>
            <w:pPr>
              <w:jc w:val="right"/>
              <w:ind w:right="632"/>
              <w:spacing w:after="0"/>
              <w:rPr>
                <w:sz w:val="20"/>
                <w:szCs w:val="20"/>
                <w:color w:val="auto"/>
              </w:rPr>
            </w:pPr>
            <w:r>
              <w:rPr>
                <w:rFonts w:ascii="Arial" w:cs="Arial" w:eastAsia="Arial" w:hAnsi="Arial"/>
                <w:sz w:val="18"/>
                <w:szCs w:val="18"/>
                <w:color w:val="auto"/>
              </w:rPr>
              <w:t>11.3</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2.6</w:t>
            </w:r>
          </w:p>
        </w:tc>
      </w:tr>
      <w:tr>
        <w:trPr>
          <w:trHeight w:val="230"/>
        </w:trPr>
        <w:tc>
          <w:tcPr>
            <w:tcW w:w="63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Unrecognized tax benefit</w:t>
            </w:r>
          </w:p>
        </w:tc>
        <w:tc>
          <w:tcPr>
            <w:tcW w:w="2100" w:type="dxa"/>
            <w:vAlign w:val="bottom"/>
            <w:shd w:val="clear" w:color="auto" w:fill="F4F4F4"/>
          </w:tcPr>
          <w:p>
            <w:pPr>
              <w:jc w:val="right"/>
              <w:ind w:right="631"/>
              <w:spacing w:after="0"/>
              <w:rPr>
                <w:sz w:val="20"/>
                <w:szCs w:val="20"/>
                <w:color w:val="auto"/>
              </w:rPr>
            </w:pPr>
            <w:r>
              <w:rPr>
                <w:rFonts w:ascii="Arial" w:cs="Arial" w:eastAsia="Arial" w:hAnsi="Arial"/>
                <w:sz w:val="18"/>
                <w:szCs w:val="18"/>
                <w:color w:val="auto"/>
              </w:rPr>
              <w:t>1.3</w:t>
            </w:r>
          </w:p>
        </w:tc>
        <w:tc>
          <w:tcPr>
            <w:tcW w:w="1620" w:type="dxa"/>
            <w:vAlign w:val="bottom"/>
            <w:shd w:val="clear" w:color="auto" w:fill="F4F4F4"/>
          </w:tcPr>
          <w:p>
            <w:pPr>
              <w:jc w:val="right"/>
              <w:ind w:right="632"/>
              <w:spacing w:after="0"/>
              <w:rPr>
                <w:sz w:val="20"/>
                <w:szCs w:val="20"/>
                <w:color w:val="auto"/>
              </w:rPr>
            </w:pPr>
            <w:r>
              <w:rPr>
                <w:rFonts w:ascii="Arial" w:cs="Arial" w:eastAsia="Arial" w:hAnsi="Arial"/>
                <w:sz w:val="18"/>
                <w:szCs w:val="18"/>
                <w:color w:val="auto"/>
              </w:rPr>
              <w:t>4.4</w:t>
            </w:r>
          </w:p>
        </w:tc>
        <w:tc>
          <w:tcPr>
            <w:tcW w:w="1140" w:type="dxa"/>
            <w:vAlign w:val="bottom"/>
            <w:shd w:val="clear" w:color="auto" w:fill="F4F4F4"/>
          </w:tcPr>
          <w:p>
            <w:pPr>
              <w:jc w:val="right"/>
              <w:ind w:right="91"/>
              <w:spacing w:after="0"/>
              <w:rPr>
                <w:sz w:val="20"/>
                <w:szCs w:val="20"/>
                <w:color w:val="auto"/>
              </w:rPr>
            </w:pPr>
            <w:r>
              <w:rPr>
                <w:rFonts w:ascii="Arial" w:cs="Arial" w:eastAsia="Arial" w:hAnsi="Arial"/>
                <w:sz w:val="18"/>
                <w:szCs w:val="18"/>
                <w:color w:val="auto"/>
              </w:rPr>
              <w:t>(2.6)</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GILTI inclusion</w:t>
            </w:r>
          </w:p>
        </w:tc>
        <w:tc>
          <w:tcPr>
            <w:tcW w:w="2100" w:type="dxa"/>
            <w:vAlign w:val="bottom"/>
          </w:tcPr>
          <w:p>
            <w:pPr>
              <w:jc w:val="right"/>
              <w:ind w:right="631"/>
              <w:spacing w:after="0"/>
              <w:rPr>
                <w:sz w:val="20"/>
                <w:szCs w:val="20"/>
                <w:color w:val="auto"/>
              </w:rPr>
            </w:pPr>
            <w:r>
              <w:rPr>
                <w:rFonts w:ascii="Arial" w:cs="Arial" w:eastAsia="Arial" w:hAnsi="Arial"/>
                <w:sz w:val="18"/>
                <w:szCs w:val="18"/>
                <w:color w:val="auto"/>
              </w:rPr>
              <w:t>1.3</w:t>
            </w:r>
          </w:p>
        </w:tc>
        <w:tc>
          <w:tcPr>
            <w:tcW w:w="1620" w:type="dxa"/>
            <w:vAlign w:val="bottom"/>
          </w:tcPr>
          <w:p>
            <w:pPr>
              <w:jc w:val="right"/>
              <w:ind w:right="632"/>
              <w:spacing w:after="0"/>
              <w:rPr>
                <w:sz w:val="20"/>
                <w:szCs w:val="20"/>
                <w:color w:val="auto"/>
              </w:rPr>
            </w:pPr>
            <w:r>
              <w:rPr>
                <w:rFonts w:ascii="Arial" w:cs="Arial" w:eastAsia="Arial" w:hAnsi="Arial"/>
                <w:sz w:val="18"/>
                <w:szCs w:val="18"/>
                <w:color w:val="auto"/>
              </w:rPr>
              <w:t>5.9</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63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FDII benefit</w:t>
            </w:r>
          </w:p>
        </w:tc>
        <w:tc>
          <w:tcPr>
            <w:tcW w:w="2100" w:type="dxa"/>
            <w:vAlign w:val="bottom"/>
            <w:shd w:val="clear" w:color="auto" w:fill="F4F4F4"/>
          </w:tcPr>
          <w:p>
            <w:pPr>
              <w:jc w:val="right"/>
              <w:ind w:right="631"/>
              <w:spacing w:after="0"/>
              <w:rPr>
                <w:sz w:val="20"/>
                <w:szCs w:val="20"/>
                <w:color w:val="auto"/>
              </w:rPr>
            </w:pPr>
            <w:r>
              <w:rPr>
                <w:rFonts w:ascii="Arial" w:cs="Arial" w:eastAsia="Arial" w:hAnsi="Arial"/>
                <w:sz w:val="18"/>
                <w:szCs w:val="18"/>
                <w:color w:val="auto"/>
              </w:rPr>
              <w:t>—</w:t>
            </w:r>
          </w:p>
        </w:tc>
        <w:tc>
          <w:tcPr>
            <w:tcW w:w="1620" w:type="dxa"/>
            <w:vAlign w:val="bottom"/>
            <w:shd w:val="clear" w:color="auto" w:fill="F4F4F4"/>
          </w:tcPr>
          <w:p>
            <w:pPr>
              <w:jc w:val="right"/>
              <w:ind w:right="572"/>
              <w:spacing w:after="0"/>
              <w:rPr>
                <w:sz w:val="20"/>
                <w:szCs w:val="20"/>
                <w:color w:val="auto"/>
              </w:rPr>
            </w:pPr>
            <w:r>
              <w:rPr>
                <w:rFonts w:ascii="Arial" w:cs="Arial" w:eastAsia="Arial" w:hAnsi="Arial"/>
                <w:sz w:val="18"/>
                <w:szCs w:val="18"/>
                <w:color w:val="auto"/>
              </w:rPr>
              <w:t>(1.5)</w:t>
            </w:r>
          </w:p>
        </w:tc>
        <w:tc>
          <w:tcPr>
            <w:tcW w:w="1140" w:type="dxa"/>
            <w:vAlign w:val="bottom"/>
            <w:shd w:val="clear" w:color="auto" w:fill="F4F4F4"/>
          </w:tcPr>
          <w:p>
            <w:pPr>
              <w:jc w:val="right"/>
              <w:ind w:right="91"/>
              <w:spacing w:after="0"/>
              <w:rPr>
                <w:sz w:val="20"/>
                <w:szCs w:val="20"/>
                <w:color w:val="auto"/>
              </w:rPr>
            </w:pPr>
            <w:r>
              <w:rPr>
                <w:rFonts w:ascii="Arial" w:cs="Arial" w:eastAsia="Arial" w:hAnsi="Arial"/>
                <w:sz w:val="18"/>
                <w:szCs w:val="18"/>
                <w:color w:val="auto"/>
              </w:rPr>
              <w:t>(0.7)</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100" w:type="dxa"/>
            <w:vAlign w:val="bottom"/>
          </w:tcPr>
          <w:p>
            <w:pPr>
              <w:jc w:val="right"/>
              <w:ind w:right="571"/>
              <w:spacing w:after="0"/>
              <w:rPr>
                <w:sz w:val="20"/>
                <w:szCs w:val="20"/>
                <w:color w:val="auto"/>
              </w:rPr>
            </w:pPr>
            <w:r>
              <w:rPr>
                <w:rFonts w:ascii="Arial" w:cs="Arial" w:eastAsia="Arial" w:hAnsi="Arial"/>
                <w:sz w:val="18"/>
                <w:szCs w:val="18"/>
                <w:color w:val="auto"/>
              </w:rPr>
              <w:t>(1.2)</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(20.2)</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(17.4)</w:t>
            </w:r>
          </w:p>
        </w:tc>
      </w:tr>
      <w:tr>
        <w:trPr>
          <w:trHeight w:val="229"/>
        </w:trPr>
        <w:tc>
          <w:tcPr>
            <w:tcW w:w="63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Foreign tax rate</w:t>
            </w:r>
          </w:p>
        </w:tc>
        <w:tc>
          <w:tcPr>
            <w:tcW w:w="2100" w:type="dxa"/>
            <w:vAlign w:val="bottom"/>
            <w:shd w:val="clear" w:color="auto" w:fill="F4F4F4"/>
          </w:tcPr>
          <w:p>
            <w:pPr>
              <w:jc w:val="right"/>
              <w:ind w:right="571"/>
              <w:spacing w:after="0"/>
              <w:rPr>
                <w:sz w:val="20"/>
                <w:szCs w:val="20"/>
                <w:color w:val="auto"/>
              </w:rPr>
            </w:pPr>
            <w:r>
              <w:rPr>
                <w:rFonts w:ascii="Arial" w:cs="Arial" w:eastAsia="Arial" w:hAnsi="Arial"/>
                <w:sz w:val="18"/>
                <w:szCs w:val="18"/>
                <w:color w:val="auto"/>
              </w:rPr>
              <w:t>(1.7)</w:t>
            </w:r>
          </w:p>
        </w:tc>
        <w:tc>
          <w:tcPr>
            <w:tcW w:w="1620" w:type="dxa"/>
            <w:vAlign w:val="bottom"/>
            <w:shd w:val="clear" w:color="auto" w:fill="F4F4F4"/>
          </w:tcPr>
          <w:p>
            <w:pPr>
              <w:jc w:val="right"/>
              <w:ind w:right="632"/>
              <w:spacing w:after="0"/>
              <w:rPr>
                <w:sz w:val="20"/>
                <w:szCs w:val="20"/>
                <w:color w:val="auto"/>
              </w:rPr>
            </w:pPr>
            <w:r>
              <w:rPr>
                <w:rFonts w:ascii="Arial" w:cs="Arial" w:eastAsia="Arial" w:hAnsi="Arial"/>
                <w:sz w:val="18"/>
                <w:szCs w:val="18"/>
                <w:color w:val="auto"/>
              </w:rPr>
              <w:t>0.3</w:t>
            </w:r>
          </w:p>
        </w:tc>
        <w:tc>
          <w:tcPr>
            <w:tcW w:w="114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0.2</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State credits, net of federal benefit</w:t>
            </w:r>
          </w:p>
        </w:tc>
        <w:tc>
          <w:tcPr>
            <w:tcW w:w="2100" w:type="dxa"/>
            <w:vAlign w:val="bottom"/>
          </w:tcPr>
          <w:p>
            <w:pPr>
              <w:jc w:val="right"/>
              <w:ind w:right="571"/>
              <w:spacing w:after="0"/>
              <w:rPr>
                <w:sz w:val="20"/>
                <w:szCs w:val="20"/>
                <w:color w:val="auto"/>
              </w:rPr>
            </w:pPr>
            <w:r>
              <w:rPr>
                <w:rFonts w:ascii="Arial" w:cs="Arial" w:eastAsia="Arial" w:hAnsi="Arial"/>
                <w:sz w:val="18"/>
                <w:szCs w:val="18"/>
                <w:color w:val="auto"/>
              </w:rPr>
              <w:t>(2.3)</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(15.4)</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(1.9)</w:t>
            </w:r>
          </w:p>
        </w:tc>
      </w:tr>
      <w:tr>
        <w:trPr>
          <w:trHeight w:val="230"/>
        </w:trPr>
        <w:tc>
          <w:tcPr>
            <w:tcW w:w="63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DTA Adjustment – NOLs</w:t>
            </w:r>
          </w:p>
        </w:tc>
        <w:tc>
          <w:tcPr>
            <w:tcW w:w="2100" w:type="dxa"/>
            <w:vAlign w:val="bottom"/>
            <w:shd w:val="clear" w:color="auto" w:fill="F4F4F4"/>
          </w:tcPr>
          <w:p>
            <w:pPr>
              <w:jc w:val="right"/>
              <w:ind w:right="571"/>
              <w:spacing w:after="0"/>
              <w:rPr>
                <w:sz w:val="20"/>
                <w:szCs w:val="20"/>
                <w:color w:val="auto"/>
              </w:rPr>
            </w:pPr>
            <w:r>
              <w:rPr>
                <w:rFonts w:ascii="Arial" w:cs="Arial" w:eastAsia="Arial" w:hAnsi="Arial"/>
                <w:sz w:val="18"/>
                <w:szCs w:val="18"/>
                <w:color w:val="auto"/>
              </w:rPr>
              <w:t>(3.3)</w:t>
            </w:r>
          </w:p>
        </w:tc>
        <w:tc>
          <w:tcPr>
            <w:tcW w:w="1620" w:type="dxa"/>
            <w:vAlign w:val="bottom"/>
            <w:shd w:val="clear" w:color="auto" w:fill="F4F4F4"/>
          </w:tcPr>
          <w:p>
            <w:pPr>
              <w:jc w:val="right"/>
              <w:ind w:right="6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F4F4F4"/>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Return to accrual adjustment</w:t>
            </w:r>
          </w:p>
        </w:tc>
        <w:tc>
          <w:tcPr>
            <w:tcW w:w="2100" w:type="dxa"/>
            <w:vAlign w:val="bottom"/>
          </w:tcPr>
          <w:p>
            <w:pPr>
              <w:jc w:val="right"/>
              <w:ind w:right="571"/>
              <w:spacing w:after="0"/>
              <w:rPr>
                <w:sz w:val="20"/>
                <w:szCs w:val="20"/>
                <w:color w:val="auto"/>
              </w:rPr>
            </w:pPr>
            <w:r>
              <w:rPr>
                <w:rFonts w:ascii="Arial" w:cs="Arial" w:eastAsia="Arial" w:hAnsi="Arial"/>
                <w:sz w:val="18"/>
                <w:szCs w:val="18"/>
                <w:color w:val="auto"/>
              </w:rPr>
              <w:t>(4.1)</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(10.6)</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(1.6)</w:t>
            </w:r>
          </w:p>
        </w:tc>
      </w:tr>
      <w:tr>
        <w:trPr>
          <w:trHeight w:val="230"/>
        </w:trPr>
        <w:tc>
          <w:tcPr>
            <w:tcW w:w="63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Federal credits generated</w:t>
            </w:r>
          </w:p>
        </w:tc>
        <w:tc>
          <w:tcPr>
            <w:tcW w:w="2100" w:type="dxa"/>
            <w:vAlign w:val="bottom"/>
            <w:shd w:val="clear" w:color="auto" w:fill="F4F4F4"/>
          </w:tcPr>
          <w:p>
            <w:pPr>
              <w:jc w:val="right"/>
              <w:ind w:right="571"/>
              <w:spacing w:after="0"/>
              <w:rPr>
                <w:sz w:val="20"/>
                <w:szCs w:val="20"/>
                <w:color w:val="auto"/>
              </w:rPr>
            </w:pPr>
            <w:r>
              <w:rPr>
                <w:rFonts w:ascii="Arial" w:cs="Arial" w:eastAsia="Arial" w:hAnsi="Arial"/>
                <w:sz w:val="18"/>
                <w:szCs w:val="18"/>
                <w:color w:val="auto"/>
              </w:rPr>
              <w:t>(17.4)</w:t>
            </w:r>
          </w:p>
        </w:tc>
        <w:tc>
          <w:tcPr>
            <w:tcW w:w="1620" w:type="dxa"/>
            <w:vAlign w:val="bottom"/>
            <w:shd w:val="clear" w:color="auto" w:fill="F4F4F4"/>
          </w:tcPr>
          <w:p>
            <w:pPr>
              <w:jc w:val="right"/>
              <w:ind w:right="572"/>
              <w:spacing w:after="0"/>
              <w:rPr>
                <w:sz w:val="20"/>
                <w:szCs w:val="20"/>
                <w:color w:val="auto"/>
              </w:rPr>
            </w:pPr>
            <w:r>
              <w:rPr>
                <w:rFonts w:ascii="Arial" w:cs="Arial" w:eastAsia="Arial" w:hAnsi="Arial"/>
                <w:sz w:val="18"/>
                <w:szCs w:val="18"/>
                <w:color w:val="auto"/>
              </w:rPr>
              <w:t>(37.6)</w:t>
            </w:r>
          </w:p>
        </w:tc>
        <w:tc>
          <w:tcPr>
            <w:tcW w:w="1140" w:type="dxa"/>
            <w:vAlign w:val="bottom"/>
            <w:shd w:val="clear" w:color="auto" w:fill="F4F4F4"/>
          </w:tcPr>
          <w:p>
            <w:pPr>
              <w:jc w:val="right"/>
              <w:ind w:right="91"/>
              <w:spacing w:after="0"/>
              <w:rPr>
                <w:sz w:val="20"/>
                <w:szCs w:val="20"/>
                <w:color w:val="auto"/>
              </w:rPr>
            </w:pPr>
            <w:r>
              <w:rPr>
                <w:rFonts w:ascii="Arial" w:cs="Arial" w:eastAsia="Arial" w:hAnsi="Arial"/>
                <w:sz w:val="18"/>
                <w:szCs w:val="18"/>
                <w:color w:val="auto"/>
              </w:rPr>
              <w:t>(10.4)</w:t>
            </w:r>
          </w:p>
        </w:tc>
      </w:tr>
      <w:tr>
        <w:trPr>
          <w:trHeight w:val="229"/>
        </w:trPr>
        <w:tc>
          <w:tcPr>
            <w:tcW w:w="638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1.7</w:t>
            </w:r>
          </w:p>
        </w:tc>
        <w:tc>
          <w:tcPr>
            <w:tcW w:w="16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(1.8)</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w:t>
            </w:r>
          </w:p>
        </w:tc>
      </w:tr>
      <w:tr>
        <w:trPr>
          <w:trHeight w:val="223"/>
        </w:trPr>
        <w:tc>
          <w:tcPr>
            <w:tcW w:w="63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Income tax provision (benefit) effective rate</w:t>
            </w:r>
          </w:p>
        </w:tc>
        <w:tc>
          <w:tcPr>
            <w:tcW w:w="2100" w:type="dxa"/>
            <w:vAlign w:val="bottom"/>
            <w:tcBorders>
              <w:bottom w:val="single" w:sz="8" w:color="71BF43"/>
            </w:tcBorders>
            <w:shd w:val="clear" w:color="auto" w:fill="F4F4F4"/>
          </w:tcPr>
          <w:p>
            <w:pPr>
              <w:jc w:val="right"/>
              <w:ind w:right="411"/>
              <w:spacing w:after="0"/>
              <w:rPr>
                <w:sz w:val="20"/>
                <w:szCs w:val="20"/>
                <w:color w:val="auto"/>
              </w:rPr>
            </w:pPr>
            <w:r>
              <w:rPr>
                <w:rFonts w:ascii="Arial" w:cs="Arial" w:eastAsia="Arial" w:hAnsi="Arial"/>
                <w:sz w:val="18"/>
                <w:szCs w:val="18"/>
                <w:color w:val="auto"/>
              </w:rPr>
              <w:t>64.3 %</w:t>
            </w:r>
          </w:p>
        </w:tc>
        <w:tc>
          <w:tcPr>
            <w:tcW w:w="1620" w:type="dxa"/>
            <w:vAlign w:val="bottom"/>
            <w:tcBorders>
              <w:bottom w:val="single" w:sz="8" w:color="71BF43"/>
            </w:tcBorders>
            <w:shd w:val="clear" w:color="auto" w:fill="F4F4F4"/>
          </w:tcPr>
          <w:p>
            <w:pPr>
              <w:jc w:val="right"/>
              <w:ind w:right="412"/>
              <w:spacing w:after="0"/>
              <w:rPr>
                <w:sz w:val="20"/>
                <w:szCs w:val="20"/>
                <w:color w:val="auto"/>
              </w:rPr>
            </w:pPr>
            <w:r>
              <w:rPr>
                <w:rFonts w:ascii="Arial" w:cs="Arial" w:eastAsia="Arial" w:hAnsi="Arial"/>
                <w:sz w:val="18"/>
                <w:szCs w:val="18"/>
                <w:color w:val="auto"/>
              </w:rPr>
              <w:t>(12.5)%</w:t>
            </w: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-2914015</wp:posOffset>
            </wp:positionV>
            <wp:extent cx="30861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our effective tax rate in 2020 when compared to 2019, was primarily due to increase in valuation allowance attributable to state tax credit carryforwards for which we do not expect to realize benefit. Furthermore, our 2020 effective tax rate was negatively impacted by reduced benefit attributable to research tax credit and stock based compensation deduction. Lastly, higher 2020 earnings lessened impact of other non-deductible items.</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96  </w:t>
      </w:r>
      <w:r>
        <w:rPr>
          <w:sz w:val="1"/>
          <w:szCs w:val="1"/>
          <w:color w:val="auto"/>
        </w:rPr>
        <w:drawing>
          <wp:inline distT="0" distB="0" distL="0" distR="0">
            <wp:extent cx="728345" cy="18859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our deferred tax assets and liabilities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1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3"/>
        </w:trPr>
        <w:tc>
          <w:tcPr>
            <w:tcW w:w="81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shd w:val="clear" w:color="auto" w:fill="ACACAC"/>
          </w:tcPr>
          <w:p>
            <w:pPr>
              <w:spacing w:after="0"/>
              <w:rPr>
                <w:sz w:val="17"/>
                <w:szCs w:val="17"/>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40" w:type="dxa"/>
            <w:vAlign w:val="bottom"/>
            <w:shd w:val="clear" w:color="auto" w:fill="ACACAC"/>
          </w:tcPr>
          <w:p>
            <w:pPr>
              <w:spacing w:after="0"/>
              <w:rPr>
                <w:sz w:val="17"/>
                <w:szCs w:val="17"/>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30"/>
        </w:trPr>
        <w:tc>
          <w:tcPr>
            <w:tcW w:w="818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Deferred tax assets relating to:</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Federal and state and foreign net operating loss carryforwards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5,592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9,203</w:t>
            </w:r>
          </w:p>
        </w:tc>
      </w:tr>
      <w:tr>
        <w:trPr>
          <w:trHeight w:val="229"/>
        </w:trPr>
        <w:tc>
          <w:tcPr>
            <w:tcW w:w="81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Federal, state and foreign tax credits</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42,598</w:t>
            </w: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24,435</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17,434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11,717</w:t>
            </w:r>
          </w:p>
        </w:tc>
      </w:tr>
      <w:tr>
        <w:trPr>
          <w:trHeight w:val="229"/>
        </w:trPr>
        <w:tc>
          <w:tcPr>
            <w:tcW w:w="81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13,375</w:t>
            </w: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35,620</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Allowance for credit losses</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2,399</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29"/>
        </w:trPr>
        <w:tc>
          <w:tcPr>
            <w:tcW w:w="81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Intangible assets</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1,663</w:t>
            </w: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1,560</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30"/>
        </w:trPr>
        <w:tc>
          <w:tcPr>
            <w:tcW w:w="81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Accrued bonuses</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1,713</w:t>
            </w:r>
          </w:p>
        </w:tc>
      </w:tr>
      <w:tr>
        <w:trPr>
          <w:trHeight w:val="229"/>
        </w:trPr>
        <w:tc>
          <w:tcPr>
            <w:tcW w:w="818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w:t>
            </w:r>
          </w:p>
        </w:tc>
      </w:tr>
      <w:tr>
        <w:trPr>
          <w:trHeight w:val="223"/>
        </w:trPr>
        <w:tc>
          <w:tcPr>
            <w:tcW w:w="818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Total deferred tax assets</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92,696</w:t>
            </w: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93,791</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 relating to:</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1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Intangible assets</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(45,757)</w:t>
            </w: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(46,569)</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Capitalized software development costs</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(28,804)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(26,107)</w:t>
            </w:r>
          </w:p>
        </w:tc>
      </w:tr>
      <w:tr>
        <w:trPr>
          <w:trHeight w:val="229"/>
        </w:trPr>
        <w:tc>
          <w:tcPr>
            <w:tcW w:w="81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Costs of obtaining contracts</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(20,256)</w:t>
            </w: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(21,128)</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(12,333)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(32,888)</w:t>
            </w:r>
          </w:p>
        </w:tc>
      </w:tr>
      <w:tr>
        <w:trPr>
          <w:trHeight w:val="229"/>
        </w:trPr>
        <w:tc>
          <w:tcPr>
            <w:tcW w:w="81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Fixed assets</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(8,458)</w:t>
            </w: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(4,446)</w:t>
            </w:r>
          </w:p>
        </w:tc>
      </w:tr>
      <w:tr>
        <w:trPr>
          <w:trHeight w:val="229"/>
        </w:trPr>
        <w:tc>
          <w:tcPr>
            <w:tcW w:w="818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818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Total deferred tax liabilities</w:t>
            </w:r>
          </w:p>
        </w:tc>
        <w:tc>
          <w:tcPr>
            <w:tcW w:w="4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(116,006)</w:t>
            </w:r>
          </w:p>
        </w:tc>
        <w:tc>
          <w:tcPr>
            <w:tcW w:w="34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(131,453)</w:t>
            </w:r>
          </w:p>
        </w:tc>
      </w:tr>
      <w:tr>
        <w:trPr>
          <w:trHeight w:val="230"/>
        </w:trPr>
        <w:tc>
          <w:tcPr>
            <w:tcW w:w="8180" w:type="dxa"/>
            <w:vAlign w:val="bottom"/>
            <w:tcBorders>
              <w:bottom w:val="single" w:sz="8" w:color="F4F4F4"/>
            </w:tcBorders>
          </w:tcPr>
          <w:p>
            <w:pPr>
              <w:ind w:left="140"/>
              <w:spacing w:after="0"/>
              <w:rPr>
                <w:sz w:val="20"/>
                <w:szCs w:val="20"/>
                <w:color w:val="auto"/>
              </w:rPr>
            </w:pPr>
            <w:r>
              <w:rPr>
                <w:rFonts w:ascii="Arial" w:cs="Arial" w:eastAsia="Arial" w:hAnsi="Arial"/>
                <w:sz w:val="18"/>
                <w:szCs w:val="18"/>
                <w:b w:val="1"/>
                <w:bCs w:val="1"/>
                <w:color w:val="auto"/>
              </w:rPr>
              <w:t>Valuation allowance</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(29,184)</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w:t>
            </w:r>
          </w:p>
        </w:tc>
      </w:tr>
      <w:tr>
        <w:trPr>
          <w:trHeight w:val="223"/>
        </w:trPr>
        <w:tc>
          <w:tcPr>
            <w:tcW w:w="8180" w:type="dxa"/>
            <w:vAlign w:val="bottom"/>
            <w:tcBorders>
              <w:bottom w:val="single" w:sz="8" w:color="71BF43"/>
            </w:tcBorders>
            <w:shd w:val="clear" w:color="auto" w:fill="F4F4F4"/>
          </w:tcPr>
          <w:p>
            <w:pPr>
              <w:ind w:left="360"/>
              <w:spacing w:after="0"/>
              <w:rPr>
                <w:sz w:val="20"/>
                <w:szCs w:val="20"/>
                <w:color w:val="auto"/>
              </w:rPr>
            </w:pPr>
            <w:r>
              <w:rPr>
                <w:rFonts w:ascii="Arial" w:cs="Arial" w:eastAsia="Arial" w:hAnsi="Arial"/>
                <w:sz w:val="18"/>
                <w:szCs w:val="18"/>
                <w:b w:val="1"/>
                <w:bCs w:val="1"/>
                <w:color w:val="auto"/>
              </w:rPr>
              <w:t>Net deferred tax liability</w:t>
            </w:r>
          </w:p>
        </w:tc>
        <w:tc>
          <w:tcPr>
            <w:tcW w:w="440" w:type="dxa"/>
            <w:vAlign w:val="bottom"/>
            <w:tcBorders>
              <w:bottom w:val="single" w:sz="8" w:color="71BF43"/>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(52,494)</w:t>
            </w:r>
          </w:p>
        </w:tc>
        <w:tc>
          <w:tcPr>
            <w:tcW w:w="340" w:type="dxa"/>
            <w:vAlign w:val="bottom"/>
            <w:tcBorders>
              <w:bottom w:val="single" w:sz="8" w:color="71BF43"/>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(44,115)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-3222625</wp:posOffset>
            </wp:positionV>
            <wp:extent cx="193738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2020, our federal, foreign and state net operating loss carryforwards for income tax purposes were approximately $18.5 million, $ 2.1 million and $ 21.4 million, respectively. The federal and state net operating loss carryforwards are subject to various Internal Revenue Code limitations and applicable state tax laws. If not utilized, the federal net operating loss carryforwards will begin to expire in 2028 and the state net operating loss carryforwards will expire over various periods beginning in 2021. Our foreign net operating loss carryforwards have an unlimited carryforward period. As of December 31, 2020, our foreign tax credit carryforwards for income tax purposes were insignificant. Our federal tax credit carryforwards for income tax purposes were approximately $14.1 million. Our state tax credit carryforwards for income tax purposes were approximately $30.9 million, net of federal benefit. If not utilized, the federal tax credit carryforwards will begin to expire in 2036 and the state tax credit carryforwards will begin to expire in 2021. A portion of the foreign and state net operating loss carryforwards and state credit carryforwards have a valuation reserve due to management's uncertainty regarding the future ability to use such carryforwards.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As of December 31, 2020, in part because requisite tax planning strategies are no longer considered feasible and prudent, management determined that it is more likely than not that the benefit from certain state tax credit carryforwards will not be realized. In recognition of this risk, we have provided a valuation allowance of $28.2 million on the deferred tax assets related to these state tax credit carryforwards. The increase in valuation allowance resulted in $8.3 million charge to income tax expense and non-recognition of benefit attributable to credits generated in the current year.</w:t>
      </w:r>
    </w:p>
    <w:p>
      <w:pPr>
        <w:spacing w:after="0" w:line="287"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change in our deferred tax asset valuation allowance: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ended December 31,</w:t>
            </w:r>
          </w:p>
        </w:tc>
        <w:tc>
          <w:tcPr>
            <w:tcW w:w="2040" w:type="dxa"/>
            <w:vAlign w:val="bottom"/>
            <w:shd w:val="clear" w:color="auto" w:fill="ACACAC"/>
          </w:tcPr>
          <w:p>
            <w:pPr>
              <w:spacing w:after="0"/>
              <w:rPr>
                <w:sz w:val="17"/>
                <w:szCs w:val="17"/>
                <w:color w:val="auto"/>
              </w:rPr>
            </w:pPr>
          </w:p>
        </w:tc>
        <w:tc>
          <w:tcPr>
            <w:tcW w:w="1140" w:type="dxa"/>
            <w:vAlign w:val="bottom"/>
            <w:shd w:val="clear" w:color="auto" w:fill="ACACAC"/>
          </w:tcPr>
          <w:p>
            <w:pPr>
              <w:jc w:val="center"/>
              <w:ind w:left="459"/>
              <w:spacing w:after="0"/>
              <w:rPr>
                <w:sz w:val="20"/>
                <w:szCs w:val="20"/>
                <w:color w:val="auto"/>
              </w:rPr>
            </w:pPr>
            <w:r>
              <w:rPr>
                <w:rFonts w:ascii="Arial" w:cs="Arial" w:eastAsia="Arial" w:hAnsi="Arial"/>
                <w:sz w:val="14"/>
                <w:szCs w:val="14"/>
                <w:b w:val="1"/>
                <w:bCs w:val="1"/>
                <w:color w:val="FFFFFF"/>
              </w:rPr>
              <w:t>Balance</w:t>
            </w:r>
          </w:p>
        </w:tc>
        <w:tc>
          <w:tcPr>
            <w:tcW w:w="380" w:type="dxa"/>
            <w:vAlign w:val="bottom"/>
            <w:shd w:val="clear" w:color="auto" w:fill="ACACAC"/>
          </w:tcPr>
          <w:p>
            <w:pPr>
              <w:spacing w:after="0"/>
              <w:rPr>
                <w:sz w:val="17"/>
                <w:szCs w:val="17"/>
                <w:color w:val="auto"/>
              </w:rPr>
            </w:pPr>
          </w:p>
        </w:tc>
        <w:tc>
          <w:tcPr>
            <w:tcW w:w="1560" w:type="dxa"/>
            <w:vAlign w:val="bottom"/>
            <w:shd w:val="clear" w:color="auto" w:fill="ACACAC"/>
          </w:tcPr>
          <w:p>
            <w:pPr>
              <w:jc w:val="right"/>
              <w:ind w:right="359"/>
              <w:spacing w:after="0"/>
              <w:rPr>
                <w:sz w:val="20"/>
                <w:szCs w:val="20"/>
                <w:color w:val="auto"/>
              </w:rPr>
            </w:pPr>
            <w:r>
              <w:rPr>
                <w:rFonts w:ascii="Arial" w:cs="Arial" w:eastAsia="Arial" w:hAnsi="Arial"/>
                <w:sz w:val="14"/>
                <w:szCs w:val="14"/>
                <w:b w:val="1"/>
                <w:bCs w:val="1"/>
                <w:color w:val="FFFFFF"/>
              </w:rPr>
              <w:t>Acquisition-</w:t>
            </w:r>
          </w:p>
        </w:tc>
        <w:tc>
          <w:tcPr>
            <w:tcW w:w="11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Charges to</w:t>
            </w:r>
          </w:p>
        </w:tc>
        <w:tc>
          <w:tcPr>
            <w:tcW w:w="440" w:type="dxa"/>
            <w:vAlign w:val="bottom"/>
            <w:shd w:val="clear" w:color="auto" w:fill="ACACAC"/>
          </w:tcPr>
          <w:p>
            <w:pPr>
              <w:spacing w:after="0"/>
              <w:rPr>
                <w:sz w:val="17"/>
                <w:szCs w:val="17"/>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0" w:type="dxa"/>
            <w:vAlign w:val="bottom"/>
          </w:tcPr>
          <w:p>
            <w:pPr>
              <w:spacing w:after="0"/>
              <w:rPr>
                <w:sz w:val="1"/>
                <w:szCs w:val="1"/>
                <w:color w:val="auto"/>
              </w:rPr>
            </w:pPr>
          </w:p>
        </w:tc>
      </w:tr>
      <w:tr>
        <w:trPr>
          <w:trHeight w:val="135"/>
        </w:trPr>
        <w:tc>
          <w:tcPr>
            <w:tcW w:w="3500" w:type="dxa"/>
            <w:vAlign w:val="bottom"/>
            <w:vMerge w:val="continue"/>
            <w:shd w:val="clear" w:color="auto" w:fill="ACACAC"/>
          </w:tcPr>
          <w:p>
            <w:pPr>
              <w:spacing w:after="0"/>
              <w:rPr>
                <w:sz w:val="11"/>
                <w:szCs w:val="11"/>
                <w:color w:val="auto"/>
              </w:rPr>
            </w:pPr>
          </w:p>
        </w:tc>
        <w:tc>
          <w:tcPr>
            <w:tcW w:w="20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at beginning</w:t>
            </w:r>
          </w:p>
        </w:tc>
        <w:tc>
          <w:tcPr>
            <w:tcW w:w="380" w:type="dxa"/>
            <w:vAlign w:val="bottom"/>
            <w:shd w:val="clear" w:color="auto" w:fill="ACACAC"/>
          </w:tcPr>
          <w:p>
            <w:pPr>
              <w:spacing w:after="0"/>
              <w:rPr>
                <w:sz w:val="11"/>
                <w:szCs w:val="11"/>
                <w:color w:val="auto"/>
              </w:rPr>
            </w:pPr>
          </w:p>
        </w:tc>
        <w:tc>
          <w:tcPr>
            <w:tcW w:w="1560" w:type="dxa"/>
            <w:vAlign w:val="bottom"/>
            <w:shd w:val="clear" w:color="auto" w:fill="ACACAC"/>
          </w:tcPr>
          <w:p>
            <w:pPr>
              <w:jc w:val="right"/>
              <w:ind w:right="359"/>
              <w:spacing w:after="0" w:line="135" w:lineRule="exact"/>
              <w:rPr>
                <w:sz w:val="20"/>
                <w:szCs w:val="20"/>
                <w:color w:val="auto"/>
              </w:rPr>
            </w:pPr>
            <w:r>
              <w:rPr>
                <w:rFonts w:ascii="Arial" w:cs="Arial" w:eastAsia="Arial" w:hAnsi="Arial"/>
                <w:sz w:val="14"/>
                <w:szCs w:val="14"/>
                <w:b w:val="1"/>
                <w:bCs w:val="1"/>
                <w:color w:val="FFFFFF"/>
              </w:rPr>
              <w:t>related</w:t>
            </w:r>
          </w:p>
        </w:tc>
        <w:tc>
          <w:tcPr>
            <w:tcW w:w="1100" w:type="dxa"/>
            <w:vAlign w:val="bottom"/>
            <w:vMerge w:val="continue"/>
            <w:shd w:val="clear" w:color="auto" w:fill="ACACAC"/>
          </w:tcPr>
          <w:p>
            <w:pPr>
              <w:spacing w:after="0"/>
              <w:rPr>
                <w:sz w:val="11"/>
                <w:szCs w:val="11"/>
                <w:color w:val="auto"/>
              </w:rPr>
            </w:pPr>
          </w:p>
        </w:tc>
        <w:tc>
          <w:tcPr>
            <w:tcW w:w="440" w:type="dxa"/>
            <w:vAlign w:val="bottom"/>
            <w:shd w:val="clear" w:color="auto" w:fill="ACACAC"/>
          </w:tcPr>
          <w:p>
            <w:pPr>
              <w:spacing w:after="0"/>
              <w:rPr>
                <w:sz w:val="11"/>
                <w:szCs w:val="11"/>
                <w:color w:val="auto"/>
              </w:rPr>
            </w:pPr>
          </w:p>
        </w:tc>
        <w:tc>
          <w:tcPr>
            <w:tcW w:w="108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end of</w:t>
            </w:r>
          </w:p>
        </w:tc>
        <w:tc>
          <w:tcPr>
            <w:tcW w:w="0" w:type="dxa"/>
            <w:vAlign w:val="bottom"/>
          </w:tcPr>
          <w:p>
            <w:pPr>
              <w:spacing w:after="0"/>
              <w:rPr>
                <w:sz w:val="1"/>
                <w:szCs w:val="1"/>
                <w:color w:val="auto"/>
              </w:rPr>
            </w:pPr>
          </w:p>
        </w:tc>
      </w:tr>
      <w:tr>
        <w:trPr>
          <w:trHeight w:val="175"/>
        </w:trPr>
        <w:tc>
          <w:tcPr>
            <w:tcW w:w="35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04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year</w:t>
            </w:r>
          </w:p>
        </w:tc>
        <w:tc>
          <w:tcPr>
            <w:tcW w:w="380" w:type="dxa"/>
            <w:vAlign w:val="bottom"/>
            <w:shd w:val="clear" w:color="auto" w:fill="ACACAC"/>
          </w:tcPr>
          <w:p>
            <w:pPr>
              <w:spacing w:after="0"/>
              <w:rPr>
                <w:sz w:val="15"/>
                <w:szCs w:val="15"/>
                <w:color w:val="auto"/>
              </w:rPr>
            </w:pPr>
          </w:p>
        </w:tc>
        <w:tc>
          <w:tcPr>
            <w:tcW w:w="1560" w:type="dxa"/>
            <w:vAlign w:val="bottom"/>
            <w:shd w:val="clear" w:color="auto" w:fill="ACACAC"/>
          </w:tcPr>
          <w:p>
            <w:pPr>
              <w:jc w:val="right"/>
              <w:ind w:right="359"/>
              <w:spacing w:after="0"/>
              <w:rPr>
                <w:sz w:val="20"/>
                <w:szCs w:val="20"/>
                <w:color w:val="auto"/>
              </w:rPr>
            </w:pPr>
            <w:r>
              <w:rPr>
                <w:rFonts w:ascii="Arial" w:cs="Arial" w:eastAsia="Arial" w:hAnsi="Arial"/>
                <w:sz w:val="14"/>
                <w:szCs w:val="14"/>
                <w:b w:val="1"/>
                <w:bCs w:val="1"/>
                <w:color w:val="FFFFFF"/>
              </w:rPr>
              <w:t>change</w:t>
            </w: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expense</w:t>
            </w:r>
          </w:p>
        </w:tc>
        <w:tc>
          <w:tcPr>
            <w:tcW w:w="440" w:type="dxa"/>
            <w:vAlign w:val="bottom"/>
            <w:shd w:val="clear" w:color="auto" w:fill="ACACAC"/>
          </w:tcPr>
          <w:p>
            <w:pPr>
              <w:spacing w:after="0"/>
              <w:rPr>
                <w:sz w:val="15"/>
                <w:szCs w:val="15"/>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w:t>
            </w:r>
          </w:p>
        </w:tc>
        <w:tc>
          <w:tcPr>
            <w:tcW w:w="0" w:type="dxa"/>
            <w:vAlign w:val="bottom"/>
          </w:tcPr>
          <w:p>
            <w:pPr>
              <w:spacing w:after="0"/>
              <w:rPr>
                <w:sz w:val="1"/>
                <w:szCs w:val="1"/>
                <w:color w:val="auto"/>
              </w:rPr>
            </w:pPr>
          </w:p>
        </w:tc>
      </w:tr>
      <w:tr>
        <w:trPr>
          <w:trHeight w:val="230"/>
        </w:trPr>
        <w:tc>
          <w:tcPr>
            <w:tcW w:w="350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2020</w:t>
            </w:r>
          </w:p>
        </w:tc>
        <w:tc>
          <w:tcPr>
            <w:tcW w:w="204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4F4F4"/>
          </w:tcPr>
          <w:p>
            <w:pPr>
              <w:jc w:val="center"/>
              <w:ind w:left="439"/>
              <w:spacing w:after="0"/>
              <w:rPr>
                <w:sz w:val="20"/>
                <w:szCs w:val="20"/>
                <w:color w:val="auto"/>
              </w:rPr>
            </w:pPr>
            <w:r>
              <w:rPr>
                <w:rFonts w:ascii="Arial" w:cs="Arial" w:eastAsia="Arial" w:hAnsi="Arial"/>
                <w:sz w:val="18"/>
                <w:szCs w:val="18"/>
                <w:color w:val="auto"/>
              </w:rPr>
              <w:t>6,453</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F4F4F4"/>
          </w:tcPr>
          <w:p>
            <w:pPr>
              <w:jc w:val="right"/>
              <w:ind w:right="239"/>
              <w:spacing w:after="0"/>
              <w:rPr>
                <w:sz w:val="20"/>
                <w:szCs w:val="20"/>
                <w:color w:val="auto"/>
              </w:rPr>
            </w:pPr>
            <w:r>
              <w:rPr>
                <w:rFonts w:ascii="Arial" w:cs="Arial" w:eastAsia="Arial" w:hAnsi="Arial"/>
                <w:sz w:val="18"/>
                <w:szCs w:val="18"/>
                <w:color w:val="auto"/>
              </w:rPr>
              <w:t>— $</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22,731</w:t>
            </w:r>
          </w:p>
        </w:tc>
        <w:tc>
          <w:tcPr>
            <w:tcW w:w="440" w:type="dxa"/>
            <w:vAlign w:val="bottom"/>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29,184</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2019</w:t>
            </w:r>
          </w:p>
        </w:tc>
        <w:tc>
          <w:tcPr>
            <w:tcW w:w="2040" w:type="dxa"/>
            <w:vAlign w:val="bottom"/>
          </w:tcPr>
          <w:p>
            <w:pPr>
              <w:spacing w:after="0"/>
              <w:rPr>
                <w:sz w:val="19"/>
                <w:szCs w:val="19"/>
                <w:color w:val="auto"/>
              </w:rPr>
            </w:pPr>
          </w:p>
        </w:tc>
        <w:tc>
          <w:tcPr>
            <w:tcW w:w="1140" w:type="dxa"/>
            <w:vAlign w:val="bottom"/>
          </w:tcPr>
          <w:p>
            <w:pPr>
              <w:jc w:val="center"/>
              <w:ind w:left="439"/>
              <w:spacing w:after="0"/>
              <w:rPr>
                <w:sz w:val="20"/>
                <w:szCs w:val="20"/>
                <w:color w:val="auto"/>
              </w:rPr>
            </w:pPr>
            <w:r>
              <w:rPr>
                <w:rFonts w:ascii="Arial" w:cs="Arial" w:eastAsia="Arial" w:hAnsi="Arial"/>
                <w:sz w:val="18"/>
                <w:szCs w:val="18"/>
                <w:color w:val="auto"/>
              </w:rPr>
              <w:t>6,855</w:t>
            </w:r>
          </w:p>
        </w:tc>
        <w:tc>
          <w:tcPr>
            <w:tcW w:w="380" w:type="dxa"/>
            <w:vAlign w:val="bottom"/>
          </w:tcPr>
          <w:p>
            <w:pPr>
              <w:spacing w:after="0"/>
              <w:rPr>
                <w:sz w:val="19"/>
                <w:szCs w:val="19"/>
                <w:color w:val="auto"/>
              </w:rPr>
            </w:pPr>
          </w:p>
        </w:tc>
        <w:tc>
          <w:tcPr>
            <w:tcW w:w="156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2018</w:t>
            </w:r>
          </w:p>
        </w:tc>
        <w:tc>
          <w:tcPr>
            <w:tcW w:w="2040" w:type="dxa"/>
            <w:vAlign w:val="bottom"/>
            <w:tcBorders>
              <w:bottom w:val="single" w:sz="8" w:color="71BF43"/>
            </w:tcBorders>
            <w:shd w:val="clear" w:color="auto" w:fill="F4F4F4"/>
          </w:tcPr>
          <w:p>
            <w:pPr>
              <w:spacing w:after="0"/>
              <w:rPr>
                <w:sz w:val="19"/>
                <w:szCs w:val="19"/>
                <w:color w:val="auto"/>
              </w:rPr>
            </w:pPr>
          </w:p>
        </w:tc>
        <w:tc>
          <w:tcPr>
            <w:tcW w:w="1140" w:type="dxa"/>
            <w:vAlign w:val="bottom"/>
            <w:tcBorders>
              <w:bottom w:val="single" w:sz="8" w:color="71BF43"/>
            </w:tcBorders>
            <w:shd w:val="clear" w:color="auto" w:fill="F4F4F4"/>
          </w:tcPr>
          <w:p>
            <w:pPr>
              <w:jc w:val="center"/>
              <w:ind w:left="439"/>
              <w:spacing w:after="0"/>
              <w:rPr>
                <w:sz w:val="20"/>
                <w:szCs w:val="20"/>
                <w:color w:val="auto"/>
              </w:rPr>
            </w:pPr>
            <w:r>
              <w:rPr>
                <w:rFonts w:ascii="Arial" w:cs="Arial" w:eastAsia="Arial" w:hAnsi="Arial"/>
                <w:sz w:val="18"/>
                <w:szCs w:val="18"/>
                <w:color w:val="auto"/>
              </w:rPr>
              <w:t>7,205</w:t>
            </w:r>
          </w:p>
        </w:tc>
        <w:tc>
          <w:tcPr>
            <w:tcW w:w="380" w:type="dxa"/>
            <w:vAlign w:val="bottom"/>
            <w:tcBorders>
              <w:bottom w:val="single" w:sz="8" w:color="71BF43"/>
            </w:tcBorders>
            <w:shd w:val="clear" w:color="auto" w:fill="F4F4F4"/>
          </w:tcPr>
          <w:p>
            <w:pPr>
              <w:spacing w:after="0"/>
              <w:rPr>
                <w:sz w:val="19"/>
                <w:szCs w:val="19"/>
                <w:color w:val="auto"/>
              </w:rPr>
            </w:pPr>
          </w:p>
        </w:tc>
        <w:tc>
          <w:tcPr>
            <w:tcW w:w="1560" w:type="dxa"/>
            <w:vAlign w:val="bottom"/>
            <w:tcBorders>
              <w:bottom w:val="single" w:sz="8" w:color="71BF43"/>
            </w:tcBorders>
            <w:shd w:val="clear" w:color="auto" w:fill="F4F4F4"/>
          </w:tcPr>
          <w:p>
            <w:pPr>
              <w:jc w:val="right"/>
              <w:ind w:right="419"/>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(366)</w:t>
            </w:r>
          </w:p>
        </w:tc>
        <w:tc>
          <w:tcPr>
            <w:tcW w:w="440" w:type="dxa"/>
            <w:vAlign w:val="bottom"/>
            <w:tcBorders>
              <w:bottom w:val="single" w:sz="8" w:color="71BF43"/>
            </w:tcBorders>
            <w:shd w:val="clear" w:color="auto" w:fill="F4F4F4"/>
          </w:tcPr>
          <w:p>
            <w:pPr>
              <w:spacing w:after="0"/>
              <w:rPr>
                <w:sz w:val="19"/>
                <w:szCs w:val="19"/>
                <w:color w:val="auto"/>
              </w:rPr>
            </w:pPr>
          </w:p>
        </w:tc>
        <w:tc>
          <w:tcPr>
            <w:tcW w:w="10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 to our unrecognized tax benefit for the years ended December 31, 2020, 2019 and 2018: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shd w:val="clear" w:color="auto" w:fill="ACACAC"/>
          </w:tcPr>
          <w:p>
            <w:pPr>
              <w:spacing w:after="0"/>
              <w:rPr>
                <w:sz w:val="16"/>
                <w:szCs w:val="16"/>
                <w:color w:val="auto"/>
              </w:rPr>
            </w:pPr>
          </w:p>
        </w:tc>
        <w:tc>
          <w:tcPr>
            <w:tcW w:w="5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560" w:type="dxa"/>
            <w:vAlign w:val="bottom"/>
            <w:shd w:val="clear" w:color="auto" w:fill="ACACAC"/>
          </w:tcPr>
          <w:p>
            <w:pPr>
              <w:spacing w:after="0"/>
              <w:rPr>
                <w:sz w:val="16"/>
                <w:szCs w:val="16"/>
                <w:color w:val="auto"/>
              </w:rPr>
            </w:pPr>
          </w:p>
        </w:tc>
        <w:tc>
          <w:tcPr>
            <w:tcW w:w="25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66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60" w:type="dxa"/>
            <w:vAlign w:val="bottom"/>
            <w:shd w:val="clear" w:color="auto" w:fill="ACACAC"/>
          </w:tcPr>
          <w:p>
            <w:pPr>
              <w:spacing w:after="0"/>
              <w:rPr>
                <w:sz w:val="17"/>
                <w:szCs w:val="17"/>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520" w:type="dxa"/>
            <w:vAlign w:val="bottom"/>
            <w:shd w:val="clear" w:color="auto" w:fill="ACACAC"/>
          </w:tcPr>
          <w:p>
            <w:pPr>
              <w:spacing w:after="0"/>
              <w:rPr>
                <w:sz w:val="17"/>
                <w:szCs w:val="17"/>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30"/>
        </w:trPr>
        <w:tc>
          <w:tcPr>
            <w:tcW w:w="6660" w:type="dxa"/>
            <w:vAlign w:val="bottom"/>
            <w:shd w:val="clear" w:color="auto" w:fill="F4F4F4"/>
          </w:tcPr>
          <w:p>
            <w:pPr>
              <w:ind w:left="20"/>
              <w:spacing w:after="0"/>
              <w:rPr>
                <w:sz w:val="20"/>
                <w:szCs w:val="20"/>
                <w:color w:val="auto"/>
              </w:rPr>
            </w:pPr>
            <w:r>
              <w:rPr>
                <w:rFonts w:ascii="Arial" w:cs="Arial" w:eastAsia="Arial" w:hAnsi="Arial"/>
                <w:sz w:val="18"/>
                <w:szCs w:val="18"/>
                <w:color w:val="auto"/>
              </w:rPr>
              <w:t>Balance at beginning of year</w:t>
            </w:r>
          </w:p>
        </w:tc>
        <w:tc>
          <w:tcPr>
            <w:tcW w:w="560" w:type="dxa"/>
            <w:vAlign w:val="bottom"/>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4,346</w:t>
            </w:r>
          </w:p>
        </w:tc>
        <w:tc>
          <w:tcPr>
            <w:tcW w:w="560" w:type="dxa"/>
            <w:vAlign w:val="bottom"/>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3,704</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5,160</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Increases from prior period positions</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66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Decreases in prior year positions</w:t>
            </w:r>
          </w:p>
        </w:tc>
        <w:tc>
          <w:tcPr>
            <w:tcW w:w="5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(614)</w:t>
            </w:r>
          </w:p>
        </w:tc>
        <w:tc>
          <w:tcPr>
            <w:tcW w:w="5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(385)</w:t>
            </w:r>
          </w:p>
        </w:tc>
        <w:tc>
          <w:tcPr>
            <w:tcW w:w="52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Increases from current period positions</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6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Lapse of statute of limitations</w:t>
            </w:r>
          </w:p>
        </w:tc>
        <w:tc>
          <w:tcPr>
            <w:tcW w:w="56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(612)</w:t>
            </w:r>
          </w:p>
        </w:tc>
        <w:tc>
          <w:tcPr>
            <w:tcW w:w="52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(1,205)</w:t>
            </w:r>
          </w:p>
        </w:tc>
      </w:tr>
      <w:tr>
        <w:trPr>
          <w:trHeight w:val="223"/>
        </w:trPr>
        <w:tc>
          <w:tcPr>
            <w:tcW w:w="666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Balance at end of year</w:t>
            </w:r>
          </w:p>
        </w:tc>
        <w:tc>
          <w:tcPr>
            <w:tcW w:w="560" w:type="dxa"/>
            <w:vAlign w:val="bottom"/>
            <w:tcBorders>
              <w:bottom w:val="single" w:sz="8" w:color="71BF43"/>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4,625</w:t>
            </w:r>
          </w:p>
        </w:tc>
        <w:tc>
          <w:tcPr>
            <w:tcW w:w="560" w:type="dxa"/>
            <w:vAlign w:val="bottom"/>
            <w:tcBorders>
              <w:bottom w:val="single" w:sz="8" w:color="71BF43"/>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4,346</w:t>
            </w:r>
          </w:p>
        </w:tc>
        <w:tc>
          <w:tcPr>
            <w:tcW w:w="520" w:type="dxa"/>
            <w:vAlign w:val="bottom"/>
            <w:tcBorders>
              <w:bottom w:val="single" w:sz="8" w:color="71BF43"/>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3,704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-1019810</wp:posOffset>
            </wp:positionV>
            <wp:extent cx="29057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total amount of unrecognized tax benefit that, if recognized, would favorably affect the effective tax rate was $4.2 million at December 31, 2020. Certain prior period amounts relating to our 2014 acquisitions are covered under indemnification agreements and, therefore, we have recorded a corresponding indemnification asset. We recognize accrued interest and penalties, if any, related to unrecognized tax benefits as a component of income tax expense. The total amount of accrued interest and penalties included in the consolidated balance sheet as of December 31, 2020 and December 31, 2019 was $1.1 million and $1.0 million, respectively. The total amount of interest and penalties included in the consolidated statements of comprehensive income as an increase or decrease in income tax expense for 2020, 2019 and 2018 was insignificant.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taken federal and state tax positions for which it is reasonably possible that the total amounts of unrecognized tax benefits might decrease within the next twelve months. This possible decrease could result from the expiration of statutes of limitations. The reasonably possible decrease at December 31, 2020 was $1.1 million.</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undistributed earnings of foreign subsidiaries, which we do not consider to be significant, we concluded that these earnings would be permanently reinvested in the local jurisdictions and not repatriated to the United States. Accordingly, we have not provided for U.S. state income taxes and foreign withholding taxes on those undistributed earnings of our foreign subsidiaries. If some or all of such earnings were to be remitted, the amount of taxes payable would be insignificant.</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13.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stock-based compensation plans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2016 Equity and Incentive Compensation Plan Amended and Restated as of June 13, 2019 (the "2016 Equity Plan"), we may grant incentive stock options, nonstatutory stock options, stock appreciation rights, restricted stock, restricted stock units, other stock awards and cash incentive awards to employees, directors and consultants. We maintain other stock-based compensation plans including the 2008 Equity Incentive Plan (the “2008 Equity Plan”), under which no additional grants may be made.</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acquisition of Convio in May 2012, we maintain the Convio, Inc. 1999 Stock Option/Stock Issuance Plan, as amended (the “Convio 1999 Plan”) and Convio, Inc. 2009 Stock Incentive Plan, as amended (the “Convio 2009 Plan”), which we assumed upon the acquisition of Convio. Our Compensation Committee of the Board of Directors administers all of these plans and the stock-based awards are granted under terms determined by them.</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98  </w:t>
      </w:r>
      <w:r>
        <w:rPr>
          <w:sz w:val="1"/>
          <w:szCs w:val="1"/>
          <w:color w:val="auto"/>
        </w:rPr>
        <w:drawing>
          <wp:inline distT="0" distB="0" distL="0" distR="0">
            <wp:extent cx="728345" cy="18859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number of authorized stock-based awards available under our plans was 4,779,951 as of December 31, 2020. We issue common stock from our pool of authorized stock upon exercise of stock options and stock appreciation rights, vesting of restricted stock units or upon granting of restricted stock.</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we have issued four types of awards under these plans: restricted stock awards, restricted stock units, stock options and stock appreciation rights ("SARs"). There have been no new stock options or SARs granted since 2005 and 2013, respectively. The following table sets forth the number of awards outstanding for each award type as of:</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shd w:val="clear" w:color="auto" w:fill="ACACAC"/>
          </w:tcPr>
          <w:p>
            <w:pPr>
              <w:spacing w:after="0"/>
              <w:rPr>
                <w:sz w:val="16"/>
                <w:szCs w:val="16"/>
                <w:color w:val="auto"/>
              </w:rPr>
            </w:pPr>
          </w:p>
        </w:tc>
        <w:tc>
          <w:tcPr>
            <w:tcW w:w="37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Outstanding at December 31,</w:t>
            </w:r>
          </w:p>
        </w:tc>
      </w:tr>
      <w:tr>
        <w:trPr>
          <w:trHeight w:val="203"/>
        </w:trPr>
        <w:tc>
          <w:tcPr>
            <w:tcW w:w="74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Award type</w:t>
            </w:r>
          </w:p>
        </w:tc>
        <w:tc>
          <w:tcPr>
            <w:tcW w:w="2360" w:type="dxa"/>
            <w:vAlign w:val="bottom"/>
            <w:shd w:val="clear" w:color="auto" w:fill="ACACAC"/>
          </w:tcPr>
          <w:p>
            <w:pPr>
              <w:jc w:val="right"/>
              <w:ind w:right="457"/>
              <w:spacing w:after="0"/>
              <w:rPr>
                <w:sz w:val="20"/>
                <w:szCs w:val="20"/>
                <w:color w:val="auto"/>
              </w:rPr>
            </w:pPr>
            <w:r>
              <w:rPr>
                <w:rFonts w:ascii="Arial" w:cs="Arial" w:eastAsia="Arial" w:hAnsi="Arial"/>
                <w:sz w:val="14"/>
                <w:szCs w:val="14"/>
                <w:b w:val="1"/>
                <w:bCs w:val="1"/>
                <w:color w:val="FFFFFF"/>
              </w:rPr>
              <w:t>2020</w:t>
            </w:r>
          </w:p>
        </w:tc>
        <w:tc>
          <w:tcPr>
            <w:tcW w:w="14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29"/>
        </w:trPr>
        <w:tc>
          <w:tcPr>
            <w:tcW w:w="746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Restricted stock awards</w:t>
            </w:r>
          </w:p>
        </w:tc>
        <w:tc>
          <w:tcPr>
            <w:tcW w:w="2360" w:type="dxa"/>
            <w:vAlign w:val="bottom"/>
            <w:shd w:val="clear" w:color="auto" w:fill="F4F4F4"/>
          </w:tcPr>
          <w:p>
            <w:pPr>
              <w:jc w:val="right"/>
              <w:ind w:right="457"/>
              <w:spacing w:after="0"/>
              <w:rPr>
                <w:sz w:val="20"/>
                <w:szCs w:val="20"/>
                <w:color w:val="auto"/>
              </w:rPr>
            </w:pPr>
            <w:r>
              <w:rPr>
                <w:rFonts w:ascii="Arial" w:cs="Arial" w:eastAsia="Arial" w:hAnsi="Arial"/>
                <w:sz w:val="18"/>
                <w:szCs w:val="18"/>
                <w:color w:val="auto"/>
              </w:rPr>
              <w:t>1,277,109</w:t>
            </w: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1,316,764</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360" w:type="dxa"/>
            <w:vAlign w:val="bottom"/>
          </w:tcPr>
          <w:p>
            <w:pPr>
              <w:jc w:val="right"/>
              <w:ind w:right="457"/>
              <w:spacing w:after="0"/>
              <w:rPr>
                <w:sz w:val="20"/>
                <w:szCs w:val="20"/>
                <w:color w:val="auto"/>
              </w:rPr>
            </w:pPr>
            <w:r>
              <w:rPr>
                <w:rFonts w:ascii="Arial" w:cs="Arial" w:eastAsia="Arial" w:hAnsi="Arial"/>
                <w:sz w:val="18"/>
                <w:szCs w:val="18"/>
                <w:color w:val="auto"/>
              </w:rPr>
              <w:t>1,170,885</w:t>
            </w:r>
          </w:p>
        </w:tc>
        <w:tc>
          <w:tcPr>
            <w:tcW w:w="1420" w:type="dxa"/>
            <w:vAlign w:val="bottom"/>
          </w:tcPr>
          <w:p>
            <w:pPr>
              <w:jc w:val="right"/>
              <w:spacing w:after="0"/>
              <w:rPr>
                <w:sz w:val="20"/>
                <w:szCs w:val="20"/>
                <w:color w:val="auto"/>
              </w:rPr>
            </w:pPr>
            <w:r>
              <w:rPr>
                <w:rFonts w:ascii="Arial" w:cs="Arial" w:eastAsia="Arial" w:hAnsi="Arial"/>
                <w:sz w:val="18"/>
                <w:szCs w:val="18"/>
                <w:color w:val="auto"/>
              </w:rPr>
              <w:t>501,487</w:t>
            </w:r>
          </w:p>
        </w:tc>
      </w:tr>
      <w:tr>
        <w:trPr>
          <w:trHeight w:val="230"/>
        </w:trPr>
        <w:tc>
          <w:tcPr>
            <w:tcW w:w="746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Stock options</w:t>
            </w:r>
          </w:p>
        </w:tc>
        <w:tc>
          <w:tcPr>
            <w:tcW w:w="2360" w:type="dxa"/>
            <w:vAlign w:val="bottom"/>
            <w:tcBorders>
              <w:bottom w:val="single" w:sz="8" w:color="71BF43"/>
            </w:tcBorders>
            <w:shd w:val="clear" w:color="auto" w:fill="F4F4F4"/>
          </w:tcPr>
          <w:p>
            <w:pPr>
              <w:jc w:val="right"/>
              <w:ind w:right="457"/>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-573405</wp:posOffset>
            </wp:positionV>
            <wp:extent cx="24003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majority of the stock-based awards granted under these plans have a 10-year contractual term. Awards granted to our executive officers and certain members of management are subject to accelerated vesting upon a change in control as defined in the employees’ retention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recognition</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compensation expense associated with stock options and awards with performance or market based vesting conditions on an accelerated basis over the requisite service period of the individual grantees, which generally equals the vesting period. We recognize compensation expense associated with restricted stock awards and SARs on a straight-line basis over the requisite service period of the individual grantees, which generally equals the vesting period. We recognize the effect of awards for which the requisite service period is not rendered when the award is forfeited (that is, we recognize the effect of forfeitures in compensation cost when they occur). Previously recognized compensation cost for an award is reversed in the period that the award is forfeited.</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is allocated to cost of revenue and operating expenses on the consolidated statements of comprehensive income based on where the associated employee’s compensation is recorded. The following table summarizes stock-based compensation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000" w:type="dxa"/>
            <w:vAlign w:val="bottom"/>
            <w:shd w:val="clear" w:color="auto" w:fill="ACACAC"/>
          </w:tcPr>
          <w:p>
            <w:pPr>
              <w:spacing w:after="0"/>
              <w:rPr>
                <w:sz w:val="16"/>
                <w:szCs w:val="16"/>
                <w:color w:val="auto"/>
              </w:rPr>
            </w:pPr>
          </w:p>
        </w:tc>
        <w:tc>
          <w:tcPr>
            <w:tcW w:w="500" w:type="dxa"/>
            <w:vAlign w:val="bottom"/>
            <w:shd w:val="clear" w:color="auto" w:fill="ACACAC"/>
          </w:tcPr>
          <w:p>
            <w:pPr>
              <w:spacing w:after="0"/>
              <w:rPr>
                <w:sz w:val="16"/>
                <w:szCs w:val="16"/>
                <w:color w:val="auto"/>
              </w:rPr>
            </w:pPr>
          </w:p>
        </w:tc>
        <w:tc>
          <w:tcPr>
            <w:tcW w:w="24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67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480" w:type="dxa"/>
            <w:vAlign w:val="bottom"/>
            <w:shd w:val="clear" w:color="auto" w:fill="ACACAC"/>
          </w:tcPr>
          <w:p>
            <w:pPr>
              <w:spacing w:after="0"/>
              <w:rPr>
                <w:sz w:val="17"/>
                <w:szCs w:val="17"/>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00" w:type="dxa"/>
            <w:vAlign w:val="bottom"/>
            <w:shd w:val="clear" w:color="auto" w:fill="ACACAC"/>
          </w:tcPr>
          <w:p>
            <w:pPr>
              <w:spacing w:after="0"/>
              <w:rPr>
                <w:sz w:val="17"/>
                <w:szCs w:val="17"/>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500" w:type="dxa"/>
            <w:vAlign w:val="bottom"/>
            <w:shd w:val="clear" w:color="auto" w:fill="ACACAC"/>
          </w:tcPr>
          <w:p>
            <w:pPr>
              <w:spacing w:after="0"/>
              <w:rPr>
                <w:sz w:val="17"/>
                <w:szCs w:val="17"/>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30"/>
        </w:trPr>
        <w:tc>
          <w:tcPr>
            <w:tcW w:w="6760" w:type="dxa"/>
            <w:vAlign w:val="bottom"/>
            <w:shd w:val="clear" w:color="auto" w:fill="F4F4F4"/>
          </w:tcPr>
          <w:p>
            <w:pPr>
              <w:ind w:left="120"/>
              <w:spacing w:after="0"/>
              <w:rPr>
                <w:sz w:val="20"/>
                <w:szCs w:val="20"/>
                <w:color w:val="auto"/>
              </w:rPr>
            </w:pPr>
            <w:r>
              <w:rPr>
                <w:rFonts w:ascii="Arial" w:cs="Arial" w:eastAsia="Arial" w:hAnsi="Arial"/>
                <w:sz w:val="18"/>
                <w:szCs w:val="18"/>
                <w:color w:val="auto"/>
              </w:rPr>
              <w:t>Included in cost of revenue:</w:t>
            </w:r>
          </w:p>
        </w:tc>
        <w:tc>
          <w:tcPr>
            <w:tcW w:w="48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500" w:type="dxa"/>
            <w:vAlign w:val="bottom"/>
            <w:shd w:val="clear" w:color="auto" w:fill="F4F4F4"/>
          </w:tcPr>
          <w:p>
            <w:pPr>
              <w:spacing w:after="0"/>
              <w:rPr>
                <w:sz w:val="19"/>
                <w:szCs w:val="19"/>
                <w:color w:val="auto"/>
              </w:rPr>
            </w:pPr>
          </w:p>
        </w:tc>
        <w:tc>
          <w:tcPr>
            <w:tcW w:w="980" w:type="dxa"/>
            <w:vAlign w:val="bottom"/>
            <w:shd w:val="clear" w:color="auto" w:fill="F4F4F4"/>
          </w:tcPr>
          <w:p>
            <w:pPr>
              <w:spacing w:after="0"/>
              <w:rPr>
                <w:sz w:val="19"/>
                <w:szCs w:val="19"/>
                <w:color w:val="auto"/>
              </w:rPr>
            </w:pPr>
          </w:p>
        </w:tc>
        <w:tc>
          <w:tcPr>
            <w:tcW w:w="50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Cost of recurring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5,793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2,464</w:t>
            </w:r>
          </w:p>
        </w:tc>
      </w:tr>
      <w:tr>
        <w:trPr>
          <w:trHeight w:val="229"/>
        </w:trPr>
        <w:tc>
          <w:tcPr>
            <w:tcW w:w="6760" w:type="dxa"/>
            <w:vAlign w:val="bottom"/>
            <w:shd w:val="clear" w:color="auto" w:fill="F4F4F4"/>
          </w:tcPr>
          <w:p>
            <w:pPr>
              <w:ind w:left="260"/>
              <w:spacing w:after="0"/>
              <w:rPr>
                <w:sz w:val="20"/>
                <w:szCs w:val="20"/>
                <w:color w:val="auto"/>
              </w:rPr>
            </w:pPr>
            <w:r>
              <w:rPr>
                <w:rFonts w:ascii="Arial" w:cs="Arial" w:eastAsia="Arial" w:hAnsi="Arial"/>
                <w:sz w:val="18"/>
                <w:szCs w:val="18"/>
                <w:color w:val="auto"/>
              </w:rPr>
              <w:t>Cost of one-time services and other</w:t>
            </w:r>
          </w:p>
        </w:tc>
        <w:tc>
          <w:tcPr>
            <w:tcW w:w="48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7,581</w:t>
            </w:r>
          </w:p>
        </w:tc>
        <w:tc>
          <w:tcPr>
            <w:tcW w:w="50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1,487</w:t>
            </w:r>
          </w:p>
        </w:tc>
        <w:tc>
          <w:tcPr>
            <w:tcW w:w="50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2,778</w:t>
            </w: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Total included in cost of revenue</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13,374</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3,366</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5,242</w:t>
            </w:r>
          </w:p>
        </w:tc>
      </w:tr>
      <w:tr>
        <w:trPr>
          <w:trHeight w:val="229"/>
        </w:trPr>
        <w:tc>
          <w:tcPr>
            <w:tcW w:w="6760" w:type="dxa"/>
            <w:vAlign w:val="bottom"/>
            <w:shd w:val="clear" w:color="auto" w:fill="F4F4F4"/>
          </w:tcPr>
          <w:p>
            <w:pPr>
              <w:ind w:left="120"/>
              <w:spacing w:after="0"/>
              <w:rPr>
                <w:sz w:val="20"/>
                <w:szCs w:val="20"/>
                <w:color w:val="auto"/>
              </w:rPr>
            </w:pPr>
            <w:r>
              <w:rPr>
                <w:rFonts w:ascii="Arial" w:cs="Arial" w:eastAsia="Arial" w:hAnsi="Arial"/>
                <w:sz w:val="18"/>
                <w:szCs w:val="18"/>
                <w:color w:val="auto"/>
              </w:rPr>
              <w:t>Included in operating expenses:</w:t>
            </w:r>
          </w:p>
        </w:tc>
        <w:tc>
          <w:tcPr>
            <w:tcW w:w="48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500" w:type="dxa"/>
            <w:vAlign w:val="bottom"/>
            <w:shd w:val="clear" w:color="auto" w:fill="F4F4F4"/>
          </w:tcPr>
          <w:p>
            <w:pPr>
              <w:spacing w:after="0"/>
              <w:rPr>
                <w:sz w:val="19"/>
                <w:szCs w:val="19"/>
                <w:color w:val="auto"/>
              </w:rPr>
            </w:pPr>
          </w:p>
        </w:tc>
        <w:tc>
          <w:tcPr>
            <w:tcW w:w="980" w:type="dxa"/>
            <w:vAlign w:val="bottom"/>
            <w:shd w:val="clear" w:color="auto" w:fill="F4F4F4"/>
          </w:tcPr>
          <w:p>
            <w:pPr>
              <w:spacing w:after="0"/>
              <w:rPr>
                <w:sz w:val="19"/>
                <w:szCs w:val="19"/>
                <w:color w:val="auto"/>
              </w:rPr>
            </w:pPr>
          </w:p>
        </w:tc>
        <w:tc>
          <w:tcPr>
            <w:tcW w:w="50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Sales, marketing and customer success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15,514</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11,203</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9,285</w:t>
            </w:r>
          </w:p>
        </w:tc>
      </w:tr>
      <w:tr>
        <w:trPr>
          <w:trHeight w:val="230"/>
        </w:trPr>
        <w:tc>
          <w:tcPr>
            <w:tcW w:w="6760" w:type="dxa"/>
            <w:vAlign w:val="bottom"/>
            <w:shd w:val="clear" w:color="auto" w:fill="F4F4F4"/>
          </w:tcPr>
          <w:p>
            <w:pPr>
              <w:ind w:left="26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18,527</w:t>
            </w:r>
          </w:p>
        </w:tc>
        <w:tc>
          <w:tcPr>
            <w:tcW w:w="50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11,115</w:t>
            </w:r>
          </w:p>
        </w:tc>
        <w:tc>
          <w:tcPr>
            <w:tcW w:w="500" w:type="dxa"/>
            <w:vAlign w:val="bottom"/>
            <w:shd w:val="clear" w:color="auto" w:fill="F4F4F4"/>
          </w:tcPr>
          <w:p>
            <w:pPr>
              <w:spacing w:after="0"/>
              <w:rPr>
                <w:sz w:val="19"/>
                <w:szCs w:val="19"/>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9,048</w:t>
            </w:r>
          </w:p>
        </w:tc>
      </w:tr>
      <w:tr>
        <w:trPr>
          <w:trHeight w:val="230"/>
        </w:trPr>
        <w:tc>
          <w:tcPr>
            <w:tcW w:w="6760" w:type="dxa"/>
            <w:vAlign w:val="bottom"/>
            <w:tcBorders>
              <w:bottom w:val="single" w:sz="8" w:color="F4F4F4"/>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39,842</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32,949</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24,699</w:t>
            </w:r>
          </w:p>
        </w:tc>
      </w:tr>
      <w:tr>
        <w:trPr>
          <w:trHeight w:val="223"/>
        </w:trPr>
        <w:tc>
          <w:tcPr>
            <w:tcW w:w="6760" w:type="dxa"/>
            <w:vAlign w:val="bottom"/>
            <w:shd w:val="clear" w:color="auto" w:fill="F4F4F4"/>
          </w:tcPr>
          <w:p>
            <w:pPr>
              <w:ind w:left="360"/>
              <w:spacing w:after="0"/>
              <w:rPr>
                <w:sz w:val="20"/>
                <w:szCs w:val="20"/>
                <w:color w:val="auto"/>
              </w:rPr>
            </w:pPr>
            <w:r>
              <w:rPr>
                <w:rFonts w:ascii="Arial" w:cs="Arial" w:eastAsia="Arial" w:hAnsi="Arial"/>
                <w:sz w:val="18"/>
                <w:szCs w:val="18"/>
                <w:color w:val="auto"/>
              </w:rPr>
              <w:t>Total included in operating expenses</w:t>
            </w:r>
          </w:p>
        </w:tc>
        <w:tc>
          <w:tcPr>
            <w:tcW w:w="48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73,883</w:t>
            </w:r>
          </w:p>
        </w:tc>
        <w:tc>
          <w:tcPr>
            <w:tcW w:w="50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55,267</w:t>
            </w:r>
          </w:p>
        </w:tc>
        <w:tc>
          <w:tcPr>
            <w:tcW w:w="50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43,032</w:t>
            </w:r>
          </w:p>
        </w:tc>
      </w:tr>
      <w:tr>
        <w:trPr>
          <w:trHeight w:val="223"/>
        </w:trPr>
        <w:tc>
          <w:tcPr>
            <w:tcW w:w="6760" w:type="dxa"/>
            <w:vAlign w:val="bottom"/>
            <w:tcBorders>
              <w:bottom w:val="single" w:sz="8" w:color="71BF43"/>
            </w:tcBorders>
          </w:tcPr>
          <w:p>
            <w:pPr>
              <w:ind w:left="480"/>
              <w:spacing w:after="0"/>
              <w:rPr>
                <w:sz w:val="20"/>
                <w:szCs w:val="20"/>
                <w:color w:val="auto"/>
              </w:rPr>
            </w:pPr>
            <w:r>
              <w:rPr>
                <w:rFonts w:ascii="Arial" w:cs="Arial" w:eastAsia="Arial" w:hAnsi="Arial"/>
                <w:sz w:val="18"/>
                <w:szCs w:val="18"/>
                <w:color w:val="auto"/>
              </w:rPr>
              <w:t>Total stock-based compensation expense</w:t>
            </w:r>
          </w:p>
        </w:tc>
        <w:tc>
          <w:tcPr>
            <w:tcW w:w="480" w:type="dxa"/>
            <w:vAlign w:val="bottom"/>
            <w:tcBorders>
              <w:bottom w:val="single" w:sz="8" w:color="71BF43"/>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87,257</w:t>
            </w:r>
          </w:p>
        </w:tc>
        <w:tc>
          <w:tcPr>
            <w:tcW w:w="500" w:type="dxa"/>
            <w:vAlign w:val="bottom"/>
            <w:tcBorders>
              <w:bottom w:val="single" w:sz="8" w:color="71BF43"/>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58,633</w:t>
            </w:r>
          </w:p>
        </w:tc>
        <w:tc>
          <w:tcPr>
            <w:tcW w:w="500" w:type="dxa"/>
            <w:vAlign w:val="bottom"/>
            <w:tcBorders>
              <w:bottom w:val="single" w:sz="8" w:color="71BF43"/>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48,274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-1619250</wp:posOffset>
            </wp:positionV>
            <wp:extent cx="28289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discussion of the additional equity award grants we made in response to COVID-19.</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total amount of compensation cost related to unvested awards not recognized was $98.7 million at December 31, 2020. It is expected that this amount will be recognized over a weighted average period of 1.4 years.</w:t>
      </w:r>
    </w:p>
    <w:p>
      <w:pPr>
        <w:spacing w:after="0" w:line="277"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granted shares of common stock subject to certain restrictions under the 2016 Equity Plan and the 2008 Equity Plan. Restricted stock awards granted to employees vest in equal annual installments generally over 4 years from the grant date subject to the recipient’s continued employment with us. Restricted stock awards granted to non-employee directors vest after one year from the date of grant or, if earlier, immediately prior to the next annual election of directors, provided the non-employee director is serving as a director at that time. The fair market value of the stock at the time of the grant is amortized on a straight-line basis to expense over the period of vesting. Recipients of restricted stock awards have the right to vote such shares and receive dividends, if declared.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unvested restricted stock awards as of December 31, 2020, and changes during the year then ended: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shd w:val="clear" w:color="auto" w:fill="ACACAC"/>
          </w:tcPr>
          <w:p>
            <w:pPr>
              <w:spacing w:after="0"/>
              <w:rPr>
                <w:sz w:val="14"/>
                <w:szCs w:val="14"/>
                <w:color w:val="auto"/>
              </w:rPr>
            </w:pPr>
          </w:p>
        </w:tc>
        <w:tc>
          <w:tcPr>
            <w:tcW w:w="1520" w:type="dxa"/>
            <w:vAlign w:val="bottom"/>
            <w:shd w:val="clear" w:color="auto" w:fill="ACACAC"/>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1280" w:type="dxa"/>
            <w:vAlign w:val="bottom"/>
            <w:shd w:val="clear" w:color="auto" w:fill="ACACAC"/>
          </w:tcPr>
          <w:p>
            <w:pPr>
              <w:spacing w:after="0"/>
              <w:rPr>
                <w:sz w:val="14"/>
                <w:szCs w:val="14"/>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w:t>
            </w:r>
          </w:p>
        </w:tc>
        <w:tc>
          <w:tcPr>
            <w:tcW w:w="420" w:type="dxa"/>
            <w:vAlign w:val="bottom"/>
            <w:shd w:val="clear" w:color="auto" w:fill="ACACAC"/>
          </w:tcPr>
          <w:p>
            <w:pPr>
              <w:spacing w:after="0"/>
              <w:rPr>
                <w:sz w:val="14"/>
                <w:szCs w:val="14"/>
                <w:color w:val="auto"/>
              </w:rPr>
            </w:pPr>
          </w:p>
        </w:tc>
        <w:tc>
          <w:tcPr>
            <w:tcW w:w="140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ACACAC"/>
          </w:tcPr>
          <w:p>
            <w:pPr>
              <w:spacing w:after="0"/>
              <w:rPr>
                <w:sz w:val="11"/>
                <w:szCs w:val="11"/>
                <w:color w:val="auto"/>
              </w:rPr>
            </w:pPr>
          </w:p>
        </w:tc>
        <w:tc>
          <w:tcPr>
            <w:tcW w:w="1520" w:type="dxa"/>
            <w:vAlign w:val="bottom"/>
            <w:shd w:val="clear" w:color="auto" w:fill="ACACAC"/>
          </w:tcPr>
          <w:p>
            <w:pPr>
              <w:spacing w:after="0"/>
              <w:rPr>
                <w:sz w:val="11"/>
                <w:szCs w:val="11"/>
                <w:color w:val="auto"/>
              </w:rPr>
            </w:pPr>
          </w:p>
        </w:tc>
        <w:tc>
          <w:tcPr>
            <w:tcW w:w="360" w:type="dxa"/>
            <w:vAlign w:val="bottom"/>
            <w:shd w:val="clear" w:color="auto" w:fill="ACACAC"/>
          </w:tcPr>
          <w:p>
            <w:pPr>
              <w:spacing w:after="0"/>
              <w:rPr>
                <w:sz w:val="11"/>
                <w:szCs w:val="11"/>
                <w:color w:val="auto"/>
              </w:rPr>
            </w:pPr>
          </w:p>
        </w:tc>
        <w:tc>
          <w:tcPr>
            <w:tcW w:w="1280" w:type="dxa"/>
            <w:vAlign w:val="bottom"/>
            <w:vMerge w:val="restart"/>
            <w:shd w:val="clear" w:color="auto" w:fill="ACACAC"/>
          </w:tcPr>
          <w:p>
            <w:pPr>
              <w:jc w:val="right"/>
              <w:ind w:right="238"/>
              <w:spacing w:after="0"/>
              <w:rPr>
                <w:sz w:val="20"/>
                <w:szCs w:val="20"/>
                <w:color w:val="auto"/>
              </w:rPr>
            </w:pPr>
            <w:r>
              <w:rPr>
                <w:rFonts w:ascii="Arial" w:cs="Arial" w:eastAsia="Arial" w:hAnsi="Arial"/>
                <w:sz w:val="14"/>
                <w:szCs w:val="14"/>
                <w:b w:val="1"/>
                <w:bCs w:val="1"/>
                <w:color w:val="FFFFFF"/>
              </w:rPr>
              <w:t>Weighted</w:t>
            </w: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average</w:t>
            </w:r>
          </w:p>
        </w:tc>
        <w:tc>
          <w:tcPr>
            <w:tcW w:w="420" w:type="dxa"/>
            <w:vAlign w:val="bottom"/>
            <w:shd w:val="clear" w:color="auto" w:fill="ACACAC"/>
          </w:tcPr>
          <w:p>
            <w:pPr>
              <w:spacing w:after="0"/>
              <w:rPr>
                <w:sz w:val="11"/>
                <w:szCs w:val="11"/>
                <w:color w:val="auto"/>
              </w:rPr>
            </w:pPr>
          </w:p>
        </w:tc>
        <w:tc>
          <w:tcPr>
            <w:tcW w:w="140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ACACAC"/>
          </w:tcPr>
          <w:p>
            <w:pPr>
              <w:spacing w:after="0"/>
              <w:rPr>
                <w:sz w:val="11"/>
                <w:szCs w:val="11"/>
                <w:color w:val="auto"/>
              </w:rPr>
            </w:pPr>
          </w:p>
        </w:tc>
        <w:tc>
          <w:tcPr>
            <w:tcW w:w="1520" w:type="dxa"/>
            <w:vAlign w:val="bottom"/>
            <w:shd w:val="clear" w:color="auto" w:fill="ACACAC"/>
          </w:tcPr>
          <w:p>
            <w:pPr>
              <w:spacing w:after="0"/>
              <w:rPr>
                <w:sz w:val="11"/>
                <w:szCs w:val="11"/>
                <w:color w:val="auto"/>
              </w:rPr>
            </w:pPr>
          </w:p>
        </w:tc>
        <w:tc>
          <w:tcPr>
            <w:tcW w:w="360" w:type="dxa"/>
            <w:vAlign w:val="bottom"/>
            <w:shd w:val="clear" w:color="auto" w:fill="ACACAC"/>
          </w:tcPr>
          <w:p>
            <w:pPr>
              <w:spacing w:after="0"/>
              <w:rPr>
                <w:sz w:val="11"/>
                <w:szCs w:val="11"/>
                <w:color w:val="auto"/>
              </w:rPr>
            </w:pPr>
          </w:p>
        </w:tc>
        <w:tc>
          <w:tcPr>
            <w:tcW w:w="1280" w:type="dxa"/>
            <w:vAlign w:val="bottom"/>
            <w:vMerge w:val="continue"/>
            <w:shd w:val="clear" w:color="auto" w:fill="ACACAC"/>
          </w:tcPr>
          <w:p>
            <w:pPr>
              <w:spacing w:after="0"/>
              <w:rPr>
                <w:sz w:val="11"/>
                <w:szCs w:val="11"/>
                <w:color w:val="auto"/>
              </w:rPr>
            </w:pP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remaining</w:t>
            </w:r>
          </w:p>
        </w:tc>
        <w:tc>
          <w:tcPr>
            <w:tcW w:w="420" w:type="dxa"/>
            <w:vAlign w:val="bottom"/>
            <w:shd w:val="clear" w:color="auto" w:fill="ACACAC"/>
          </w:tcPr>
          <w:p>
            <w:pPr>
              <w:spacing w:after="0"/>
              <w:rPr>
                <w:sz w:val="11"/>
                <w:szCs w:val="11"/>
                <w:color w:val="auto"/>
              </w:rPr>
            </w:pPr>
          </w:p>
        </w:tc>
        <w:tc>
          <w:tcPr>
            <w:tcW w:w="14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Aggregate</w:t>
            </w:r>
          </w:p>
        </w:tc>
        <w:tc>
          <w:tcPr>
            <w:tcW w:w="0" w:type="dxa"/>
            <w:vAlign w:val="bottom"/>
          </w:tcPr>
          <w:p>
            <w:pPr>
              <w:spacing w:after="0"/>
              <w:rPr>
                <w:sz w:val="1"/>
                <w:szCs w:val="1"/>
                <w:color w:val="auto"/>
              </w:rPr>
            </w:pPr>
          </w:p>
        </w:tc>
      </w:tr>
      <w:tr>
        <w:trPr>
          <w:trHeight w:val="135"/>
        </w:trPr>
        <w:tc>
          <w:tcPr>
            <w:tcW w:w="5120" w:type="dxa"/>
            <w:vAlign w:val="bottom"/>
            <w:shd w:val="clear" w:color="auto" w:fill="ACACAC"/>
          </w:tcPr>
          <w:p>
            <w:pPr>
              <w:spacing w:after="0"/>
              <w:rPr>
                <w:sz w:val="11"/>
                <w:szCs w:val="11"/>
                <w:color w:val="auto"/>
              </w:rPr>
            </w:pPr>
          </w:p>
        </w:tc>
        <w:tc>
          <w:tcPr>
            <w:tcW w:w="15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Restricted</w:t>
            </w:r>
          </w:p>
        </w:tc>
        <w:tc>
          <w:tcPr>
            <w:tcW w:w="360" w:type="dxa"/>
            <w:vAlign w:val="bottom"/>
            <w:shd w:val="clear" w:color="auto" w:fill="ACACAC"/>
          </w:tcPr>
          <w:p>
            <w:pPr>
              <w:spacing w:after="0"/>
              <w:rPr>
                <w:sz w:val="11"/>
                <w:szCs w:val="11"/>
                <w:color w:val="auto"/>
              </w:rPr>
            </w:pPr>
          </w:p>
        </w:tc>
        <w:tc>
          <w:tcPr>
            <w:tcW w:w="1280" w:type="dxa"/>
            <w:vAlign w:val="bottom"/>
            <w:shd w:val="clear" w:color="auto" w:fill="ACACAC"/>
          </w:tcPr>
          <w:p>
            <w:pPr>
              <w:jc w:val="center"/>
              <w:ind w:left="18"/>
              <w:spacing w:after="0" w:line="135" w:lineRule="exact"/>
              <w:rPr>
                <w:sz w:val="20"/>
                <w:szCs w:val="20"/>
                <w:color w:val="auto"/>
              </w:rPr>
            </w:pPr>
            <w:r>
              <w:rPr>
                <w:rFonts w:ascii="Arial" w:cs="Arial" w:eastAsia="Arial" w:hAnsi="Arial"/>
                <w:sz w:val="14"/>
                <w:szCs w:val="14"/>
                <w:b w:val="1"/>
                <w:bCs w:val="1"/>
                <w:color w:val="FFFFFF"/>
              </w:rPr>
              <w:t>average</w:t>
            </w: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contractual</w:t>
            </w:r>
          </w:p>
        </w:tc>
        <w:tc>
          <w:tcPr>
            <w:tcW w:w="420" w:type="dxa"/>
            <w:vAlign w:val="bottom"/>
            <w:shd w:val="clear" w:color="auto" w:fill="ACACAC"/>
          </w:tcPr>
          <w:p>
            <w:pPr>
              <w:spacing w:after="0"/>
              <w:rPr>
                <w:sz w:val="11"/>
                <w:szCs w:val="11"/>
                <w:color w:val="auto"/>
              </w:rPr>
            </w:pPr>
          </w:p>
        </w:tc>
        <w:tc>
          <w:tcPr>
            <w:tcW w:w="1400" w:type="dxa"/>
            <w:vAlign w:val="bottom"/>
            <w:vMerge w:val="continue"/>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Restricted stock awards</w:t>
            </w:r>
          </w:p>
        </w:tc>
        <w:tc>
          <w:tcPr>
            <w:tcW w:w="1520" w:type="dxa"/>
            <w:vAlign w:val="bottom"/>
            <w:vMerge w:val="continue"/>
            <w:shd w:val="clear" w:color="auto" w:fill="ACACAC"/>
          </w:tcPr>
          <w:p>
            <w:pPr>
              <w:spacing w:after="0"/>
              <w:rPr>
                <w:sz w:val="11"/>
                <w:szCs w:val="11"/>
                <w:color w:val="auto"/>
              </w:rPr>
            </w:pPr>
          </w:p>
        </w:tc>
        <w:tc>
          <w:tcPr>
            <w:tcW w:w="360" w:type="dxa"/>
            <w:vAlign w:val="bottom"/>
            <w:shd w:val="clear" w:color="auto" w:fill="ACACAC"/>
          </w:tcPr>
          <w:p>
            <w:pPr>
              <w:spacing w:after="0"/>
              <w:rPr>
                <w:sz w:val="11"/>
                <w:szCs w:val="11"/>
                <w:color w:val="auto"/>
              </w:rPr>
            </w:pPr>
          </w:p>
        </w:tc>
        <w:tc>
          <w:tcPr>
            <w:tcW w:w="1280" w:type="dxa"/>
            <w:vAlign w:val="bottom"/>
            <w:shd w:val="clear" w:color="auto" w:fill="ACACAC"/>
          </w:tcPr>
          <w:p>
            <w:pPr>
              <w:jc w:val="right"/>
              <w:ind w:right="238"/>
              <w:spacing w:after="0" w:line="135" w:lineRule="exact"/>
              <w:rPr>
                <w:sz w:val="20"/>
                <w:szCs w:val="20"/>
                <w:color w:val="auto"/>
              </w:rPr>
            </w:pPr>
            <w:r>
              <w:rPr>
                <w:rFonts w:ascii="Arial" w:cs="Arial" w:eastAsia="Arial" w:hAnsi="Arial"/>
                <w:sz w:val="14"/>
                <w:szCs w:val="14"/>
                <w:b w:val="1"/>
                <w:bCs w:val="1"/>
                <w:color w:val="FFFFFF"/>
              </w:rPr>
              <w:t>grant-date</w:t>
            </w: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term</w:t>
            </w:r>
          </w:p>
        </w:tc>
        <w:tc>
          <w:tcPr>
            <w:tcW w:w="420" w:type="dxa"/>
            <w:vAlign w:val="bottom"/>
            <w:shd w:val="clear" w:color="auto" w:fill="ACACAC"/>
          </w:tcPr>
          <w:p>
            <w:pPr>
              <w:spacing w:after="0"/>
              <w:rPr>
                <w:sz w:val="11"/>
                <w:szCs w:val="11"/>
                <w:color w:val="auto"/>
              </w:rPr>
            </w:pPr>
          </w:p>
        </w:tc>
        <w:tc>
          <w:tcPr>
            <w:tcW w:w="1400" w:type="dxa"/>
            <w:vAlign w:val="bottom"/>
            <w:shd w:val="clear" w:color="auto" w:fill="ACACAC"/>
          </w:tcPr>
          <w:p>
            <w:pPr>
              <w:jc w:val="right"/>
              <w:spacing w:after="0" w:line="135" w:lineRule="exact"/>
              <w:rPr>
                <w:sz w:val="20"/>
                <w:szCs w:val="20"/>
                <w:color w:val="auto"/>
              </w:rPr>
            </w:pPr>
            <w:r>
              <w:rPr>
                <w:rFonts w:ascii="Arial" w:cs="Arial" w:eastAsia="Arial" w:hAnsi="Arial"/>
                <w:sz w:val="12"/>
                <w:szCs w:val="12"/>
                <w:b w:val="1"/>
                <w:bCs w:val="1"/>
                <w:color w:val="FFFFFF"/>
              </w:rPr>
              <w:t>intrinsic value</w:t>
            </w:r>
            <w:r>
              <w:rPr>
                <w:rFonts w:ascii="Arial" w:cs="Arial" w:eastAsia="Arial" w:hAnsi="Arial"/>
                <w:sz w:val="15"/>
                <w:szCs w:val="15"/>
                <w:b w:val="1"/>
                <w:bCs w:val="1"/>
                <w:color w:val="FFFFFF"/>
                <w:vertAlign w:val="superscript"/>
              </w:rPr>
              <w:t>(1)</w:t>
            </w:r>
          </w:p>
        </w:tc>
        <w:tc>
          <w:tcPr>
            <w:tcW w:w="0" w:type="dxa"/>
            <w:vAlign w:val="bottom"/>
          </w:tcPr>
          <w:p>
            <w:pPr>
              <w:spacing w:after="0"/>
              <w:rPr>
                <w:sz w:val="1"/>
                <w:szCs w:val="1"/>
                <w:color w:val="auto"/>
              </w:rPr>
            </w:pPr>
          </w:p>
        </w:tc>
      </w:tr>
      <w:tr>
        <w:trPr>
          <w:trHeight w:val="176"/>
        </w:trPr>
        <w:tc>
          <w:tcPr>
            <w:tcW w:w="5120" w:type="dxa"/>
            <w:vAlign w:val="bottom"/>
            <w:vMerge w:val="continue"/>
            <w:shd w:val="clear" w:color="auto" w:fill="ACACAC"/>
          </w:tcPr>
          <w:p>
            <w:pPr>
              <w:spacing w:after="0"/>
              <w:rPr>
                <w:sz w:val="15"/>
                <w:szCs w:val="15"/>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 awards</w:t>
            </w:r>
          </w:p>
        </w:tc>
        <w:tc>
          <w:tcPr>
            <w:tcW w:w="360" w:type="dxa"/>
            <w:vAlign w:val="bottom"/>
            <w:shd w:val="clear" w:color="auto" w:fill="ACACAC"/>
          </w:tcPr>
          <w:p>
            <w:pPr>
              <w:spacing w:after="0"/>
              <w:rPr>
                <w:sz w:val="15"/>
                <w:szCs w:val="15"/>
                <w:color w:val="auto"/>
              </w:rPr>
            </w:pPr>
          </w:p>
        </w:tc>
        <w:tc>
          <w:tcPr>
            <w:tcW w:w="1280" w:type="dxa"/>
            <w:vAlign w:val="bottom"/>
            <w:shd w:val="clear" w:color="auto" w:fill="ACACAC"/>
          </w:tcPr>
          <w:p>
            <w:pPr>
              <w:jc w:val="right"/>
              <w:ind w:right="238"/>
              <w:spacing w:after="0"/>
              <w:rPr>
                <w:sz w:val="20"/>
                <w:szCs w:val="20"/>
                <w:color w:val="auto"/>
              </w:rPr>
            </w:pPr>
            <w:r>
              <w:rPr>
                <w:rFonts w:ascii="Arial" w:cs="Arial" w:eastAsia="Arial" w:hAnsi="Arial"/>
                <w:sz w:val="14"/>
                <w:szCs w:val="14"/>
                <w:b w:val="1"/>
                <w:bCs w:val="1"/>
                <w:color w:val="FFFFFF"/>
              </w:rPr>
              <w:t>fair value</w:t>
            </w: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years)</w:t>
            </w:r>
          </w:p>
        </w:tc>
        <w:tc>
          <w:tcPr>
            <w:tcW w:w="420" w:type="dxa"/>
            <w:vAlign w:val="bottom"/>
            <w:shd w:val="clear" w:color="auto" w:fill="ACACAC"/>
          </w:tcPr>
          <w:p>
            <w:pPr>
              <w:spacing w:after="0"/>
              <w:rPr>
                <w:sz w:val="15"/>
                <w:szCs w:val="15"/>
                <w:color w:val="auto"/>
              </w:rPr>
            </w:pP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0" w:type="dxa"/>
            <w:vAlign w:val="bottom"/>
          </w:tcPr>
          <w:p>
            <w:pPr>
              <w:spacing w:after="0"/>
              <w:rPr>
                <w:sz w:val="1"/>
                <w:szCs w:val="1"/>
                <w:color w:val="auto"/>
              </w:rPr>
            </w:pPr>
          </w:p>
        </w:tc>
      </w:tr>
      <w:tr>
        <w:trPr>
          <w:trHeight w:val="229"/>
        </w:trPr>
        <w:tc>
          <w:tcPr>
            <w:tcW w:w="5120" w:type="dxa"/>
            <w:vAlign w:val="bottom"/>
            <w:shd w:val="clear" w:color="auto" w:fill="F4F4F4"/>
          </w:tcPr>
          <w:p>
            <w:pPr>
              <w:ind w:left="20"/>
              <w:spacing w:after="0"/>
              <w:rPr>
                <w:sz w:val="20"/>
                <w:szCs w:val="20"/>
                <w:color w:val="auto"/>
              </w:rPr>
            </w:pPr>
            <w:r>
              <w:rPr>
                <w:rFonts w:ascii="Arial" w:cs="Arial" w:eastAsia="Arial" w:hAnsi="Arial"/>
                <w:sz w:val="18"/>
                <w:szCs w:val="18"/>
                <w:color w:val="auto"/>
              </w:rPr>
              <w:t>Unvested at January 1, 2020</w:t>
            </w:r>
          </w:p>
        </w:tc>
        <w:tc>
          <w:tcPr>
            <w:tcW w:w="15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1,316,764</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4F4F4"/>
          </w:tcPr>
          <w:p>
            <w:pPr>
              <w:jc w:val="center"/>
              <w:spacing w:after="0"/>
              <w:rPr>
                <w:sz w:val="20"/>
                <w:szCs w:val="20"/>
                <w:color w:val="auto"/>
              </w:rPr>
            </w:pPr>
            <w:r>
              <w:rPr>
                <w:rFonts w:ascii="Arial" w:cs="Arial" w:eastAsia="Arial" w:hAnsi="Arial"/>
                <w:sz w:val="18"/>
                <w:szCs w:val="18"/>
                <w:color w:val="auto"/>
              </w:rPr>
              <w:t>79.92</w:t>
            </w:r>
          </w:p>
        </w:tc>
        <w:tc>
          <w:tcPr>
            <w:tcW w:w="112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140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657,718</w:t>
            </w:r>
          </w:p>
        </w:tc>
        <w:tc>
          <w:tcPr>
            <w:tcW w:w="3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77.16</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F4F4F4"/>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(520,296)</w:t>
            </w:r>
          </w:p>
        </w:tc>
        <w:tc>
          <w:tcPr>
            <w:tcW w:w="360" w:type="dxa"/>
            <w:vAlign w:val="bottom"/>
            <w:shd w:val="clear" w:color="auto" w:fill="F4F4F4"/>
          </w:tcPr>
          <w:p>
            <w:pPr>
              <w:spacing w:after="0"/>
              <w:rPr>
                <w:sz w:val="19"/>
                <w:szCs w:val="19"/>
                <w:color w:val="auto"/>
              </w:rPr>
            </w:pPr>
          </w:p>
        </w:tc>
        <w:tc>
          <w:tcPr>
            <w:tcW w:w="1280" w:type="dxa"/>
            <w:vAlign w:val="bottom"/>
            <w:shd w:val="clear" w:color="auto" w:fill="F4F4F4"/>
          </w:tcPr>
          <w:p>
            <w:pPr>
              <w:jc w:val="center"/>
              <w:spacing w:after="0"/>
              <w:rPr>
                <w:sz w:val="20"/>
                <w:szCs w:val="20"/>
                <w:color w:val="auto"/>
              </w:rPr>
            </w:pPr>
            <w:r>
              <w:rPr>
                <w:rFonts w:ascii="Arial" w:cs="Arial" w:eastAsia="Arial" w:hAnsi="Arial"/>
                <w:sz w:val="18"/>
                <w:szCs w:val="18"/>
                <w:color w:val="auto"/>
              </w:rPr>
              <w:t>76.66</w:t>
            </w:r>
          </w:p>
        </w:tc>
        <w:tc>
          <w:tcPr>
            <w:tcW w:w="112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140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(177,077)</w:t>
            </w:r>
          </w:p>
        </w:tc>
        <w:tc>
          <w:tcPr>
            <w:tcW w:w="360" w:type="dxa"/>
            <w:vAlign w:val="bottom"/>
            <w:tcBorders>
              <w:bottom w:val="single" w:sz="8" w:color="F4F4F4"/>
            </w:tcBorders>
          </w:tcPr>
          <w:p>
            <w:pPr>
              <w:spacing w:after="0"/>
              <w:rPr>
                <w:sz w:val="19"/>
                <w:szCs w:val="19"/>
                <w:color w:val="auto"/>
              </w:rPr>
            </w:pPr>
          </w:p>
        </w:tc>
        <w:tc>
          <w:tcPr>
            <w:tcW w:w="1280" w:type="dxa"/>
            <w:vAlign w:val="bottom"/>
            <w:tcBorders>
              <w:bottom w:val="single" w:sz="8" w:color="F4F4F4"/>
            </w:tcBorders>
          </w:tcPr>
          <w:p>
            <w:pPr>
              <w:jc w:val="center"/>
              <w:spacing w:after="0"/>
              <w:rPr>
                <w:sz w:val="20"/>
                <w:szCs w:val="20"/>
                <w:color w:val="auto"/>
              </w:rPr>
            </w:pPr>
            <w:r>
              <w:rPr>
                <w:rFonts w:ascii="Arial" w:cs="Arial" w:eastAsia="Arial" w:hAnsi="Arial"/>
                <w:sz w:val="18"/>
                <w:szCs w:val="18"/>
                <w:color w:val="auto"/>
              </w:rPr>
              <w:t>80.71</w:t>
            </w:r>
          </w:p>
        </w:tc>
        <w:tc>
          <w:tcPr>
            <w:tcW w:w="1120" w:type="dxa"/>
            <w:vAlign w:val="bottom"/>
            <w:tcBorders>
              <w:bottom w:val="single" w:sz="8" w:color="F4F4F4"/>
            </w:tcBorders>
          </w:tcPr>
          <w:p>
            <w:pPr>
              <w:spacing w:after="0"/>
              <w:rPr>
                <w:sz w:val="19"/>
                <w:szCs w:val="19"/>
                <w:color w:val="auto"/>
              </w:rPr>
            </w:pPr>
          </w:p>
        </w:tc>
        <w:tc>
          <w:tcPr>
            <w:tcW w:w="420" w:type="dxa"/>
            <w:vAlign w:val="bottom"/>
            <w:tcBorders>
              <w:bottom w:val="single" w:sz="8" w:color="F4F4F4"/>
            </w:tcBorders>
          </w:tcPr>
          <w:p>
            <w:pPr>
              <w:spacing w:after="0"/>
              <w:rPr>
                <w:sz w:val="19"/>
                <w:szCs w:val="19"/>
                <w:color w:val="auto"/>
              </w:rPr>
            </w:pPr>
          </w:p>
        </w:tc>
        <w:tc>
          <w:tcPr>
            <w:tcW w:w="1400" w:type="dxa"/>
            <w:vAlign w:val="bottom"/>
            <w:tcBorders>
              <w:bottom w:val="single" w:sz="8" w:color="F4F4F4"/>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Unvested at December 31, 2020</w:t>
            </w:r>
          </w:p>
        </w:tc>
        <w:tc>
          <w:tcPr>
            <w:tcW w:w="15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1,277,109</w:t>
            </w:r>
          </w:p>
        </w:tc>
        <w:tc>
          <w:tcPr>
            <w:tcW w:w="360" w:type="dxa"/>
            <w:vAlign w:val="bottom"/>
            <w:tcBorders>
              <w:bottom w:val="single" w:sz="8" w:color="71BF43"/>
            </w:tcBorders>
            <w:shd w:val="clear" w:color="auto" w:fill="F4F4F4"/>
          </w:tcPr>
          <w:p>
            <w:pPr>
              <w:spacing w:after="0"/>
              <w:rPr>
                <w:sz w:val="19"/>
                <w:szCs w:val="19"/>
                <w:color w:val="auto"/>
              </w:rPr>
            </w:pPr>
          </w:p>
        </w:tc>
        <w:tc>
          <w:tcPr>
            <w:tcW w:w="1280" w:type="dxa"/>
            <w:vAlign w:val="bottom"/>
            <w:tcBorders>
              <w:bottom w:val="single" w:sz="8" w:color="71BF43"/>
            </w:tcBorders>
            <w:shd w:val="clear" w:color="auto" w:fill="F4F4F4"/>
          </w:tcPr>
          <w:p>
            <w:pPr>
              <w:jc w:val="center"/>
              <w:spacing w:after="0"/>
              <w:rPr>
                <w:sz w:val="20"/>
                <w:szCs w:val="20"/>
                <w:color w:val="auto"/>
              </w:rPr>
            </w:pPr>
            <w:r>
              <w:rPr>
                <w:rFonts w:ascii="Arial" w:cs="Arial" w:eastAsia="Arial" w:hAnsi="Arial"/>
                <w:sz w:val="18"/>
                <w:szCs w:val="18"/>
                <w:color w:val="auto"/>
              </w:rPr>
              <w:t>79.54</w:t>
            </w: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8.4</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71BF43"/>
            </w:tcBorders>
            <w:shd w:val="clear" w:color="auto" w:fill="F4F4F4"/>
          </w:tcPr>
          <w:p>
            <w:pPr>
              <w:jc w:val="right"/>
              <w:ind w:right="6"/>
              <w:spacing w:after="0"/>
              <w:rPr>
                <w:sz w:val="20"/>
                <w:szCs w:val="20"/>
                <w:color w:val="auto"/>
              </w:rPr>
            </w:pPr>
            <w:r>
              <w:rPr>
                <w:rFonts w:ascii="Arial" w:cs="Arial" w:eastAsia="Arial" w:hAnsi="Arial"/>
                <w:sz w:val="18"/>
                <w:szCs w:val="18"/>
                <w:color w:val="auto"/>
              </w:rPr>
              <w:t>73,510</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intrinsic value is calculated as the market value as of the end of the fiscal period.</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fair value of restricted stock awards that vested during the years ended December 31, 2020, 2019 and 2018 was $39.9 million, $37.5 million and $24.2 million, respectively. The weighted average grant-date fair value of restricted stock awards granted during the years ended December 31, 2019 and 2018 was $78.39 and $94.51,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also granted restricted stock units subject to certain restrictions under the 2016 Equity Plan and the 2008 Equity Plan. Restricted stock units granted to employees vest in equal annual installments generally over 3 years from the grant date subject to the recipient’s continued employment with us. We have also granted restricted stock units for which vesting is subject to meeting certain performance and/or market conditions. Restricted stock units granted with a market condition had a fair market value assigned at the grant date based on the use of a Monte Carlo simulation model. The fair market value of the stock at the time of the grant is amortized to expense on a straight-line basis over the period of vesting except for awards with market or performance conditions, which are amortized on an accelerated basis over the period of vesting.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unvested restricted stock units as of December 31, 2020, and changes during the year then ended: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shd w:val="clear" w:color="auto" w:fill="ACACAC"/>
          </w:tcPr>
          <w:p>
            <w:pPr>
              <w:spacing w:after="0"/>
              <w:rPr>
                <w:sz w:val="14"/>
                <w:szCs w:val="14"/>
                <w:color w:val="auto"/>
              </w:rPr>
            </w:pPr>
          </w:p>
        </w:tc>
        <w:tc>
          <w:tcPr>
            <w:tcW w:w="1520" w:type="dxa"/>
            <w:vAlign w:val="bottom"/>
            <w:shd w:val="clear" w:color="auto" w:fill="ACACAC"/>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1280" w:type="dxa"/>
            <w:vAlign w:val="bottom"/>
            <w:shd w:val="clear" w:color="auto" w:fill="ACACAC"/>
          </w:tcPr>
          <w:p>
            <w:pPr>
              <w:spacing w:after="0"/>
              <w:rPr>
                <w:sz w:val="14"/>
                <w:szCs w:val="14"/>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w:t>
            </w:r>
          </w:p>
        </w:tc>
        <w:tc>
          <w:tcPr>
            <w:tcW w:w="420" w:type="dxa"/>
            <w:vAlign w:val="bottom"/>
            <w:shd w:val="clear" w:color="auto" w:fill="ACACAC"/>
          </w:tcPr>
          <w:p>
            <w:pPr>
              <w:spacing w:after="0"/>
              <w:rPr>
                <w:sz w:val="14"/>
                <w:szCs w:val="14"/>
                <w:color w:val="auto"/>
              </w:rPr>
            </w:pPr>
          </w:p>
        </w:tc>
        <w:tc>
          <w:tcPr>
            <w:tcW w:w="140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ACACAC"/>
          </w:tcPr>
          <w:p>
            <w:pPr>
              <w:spacing w:after="0"/>
              <w:rPr>
                <w:sz w:val="11"/>
                <w:szCs w:val="11"/>
                <w:color w:val="auto"/>
              </w:rPr>
            </w:pPr>
          </w:p>
        </w:tc>
        <w:tc>
          <w:tcPr>
            <w:tcW w:w="1520" w:type="dxa"/>
            <w:vAlign w:val="bottom"/>
            <w:shd w:val="clear" w:color="auto" w:fill="ACACAC"/>
          </w:tcPr>
          <w:p>
            <w:pPr>
              <w:spacing w:after="0"/>
              <w:rPr>
                <w:sz w:val="11"/>
                <w:szCs w:val="11"/>
                <w:color w:val="auto"/>
              </w:rPr>
            </w:pPr>
          </w:p>
        </w:tc>
        <w:tc>
          <w:tcPr>
            <w:tcW w:w="360" w:type="dxa"/>
            <w:vAlign w:val="bottom"/>
            <w:shd w:val="clear" w:color="auto" w:fill="ACACAC"/>
          </w:tcPr>
          <w:p>
            <w:pPr>
              <w:spacing w:after="0"/>
              <w:rPr>
                <w:sz w:val="11"/>
                <w:szCs w:val="11"/>
                <w:color w:val="auto"/>
              </w:rPr>
            </w:pPr>
          </w:p>
        </w:tc>
        <w:tc>
          <w:tcPr>
            <w:tcW w:w="1280" w:type="dxa"/>
            <w:vAlign w:val="bottom"/>
            <w:vMerge w:val="restart"/>
            <w:shd w:val="clear" w:color="auto" w:fill="ACACAC"/>
          </w:tcPr>
          <w:p>
            <w:pPr>
              <w:jc w:val="right"/>
              <w:ind w:right="238"/>
              <w:spacing w:after="0"/>
              <w:rPr>
                <w:sz w:val="20"/>
                <w:szCs w:val="20"/>
                <w:color w:val="auto"/>
              </w:rPr>
            </w:pPr>
            <w:r>
              <w:rPr>
                <w:rFonts w:ascii="Arial" w:cs="Arial" w:eastAsia="Arial" w:hAnsi="Arial"/>
                <w:sz w:val="14"/>
                <w:szCs w:val="14"/>
                <w:b w:val="1"/>
                <w:bCs w:val="1"/>
                <w:color w:val="FFFFFF"/>
              </w:rPr>
              <w:t>Weighted</w:t>
            </w: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average</w:t>
            </w:r>
          </w:p>
        </w:tc>
        <w:tc>
          <w:tcPr>
            <w:tcW w:w="420" w:type="dxa"/>
            <w:vAlign w:val="bottom"/>
            <w:shd w:val="clear" w:color="auto" w:fill="ACACAC"/>
          </w:tcPr>
          <w:p>
            <w:pPr>
              <w:spacing w:after="0"/>
              <w:rPr>
                <w:sz w:val="11"/>
                <w:szCs w:val="11"/>
                <w:color w:val="auto"/>
              </w:rPr>
            </w:pPr>
          </w:p>
        </w:tc>
        <w:tc>
          <w:tcPr>
            <w:tcW w:w="140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shd w:val="clear" w:color="auto" w:fill="ACACAC"/>
          </w:tcPr>
          <w:p>
            <w:pPr>
              <w:spacing w:after="0"/>
              <w:rPr>
                <w:sz w:val="11"/>
                <w:szCs w:val="11"/>
                <w:color w:val="auto"/>
              </w:rPr>
            </w:pPr>
          </w:p>
        </w:tc>
        <w:tc>
          <w:tcPr>
            <w:tcW w:w="1520" w:type="dxa"/>
            <w:vAlign w:val="bottom"/>
            <w:shd w:val="clear" w:color="auto" w:fill="ACACAC"/>
          </w:tcPr>
          <w:p>
            <w:pPr>
              <w:spacing w:after="0"/>
              <w:rPr>
                <w:sz w:val="11"/>
                <w:szCs w:val="11"/>
                <w:color w:val="auto"/>
              </w:rPr>
            </w:pPr>
          </w:p>
        </w:tc>
        <w:tc>
          <w:tcPr>
            <w:tcW w:w="360" w:type="dxa"/>
            <w:vAlign w:val="bottom"/>
            <w:shd w:val="clear" w:color="auto" w:fill="ACACAC"/>
          </w:tcPr>
          <w:p>
            <w:pPr>
              <w:spacing w:after="0"/>
              <w:rPr>
                <w:sz w:val="11"/>
                <w:szCs w:val="11"/>
                <w:color w:val="auto"/>
              </w:rPr>
            </w:pPr>
          </w:p>
        </w:tc>
        <w:tc>
          <w:tcPr>
            <w:tcW w:w="1280" w:type="dxa"/>
            <w:vAlign w:val="bottom"/>
            <w:vMerge w:val="continue"/>
            <w:shd w:val="clear" w:color="auto" w:fill="ACACAC"/>
          </w:tcPr>
          <w:p>
            <w:pPr>
              <w:spacing w:after="0"/>
              <w:rPr>
                <w:sz w:val="11"/>
                <w:szCs w:val="11"/>
                <w:color w:val="auto"/>
              </w:rPr>
            </w:pP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remaining</w:t>
            </w:r>
          </w:p>
        </w:tc>
        <w:tc>
          <w:tcPr>
            <w:tcW w:w="420" w:type="dxa"/>
            <w:vAlign w:val="bottom"/>
            <w:shd w:val="clear" w:color="auto" w:fill="ACACAC"/>
          </w:tcPr>
          <w:p>
            <w:pPr>
              <w:spacing w:after="0"/>
              <w:rPr>
                <w:sz w:val="11"/>
                <w:szCs w:val="11"/>
                <w:color w:val="auto"/>
              </w:rPr>
            </w:pPr>
          </w:p>
        </w:tc>
        <w:tc>
          <w:tcPr>
            <w:tcW w:w="14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Aggregate</w:t>
            </w:r>
          </w:p>
        </w:tc>
        <w:tc>
          <w:tcPr>
            <w:tcW w:w="0" w:type="dxa"/>
            <w:vAlign w:val="bottom"/>
          </w:tcPr>
          <w:p>
            <w:pPr>
              <w:spacing w:after="0"/>
              <w:rPr>
                <w:sz w:val="1"/>
                <w:szCs w:val="1"/>
                <w:color w:val="auto"/>
              </w:rPr>
            </w:pPr>
          </w:p>
        </w:tc>
      </w:tr>
      <w:tr>
        <w:trPr>
          <w:trHeight w:val="135"/>
        </w:trPr>
        <w:tc>
          <w:tcPr>
            <w:tcW w:w="5120" w:type="dxa"/>
            <w:vAlign w:val="bottom"/>
            <w:shd w:val="clear" w:color="auto" w:fill="ACACAC"/>
          </w:tcPr>
          <w:p>
            <w:pPr>
              <w:spacing w:after="0"/>
              <w:rPr>
                <w:sz w:val="11"/>
                <w:szCs w:val="11"/>
                <w:color w:val="auto"/>
              </w:rPr>
            </w:pPr>
          </w:p>
        </w:tc>
        <w:tc>
          <w:tcPr>
            <w:tcW w:w="15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Restricted</w:t>
            </w:r>
          </w:p>
        </w:tc>
        <w:tc>
          <w:tcPr>
            <w:tcW w:w="360" w:type="dxa"/>
            <w:vAlign w:val="bottom"/>
            <w:shd w:val="clear" w:color="auto" w:fill="ACACAC"/>
          </w:tcPr>
          <w:p>
            <w:pPr>
              <w:spacing w:after="0"/>
              <w:rPr>
                <w:sz w:val="11"/>
                <w:szCs w:val="11"/>
                <w:color w:val="auto"/>
              </w:rPr>
            </w:pPr>
          </w:p>
        </w:tc>
        <w:tc>
          <w:tcPr>
            <w:tcW w:w="1280" w:type="dxa"/>
            <w:vAlign w:val="bottom"/>
            <w:shd w:val="clear" w:color="auto" w:fill="ACACAC"/>
          </w:tcPr>
          <w:p>
            <w:pPr>
              <w:jc w:val="center"/>
              <w:ind w:left="18"/>
              <w:spacing w:after="0" w:line="135" w:lineRule="exact"/>
              <w:rPr>
                <w:sz w:val="20"/>
                <w:szCs w:val="20"/>
                <w:color w:val="auto"/>
              </w:rPr>
            </w:pPr>
            <w:r>
              <w:rPr>
                <w:rFonts w:ascii="Arial" w:cs="Arial" w:eastAsia="Arial" w:hAnsi="Arial"/>
                <w:sz w:val="14"/>
                <w:szCs w:val="14"/>
                <w:b w:val="1"/>
                <w:bCs w:val="1"/>
                <w:color w:val="FFFFFF"/>
              </w:rPr>
              <w:t>average</w:t>
            </w: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contractual</w:t>
            </w:r>
          </w:p>
        </w:tc>
        <w:tc>
          <w:tcPr>
            <w:tcW w:w="420" w:type="dxa"/>
            <w:vAlign w:val="bottom"/>
            <w:shd w:val="clear" w:color="auto" w:fill="ACACAC"/>
          </w:tcPr>
          <w:p>
            <w:pPr>
              <w:spacing w:after="0"/>
              <w:rPr>
                <w:sz w:val="11"/>
                <w:szCs w:val="11"/>
                <w:color w:val="auto"/>
              </w:rPr>
            </w:pPr>
          </w:p>
        </w:tc>
        <w:tc>
          <w:tcPr>
            <w:tcW w:w="1400" w:type="dxa"/>
            <w:vAlign w:val="bottom"/>
            <w:vMerge w:val="continue"/>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Restricted stock units</w:t>
            </w:r>
          </w:p>
        </w:tc>
        <w:tc>
          <w:tcPr>
            <w:tcW w:w="1520" w:type="dxa"/>
            <w:vAlign w:val="bottom"/>
            <w:vMerge w:val="continue"/>
            <w:shd w:val="clear" w:color="auto" w:fill="ACACAC"/>
          </w:tcPr>
          <w:p>
            <w:pPr>
              <w:spacing w:after="0"/>
              <w:rPr>
                <w:sz w:val="11"/>
                <w:szCs w:val="11"/>
                <w:color w:val="auto"/>
              </w:rPr>
            </w:pPr>
          </w:p>
        </w:tc>
        <w:tc>
          <w:tcPr>
            <w:tcW w:w="360" w:type="dxa"/>
            <w:vAlign w:val="bottom"/>
            <w:shd w:val="clear" w:color="auto" w:fill="ACACAC"/>
          </w:tcPr>
          <w:p>
            <w:pPr>
              <w:spacing w:after="0"/>
              <w:rPr>
                <w:sz w:val="11"/>
                <w:szCs w:val="11"/>
                <w:color w:val="auto"/>
              </w:rPr>
            </w:pPr>
          </w:p>
        </w:tc>
        <w:tc>
          <w:tcPr>
            <w:tcW w:w="1280" w:type="dxa"/>
            <w:vAlign w:val="bottom"/>
            <w:shd w:val="clear" w:color="auto" w:fill="ACACAC"/>
          </w:tcPr>
          <w:p>
            <w:pPr>
              <w:jc w:val="right"/>
              <w:ind w:right="238"/>
              <w:spacing w:after="0" w:line="135" w:lineRule="exact"/>
              <w:rPr>
                <w:sz w:val="20"/>
                <w:szCs w:val="20"/>
                <w:color w:val="auto"/>
              </w:rPr>
            </w:pPr>
            <w:r>
              <w:rPr>
                <w:rFonts w:ascii="Arial" w:cs="Arial" w:eastAsia="Arial" w:hAnsi="Arial"/>
                <w:sz w:val="14"/>
                <w:szCs w:val="14"/>
                <w:b w:val="1"/>
                <w:bCs w:val="1"/>
                <w:color w:val="FFFFFF"/>
              </w:rPr>
              <w:t>grant-date</w:t>
            </w: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term</w:t>
            </w:r>
          </w:p>
        </w:tc>
        <w:tc>
          <w:tcPr>
            <w:tcW w:w="420" w:type="dxa"/>
            <w:vAlign w:val="bottom"/>
            <w:shd w:val="clear" w:color="auto" w:fill="ACACAC"/>
          </w:tcPr>
          <w:p>
            <w:pPr>
              <w:spacing w:after="0"/>
              <w:rPr>
                <w:sz w:val="11"/>
                <w:szCs w:val="11"/>
                <w:color w:val="auto"/>
              </w:rPr>
            </w:pPr>
          </w:p>
        </w:tc>
        <w:tc>
          <w:tcPr>
            <w:tcW w:w="1400" w:type="dxa"/>
            <w:vAlign w:val="bottom"/>
            <w:shd w:val="clear" w:color="auto" w:fill="ACACAC"/>
          </w:tcPr>
          <w:p>
            <w:pPr>
              <w:jc w:val="right"/>
              <w:spacing w:after="0" w:line="135" w:lineRule="exact"/>
              <w:rPr>
                <w:sz w:val="20"/>
                <w:szCs w:val="20"/>
                <w:color w:val="auto"/>
              </w:rPr>
            </w:pPr>
            <w:r>
              <w:rPr>
                <w:rFonts w:ascii="Arial" w:cs="Arial" w:eastAsia="Arial" w:hAnsi="Arial"/>
                <w:sz w:val="12"/>
                <w:szCs w:val="12"/>
                <w:b w:val="1"/>
                <w:bCs w:val="1"/>
                <w:color w:val="FFFFFF"/>
              </w:rPr>
              <w:t>intrinsic value</w:t>
            </w:r>
            <w:r>
              <w:rPr>
                <w:rFonts w:ascii="Arial" w:cs="Arial" w:eastAsia="Arial" w:hAnsi="Arial"/>
                <w:sz w:val="15"/>
                <w:szCs w:val="15"/>
                <w:b w:val="1"/>
                <w:bCs w:val="1"/>
                <w:color w:val="FFFFFF"/>
                <w:vertAlign w:val="superscript"/>
              </w:rPr>
              <w:t>(1)</w:t>
            </w:r>
          </w:p>
        </w:tc>
        <w:tc>
          <w:tcPr>
            <w:tcW w:w="0" w:type="dxa"/>
            <w:vAlign w:val="bottom"/>
          </w:tcPr>
          <w:p>
            <w:pPr>
              <w:spacing w:after="0"/>
              <w:rPr>
                <w:sz w:val="1"/>
                <w:szCs w:val="1"/>
                <w:color w:val="auto"/>
              </w:rPr>
            </w:pPr>
          </w:p>
        </w:tc>
      </w:tr>
      <w:tr>
        <w:trPr>
          <w:trHeight w:val="175"/>
        </w:trPr>
        <w:tc>
          <w:tcPr>
            <w:tcW w:w="5120" w:type="dxa"/>
            <w:vAlign w:val="bottom"/>
            <w:vMerge w:val="continue"/>
            <w:shd w:val="clear" w:color="auto" w:fill="ACACAC"/>
          </w:tcPr>
          <w:p>
            <w:pPr>
              <w:spacing w:after="0"/>
              <w:rPr>
                <w:sz w:val="15"/>
                <w:szCs w:val="15"/>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 units</w:t>
            </w:r>
          </w:p>
        </w:tc>
        <w:tc>
          <w:tcPr>
            <w:tcW w:w="360" w:type="dxa"/>
            <w:vAlign w:val="bottom"/>
            <w:shd w:val="clear" w:color="auto" w:fill="ACACAC"/>
          </w:tcPr>
          <w:p>
            <w:pPr>
              <w:spacing w:after="0"/>
              <w:rPr>
                <w:sz w:val="15"/>
                <w:szCs w:val="15"/>
                <w:color w:val="auto"/>
              </w:rPr>
            </w:pPr>
          </w:p>
        </w:tc>
        <w:tc>
          <w:tcPr>
            <w:tcW w:w="1280" w:type="dxa"/>
            <w:vAlign w:val="bottom"/>
            <w:shd w:val="clear" w:color="auto" w:fill="ACACAC"/>
          </w:tcPr>
          <w:p>
            <w:pPr>
              <w:jc w:val="right"/>
              <w:ind w:right="238"/>
              <w:spacing w:after="0"/>
              <w:rPr>
                <w:sz w:val="20"/>
                <w:szCs w:val="20"/>
                <w:color w:val="auto"/>
              </w:rPr>
            </w:pPr>
            <w:r>
              <w:rPr>
                <w:rFonts w:ascii="Arial" w:cs="Arial" w:eastAsia="Arial" w:hAnsi="Arial"/>
                <w:sz w:val="14"/>
                <w:szCs w:val="14"/>
                <w:b w:val="1"/>
                <w:bCs w:val="1"/>
                <w:color w:val="FFFFFF"/>
              </w:rPr>
              <w:t>fair value</w:t>
            </w: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years)</w:t>
            </w:r>
          </w:p>
        </w:tc>
        <w:tc>
          <w:tcPr>
            <w:tcW w:w="420" w:type="dxa"/>
            <w:vAlign w:val="bottom"/>
            <w:shd w:val="clear" w:color="auto" w:fill="ACACAC"/>
          </w:tcPr>
          <w:p>
            <w:pPr>
              <w:spacing w:after="0"/>
              <w:rPr>
                <w:sz w:val="15"/>
                <w:szCs w:val="15"/>
                <w:color w:val="auto"/>
              </w:rPr>
            </w:pP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0" w:type="dxa"/>
            <w:vAlign w:val="bottom"/>
          </w:tcPr>
          <w:p>
            <w:pPr>
              <w:spacing w:after="0"/>
              <w:rPr>
                <w:sz w:val="1"/>
                <w:szCs w:val="1"/>
                <w:color w:val="auto"/>
              </w:rPr>
            </w:pPr>
          </w:p>
        </w:tc>
      </w:tr>
      <w:tr>
        <w:trPr>
          <w:trHeight w:val="230"/>
        </w:trPr>
        <w:tc>
          <w:tcPr>
            <w:tcW w:w="5120" w:type="dxa"/>
            <w:vAlign w:val="bottom"/>
            <w:shd w:val="clear" w:color="auto" w:fill="F4F4F4"/>
          </w:tcPr>
          <w:p>
            <w:pPr>
              <w:ind w:left="20"/>
              <w:spacing w:after="0"/>
              <w:rPr>
                <w:sz w:val="20"/>
                <w:szCs w:val="20"/>
                <w:color w:val="auto"/>
              </w:rPr>
            </w:pPr>
            <w:r>
              <w:rPr>
                <w:rFonts w:ascii="Arial" w:cs="Arial" w:eastAsia="Arial" w:hAnsi="Arial"/>
                <w:sz w:val="18"/>
                <w:szCs w:val="18"/>
                <w:color w:val="auto"/>
              </w:rPr>
              <w:t>Unvested at January 1, 2020</w:t>
            </w:r>
          </w:p>
        </w:tc>
        <w:tc>
          <w:tcPr>
            <w:tcW w:w="15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501,487</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4F4F4"/>
          </w:tcPr>
          <w:p>
            <w:pPr>
              <w:jc w:val="center"/>
              <w:spacing w:after="0"/>
              <w:rPr>
                <w:sz w:val="20"/>
                <w:szCs w:val="20"/>
                <w:color w:val="auto"/>
              </w:rPr>
            </w:pPr>
            <w:r>
              <w:rPr>
                <w:rFonts w:ascii="Arial" w:cs="Arial" w:eastAsia="Arial" w:hAnsi="Arial"/>
                <w:sz w:val="18"/>
                <w:szCs w:val="18"/>
                <w:color w:val="auto"/>
              </w:rPr>
              <w:t>80.49</w:t>
            </w:r>
          </w:p>
        </w:tc>
        <w:tc>
          <w:tcPr>
            <w:tcW w:w="112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140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1,020,381</w:t>
            </w:r>
          </w:p>
        </w:tc>
        <w:tc>
          <w:tcPr>
            <w:tcW w:w="3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59.59</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F4F4F4"/>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(111,450)</w:t>
            </w:r>
          </w:p>
        </w:tc>
        <w:tc>
          <w:tcPr>
            <w:tcW w:w="360" w:type="dxa"/>
            <w:vAlign w:val="bottom"/>
            <w:shd w:val="clear" w:color="auto" w:fill="F4F4F4"/>
          </w:tcPr>
          <w:p>
            <w:pPr>
              <w:spacing w:after="0"/>
              <w:rPr>
                <w:sz w:val="19"/>
                <w:szCs w:val="19"/>
                <w:color w:val="auto"/>
              </w:rPr>
            </w:pPr>
          </w:p>
        </w:tc>
        <w:tc>
          <w:tcPr>
            <w:tcW w:w="1280" w:type="dxa"/>
            <w:vAlign w:val="bottom"/>
            <w:shd w:val="clear" w:color="auto" w:fill="F4F4F4"/>
          </w:tcPr>
          <w:p>
            <w:pPr>
              <w:jc w:val="center"/>
              <w:spacing w:after="0"/>
              <w:rPr>
                <w:sz w:val="20"/>
                <w:szCs w:val="20"/>
                <w:color w:val="auto"/>
              </w:rPr>
            </w:pPr>
            <w:r>
              <w:rPr>
                <w:rFonts w:ascii="Arial" w:cs="Arial" w:eastAsia="Arial" w:hAnsi="Arial"/>
                <w:sz w:val="18"/>
                <w:szCs w:val="18"/>
                <w:color w:val="auto"/>
              </w:rPr>
              <w:t>67.75</w:t>
            </w:r>
          </w:p>
        </w:tc>
        <w:tc>
          <w:tcPr>
            <w:tcW w:w="112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140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(239,533)</w:t>
            </w:r>
          </w:p>
        </w:tc>
        <w:tc>
          <w:tcPr>
            <w:tcW w:w="360" w:type="dxa"/>
            <w:vAlign w:val="bottom"/>
            <w:tcBorders>
              <w:bottom w:val="single" w:sz="8" w:color="F4F4F4"/>
            </w:tcBorders>
          </w:tcPr>
          <w:p>
            <w:pPr>
              <w:spacing w:after="0"/>
              <w:rPr>
                <w:sz w:val="19"/>
                <w:szCs w:val="19"/>
                <w:color w:val="auto"/>
              </w:rPr>
            </w:pPr>
          </w:p>
        </w:tc>
        <w:tc>
          <w:tcPr>
            <w:tcW w:w="1280" w:type="dxa"/>
            <w:vAlign w:val="bottom"/>
            <w:tcBorders>
              <w:bottom w:val="single" w:sz="8" w:color="F4F4F4"/>
            </w:tcBorders>
          </w:tcPr>
          <w:p>
            <w:pPr>
              <w:jc w:val="center"/>
              <w:spacing w:after="0"/>
              <w:rPr>
                <w:sz w:val="20"/>
                <w:szCs w:val="20"/>
                <w:color w:val="auto"/>
              </w:rPr>
            </w:pPr>
            <w:r>
              <w:rPr>
                <w:rFonts w:ascii="Arial" w:cs="Arial" w:eastAsia="Arial" w:hAnsi="Arial"/>
                <w:sz w:val="18"/>
                <w:szCs w:val="18"/>
                <w:color w:val="auto"/>
              </w:rPr>
              <w:t>78.97</w:t>
            </w:r>
          </w:p>
        </w:tc>
        <w:tc>
          <w:tcPr>
            <w:tcW w:w="1120" w:type="dxa"/>
            <w:vAlign w:val="bottom"/>
            <w:tcBorders>
              <w:bottom w:val="single" w:sz="8" w:color="F4F4F4"/>
            </w:tcBorders>
          </w:tcPr>
          <w:p>
            <w:pPr>
              <w:spacing w:after="0"/>
              <w:rPr>
                <w:sz w:val="19"/>
                <w:szCs w:val="19"/>
                <w:color w:val="auto"/>
              </w:rPr>
            </w:pPr>
          </w:p>
        </w:tc>
        <w:tc>
          <w:tcPr>
            <w:tcW w:w="420" w:type="dxa"/>
            <w:vAlign w:val="bottom"/>
            <w:tcBorders>
              <w:bottom w:val="single" w:sz="8" w:color="F4F4F4"/>
            </w:tcBorders>
          </w:tcPr>
          <w:p>
            <w:pPr>
              <w:spacing w:after="0"/>
              <w:rPr>
                <w:sz w:val="19"/>
                <w:szCs w:val="19"/>
                <w:color w:val="auto"/>
              </w:rPr>
            </w:pPr>
          </w:p>
        </w:tc>
        <w:tc>
          <w:tcPr>
            <w:tcW w:w="1400" w:type="dxa"/>
            <w:vAlign w:val="bottom"/>
            <w:tcBorders>
              <w:bottom w:val="single" w:sz="8" w:color="F4F4F4"/>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Unvested at December 31, 2020</w:t>
            </w:r>
          </w:p>
        </w:tc>
        <w:tc>
          <w:tcPr>
            <w:tcW w:w="15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1,170,885</w:t>
            </w:r>
          </w:p>
        </w:tc>
        <w:tc>
          <w:tcPr>
            <w:tcW w:w="360" w:type="dxa"/>
            <w:vAlign w:val="bottom"/>
            <w:tcBorders>
              <w:bottom w:val="single" w:sz="8" w:color="71BF43"/>
            </w:tcBorders>
            <w:shd w:val="clear" w:color="auto" w:fill="F4F4F4"/>
          </w:tcPr>
          <w:p>
            <w:pPr>
              <w:spacing w:after="0"/>
              <w:rPr>
                <w:sz w:val="19"/>
                <w:szCs w:val="19"/>
                <w:color w:val="auto"/>
              </w:rPr>
            </w:pPr>
          </w:p>
        </w:tc>
        <w:tc>
          <w:tcPr>
            <w:tcW w:w="1280" w:type="dxa"/>
            <w:vAlign w:val="bottom"/>
            <w:tcBorders>
              <w:bottom w:val="single" w:sz="8" w:color="71BF43"/>
            </w:tcBorders>
            <w:shd w:val="clear" w:color="auto" w:fill="F4F4F4"/>
          </w:tcPr>
          <w:p>
            <w:pPr>
              <w:jc w:val="center"/>
              <w:spacing w:after="0"/>
              <w:rPr>
                <w:sz w:val="20"/>
                <w:szCs w:val="20"/>
                <w:color w:val="auto"/>
              </w:rPr>
            </w:pPr>
            <w:r>
              <w:rPr>
                <w:rFonts w:ascii="Arial" w:cs="Arial" w:eastAsia="Arial" w:hAnsi="Arial"/>
                <w:sz w:val="18"/>
                <w:szCs w:val="18"/>
                <w:color w:val="auto"/>
              </w:rPr>
              <w:t>63.62</w:t>
            </w: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9.0</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71BF43"/>
            </w:tcBorders>
            <w:shd w:val="clear" w:color="auto" w:fill="F4F4F4"/>
          </w:tcPr>
          <w:p>
            <w:pPr>
              <w:jc w:val="right"/>
              <w:ind w:right="6"/>
              <w:spacing w:after="0"/>
              <w:rPr>
                <w:sz w:val="20"/>
                <w:szCs w:val="20"/>
                <w:color w:val="auto"/>
              </w:rPr>
            </w:pPr>
            <w:r>
              <w:rPr>
                <w:rFonts w:ascii="Arial" w:cs="Arial" w:eastAsia="Arial" w:hAnsi="Arial"/>
                <w:sz w:val="18"/>
                <w:szCs w:val="18"/>
                <w:color w:val="auto"/>
              </w:rPr>
              <w:t>67,396</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intrinsic value is calculated as the market value as of the end of the fiscal period.</w:t>
      </w:r>
    </w:p>
    <w:p>
      <w:pPr>
        <w:spacing w:after="0" w:line="290" w:lineRule="exact"/>
        <w:rPr>
          <w:rFonts w:ascii="Arial" w:cs="Arial" w:eastAsia="Arial" w:hAnsi="Arial"/>
          <w:sz w:val="14"/>
          <w:szCs w:val="14"/>
          <w:color w:val="auto"/>
        </w:rPr>
      </w:pPr>
    </w:p>
    <w:p>
      <w:pPr>
        <w:ind w:left="160"/>
        <w:spacing w:after="0"/>
        <w:rPr>
          <w:rFonts w:ascii="Arial" w:cs="Arial" w:eastAsia="Arial" w:hAnsi="Arial"/>
          <w:sz w:val="14"/>
          <w:szCs w:val="14"/>
          <w:color w:val="auto"/>
        </w:rPr>
      </w:pPr>
      <w:r>
        <w:rPr>
          <w:rFonts w:ascii="Arial" w:cs="Arial" w:eastAsia="Arial" w:hAnsi="Arial"/>
          <w:sz w:val="14"/>
          <w:szCs w:val="14"/>
          <w:color w:val="auto"/>
        </w:rPr>
        <w:t xml:space="preserve">100  </w:t>
      </w:r>
      <w:r>
        <w:rPr>
          <w:rFonts w:ascii="Arial" w:cs="Arial" w:eastAsia="Arial" w:hAnsi="Arial"/>
          <w:sz w:val="1"/>
          <w:szCs w:val="1"/>
          <w:color w:val="auto"/>
        </w:rPr>
        <w:drawing>
          <wp:inline distT="0" distB="0" distL="0" distR="0">
            <wp:extent cx="728345" cy="18859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fair value of restricted stock units that vested during the years ended December 31, 2020, 2019 and 2018 was $18.9 million, $19.2 million, and $13.7 million, respectively. The weighted average grant date fair value of restricted stock units granted for the years ended December 31, 2019 and 2018 was $77.90 and $95.59,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SARs previously granted were fully vested as of December 31, 2017. The total intrinsic value of SARs exercised during the years ended December 31, 2019 and 2018 was $ 3.6 million and $12.4 million, respectively. SARs granted with a market condition had a fair market value assigned at the grant date based on the use of a Monte Carlo simulation model. All other SARs granted had a fair market value assigned at the grant date based on the use of the Black-Scholes option pricing model.</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14.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may fix the relative rights and preferences of each series of preferred stock in a resolution of the Board of Directors.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2020, in response to the global COVID-19 pandemic, our Board of Directors rescinded its previously announced policy to pay an annual dividend at a rate of $0.48 per share of common stock and discontinued the declaration and payment of all cash dividends beginning with the second quarter of 2020 and thereafter until such time, if any, as it may otherwise determine in its sole discretion.</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information with respect to quarterly dividends paid on common stock during the year ended December 31,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Declaration Date</w:t>
            </w:r>
          </w:p>
        </w:tc>
        <w:tc>
          <w:tcPr>
            <w:tcW w:w="3080" w:type="dxa"/>
            <w:vAlign w:val="bottom"/>
            <w:shd w:val="clear" w:color="auto" w:fill="ACACAC"/>
          </w:tcPr>
          <w:p>
            <w:pPr>
              <w:spacing w:after="0"/>
              <w:rPr>
                <w:sz w:val="14"/>
                <w:szCs w:val="14"/>
                <w:color w:val="auto"/>
              </w:rPr>
            </w:pPr>
          </w:p>
        </w:tc>
        <w:tc>
          <w:tcPr>
            <w:tcW w:w="1260" w:type="dxa"/>
            <w:vAlign w:val="bottom"/>
            <w:shd w:val="clear" w:color="auto" w:fill="ACACAC"/>
          </w:tcPr>
          <w:p>
            <w:pPr>
              <w:jc w:val="right"/>
              <w:ind w:right="122"/>
              <w:spacing w:after="0"/>
              <w:rPr>
                <w:sz w:val="20"/>
                <w:szCs w:val="20"/>
                <w:color w:val="auto"/>
              </w:rPr>
            </w:pPr>
            <w:r>
              <w:rPr>
                <w:rFonts w:ascii="Arial" w:cs="Arial" w:eastAsia="Arial" w:hAnsi="Arial"/>
                <w:sz w:val="14"/>
                <w:szCs w:val="14"/>
                <w:b w:val="1"/>
                <w:bCs w:val="1"/>
                <w:color w:val="FFFFFF"/>
              </w:rPr>
              <w:t>Dividend</w:t>
            </w:r>
          </w:p>
        </w:tc>
        <w:tc>
          <w:tcPr>
            <w:tcW w:w="1560" w:type="dxa"/>
            <w:vAlign w:val="bottom"/>
            <w:vMerge w:val="restart"/>
            <w:shd w:val="clear" w:color="auto" w:fill="ACACAC"/>
          </w:tcPr>
          <w:p>
            <w:pPr>
              <w:jc w:val="right"/>
              <w:ind w:right="279"/>
              <w:spacing w:after="0"/>
              <w:rPr>
                <w:sz w:val="20"/>
                <w:szCs w:val="20"/>
                <w:color w:val="auto"/>
              </w:rPr>
            </w:pPr>
            <w:r>
              <w:rPr>
                <w:rFonts w:ascii="Arial" w:cs="Arial" w:eastAsia="Arial" w:hAnsi="Arial"/>
                <w:sz w:val="14"/>
                <w:szCs w:val="14"/>
                <w:b w:val="1"/>
                <w:bCs w:val="1"/>
                <w:color w:val="FFFFFF"/>
              </w:rPr>
              <w:t>Record Date</w:t>
            </w:r>
          </w:p>
        </w:tc>
        <w:tc>
          <w:tcPr>
            <w:tcW w:w="12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Payable Date</w:t>
            </w:r>
          </w:p>
        </w:tc>
        <w:tc>
          <w:tcPr>
            <w:tcW w:w="0" w:type="dxa"/>
            <w:vAlign w:val="bottom"/>
          </w:tcPr>
          <w:p>
            <w:pPr>
              <w:spacing w:after="0"/>
              <w:rPr>
                <w:sz w:val="1"/>
                <w:szCs w:val="1"/>
                <w:color w:val="auto"/>
              </w:rPr>
            </w:pPr>
          </w:p>
        </w:tc>
      </w:tr>
      <w:tr>
        <w:trPr>
          <w:trHeight w:val="175"/>
        </w:trPr>
        <w:tc>
          <w:tcPr>
            <w:tcW w:w="4080" w:type="dxa"/>
            <w:vAlign w:val="bottom"/>
            <w:vMerge w:val="continue"/>
            <w:shd w:val="clear" w:color="auto" w:fill="ACACAC"/>
          </w:tcPr>
          <w:p>
            <w:pPr>
              <w:spacing w:after="0"/>
              <w:rPr>
                <w:sz w:val="15"/>
                <w:szCs w:val="15"/>
                <w:color w:val="auto"/>
              </w:rPr>
            </w:pPr>
          </w:p>
        </w:tc>
        <w:tc>
          <w:tcPr>
            <w:tcW w:w="3080" w:type="dxa"/>
            <w:vAlign w:val="bottom"/>
            <w:shd w:val="clear" w:color="auto" w:fill="ACACAC"/>
          </w:tcPr>
          <w:p>
            <w:pPr>
              <w:spacing w:after="0"/>
              <w:rPr>
                <w:sz w:val="15"/>
                <w:szCs w:val="15"/>
                <w:color w:val="auto"/>
              </w:rPr>
            </w:pPr>
          </w:p>
        </w:tc>
        <w:tc>
          <w:tcPr>
            <w:tcW w:w="1260" w:type="dxa"/>
            <w:vAlign w:val="bottom"/>
            <w:shd w:val="clear" w:color="auto" w:fill="ACACAC"/>
          </w:tcPr>
          <w:p>
            <w:pPr>
              <w:jc w:val="right"/>
              <w:ind w:right="122"/>
              <w:spacing w:after="0"/>
              <w:rPr>
                <w:sz w:val="20"/>
                <w:szCs w:val="20"/>
                <w:color w:val="auto"/>
              </w:rPr>
            </w:pPr>
            <w:r>
              <w:rPr>
                <w:rFonts w:ascii="Arial" w:cs="Arial" w:eastAsia="Arial" w:hAnsi="Arial"/>
                <w:sz w:val="14"/>
                <w:szCs w:val="14"/>
                <w:b w:val="1"/>
                <w:bCs w:val="1"/>
                <w:color w:val="FFFFFF"/>
              </w:rPr>
              <w:t>per Share</w:t>
            </w:r>
          </w:p>
        </w:tc>
        <w:tc>
          <w:tcPr>
            <w:tcW w:w="1560" w:type="dxa"/>
            <w:vAlign w:val="bottom"/>
            <w:vMerge w:val="continue"/>
            <w:shd w:val="clear" w:color="auto" w:fill="ACACAC"/>
          </w:tcPr>
          <w:p>
            <w:pPr>
              <w:spacing w:after="0"/>
              <w:rPr>
                <w:sz w:val="15"/>
                <w:szCs w:val="15"/>
                <w:color w:val="auto"/>
              </w:rPr>
            </w:pPr>
          </w:p>
        </w:tc>
        <w:tc>
          <w:tcPr>
            <w:tcW w:w="1260" w:type="dxa"/>
            <w:vAlign w:val="bottom"/>
            <w:vMerge w:val="continue"/>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February 10, 2020</w:t>
            </w:r>
          </w:p>
        </w:tc>
        <w:tc>
          <w:tcPr>
            <w:tcW w:w="3080" w:type="dxa"/>
            <w:vAlign w:val="bottom"/>
            <w:tcBorders>
              <w:bottom w:val="single" w:sz="8" w:color="71BF43"/>
            </w:tcBorders>
            <w:shd w:val="clear" w:color="auto" w:fill="F4F4F4"/>
          </w:tcPr>
          <w:p>
            <w:pPr>
              <w:jc w:val="right"/>
              <w:ind w:right="3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71BF43"/>
            </w:tcBorders>
            <w:shd w:val="clear" w:color="auto" w:fill="F4F4F4"/>
          </w:tcPr>
          <w:p>
            <w:pPr>
              <w:jc w:val="right"/>
              <w:ind w:right="182"/>
              <w:spacing w:after="0"/>
              <w:rPr>
                <w:sz w:val="20"/>
                <w:szCs w:val="20"/>
                <w:color w:val="auto"/>
              </w:rPr>
            </w:pPr>
            <w:r>
              <w:rPr>
                <w:rFonts w:ascii="Arial" w:cs="Arial" w:eastAsia="Arial" w:hAnsi="Arial"/>
                <w:sz w:val="18"/>
                <w:szCs w:val="18"/>
                <w:color w:val="auto"/>
              </w:rPr>
              <w:t>0.12</w:t>
            </w:r>
          </w:p>
        </w:tc>
        <w:tc>
          <w:tcPr>
            <w:tcW w:w="1560" w:type="dxa"/>
            <w:vAlign w:val="bottom"/>
            <w:tcBorders>
              <w:bottom w:val="single" w:sz="8" w:color="71BF43"/>
            </w:tcBorders>
            <w:shd w:val="clear" w:color="auto" w:fill="F4F4F4"/>
          </w:tcPr>
          <w:p>
            <w:pPr>
              <w:jc w:val="right"/>
              <w:ind w:right="279"/>
              <w:spacing w:after="0"/>
              <w:rPr>
                <w:sz w:val="20"/>
                <w:szCs w:val="20"/>
                <w:color w:val="auto"/>
              </w:rPr>
            </w:pPr>
            <w:r>
              <w:rPr>
                <w:rFonts w:ascii="Arial" w:cs="Arial" w:eastAsia="Arial" w:hAnsi="Arial"/>
                <w:sz w:val="18"/>
                <w:szCs w:val="18"/>
                <w:color w:val="auto"/>
              </w:rPr>
              <w:t>February 28</w:t>
            </w:r>
          </w:p>
        </w:tc>
        <w:tc>
          <w:tcPr>
            <w:tcW w:w="12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March 13</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November 2020, our Board of Directors reauthorized and expanded a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Under the 2020 Credit Facility, we have restrictions on our ability to repurchase shares of our common stock.</w:t>
      </w:r>
    </w:p>
    <w:p>
      <w:pPr>
        <w:spacing w:after="0" w:line="3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purchases of treasury stock under the cost method. During the year ended December 31, 2020, we purchased 714,000 shares for $41.0 million. The remaining amount available to purchase stock under the stock repurchase program was $209.0 million as of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Between January 1, 2021 and February 19, 2021, we repurchased an additional 465,821 shares for $28.1 million.</w:t>
      </w:r>
    </w:p>
    <w:p>
      <w:pPr>
        <w:spacing w:after="0" w:line="304"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by component,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84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20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03"/>
        </w:trPr>
        <w:tc>
          <w:tcPr>
            <w:tcW w:w="75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38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60" w:type="dxa"/>
            <w:vAlign w:val="bottom"/>
            <w:shd w:val="clear" w:color="auto" w:fill="ACACAC"/>
          </w:tcPr>
          <w:p>
            <w:pPr>
              <w:spacing w:after="0"/>
              <w:rPr>
                <w:sz w:val="17"/>
                <w:szCs w:val="17"/>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360" w:type="dxa"/>
            <w:vAlign w:val="bottom"/>
            <w:shd w:val="clear" w:color="auto" w:fill="ACACAC"/>
          </w:tcPr>
          <w:p>
            <w:pPr>
              <w:spacing w:after="0"/>
              <w:rPr>
                <w:sz w:val="17"/>
                <w:szCs w:val="17"/>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29"/>
        </w:trPr>
        <w:tc>
          <w:tcPr>
            <w:tcW w:w="756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loss, beginning of period</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(5,290)</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(5,110)</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By component:</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56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Gains and losses on cash flow hedges:</w:t>
            </w:r>
          </w:p>
        </w:tc>
        <w:tc>
          <w:tcPr>
            <w:tcW w:w="380" w:type="dxa"/>
            <w:vAlign w:val="bottom"/>
            <w:shd w:val="clear" w:color="auto" w:fill="F4F4F4"/>
          </w:tcPr>
          <w:p>
            <w:pPr>
              <w:spacing w:after="0"/>
              <w:rPr>
                <w:sz w:val="19"/>
                <w:szCs w:val="19"/>
                <w:color w:val="auto"/>
              </w:rPr>
            </w:pPr>
          </w:p>
        </w:tc>
        <w:tc>
          <w:tcPr>
            <w:tcW w:w="840" w:type="dxa"/>
            <w:vAlign w:val="bottom"/>
            <w:shd w:val="clear" w:color="auto" w:fill="F4F4F4"/>
          </w:tcPr>
          <w:p>
            <w:pPr>
              <w:spacing w:after="0"/>
              <w:rPr>
                <w:sz w:val="19"/>
                <w:szCs w:val="19"/>
                <w:color w:val="auto"/>
              </w:rPr>
            </w:pPr>
          </w:p>
        </w:tc>
        <w:tc>
          <w:tcPr>
            <w:tcW w:w="3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36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Accumulated other comprehensive (loss) income balance,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188"/>
        </w:trPr>
        <w:tc>
          <w:tcPr>
            <w:tcW w:w="7560" w:type="dxa"/>
            <w:vAlign w:val="bottom"/>
            <w:shd w:val="clear" w:color="auto" w:fill="F4F4F4"/>
          </w:tcPr>
          <w:p>
            <w:pPr>
              <w:ind w:left="480"/>
              <w:spacing w:after="0" w:line="189" w:lineRule="exact"/>
              <w:rPr>
                <w:sz w:val="20"/>
                <w:szCs w:val="20"/>
                <w:color w:val="auto"/>
              </w:rPr>
            </w:pPr>
            <w:r>
              <w:rPr>
                <w:rFonts w:ascii="Arial" w:cs="Arial" w:eastAsia="Arial" w:hAnsi="Arial"/>
                <w:sz w:val="18"/>
                <w:szCs w:val="18"/>
                <w:color w:val="auto"/>
              </w:rPr>
              <w:t>Other comprehensive (loss) income before reclassifications, net of tax effects of $1,625,</w:t>
            </w:r>
          </w:p>
        </w:tc>
        <w:tc>
          <w:tcPr>
            <w:tcW w:w="380" w:type="dxa"/>
            <w:vAlign w:val="bottom"/>
            <w:shd w:val="clear" w:color="auto" w:fill="F4F4F4"/>
          </w:tcPr>
          <w:p>
            <w:pPr>
              <w:spacing w:after="0"/>
              <w:rPr>
                <w:sz w:val="16"/>
                <w:szCs w:val="16"/>
                <w:color w:val="auto"/>
              </w:rPr>
            </w:pPr>
          </w:p>
        </w:tc>
        <w:tc>
          <w:tcPr>
            <w:tcW w:w="840" w:type="dxa"/>
            <w:vAlign w:val="bottom"/>
            <w:shd w:val="clear" w:color="auto" w:fill="F4F4F4"/>
          </w:tcPr>
          <w:p>
            <w:pPr>
              <w:spacing w:after="0"/>
              <w:rPr>
                <w:sz w:val="16"/>
                <w:szCs w:val="16"/>
                <w:color w:val="auto"/>
              </w:rPr>
            </w:pPr>
          </w:p>
        </w:tc>
        <w:tc>
          <w:tcPr>
            <w:tcW w:w="360" w:type="dxa"/>
            <w:vAlign w:val="bottom"/>
            <w:shd w:val="clear" w:color="auto" w:fill="F4F4F4"/>
          </w:tcPr>
          <w:p>
            <w:pPr>
              <w:spacing w:after="0"/>
              <w:rPr>
                <w:sz w:val="16"/>
                <w:szCs w:val="16"/>
                <w:color w:val="auto"/>
              </w:rPr>
            </w:pPr>
          </w:p>
        </w:tc>
        <w:tc>
          <w:tcPr>
            <w:tcW w:w="860" w:type="dxa"/>
            <w:vAlign w:val="bottom"/>
            <w:shd w:val="clear" w:color="auto" w:fill="F4F4F4"/>
          </w:tcPr>
          <w:p>
            <w:pPr>
              <w:spacing w:after="0"/>
              <w:rPr>
                <w:sz w:val="16"/>
                <w:szCs w:val="16"/>
                <w:color w:val="auto"/>
              </w:rPr>
            </w:pPr>
          </w:p>
        </w:tc>
        <w:tc>
          <w:tcPr>
            <w:tcW w:w="360" w:type="dxa"/>
            <w:vAlign w:val="bottom"/>
            <w:shd w:val="clear" w:color="auto" w:fill="F4F4F4"/>
          </w:tcPr>
          <w:p>
            <w:pPr>
              <w:spacing w:after="0"/>
              <w:rPr>
                <w:sz w:val="16"/>
                <w:szCs w:val="16"/>
                <w:color w:val="auto"/>
              </w:rPr>
            </w:pPr>
          </w:p>
        </w:tc>
        <w:tc>
          <w:tcPr>
            <w:tcW w:w="860" w:type="dxa"/>
            <w:vAlign w:val="bottom"/>
            <w:shd w:val="clear" w:color="auto" w:fill="F4F4F4"/>
          </w:tcPr>
          <w:p>
            <w:pPr>
              <w:spacing w:after="0"/>
              <w:rPr>
                <w:sz w:val="16"/>
                <w:szCs w:val="16"/>
                <w:color w:val="auto"/>
              </w:rPr>
            </w:pPr>
          </w:p>
        </w:tc>
      </w:tr>
      <w:tr>
        <w:trPr>
          <w:trHeight w:val="217"/>
        </w:trPr>
        <w:tc>
          <w:tcPr>
            <w:tcW w:w="7560" w:type="dxa"/>
            <w:vAlign w:val="bottom"/>
            <w:shd w:val="clear" w:color="auto" w:fill="F4F4F4"/>
          </w:tcPr>
          <w:p>
            <w:pPr>
              <w:ind w:left="480"/>
              <w:spacing w:after="0"/>
              <w:rPr>
                <w:sz w:val="20"/>
                <w:szCs w:val="20"/>
                <w:color w:val="auto"/>
              </w:rPr>
            </w:pPr>
            <w:r>
              <w:rPr>
                <w:rFonts w:ascii="Arial" w:cs="Arial" w:eastAsia="Arial" w:hAnsi="Arial"/>
                <w:sz w:val="18"/>
                <w:szCs w:val="18"/>
                <w:color w:val="auto"/>
              </w:rPr>
              <w:t>$860 and $(239)</w:t>
            </w:r>
          </w:p>
        </w:tc>
        <w:tc>
          <w:tcPr>
            <w:tcW w:w="380" w:type="dxa"/>
            <w:vAlign w:val="bottom"/>
            <w:shd w:val="clear" w:color="auto" w:fill="F4F4F4"/>
          </w:tcPr>
          <w:p>
            <w:pPr>
              <w:spacing w:after="0"/>
              <w:rPr>
                <w:sz w:val="18"/>
                <w:szCs w:val="18"/>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(4,602)</w:t>
            </w:r>
          </w:p>
        </w:tc>
        <w:tc>
          <w:tcPr>
            <w:tcW w:w="3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(2,399)</w:t>
            </w:r>
          </w:p>
        </w:tc>
        <w:tc>
          <w:tcPr>
            <w:tcW w:w="3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670</w:t>
            </w:r>
          </w:p>
        </w:tc>
      </w:tr>
      <w:tr>
        <w:trPr>
          <w:trHeight w:val="188"/>
        </w:trPr>
        <w:tc>
          <w:tcPr>
            <w:tcW w:w="7560" w:type="dxa"/>
            <w:vAlign w:val="bottom"/>
          </w:tcPr>
          <w:p>
            <w:pPr>
              <w:ind w:left="680"/>
              <w:spacing w:after="0" w:line="189" w:lineRule="exact"/>
              <w:rPr>
                <w:sz w:val="20"/>
                <w:szCs w:val="20"/>
                <w:color w:val="auto"/>
              </w:rPr>
            </w:pPr>
            <w:r>
              <w:rPr>
                <w:rFonts w:ascii="Arial" w:cs="Arial" w:eastAsia="Arial" w:hAnsi="Arial"/>
                <w:sz w:val="18"/>
                <w:szCs w:val="18"/>
                <w:color w:val="auto"/>
              </w:rPr>
              <w:t>Amounts reclassified from accumulated other comprehensive (loss) income to interest</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7"/>
        </w:trPr>
        <w:tc>
          <w:tcPr>
            <w:tcW w:w="7560" w:type="dxa"/>
            <w:vAlign w:val="bottom"/>
          </w:tcPr>
          <w:p>
            <w:pPr>
              <w:ind w:left="680"/>
              <w:spacing w:after="0"/>
              <w:rPr>
                <w:sz w:val="20"/>
                <w:szCs w:val="20"/>
                <w:color w:val="auto"/>
              </w:rPr>
            </w:pPr>
            <w:r>
              <w:rPr>
                <w:rFonts w:ascii="Arial" w:cs="Arial" w:eastAsia="Arial" w:hAnsi="Arial"/>
                <w:sz w:val="18"/>
                <w:szCs w:val="18"/>
                <w:color w:val="auto"/>
              </w:rPr>
              <w:t>expense</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3,827</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7560" w:type="dxa"/>
            <w:vAlign w:val="bottom"/>
            <w:shd w:val="clear" w:color="auto" w:fill="F4F4F4"/>
          </w:tcPr>
          <w:p>
            <w:pPr>
              <w:ind w:left="680"/>
              <w:spacing w:after="0"/>
              <w:rPr>
                <w:sz w:val="20"/>
                <w:szCs w:val="20"/>
                <w:color w:val="auto"/>
              </w:rPr>
            </w:pPr>
            <w:r>
              <w:rPr>
                <w:rFonts w:ascii="Arial" w:cs="Arial" w:eastAsia="Arial" w:hAnsi="Arial"/>
                <w:sz w:val="18"/>
                <w:szCs w:val="18"/>
                <w:color w:val="auto"/>
              </w:rPr>
              <w:t>Tax (benefit) expense included in provision for income taxes</w:t>
            </w:r>
          </w:p>
        </w:tc>
        <w:tc>
          <w:tcPr>
            <w:tcW w:w="380" w:type="dxa"/>
            <w:vAlign w:val="bottom"/>
            <w:tcBorders>
              <w:bottom w:val="single" w:sz="8" w:color="auto"/>
            </w:tcBorders>
            <w:shd w:val="clear" w:color="auto" w:fill="F4F4F4"/>
          </w:tcPr>
          <w:p>
            <w:pPr>
              <w:spacing w:after="0"/>
              <w:rPr>
                <w:sz w:val="19"/>
                <w:szCs w:val="19"/>
                <w:color w:val="auto"/>
              </w:rPr>
            </w:pPr>
          </w:p>
        </w:tc>
        <w:tc>
          <w:tcPr>
            <w:tcW w:w="8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(1,003)</w:t>
            </w:r>
          </w:p>
        </w:tc>
        <w:tc>
          <w:tcPr>
            <w:tcW w:w="3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560" w:type="dxa"/>
            <w:vAlign w:val="bottom"/>
            <w:tcBorders>
              <w:bottom w:val="single" w:sz="8" w:color="F4F4F4"/>
            </w:tcBorders>
          </w:tcPr>
          <w:p>
            <w:pPr>
              <w:ind w:left="480"/>
              <w:spacing w:after="0"/>
              <w:rPr>
                <w:sz w:val="20"/>
                <w:szCs w:val="20"/>
                <w:color w:val="auto"/>
              </w:rPr>
            </w:pPr>
            <w:r>
              <w:rPr>
                <w:rFonts w:ascii="Arial" w:cs="Arial" w:eastAsia="Arial" w:hAnsi="Arial"/>
                <w:sz w:val="18"/>
                <w:szCs w:val="18"/>
                <w:color w:val="auto"/>
              </w:rPr>
              <w:t>Total amounts reclassified from accumulated other comprehensive (loss) income</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560" w:type="dxa"/>
            <w:vAlign w:val="bottom"/>
            <w:shd w:val="clear" w:color="auto" w:fill="F4F4F4"/>
          </w:tcPr>
          <w:p>
            <w:pPr>
              <w:ind w:left="220"/>
              <w:spacing w:after="0"/>
              <w:rPr>
                <w:sz w:val="20"/>
                <w:szCs w:val="20"/>
                <w:color w:val="auto"/>
              </w:rPr>
            </w:pPr>
            <w:r>
              <w:rPr>
                <w:rFonts w:ascii="Arial" w:cs="Arial" w:eastAsia="Arial" w:hAnsi="Arial"/>
                <w:sz w:val="18"/>
                <w:szCs w:val="18"/>
                <w:color w:val="auto"/>
              </w:rPr>
              <w:t>Net current-period other comprehensive (loss) income</w:t>
            </w:r>
          </w:p>
        </w:tc>
        <w:tc>
          <w:tcPr>
            <w:tcW w:w="380" w:type="dxa"/>
            <w:vAlign w:val="bottom"/>
            <w:tcBorders>
              <w:bottom w:val="single" w:sz="8" w:color="auto"/>
            </w:tcBorders>
            <w:shd w:val="clear" w:color="auto" w:fill="F4F4F4"/>
          </w:tcPr>
          <w:p>
            <w:pPr>
              <w:spacing w:after="0"/>
              <w:rPr>
                <w:sz w:val="19"/>
                <w:szCs w:val="19"/>
                <w:color w:val="auto"/>
              </w:rPr>
            </w:pPr>
          </w:p>
        </w:tc>
        <w:tc>
          <w:tcPr>
            <w:tcW w:w="8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(1,778)</w:t>
            </w:r>
          </w:p>
        </w:tc>
        <w:tc>
          <w:tcPr>
            <w:tcW w:w="3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(2,821)</w:t>
            </w:r>
          </w:p>
        </w:tc>
        <w:tc>
          <w:tcPr>
            <w:tcW w:w="3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583</w:t>
            </w:r>
          </w:p>
        </w:tc>
      </w:tr>
      <w:tr>
        <w:trPr>
          <w:trHeight w:val="223"/>
        </w:trPr>
        <w:tc>
          <w:tcPr>
            <w:tcW w:w="7560" w:type="dxa"/>
            <w:vAlign w:val="bottom"/>
            <w:tcBorders>
              <w:bottom w:val="single" w:sz="8" w:color="F4F4F4"/>
            </w:tcBorders>
          </w:tcPr>
          <w:p>
            <w:pPr>
              <w:ind w:left="220"/>
              <w:spacing w:after="0"/>
              <w:rPr>
                <w:sz w:val="20"/>
                <w:szCs w:val="20"/>
                <w:color w:val="auto"/>
              </w:rPr>
            </w:pPr>
            <w:r>
              <w:rPr>
                <w:rFonts w:ascii="Arial" w:cs="Arial" w:eastAsia="Arial" w:hAnsi="Arial"/>
                <w:sz w:val="18"/>
                <w:szCs w:val="18"/>
                <w:color w:val="auto"/>
              </w:rPr>
              <w:t>Reclassification upon adoption of ASU 2018-02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7560" w:type="dxa"/>
            <w:vAlign w:val="bottom"/>
            <w:shd w:val="clear" w:color="auto" w:fill="F4F4F4"/>
          </w:tcPr>
          <w:p>
            <w:pPr>
              <w:ind w:left="220"/>
              <w:spacing w:after="0"/>
              <w:rPr>
                <w:sz w:val="20"/>
                <w:szCs w:val="20"/>
                <w:color w:val="auto"/>
              </w:rPr>
            </w:pPr>
            <w:r>
              <w:rPr>
                <w:rFonts w:ascii="Arial" w:cs="Arial" w:eastAsia="Arial" w:hAnsi="Arial"/>
                <w:sz w:val="18"/>
                <w:szCs w:val="18"/>
                <w:color w:val="auto"/>
              </w:rPr>
              <w:t>Accumulated other comprehensive (loss) income balance, end of period</w:t>
            </w:r>
          </w:p>
        </w:tc>
        <w:tc>
          <w:tcPr>
            <w:tcW w:w="380" w:type="dxa"/>
            <w:vAlign w:val="bottom"/>
            <w:tcBorders>
              <w:bottom w:val="single" w:sz="8" w:color="auto"/>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(3,101)</w:t>
            </w:r>
          </w:p>
        </w:tc>
        <w:tc>
          <w:tcPr>
            <w:tcW w:w="360" w:type="dxa"/>
            <w:vAlign w:val="bottom"/>
            <w:tcBorders>
              <w:bottom w:val="single" w:sz="8" w:color="auto"/>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(1,323)</w:t>
            </w:r>
          </w:p>
        </w:tc>
        <w:tc>
          <w:tcPr>
            <w:tcW w:w="360" w:type="dxa"/>
            <w:vAlign w:val="bottom"/>
            <w:tcBorders>
              <w:bottom w:val="single" w:sz="8" w:color="auto"/>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1,498</w:t>
            </w:r>
          </w:p>
        </w:tc>
      </w:tr>
      <w:tr>
        <w:trPr>
          <w:trHeight w:val="209"/>
        </w:trPr>
        <w:tc>
          <w:tcPr>
            <w:tcW w:w="7560" w:type="dxa"/>
            <w:vAlign w:val="bottom"/>
          </w:tcPr>
          <w:p>
            <w:pPr>
              <w:ind w:left="140"/>
              <w:spacing w:after="0"/>
              <w:rPr>
                <w:sz w:val="20"/>
                <w:szCs w:val="20"/>
                <w:color w:val="auto"/>
              </w:rPr>
            </w:pPr>
            <w:r>
              <w:rPr>
                <w:rFonts w:ascii="Arial" w:cs="Arial" w:eastAsia="Arial" w:hAnsi="Arial"/>
                <w:sz w:val="18"/>
                <w:szCs w:val="18"/>
                <w:b w:val="1"/>
                <w:bCs w:val="1"/>
                <w:color w:val="auto"/>
              </w:rPr>
              <w:t>Foreign currency translation adjustment:</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7560" w:type="dxa"/>
            <w:vAlign w:val="bottom"/>
            <w:shd w:val="clear" w:color="auto" w:fill="F4F4F4"/>
          </w:tcPr>
          <w:p>
            <w:pPr>
              <w:ind w:left="220"/>
              <w:spacing w:after="0"/>
              <w:rPr>
                <w:sz w:val="20"/>
                <w:szCs w:val="20"/>
                <w:color w:val="auto"/>
              </w:rPr>
            </w:pPr>
            <w:r>
              <w:rPr>
                <w:rFonts w:ascii="Arial" w:cs="Arial" w:eastAsia="Arial" w:hAnsi="Arial"/>
                <w:sz w:val="18"/>
                <w:szCs w:val="18"/>
                <w:color w:val="auto"/>
              </w:rPr>
              <w:t>Accumulated other comprehensive loss balance, beginning of period</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(3,967)</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(6,608)</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(1,390)</w:t>
            </w:r>
          </w:p>
        </w:tc>
      </w:tr>
      <w:tr>
        <w:trPr>
          <w:trHeight w:val="229"/>
        </w:trPr>
        <w:tc>
          <w:tcPr>
            <w:tcW w:w="7560" w:type="dxa"/>
            <w:vAlign w:val="bottom"/>
            <w:tcBorders>
              <w:bottom w:val="single" w:sz="8" w:color="F4F4F4"/>
            </w:tcBorders>
          </w:tcPr>
          <w:p>
            <w:pPr>
              <w:ind w:left="220"/>
              <w:spacing w:after="0"/>
              <w:rPr>
                <w:sz w:val="20"/>
                <w:szCs w:val="20"/>
                <w:color w:val="auto"/>
              </w:rPr>
            </w:pPr>
            <w:r>
              <w:rPr>
                <w:rFonts w:ascii="Arial" w:cs="Arial" w:eastAsia="Arial" w:hAnsi="Arial"/>
                <w:sz w:val="18"/>
                <w:szCs w:val="18"/>
                <w:color w:val="auto"/>
              </w:rPr>
              <w:t>Translation adjustments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r>
      <w:tr>
        <w:trPr>
          <w:trHeight w:val="223"/>
        </w:trPr>
        <w:tc>
          <w:tcPr>
            <w:tcW w:w="7560" w:type="dxa"/>
            <w:vAlign w:val="bottom"/>
            <w:shd w:val="clear" w:color="auto" w:fill="F4F4F4"/>
          </w:tcPr>
          <w:p>
            <w:pPr>
              <w:ind w:left="220"/>
              <w:spacing w:after="0"/>
              <w:rPr>
                <w:sz w:val="20"/>
                <w:szCs w:val="20"/>
                <w:color w:val="auto"/>
              </w:rPr>
            </w:pPr>
            <w:r>
              <w:rPr>
                <w:rFonts w:ascii="Arial" w:cs="Arial" w:eastAsia="Arial" w:hAnsi="Arial"/>
                <w:sz w:val="18"/>
                <w:szCs w:val="18"/>
                <w:color w:val="auto"/>
              </w:rPr>
              <w:t>Accumulated other comprehensive income (loss) balance, end of period</w:t>
            </w:r>
          </w:p>
        </w:tc>
        <w:tc>
          <w:tcPr>
            <w:tcW w:w="380" w:type="dxa"/>
            <w:vAlign w:val="bottom"/>
            <w:tcBorders>
              <w:bottom w:val="single" w:sz="8" w:color="auto"/>
            </w:tcBorders>
            <w:shd w:val="clear" w:color="auto" w:fill="F4F4F4"/>
          </w:tcPr>
          <w:p>
            <w:pPr>
              <w:spacing w:after="0"/>
              <w:rPr>
                <w:sz w:val="19"/>
                <w:szCs w:val="19"/>
                <w:color w:val="auto"/>
              </w:rPr>
            </w:pPr>
          </w:p>
        </w:tc>
        <w:tc>
          <w:tcPr>
            <w:tcW w:w="8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604</w:t>
            </w:r>
          </w:p>
        </w:tc>
        <w:tc>
          <w:tcPr>
            <w:tcW w:w="3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(3,967)</w:t>
            </w:r>
          </w:p>
        </w:tc>
        <w:tc>
          <w:tcPr>
            <w:tcW w:w="3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(6,608)</w:t>
            </w:r>
          </w:p>
        </w:tc>
      </w:tr>
      <w:tr>
        <w:trPr>
          <w:trHeight w:val="223"/>
        </w:trPr>
        <w:tc>
          <w:tcPr>
            <w:tcW w:w="7560" w:type="dxa"/>
            <w:vAlign w:val="bottom"/>
            <w:tcBorders>
              <w:bottom w:val="single" w:sz="8" w:color="71BF43"/>
            </w:tcBorders>
          </w:tcPr>
          <w:p>
            <w:pPr>
              <w:ind w:left="20"/>
              <w:spacing w:after="0"/>
              <w:rPr>
                <w:sz w:val="20"/>
                <w:szCs w:val="20"/>
                <w:color w:val="auto"/>
              </w:rPr>
            </w:pPr>
            <w:r>
              <w:rPr>
                <w:rFonts w:ascii="Arial" w:cs="Arial" w:eastAsia="Arial" w:hAnsi="Arial"/>
                <w:sz w:val="18"/>
                <w:szCs w:val="18"/>
                <w:b w:val="1"/>
                <w:bCs w:val="1"/>
                <w:color w:val="auto"/>
              </w:rPr>
              <w:t>Accumulated other comprehensive loss, end of period</w:t>
            </w:r>
          </w:p>
        </w:tc>
        <w:tc>
          <w:tcPr>
            <w:tcW w:w="380" w:type="dxa"/>
            <w:vAlign w:val="bottom"/>
            <w:tcBorders>
              <w:bottom w:val="single" w:sz="8" w:color="71BF43"/>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(2,497)</w:t>
            </w:r>
          </w:p>
        </w:tc>
        <w:tc>
          <w:tcPr>
            <w:tcW w:w="360" w:type="dxa"/>
            <w:vAlign w:val="bottom"/>
            <w:tcBorders>
              <w:bottom w:val="single" w:sz="8" w:color="71BF43"/>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(5,290)</w:t>
            </w:r>
          </w:p>
        </w:tc>
        <w:tc>
          <w:tcPr>
            <w:tcW w:w="360" w:type="dxa"/>
            <w:vAlign w:val="bottom"/>
            <w:tcBorders>
              <w:bottom w:val="single" w:sz="8" w:color="71BF43"/>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(5,110)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-2742565</wp:posOffset>
            </wp:positionV>
            <wp:extent cx="23145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15. Defined Contribution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defined contribution 401(k) plan (the "401K Plan") covering substantially all employees. Employees were able to contribute between 1% and 75% of their salaries in 2020, 2019 and 2018. We match 50% of qualified employees’ contributions up to 6% of their salary. The 401K Plan also provides for additional employer contributions to be made at our discretion. We suspended our 401(k) match program between April 1, 2020 and December 31, 2020 in response to COVID-19. Total matching contributions to the 401K Plan for the years ended December 31, 2020, 2019 and 2018 were $1.9 million, $8.7 million and $8.1 million, respectively.</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made a discretionary matching contribution to eligible employees 401(k) plans in December 2020 totaling $1.2 million, given our financial performance during the fourth quarter. There were no discretionary contributions by us to the 401K Plan in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102  </w:t>
      </w:r>
      <w:r>
        <w:rPr>
          <w:sz w:val="1"/>
          <w:szCs w:val="1"/>
          <w:color w:val="auto"/>
        </w:rPr>
        <w:drawing>
          <wp:inline distT="0" distB="0" distL="0" distR="0">
            <wp:extent cx="728345" cy="18859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16.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chief operating decision maker is our chief executive officer ("CEO"). Our chief operating decision maker uses consolidated financial information to make operating decisions, assess financial performance and allocate resources. We have one operating segment and one reportable segment.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long-lived assets by geographic region based on the location of the assets.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940" w:type="dxa"/>
            <w:vAlign w:val="bottom"/>
            <w:shd w:val="clear" w:color="auto" w:fill="ACACAC"/>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w:t>
            </w:r>
          </w:p>
        </w:tc>
      </w:tr>
      <w:tr>
        <w:trPr>
          <w:trHeight w:val="175"/>
        </w:trPr>
        <w:tc>
          <w:tcPr>
            <w:tcW w:w="870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94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3"/>
        </w:trPr>
        <w:tc>
          <w:tcPr>
            <w:tcW w:w="87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shd w:val="clear" w:color="auto" w:fill="ACACAC"/>
          </w:tcPr>
          <w:p>
            <w:pPr>
              <w:spacing w:after="0"/>
              <w:rPr>
                <w:sz w:val="17"/>
                <w:szCs w:val="17"/>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r>
        <w:trPr>
          <w:trHeight w:val="230"/>
        </w:trPr>
        <w:tc>
          <w:tcPr>
            <w:tcW w:w="8700" w:type="dxa"/>
            <w:vAlign w:val="bottom"/>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103,123</w:t>
            </w:r>
          </w:p>
        </w:tc>
        <w:tc>
          <w:tcPr>
            <w:tcW w:w="20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32,606</w:t>
            </w:r>
          </w:p>
        </w:tc>
      </w:tr>
      <w:tr>
        <w:trPr>
          <w:trHeight w:val="229"/>
        </w:trPr>
        <w:tc>
          <w:tcPr>
            <w:tcW w:w="870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Other countries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r>
      <w:tr>
        <w:trPr>
          <w:trHeight w:val="223"/>
        </w:trPr>
        <w:tc>
          <w:tcPr>
            <w:tcW w:w="870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Total property and equipment</w:t>
            </w:r>
          </w:p>
        </w:tc>
        <w:tc>
          <w:tcPr>
            <w:tcW w:w="340" w:type="dxa"/>
            <w:vAlign w:val="bottom"/>
            <w:tcBorders>
              <w:bottom w:val="single" w:sz="8" w:color="71BF43"/>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105,177</w:t>
            </w:r>
          </w:p>
        </w:tc>
        <w:tc>
          <w:tcPr>
            <w:tcW w:w="200" w:type="dxa"/>
            <w:vAlign w:val="bottom"/>
            <w:tcBorders>
              <w:bottom w:val="single" w:sz="8" w:color="71BF43"/>
            </w:tcBorders>
            <w:shd w:val="clear" w:color="auto" w:fill="F4F4F4"/>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35,546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-582295</wp:posOffset>
            </wp:positionV>
            <wp:extent cx="16116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See Note 17 to these consolidated financial statements for information about our revenues by geographic region.</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17.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2020, approximately $755 million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(payment services and usage).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applied the practical expedient in ASC 606-10-65-1-(f)(3), whereby the transaction price allocated to the remaining performance obligations, or an explanation of when we expect to recognize that amount as revenue for all reporting periods presented before the date of the initial application, is not disclosed.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contract assets as of December 31, 2020 and December 31, 2019 were insignificant. Our opening and closing balances of deferred revenue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(in thousands)</w:t>
            </w:r>
          </w:p>
        </w:tc>
        <w:tc>
          <w:tcPr>
            <w:tcW w:w="346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75"/>
        </w:trPr>
        <w:tc>
          <w:tcPr>
            <w:tcW w:w="4900" w:type="dxa"/>
            <w:vAlign w:val="bottom"/>
            <w:vMerge w:val="continue"/>
            <w:shd w:val="clear" w:color="auto" w:fill="ACACAC"/>
          </w:tcPr>
          <w:p>
            <w:pPr>
              <w:spacing w:after="0"/>
              <w:rPr>
                <w:sz w:val="15"/>
                <w:szCs w:val="15"/>
                <w:color w:val="auto"/>
              </w:rPr>
            </w:pPr>
          </w:p>
        </w:tc>
        <w:tc>
          <w:tcPr>
            <w:tcW w:w="346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Total deferred revenue</w:t>
            </w:r>
          </w:p>
        </w:tc>
        <w:tc>
          <w:tcPr>
            <w:tcW w:w="346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316,914</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316,137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revenue was held flat during 2020, primarily due to declines in our 2020 bookings performance compared to our budgeted expectations as a result of COVID-19. The amount of revenue recognized during the 2020 that was included in the deferred revenue balance at the beginning of the period was approximately $311 million. The amount of revenue recognized during the 2020 from performance obligations satisfied in prior periods was insignificant.</w:t>
      </w:r>
    </w:p>
    <w:p>
      <w:pPr>
        <w:spacing w:after="0" w:line="283"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shd w:val="clear" w:color="auto" w:fill="ACACAC"/>
          </w:tcPr>
          <w:p>
            <w:pPr>
              <w:spacing w:after="0"/>
              <w:rPr>
                <w:sz w:val="14"/>
                <w:szCs w:val="14"/>
                <w:color w:val="auto"/>
              </w:rPr>
            </w:pPr>
          </w:p>
        </w:tc>
        <w:tc>
          <w:tcPr>
            <w:tcW w:w="30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180" w:type="dxa"/>
            <w:vAlign w:val="bottom"/>
            <w:shd w:val="clear" w:color="auto" w:fill="ACACAC"/>
          </w:tcPr>
          <w:p>
            <w:pPr>
              <w:spacing w:after="0"/>
              <w:rPr>
                <w:sz w:val="14"/>
                <w:szCs w:val="14"/>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w:t>
            </w:r>
          </w:p>
        </w:tc>
      </w:tr>
      <w:tr>
        <w:trPr>
          <w:trHeight w:val="175"/>
        </w:trPr>
        <w:tc>
          <w:tcPr>
            <w:tcW w:w="764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920" w:type="dxa"/>
            <w:vAlign w:val="bottom"/>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3"/>
        </w:trPr>
        <w:tc>
          <w:tcPr>
            <w:tcW w:w="76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17"/>
                <w:szCs w:val="17"/>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80" w:type="dxa"/>
            <w:vAlign w:val="bottom"/>
            <w:shd w:val="clear" w:color="auto" w:fill="ACACAC"/>
          </w:tcPr>
          <w:p>
            <w:pPr>
              <w:spacing w:after="0"/>
              <w:rPr>
                <w:sz w:val="17"/>
                <w:szCs w:val="17"/>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8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229"/>
        </w:trPr>
        <w:tc>
          <w:tcPr>
            <w:tcW w:w="7640" w:type="dxa"/>
            <w:vAlign w:val="bottom"/>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772,188</w:t>
            </w:r>
          </w:p>
        </w:tc>
        <w:tc>
          <w:tcPr>
            <w:tcW w:w="28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775,308</w:t>
            </w:r>
          </w:p>
        </w:tc>
        <w:tc>
          <w:tcPr>
            <w:tcW w:w="18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727,366</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84,121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65,176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59,898</w:t>
            </w:r>
          </w:p>
        </w:tc>
      </w:tr>
      <w:tr>
        <w:trPr>
          <w:trHeight w:val="229"/>
        </w:trPr>
        <w:tc>
          <w:tcPr>
            <w:tcW w:w="764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countries</w:t>
            </w:r>
          </w:p>
        </w:tc>
        <w:tc>
          <w:tcPr>
            <w:tcW w:w="30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56,910</w:t>
            </w:r>
          </w:p>
        </w:tc>
        <w:tc>
          <w:tcPr>
            <w:tcW w:w="28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59,939</w:t>
            </w:r>
          </w:p>
        </w:tc>
        <w:tc>
          <w:tcPr>
            <w:tcW w:w="18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61,342</w:t>
            </w:r>
          </w:p>
        </w:tc>
      </w:tr>
      <w:tr>
        <w:trPr>
          <w:trHeight w:val="223"/>
        </w:trPr>
        <w:tc>
          <w:tcPr>
            <w:tcW w:w="7640" w:type="dxa"/>
            <w:vAlign w:val="bottom"/>
            <w:tcBorders>
              <w:bottom w:val="single" w:sz="8" w:color="71BF43"/>
            </w:tcBorders>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71BF43"/>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913,219</w:t>
            </w:r>
          </w:p>
        </w:tc>
        <w:tc>
          <w:tcPr>
            <w:tcW w:w="280" w:type="dxa"/>
            <w:vAlign w:val="bottom"/>
            <w:tcBorders>
              <w:bottom w:val="single" w:sz="8" w:color="71BF43"/>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900,423</w:t>
            </w:r>
          </w:p>
        </w:tc>
        <w:tc>
          <w:tcPr>
            <w:tcW w:w="1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848,606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-728345</wp:posOffset>
            </wp:positionV>
            <wp:extent cx="22802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4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General Markets Group ("GMG"), the Enterprise Markets Group ("EMG"), and the International Markets Group ("IMG") comprise our go-to-market organizations. The following is a description of each market group as of December 31, 2020:</w:t>
      </w:r>
    </w:p>
    <w:p>
      <w:pPr>
        <w:spacing w:after="0" w:line="144" w:lineRule="exact"/>
        <w:rPr>
          <w:sz w:val="20"/>
          <w:szCs w:val="20"/>
          <w:color w:val="auto"/>
        </w:rPr>
      </w:pPr>
    </w:p>
    <w:p>
      <w:pPr>
        <w:ind w:left="660" w:right="20" w:hanging="328"/>
        <w:spacing w:after="0" w:line="261" w:lineRule="auto"/>
        <w:tabs>
          <w:tab w:leader="none" w:pos="6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GMG focuses on sales to all K-12 private schools, faith communities and arts and cultural organizations, as well as emerging and mid-sized prospects in the U.S.;</w:t>
      </w:r>
    </w:p>
    <w:p>
      <w:pPr>
        <w:spacing w:after="0" w:line="89"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EMG focuses on sales to all healthcare and higher education institutions, corporations and foundations, as well as large and/or strategic prospects in the U.S.; and</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IMG focuses on sales to all prospects and customers outside of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market group:</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shd w:val="clear" w:color="auto" w:fill="ACACAC"/>
          </w:tcPr>
          <w:p>
            <w:pPr>
              <w:spacing w:after="0"/>
              <w:rPr>
                <w:sz w:val="14"/>
                <w:szCs w:val="14"/>
                <w:color w:val="auto"/>
              </w:rPr>
            </w:pPr>
          </w:p>
        </w:tc>
        <w:tc>
          <w:tcPr>
            <w:tcW w:w="30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180" w:type="dxa"/>
            <w:vAlign w:val="bottom"/>
            <w:shd w:val="clear" w:color="auto" w:fill="ACACAC"/>
          </w:tcPr>
          <w:p>
            <w:pPr>
              <w:spacing w:after="0"/>
              <w:rPr>
                <w:sz w:val="14"/>
                <w:szCs w:val="14"/>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 ended</w:t>
            </w:r>
          </w:p>
        </w:tc>
      </w:tr>
      <w:tr>
        <w:trPr>
          <w:trHeight w:val="175"/>
        </w:trPr>
        <w:tc>
          <w:tcPr>
            <w:tcW w:w="764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920" w:type="dxa"/>
            <w:vAlign w:val="bottom"/>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3"/>
        </w:trPr>
        <w:tc>
          <w:tcPr>
            <w:tcW w:w="76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17"/>
                <w:szCs w:val="17"/>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80" w:type="dxa"/>
            <w:vAlign w:val="bottom"/>
            <w:shd w:val="clear" w:color="auto" w:fill="ACACAC"/>
          </w:tcPr>
          <w:p>
            <w:pPr>
              <w:spacing w:after="0"/>
              <w:rPr>
                <w:sz w:val="17"/>
                <w:szCs w:val="17"/>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8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2018</w:t>
            </w:r>
            <w:r>
              <w:rPr>
                <w:rFonts w:ascii="Arial" w:cs="Arial" w:eastAsia="Arial" w:hAnsi="Arial"/>
                <w:sz w:val="9"/>
                <w:szCs w:val="9"/>
                <w:b w:val="1"/>
                <w:bCs w:val="1"/>
                <w:color w:val="FFFFFF"/>
              </w:rPr>
              <w:t>(2)</w:t>
            </w:r>
          </w:p>
        </w:tc>
      </w:tr>
      <w:tr>
        <w:trPr>
          <w:trHeight w:val="230"/>
        </w:trPr>
        <w:tc>
          <w:tcPr>
            <w:tcW w:w="7640" w:type="dxa"/>
            <w:vAlign w:val="bottom"/>
            <w:shd w:val="clear" w:color="auto" w:fill="F4F4F4"/>
          </w:tcPr>
          <w:p>
            <w:pPr>
              <w:ind w:left="20"/>
              <w:spacing w:after="0"/>
              <w:rPr>
                <w:sz w:val="20"/>
                <w:szCs w:val="20"/>
                <w:color w:val="auto"/>
              </w:rPr>
            </w:pPr>
            <w:r>
              <w:rPr>
                <w:rFonts w:ascii="Arial" w:cs="Arial" w:eastAsia="Arial" w:hAnsi="Arial"/>
                <w:sz w:val="18"/>
                <w:szCs w:val="18"/>
                <w:color w:val="auto"/>
              </w:rPr>
              <w:t>GMG</w:t>
            </w:r>
          </w:p>
        </w:tc>
        <w:tc>
          <w:tcPr>
            <w:tcW w:w="30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376,762</w:t>
            </w:r>
          </w:p>
        </w:tc>
        <w:tc>
          <w:tcPr>
            <w:tcW w:w="28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378,384</w:t>
            </w:r>
          </w:p>
        </w:tc>
        <w:tc>
          <w:tcPr>
            <w:tcW w:w="18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362,585</w:t>
            </w:r>
          </w:p>
        </w:tc>
      </w:tr>
      <w:tr>
        <w:trPr>
          <w:trHeight w:val="230"/>
        </w:trPr>
        <w:tc>
          <w:tcPr>
            <w:tcW w:w="764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EMG</w:t>
            </w:r>
            <w:r>
              <w:rPr>
                <w:rFonts w:ascii="Arial" w:cs="Arial" w:eastAsia="Arial" w:hAnsi="Arial"/>
                <w:sz w:val="10"/>
                <w:szCs w:val="10"/>
                <w:color w:val="auto"/>
              </w:rPr>
              <w:t>(1)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393,061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392,258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360,873</w:t>
            </w:r>
          </w:p>
        </w:tc>
      </w:tr>
      <w:tr>
        <w:trPr>
          <w:trHeight w:val="230"/>
        </w:trPr>
        <w:tc>
          <w:tcPr>
            <w:tcW w:w="7640" w:type="dxa"/>
            <w:vAlign w:val="bottom"/>
            <w:shd w:val="clear" w:color="auto" w:fill="F4F4F4"/>
          </w:tcPr>
          <w:p>
            <w:pPr>
              <w:ind w:left="20"/>
              <w:spacing w:after="0"/>
              <w:rPr>
                <w:sz w:val="20"/>
                <w:szCs w:val="20"/>
                <w:color w:val="auto"/>
              </w:rPr>
            </w:pPr>
            <w:r>
              <w:rPr>
                <w:rFonts w:ascii="Arial" w:cs="Arial" w:eastAsia="Arial" w:hAnsi="Arial"/>
                <w:sz w:val="18"/>
                <w:szCs w:val="18"/>
                <w:color w:val="auto"/>
              </w:rPr>
              <w:t>IMG</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142,607</w:t>
            </w:r>
          </w:p>
        </w:tc>
        <w:tc>
          <w:tcPr>
            <w:tcW w:w="28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126,511</w:t>
            </w:r>
          </w:p>
        </w:tc>
        <w:tc>
          <w:tcPr>
            <w:tcW w:w="180" w:type="dxa"/>
            <w:vAlign w:val="bottom"/>
            <w:shd w:val="clear" w:color="auto" w:fill="F4F4F4"/>
          </w:tcPr>
          <w:p>
            <w:pPr>
              <w:spacing w:after="0"/>
              <w:rPr>
                <w:sz w:val="19"/>
                <w:szCs w:val="19"/>
                <w:color w:val="auto"/>
              </w:rPr>
            </w:pP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123,522</w:t>
            </w:r>
          </w:p>
        </w:tc>
      </w:tr>
      <w:tr>
        <w:trPr>
          <w:trHeight w:val="229"/>
        </w:trPr>
        <w:tc>
          <w:tcPr>
            <w:tcW w:w="76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23"/>
        </w:trPr>
        <w:tc>
          <w:tcPr>
            <w:tcW w:w="764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71BF43"/>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913,219</w:t>
            </w:r>
          </w:p>
        </w:tc>
        <w:tc>
          <w:tcPr>
            <w:tcW w:w="280" w:type="dxa"/>
            <w:vAlign w:val="bottom"/>
            <w:tcBorders>
              <w:bottom w:val="single" w:sz="8" w:color="71BF43"/>
            </w:tcBorders>
            <w:shd w:val="clear" w:color="auto" w:fill="F4F4F4"/>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900,423</w:t>
            </w:r>
          </w:p>
        </w:tc>
        <w:tc>
          <w:tcPr>
            <w:tcW w:w="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848,606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-873760</wp:posOffset>
            </wp:positionV>
            <wp:extent cx="228028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79" w:lineRule="exact"/>
        <w:rPr>
          <w:sz w:val="20"/>
          <w:szCs w:val="20"/>
          <w:color w:val="auto"/>
        </w:rPr>
      </w:pPr>
    </w:p>
    <w:p>
      <w:pPr>
        <w:ind w:left="340" w:right="20" w:hanging="332"/>
        <w:spacing w:after="0" w:line="241" w:lineRule="auto"/>
        <w:tabs>
          <w:tab w:leader="none" w:pos="354"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operating results of YourCause have been included in EMG from the date of acquisition. See Note 3 to these consolidated financial statements for details regarding this acquisition.</w:t>
      </w:r>
    </w:p>
    <w:p>
      <w:pPr>
        <w:ind w:left="340" w:hanging="332"/>
        <w:spacing w:after="0" w:line="258" w:lineRule="auto"/>
        <w:tabs>
          <w:tab w:leader="none" w:pos="354" w:val="left"/>
        </w:tabs>
        <w:numPr>
          <w:ilvl w:val="0"/>
          <w:numId w:val="72"/>
        </w:numPr>
        <w:rPr>
          <w:rFonts w:ascii="Arial" w:cs="Arial" w:eastAsia="Arial" w:hAnsi="Arial"/>
          <w:sz w:val="14"/>
          <w:szCs w:val="14"/>
          <w:color w:val="auto"/>
        </w:rPr>
      </w:pPr>
      <w:r>
        <w:rPr>
          <w:rFonts w:ascii="Arial" w:cs="Arial" w:eastAsia="Arial" w:hAnsi="Arial"/>
          <w:sz w:val="14"/>
          <w:szCs w:val="14"/>
          <w:color w:val="auto"/>
        </w:rPr>
        <w:t>Beginning in the first quarter of 2019, all of our Canadian operations are included in IMG. We have recast our revenue by market group for the twelve months ended December 31, 2018, to present them on a consistent basis with the current year.</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104  </w:t>
      </w:r>
      <w:r>
        <w:rPr>
          <w:sz w:val="1"/>
          <w:szCs w:val="1"/>
          <w:color w:val="auto"/>
        </w:rPr>
        <w:drawing>
          <wp:inline distT="0" distB="0" distL="0" distR="0">
            <wp:extent cx="728345" cy="18859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18. Quarterly Results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 except per share data)</w:t>
            </w:r>
          </w:p>
        </w:tc>
        <w:tc>
          <w:tcPr>
            <w:tcW w:w="78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380" w:type="dxa"/>
            <w:vAlign w:val="bottom"/>
            <w:shd w:val="clear" w:color="auto" w:fill="ACACAC"/>
          </w:tcPr>
          <w:p>
            <w:pPr>
              <w:spacing w:after="0"/>
              <w:rPr>
                <w:sz w:val="14"/>
                <w:szCs w:val="14"/>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52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52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0" w:type="dxa"/>
            <w:vAlign w:val="bottom"/>
          </w:tcPr>
          <w:p>
            <w:pPr>
              <w:spacing w:after="0"/>
              <w:rPr>
                <w:sz w:val="1"/>
                <w:szCs w:val="1"/>
                <w:color w:val="auto"/>
              </w:rPr>
            </w:pPr>
          </w:p>
        </w:tc>
      </w:tr>
      <w:tr>
        <w:trPr>
          <w:trHeight w:val="176"/>
        </w:trPr>
        <w:tc>
          <w:tcPr>
            <w:tcW w:w="4240" w:type="dxa"/>
            <w:vAlign w:val="bottom"/>
            <w:vMerge w:val="continue"/>
            <w:shd w:val="clear" w:color="auto" w:fill="ACACAC"/>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15"/>
                <w:szCs w:val="15"/>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2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52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29"/>
        </w:trPr>
        <w:tc>
          <w:tcPr>
            <w:tcW w:w="4240" w:type="dxa"/>
            <w:vAlign w:val="bottom"/>
            <w:shd w:val="clear" w:color="auto" w:fill="F4F4F4"/>
          </w:tcPr>
          <w:p>
            <w:pPr>
              <w:ind w:left="20"/>
              <w:spacing w:after="0"/>
              <w:rPr>
                <w:sz w:val="20"/>
                <w:szCs w:val="20"/>
                <w:color w:val="auto"/>
              </w:rPr>
            </w:pPr>
            <w:r>
              <w:rPr>
                <w:rFonts w:ascii="Arial" w:cs="Arial" w:eastAsia="Arial" w:hAnsi="Arial"/>
                <w:sz w:val="18"/>
                <w:szCs w:val="18"/>
                <w:color w:val="auto"/>
              </w:rPr>
              <w:t>Total revenue</w:t>
            </w:r>
          </w:p>
        </w:tc>
        <w:tc>
          <w:tcPr>
            <w:tcW w:w="78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242,606</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215,001</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231,991</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223,621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123,030</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116,316</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127,052</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118,756</w:t>
            </w:r>
          </w:p>
        </w:tc>
        <w:tc>
          <w:tcPr>
            <w:tcW w:w="0" w:type="dxa"/>
            <w:vAlign w:val="bottom"/>
          </w:tcPr>
          <w:p>
            <w:pPr>
              <w:spacing w:after="0"/>
              <w:rPr>
                <w:sz w:val="1"/>
                <w:szCs w:val="1"/>
                <w:color w:val="auto"/>
              </w:rPr>
            </w:pPr>
          </w:p>
        </w:tc>
      </w:tr>
      <w:tr>
        <w:trPr>
          <w:trHeight w:val="229"/>
        </w:trPr>
        <w:tc>
          <w:tcPr>
            <w:tcW w:w="4240" w:type="dxa"/>
            <w:vAlign w:val="bottom"/>
            <w:shd w:val="clear" w:color="auto" w:fill="F4F4F4"/>
          </w:tcPr>
          <w:p>
            <w:pPr>
              <w:ind w:left="20"/>
              <w:spacing w:after="0"/>
              <w:rPr>
                <w:sz w:val="20"/>
                <w:szCs w:val="20"/>
                <w:color w:val="auto"/>
              </w:rPr>
            </w:pPr>
            <w:r>
              <w:rPr>
                <w:rFonts w:ascii="Arial" w:cs="Arial" w:eastAsia="Arial" w:hAnsi="Arial"/>
                <w:sz w:val="18"/>
                <w:szCs w:val="18"/>
                <w:color w:val="auto"/>
              </w:rPr>
              <w:t>(Loss) income from operations</w:t>
            </w:r>
          </w:p>
        </w:tc>
        <w:tc>
          <w:tcPr>
            <w:tcW w:w="78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(850)</w:t>
            </w:r>
          </w:p>
        </w:tc>
        <w:tc>
          <w:tcPr>
            <w:tcW w:w="380" w:type="dxa"/>
            <w:vAlign w:val="bottom"/>
            <w:shd w:val="clear" w:color="auto" w:fill="F4F4F4"/>
          </w:tcPr>
          <w:p>
            <w:pPr>
              <w:spacing w:after="0"/>
              <w:rPr>
                <w:sz w:val="19"/>
                <w:szCs w:val="19"/>
                <w:color w:val="auto"/>
              </w:rPr>
            </w:pPr>
          </w:p>
        </w:tc>
        <w:tc>
          <w:tcPr>
            <w:tcW w:w="12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10,087</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19,582</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(6,672)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6,632</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16,319</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30"/>
        </w:trPr>
        <w:tc>
          <w:tcPr>
            <w:tcW w:w="424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(loss) income</w:t>
            </w:r>
          </w:p>
        </w:tc>
        <w:tc>
          <w:tcPr>
            <w:tcW w:w="78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(13,621)</w:t>
            </w:r>
          </w:p>
        </w:tc>
        <w:tc>
          <w:tcPr>
            <w:tcW w:w="380" w:type="dxa"/>
            <w:vAlign w:val="bottom"/>
            <w:shd w:val="clear" w:color="auto" w:fill="F4F4F4"/>
          </w:tcPr>
          <w:p>
            <w:pPr>
              <w:spacing w:after="0"/>
              <w:rPr>
                <w:sz w:val="19"/>
                <w:szCs w:val="19"/>
                <w:color w:val="auto"/>
              </w:rPr>
            </w:pPr>
          </w:p>
        </w:tc>
        <w:tc>
          <w:tcPr>
            <w:tcW w:w="12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4,876</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11,823</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(Loss) earnings per share</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F4F4F4"/>
          </w:tcPr>
          <w:p>
            <w:pPr>
              <w:ind w:left="14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(0.28)</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0.10</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0.25</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71BF43"/>
            </w:tcBorders>
          </w:tcPr>
          <w:p>
            <w:pPr>
              <w:ind w:left="140"/>
              <w:spacing w:after="0"/>
              <w:rPr>
                <w:sz w:val="20"/>
                <w:szCs w:val="20"/>
                <w:color w:val="auto"/>
              </w:rPr>
            </w:pPr>
            <w:r>
              <w:rPr>
                <w:rFonts w:ascii="Arial" w:cs="Arial" w:eastAsia="Arial" w:hAnsi="Arial"/>
                <w:sz w:val="18"/>
                <w:szCs w:val="18"/>
                <w:color w:val="auto"/>
              </w:rPr>
              <w:t>Diluted</w:t>
            </w:r>
          </w:p>
        </w:tc>
        <w:tc>
          <w:tcPr>
            <w:tcW w:w="780" w:type="dxa"/>
            <w:vAlign w:val="bottom"/>
            <w:tcBorders>
              <w:bottom w:val="single" w:sz="8" w:color="71BF43"/>
            </w:tcBorders>
          </w:tcPr>
          <w:p>
            <w:pPr>
              <w:spacing w:after="0"/>
              <w:rPr>
                <w:sz w:val="19"/>
                <w:szCs w:val="19"/>
                <w:color w:val="auto"/>
              </w:rPr>
            </w:pPr>
          </w:p>
        </w:tc>
        <w:tc>
          <w:tcPr>
            <w:tcW w:w="12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(0.28)</w:t>
            </w:r>
          </w:p>
        </w:tc>
        <w:tc>
          <w:tcPr>
            <w:tcW w:w="380" w:type="dxa"/>
            <w:vAlign w:val="bottom"/>
            <w:tcBorders>
              <w:bottom w:val="single" w:sz="8" w:color="71BF43"/>
            </w:tcBorders>
          </w:tcPr>
          <w:p>
            <w:pPr>
              <w:spacing w:after="0"/>
              <w:rPr>
                <w:sz w:val="19"/>
                <w:szCs w:val="19"/>
                <w:color w:val="auto"/>
              </w:rPr>
            </w:pPr>
          </w:p>
        </w:tc>
        <w:tc>
          <w:tcPr>
            <w:tcW w:w="12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0.10</w:t>
            </w:r>
          </w:p>
        </w:tc>
        <w:tc>
          <w:tcPr>
            <w:tcW w:w="520" w:type="dxa"/>
            <w:vAlign w:val="bottom"/>
            <w:tcBorders>
              <w:bottom w:val="single" w:sz="8" w:color="71BF43"/>
            </w:tcBorders>
          </w:tcPr>
          <w:p>
            <w:pPr>
              <w:spacing w:after="0"/>
              <w:rPr>
                <w:sz w:val="19"/>
                <w:szCs w:val="19"/>
                <w:color w:val="auto"/>
              </w:rPr>
            </w:pPr>
          </w:p>
        </w:tc>
        <w:tc>
          <w:tcPr>
            <w:tcW w:w="11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0.24</w:t>
            </w:r>
          </w:p>
        </w:tc>
        <w:tc>
          <w:tcPr>
            <w:tcW w:w="520" w:type="dxa"/>
            <w:vAlign w:val="bottom"/>
            <w:tcBorders>
              <w:bottom w:val="single" w:sz="8" w:color="71BF43"/>
            </w:tcBorders>
          </w:tcPr>
          <w:p>
            <w:pPr>
              <w:spacing w:after="0"/>
              <w:rPr>
                <w:sz w:val="19"/>
                <w:szCs w:val="19"/>
                <w:color w:val="auto"/>
              </w:rPr>
            </w:pPr>
          </w:p>
        </w:tc>
        <w:tc>
          <w:tcPr>
            <w:tcW w:w="11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240" w:type="dxa"/>
            <w:vAlign w:val="bottom"/>
            <w:vMerge w:val="restart"/>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 except per share data)</w:t>
            </w:r>
          </w:p>
        </w:tc>
        <w:tc>
          <w:tcPr>
            <w:tcW w:w="780" w:type="dxa"/>
            <w:vAlign w:val="bottom"/>
            <w:shd w:val="clear" w:color="auto" w:fill="ACACAC"/>
          </w:tcPr>
          <w:p>
            <w:pPr>
              <w:spacing w:after="0"/>
              <w:rPr>
                <w:sz w:val="12"/>
                <w:szCs w:val="12"/>
                <w:color w:val="auto"/>
              </w:rPr>
            </w:pPr>
          </w:p>
        </w:tc>
        <w:tc>
          <w:tcPr>
            <w:tcW w:w="124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December 31,</w:t>
            </w:r>
          </w:p>
        </w:tc>
        <w:tc>
          <w:tcPr>
            <w:tcW w:w="380" w:type="dxa"/>
            <w:vAlign w:val="bottom"/>
            <w:shd w:val="clear" w:color="auto" w:fill="ACACAC"/>
          </w:tcPr>
          <w:p>
            <w:pPr>
              <w:spacing w:after="0"/>
              <w:rPr>
                <w:sz w:val="12"/>
                <w:szCs w:val="12"/>
                <w:color w:val="auto"/>
              </w:rPr>
            </w:pPr>
          </w:p>
        </w:tc>
        <w:tc>
          <w:tcPr>
            <w:tcW w:w="126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September 30,</w:t>
            </w:r>
          </w:p>
        </w:tc>
        <w:tc>
          <w:tcPr>
            <w:tcW w:w="520" w:type="dxa"/>
            <w:vAlign w:val="bottom"/>
            <w:shd w:val="clear" w:color="auto" w:fill="ACACAC"/>
          </w:tcPr>
          <w:p>
            <w:pPr>
              <w:spacing w:after="0"/>
              <w:rPr>
                <w:sz w:val="12"/>
                <w:szCs w:val="12"/>
                <w:color w:val="auto"/>
              </w:rPr>
            </w:pPr>
          </w:p>
        </w:tc>
        <w:tc>
          <w:tcPr>
            <w:tcW w:w="114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June 30,</w:t>
            </w:r>
          </w:p>
        </w:tc>
        <w:tc>
          <w:tcPr>
            <w:tcW w:w="520" w:type="dxa"/>
            <w:vAlign w:val="bottom"/>
            <w:shd w:val="clear" w:color="auto" w:fill="ACACAC"/>
          </w:tcPr>
          <w:p>
            <w:pPr>
              <w:spacing w:after="0"/>
              <w:rPr>
                <w:sz w:val="12"/>
                <w:szCs w:val="12"/>
                <w:color w:val="auto"/>
              </w:rPr>
            </w:pPr>
          </w:p>
        </w:tc>
        <w:tc>
          <w:tcPr>
            <w:tcW w:w="114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March 31,</w:t>
            </w:r>
          </w:p>
        </w:tc>
        <w:tc>
          <w:tcPr>
            <w:tcW w:w="0" w:type="dxa"/>
            <w:vAlign w:val="bottom"/>
          </w:tcPr>
          <w:p>
            <w:pPr>
              <w:spacing w:after="0"/>
              <w:rPr>
                <w:sz w:val="1"/>
                <w:szCs w:val="1"/>
                <w:color w:val="auto"/>
              </w:rPr>
            </w:pPr>
          </w:p>
        </w:tc>
      </w:tr>
      <w:tr>
        <w:trPr>
          <w:trHeight w:val="176"/>
        </w:trPr>
        <w:tc>
          <w:tcPr>
            <w:tcW w:w="4240" w:type="dxa"/>
            <w:vAlign w:val="bottom"/>
            <w:vMerge w:val="continue"/>
            <w:shd w:val="clear" w:color="auto" w:fill="ACACAC"/>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380" w:type="dxa"/>
            <w:vAlign w:val="bottom"/>
            <w:shd w:val="clear" w:color="auto" w:fill="ACACAC"/>
          </w:tcPr>
          <w:p>
            <w:pPr>
              <w:spacing w:after="0"/>
              <w:rPr>
                <w:sz w:val="15"/>
                <w:szCs w:val="15"/>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52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52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29"/>
        </w:trPr>
        <w:tc>
          <w:tcPr>
            <w:tcW w:w="4240" w:type="dxa"/>
            <w:vAlign w:val="bottom"/>
            <w:shd w:val="clear" w:color="auto" w:fill="F4F4F4"/>
          </w:tcPr>
          <w:p>
            <w:pPr>
              <w:ind w:left="20"/>
              <w:spacing w:after="0"/>
              <w:rPr>
                <w:sz w:val="20"/>
                <w:szCs w:val="20"/>
                <w:color w:val="auto"/>
              </w:rPr>
            </w:pPr>
            <w:r>
              <w:rPr>
                <w:rFonts w:ascii="Arial" w:cs="Arial" w:eastAsia="Arial" w:hAnsi="Arial"/>
                <w:sz w:val="18"/>
                <w:szCs w:val="18"/>
                <w:color w:val="auto"/>
              </w:rPr>
              <w:t>Total revenue</w:t>
            </w:r>
          </w:p>
        </w:tc>
        <w:tc>
          <w:tcPr>
            <w:tcW w:w="78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237,839</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221,120</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225,634</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215,830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121,302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119,323</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124,827</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116,547</w:t>
            </w:r>
          </w:p>
        </w:tc>
        <w:tc>
          <w:tcPr>
            <w:tcW w:w="0" w:type="dxa"/>
            <w:vAlign w:val="bottom"/>
          </w:tcPr>
          <w:p>
            <w:pPr>
              <w:spacing w:after="0"/>
              <w:rPr>
                <w:sz w:val="1"/>
                <w:szCs w:val="1"/>
                <w:color w:val="auto"/>
              </w:rPr>
            </w:pPr>
          </w:p>
        </w:tc>
      </w:tr>
      <w:tr>
        <w:trPr>
          <w:trHeight w:val="230"/>
        </w:trPr>
        <w:tc>
          <w:tcPr>
            <w:tcW w:w="424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Income from operations</w:t>
            </w:r>
          </w:p>
        </w:tc>
        <w:tc>
          <w:tcPr>
            <w:tcW w:w="78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3,586</w:t>
            </w:r>
          </w:p>
        </w:tc>
        <w:tc>
          <w:tcPr>
            <w:tcW w:w="380" w:type="dxa"/>
            <w:vAlign w:val="bottom"/>
            <w:shd w:val="clear" w:color="auto" w:fill="F4F4F4"/>
          </w:tcPr>
          <w:p>
            <w:pPr>
              <w:spacing w:after="0"/>
              <w:rPr>
                <w:sz w:val="19"/>
                <w:szCs w:val="19"/>
                <w:color w:val="auto"/>
              </w:rPr>
            </w:pPr>
          </w:p>
        </w:tc>
        <w:tc>
          <w:tcPr>
            <w:tcW w:w="12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7,883</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13,491</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4,930</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9,873</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29"/>
        </w:trPr>
        <w:tc>
          <w:tcPr>
            <w:tcW w:w="424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1,324</w:t>
            </w:r>
          </w:p>
        </w:tc>
        <w:tc>
          <w:tcPr>
            <w:tcW w:w="380" w:type="dxa"/>
            <w:vAlign w:val="bottom"/>
            <w:shd w:val="clear" w:color="auto" w:fill="F4F4F4"/>
          </w:tcPr>
          <w:p>
            <w:pPr>
              <w:spacing w:after="0"/>
              <w:rPr>
                <w:sz w:val="19"/>
                <w:szCs w:val="19"/>
                <w:color w:val="auto"/>
              </w:rPr>
            </w:pPr>
          </w:p>
        </w:tc>
        <w:tc>
          <w:tcPr>
            <w:tcW w:w="12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4,566</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7,140</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F4F4F4"/>
          </w:tcPr>
          <w:p>
            <w:pPr>
              <w:ind w:left="14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0.03</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0.10</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0.15</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71BF43"/>
            </w:tcBorders>
          </w:tcPr>
          <w:p>
            <w:pPr>
              <w:ind w:left="140"/>
              <w:spacing w:after="0"/>
              <w:rPr>
                <w:sz w:val="20"/>
                <w:szCs w:val="20"/>
                <w:color w:val="auto"/>
              </w:rPr>
            </w:pPr>
            <w:r>
              <w:rPr>
                <w:rFonts w:ascii="Arial" w:cs="Arial" w:eastAsia="Arial" w:hAnsi="Arial"/>
                <w:sz w:val="18"/>
                <w:szCs w:val="18"/>
                <w:color w:val="auto"/>
              </w:rPr>
              <w:t>Diluted</w:t>
            </w:r>
          </w:p>
        </w:tc>
        <w:tc>
          <w:tcPr>
            <w:tcW w:w="780" w:type="dxa"/>
            <w:vAlign w:val="bottom"/>
            <w:tcBorders>
              <w:bottom w:val="single" w:sz="8" w:color="71BF43"/>
            </w:tcBorders>
          </w:tcPr>
          <w:p>
            <w:pPr>
              <w:spacing w:after="0"/>
              <w:rPr>
                <w:sz w:val="19"/>
                <w:szCs w:val="19"/>
                <w:color w:val="auto"/>
              </w:rPr>
            </w:pPr>
          </w:p>
        </w:tc>
        <w:tc>
          <w:tcPr>
            <w:tcW w:w="12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0.03</w:t>
            </w:r>
          </w:p>
        </w:tc>
        <w:tc>
          <w:tcPr>
            <w:tcW w:w="380" w:type="dxa"/>
            <w:vAlign w:val="bottom"/>
            <w:tcBorders>
              <w:bottom w:val="single" w:sz="8" w:color="71BF43"/>
            </w:tcBorders>
          </w:tcPr>
          <w:p>
            <w:pPr>
              <w:spacing w:after="0"/>
              <w:rPr>
                <w:sz w:val="19"/>
                <w:szCs w:val="19"/>
                <w:color w:val="auto"/>
              </w:rPr>
            </w:pPr>
          </w:p>
        </w:tc>
        <w:tc>
          <w:tcPr>
            <w:tcW w:w="12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0.09</w:t>
            </w:r>
          </w:p>
        </w:tc>
        <w:tc>
          <w:tcPr>
            <w:tcW w:w="520" w:type="dxa"/>
            <w:vAlign w:val="bottom"/>
            <w:tcBorders>
              <w:bottom w:val="single" w:sz="8" w:color="71BF43"/>
            </w:tcBorders>
          </w:tcPr>
          <w:p>
            <w:pPr>
              <w:spacing w:after="0"/>
              <w:rPr>
                <w:sz w:val="19"/>
                <w:szCs w:val="19"/>
                <w:color w:val="auto"/>
              </w:rPr>
            </w:pPr>
          </w:p>
        </w:tc>
        <w:tc>
          <w:tcPr>
            <w:tcW w:w="11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0.15</w:t>
            </w:r>
          </w:p>
        </w:tc>
        <w:tc>
          <w:tcPr>
            <w:tcW w:w="520" w:type="dxa"/>
            <w:vAlign w:val="bottom"/>
            <w:tcBorders>
              <w:bottom w:val="single" w:sz="8" w:color="71BF43"/>
            </w:tcBorders>
          </w:tcPr>
          <w:p>
            <w:pPr>
              <w:spacing w:after="0"/>
              <w:rPr>
                <w:sz w:val="19"/>
                <w:szCs w:val="19"/>
                <w:color w:val="auto"/>
              </w:rPr>
            </w:pPr>
          </w:p>
        </w:tc>
        <w:tc>
          <w:tcPr>
            <w:tcW w:w="11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Note: The individual amounts for each quarter may not sum to full year totals due to rounding.</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results of operations of acquired companies are included in the consolidated results of operations from the date of their respective acquisition. See Note 3 of these consolidated financial statements for details related to our business acquisitions.</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19.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We substantially completed our facilities optimization restructuring plan as of December 2019. During the years ended December 31, 2019 and 2018, we incurred $5.8 million and $4.6 million, respectively, in before-tax restructuring charges related to these activities. Such charges during the year ended December 31, 2020 were insignificant.</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Restructuring costs incurred prior to our adoption of ASU 2016-02 on January 1, 2019 consisted primarily of costs to terminate lease agreements, contractual lease payments, net of estimated sublease income, upon vacating space as part of the plan, as well as insignificant costs to relocate affected employees and write-off facilities-related fixed assets that we would no longer use.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adoption of ASU 2016-02 at January 1, 2019, we reduced our operating lease ROU assets recognized at transition by the carrying amounts of the restructuring liabilities for certain leased office spaces that we ceased using prior to December 31, 2018. Restructuring costs incurred during the year ended December 31, 2019 consisted primarily of operating lease ROU asset impairment costs and, to a lesser extent, lease payments for offices we had ceased using and write-offs of facilities-related fixed assets that we would no longer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40"/>
        <w:spacing w:after="0" w:line="278" w:lineRule="auto"/>
        <w:rPr>
          <w:sz w:val="20"/>
          <w:szCs w:val="20"/>
          <w:color w:val="auto"/>
        </w:rPr>
      </w:pPr>
      <w:r>
        <w:rPr>
          <w:rFonts w:ascii="Arial" w:cs="Arial" w:eastAsia="Arial" w:hAnsi="Arial"/>
          <w:sz w:val="29"/>
          <w:szCs w:val="29"/>
          <w:b w:val="1"/>
          <w:bCs w:val="1"/>
          <w:color w:val="71BF43"/>
        </w:rPr>
        <w:t>ITEM 9. CHANGES IN AND DISAGREEMENTS WITH ACCOUNTANTS ON ACCOUNTING AND FINANCIAL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9A. CONTROLS AND PROCEDURES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(as defined in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Exchange Act Rule 13a-15(b). Based upon that evaluation, our Chief Executive Officer and Chief Financial Officer have concluded that our disclosure controls and procedures are effective to provide the reasonable assurance discussed above.</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change in internal control over financial reporting occurred during the fiscal quarter ended December 31, 2020 with respect to our operations that has materially affected, or is reasonably likely to materially affect, our internal control over financial reporting.</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December 31, 2020, based on the framework in </w:t>
      </w:r>
      <w:r>
        <w:rPr>
          <w:rFonts w:ascii="Arial" w:cs="Arial" w:eastAsia="Arial" w:hAnsi="Arial"/>
          <w:sz w:val="18"/>
          <w:szCs w:val="18"/>
          <w:i w:val="1"/>
          <w:iCs w:val="1"/>
          <w:color w:val="auto"/>
        </w:rPr>
        <w:t>Internal Control - Integrated Framework issued by the Committee of Sponsoring Organizations of the Treadway</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 (2013 framework)</w:t>
      </w:r>
      <w:r>
        <w:rPr>
          <w:rFonts w:ascii="Arial" w:cs="Arial" w:eastAsia="Arial" w:hAnsi="Arial"/>
          <w:sz w:val="18"/>
          <w:szCs w:val="18"/>
          <w:color w:val="auto"/>
        </w:rPr>
        <w:t>. Based on this evaluation under the</w:t>
      </w:r>
      <w:r>
        <w:rPr>
          <w:rFonts w:ascii="Arial" w:cs="Arial" w:eastAsia="Arial" w:hAnsi="Arial"/>
          <w:sz w:val="18"/>
          <w:szCs w:val="18"/>
          <w:i w:val="1"/>
          <w:iCs w:val="1"/>
          <w:color w:val="auto"/>
        </w:rPr>
        <w:t xml:space="preserve"> Internal Control - Integrated Framework</w:t>
      </w:r>
      <w:r>
        <w:rPr>
          <w:rFonts w:ascii="Arial" w:cs="Arial" w:eastAsia="Arial" w:hAnsi="Arial"/>
          <w:sz w:val="18"/>
          <w:szCs w:val="18"/>
          <w:color w:val="auto"/>
        </w:rPr>
        <w:t>, management concluded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was effective as of December 31, 2020.</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our independent registered public accounting firm, as stated in their attestation report, which is included in Item 8 of this Annual Report on Form 10-K.</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9B. OTHER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106  </w:t>
      </w:r>
      <w:r>
        <w:rPr>
          <w:sz w:val="1"/>
          <w:szCs w:val="1"/>
          <w:color w:val="auto"/>
        </w:rPr>
        <w:drawing>
          <wp:inline distT="0" distB="0" distL="0" distR="0">
            <wp:extent cx="728345" cy="18859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sz w:val="1"/>
          <w:szCs w:val="1"/>
          <w:color w:val="auto"/>
        </w:rPr>
        <w:drawing>
          <wp:inline distT="0" distB="0" distL="0" distR="0">
            <wp:extent cx="145415" cy="18859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5415" cy="18859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III.</w:t>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10. DIRECTORS, EXECUTIVE OFFICERS AND CORPORATE GOVERNANCE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by Item 10 with respect to Directors and Executive Officers is incorporated by reference from the information under the captions “Election of Directors,” “Information Regarding Meetings of the Board and Committees,” “Delinquent Section 16(a) Reports,” and “Code of Business Conduct and Ethics and Code of Ethics,” contained in Blackbaud’s Proxy Statement for the 2021 Annual Meeting of Stockholders expected to be held on June 9, 2021, except for "Information about our Executive Officers" which is set forth in Part I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11. EXECUTIVE COMPENSATION</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Item 11 is incorporated by reference from the information under the captions "Director Compensation," “Executive Compensation,” “Compensation Discussion and Analysis,” “2020 Summary Compensation Table” and "CEO Pay Ratio" contained in Blackbaud’s Proxy Statement for the 2021 Annual Meeting of Stockholders expected to be held on June 9, 2021.</w:t>
      </w:r>
    </w:p>
    <w:p>
      <w:pPr>
        <w:spacing w:after="0" w:line="216" w:lineRule="exact"/>
        <w:rPr>
          <w:sz w:val="20"/>
          <w:szCs w:val="20"/>
          <w:color w:val="auto"/>
        </w:rPr>
      </w:pPr>
    </w:p>
    <w:p>
      <w:pPr>
        <w:ind w:right="960"/>
        <w:spacing w:after="0" w:line="278" w:lineRule="auto"/>
        <w:rPr>
          <w:sz w:val="20"/>
          <w:szCs w:val="20"/>
          <w:color w:val="auto"/>
        </w:rPr>
      </w:pPr>
      <w:r>
        <w:rPr>
          <w:rFonts w:ascii="Arial" w:cs="Arial" w:eastAsia="Arial" w:hAnsi="Arial"/>
          <w:sz w:val="29"/>
          <w:szCs w:val="29"/>
          <w:b w:val="1"/>
          <w:bCs w:val="1"/>
          <w:color w:val="71BF43"/>
        </w:rPr>
        <w:t>ITEM 12. SECURITY OWNERSHIP OF CERTAIN BENEFICIAL OWNERS AND MANAGEMENT AND RELATED STOCKHOLDER MATTERS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Item 12 is incorporated by reference from information under the captions “Stock Ownership” and "Equity Compensation Plan Information" contained in Blackbaud’s Proxy Statement for the 2021 Annual Meeting of Stockholders expected to be held on June 9, 2021.</w:t>
      </w:r>
    </w:p>
    <w:p>
      <w:pPr>
        <w:spacing w:after="0" w:line="216" w:lineRule="exact"/>
        <w:rPr>
          <w:sz w:val="20"/>
          <w:szCs w:val="20"/>
          <w:color w:val="auto"/>
        </w:rPr>
      </w:pPr>
    </w:p>
    <w:p>
      <w:pPr>
        <w:ind w:right="1060"/>
        <w:spacing w:after="0" w:line="278" w:lineRule="auto"/>
        <w:rPr>
          <w:sz w:val="20"/>
          <w:szCs w:val="20"/>
          <w:color w:val="auto"/>
        </w:rPr>
      </w:pPr>
      <w:r>
        <w:rPr>
          <w:rFonts w:ascii="Arial" w:cs="Arial" w:eastAsia="Arial" w:hAnsi="Arial"/>
          <w:sz w:val="29"/>
          <w:szCs w:val="29"/>
          <w:b w:val="1"/>
          <w:bCs w:val="1"/>
          <w:color w:val="71BF43"/>
        </w:rPr>
        <w:t>ITEM 13. CERTAIN RELATIONSHIPS AND RELATED TRANSACTIONS, AND DIRECTOR INDEPENDENCE</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Item 13 is incorporated by reference from the information under the captions “Transactions with Related Persons,” and “Independence of Directors” contained in Blackbaud’s Proxy Statement for the 2021 Annual Meeting of Stockholders expected to be held on June 9, 2021.</w:t>
      </w: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14. PRINCIPAL ACCOUNTANT FEES AND SERVICES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Item 14 is incorporated by reference from the information under the caption “Audit Committee Report,” contained in Blackbaud’s Proxy Statement for the 2021 Annual Meeting of Stockholders expected to be held on June 9, 2021.</w:t>
      </w:r>
    </w:p>
    <w:p>
      <w:pPr>
        <w:spacing w:after="0" w:line="290"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sz w:val="1"/>
          <w:szCs w:val="1"/>
          <w:color w:val="auto"/>
        </w:rPr>
        <w:drawing>
          <wp:inline distT="0" distB="0" distL="0" distR="0">
            <wp:extent cx="145415" cy="18859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5415" cy="18859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IV.</w:t>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15. EXHIBITS AND FINANCIAL STATEMENT SCHEDULES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included as part of the Annual Report on Form 10-K:</w:t>
      </w:r>
    </w:p>
    <w:p>
      <w:pPr>
        <w:spacing w:after="0" w:line="153"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the "Index to consolidated financial statements" in Part II Item 8 of this report</w:t>
      </w:r>
      <w:r>
        <w:rPr>
          <w:rFonts w:ascii="Arial" w:cs="Arial" w:eastAsia="Arial" w:hAnsi="Arial"/>
          <w:sz w:val="16"/>
          <w:szCs w:val="16"/>
          <w:color w:val="auto"/>
        </w:rPr>
        <w:t>.</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7"/>
          <w:szCs w:val="17"/>
          <w:i w:val="1"/>
          <w:iCs w:val="1"/>
          <w:color w:val="auto"/>
        </w:rPr>
        <w:t>Financial statement schedules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thereto.</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3.</w:t>
        <w:tab/>
        <w:t>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report: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shd w:val="clear" w:color="auto" w:fill="ACACAC"/>
          </w:tcPr>
          <w:p>
            <w:pPr>
              <w:spacing w:after="0"/>
              <w:rPr>
                <w:sz w:val="19"/>
                <w:szCs w:val="19"/>
                <w:color w:val="auto"/>
              </w:rPr>
            </w:pPr>
          </w:p>
        </w:tc>
        <w:tc>
          <w:tcPr>
            <w:tcW w:w="34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660" w:type="dxa"/>
            <w:vAlign w:val="bottom"/>
            <w:shd w:val="clear" w:color="auto" w:fill="ACACAC"/>
          </w:tcPr>
          <w:p>
            <w:pPr>
              <w:spacing w:after="0"/>
              <w:rPr>
                <w:sz w:val="19"/>
                <w:szCs w:val="19"/>
                <w:color w:val="auto"/>
              </w:rPr>
            </w:pPr>
          </w:p>
        </w:tc>
        <w:tc>
          <w:tcPr>
            <w:tcW w:w="100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320" w:type="dxa"/>
            <w:vAlign w:val="bottom"/>
            <w:shd w:val="clear" w:color="auto" w:fill="ACACAC"/>
          </w:tcPr>
          <w:p>
            <w:pPr>
              <w:spacing w:after="0"/>
              <w:rPr>
                <w:sz w:val="19"/>
                <w:szCs w:val="19"/>
                <w:color w:val="auto"/>
              </w:rPr>
            </w:pPr>
          </w:p>
        </w:tc>
        <w:tc>
          <w:tcPr>
            <w:tcW w:w="1540" w:type="dxa"/>
            <w:vAlign w:val="bottom"/>
            <w:shd w:val="clear" w:color="auto" w:fill="ACACAC"/>
          </w:tcPr>
          <w:p>
            <w:pPr>
              <w:spacing w:after="0"/>
              <w:rPr>
                <w:sz w:val="19"/>
                <w:szCs w:val="19"/>
                <w:color w:val="auto"/>
              </w:rPr>
            </w:pPr>
          </w:p>
        </w:tc>
        <w:tc>
          <w:tcPr>
            <w:tcW w:w="40" w:type="dxa"/>
            <w:vAlign w:val="bottom"/>
            <w:shd w:val="clear" w:color="auto" w:fill="ACACAC"/>
          </w:tcPr>
          <w:p>
            <w:pPr>
              <w:spacing w:after="0"/>
              <w:rPr>
                <w:sz w:val="19"/>
                <w:szCs w:val="19"/>
                <w:color w:val="auto"/>
              </w:rPr>
            </w:pPr>
          </w:p>
        </w:tc>
        <w:tc>
          <w:tcPr>
            <w:tcW w:w="60" w:type="dxa"/>
            <w:vAlign w:val="bottom"/>
            <w:shd w:val="clear" w:color="auto" w:fill="ACACAC"/>
          </w:tcPr>
          <w:p>
            <w:pPr>
              <w:spacing w:after="0"/>
              <w:rPr>
                <w:sz w:val="19"/>
                <w:szCs w:val="19"/>
                <w:color w:val="auto"/>
              </w:rPr>
            </w:pPr>
          </w:p>
        </w:tc>
        <w:tc>
          <w:tcPr>
            <w:tcW w:w="60" w:type="dxa"/>
            <w:vAlign w:val="bottom"/>
            <w:shd w:val="clear" w:color="auto" w:fill="ACACAC"/>
          </w:tcPr>
          <w:p>
            <w:pPr>
              <w:spacing w:after="0"/>
              <w:rPr>
                <w:sz w:val="19"/>
                <w:szCs w:val="19"/>
                <w:color w:val="auto"/>
              </w:rPr>
            </w:pPr>
          </w:p>
        </w:tc>
        <w:tc>
          <w:tcPr>
            <w:tcW w:w="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6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4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320" w:type="dxa"/>
            <w:vAlign w:val="bottom"/>
            <w:shd w:val="clear" w:color="auto" w:fill="ACACAC"/>
          </w:tcPr>
          <w:p>
            <w:pPr>
              <w:spacing w:after="0"/>
              <w:rPr>
                <w:sz w:val="19"/>
                <w:szCs w:val="19"/>
                <w:color w:val="auto"/>
              </w:rPr>
            </w:pPr>
          </w:p>
        </w:tc>
        <w:tc>
          <w:tcPr>
            <w:tcW w:w="1660" w:type="dxa"/>
            <w:vAlign w:val="bottom"/>
            <w:shd w:val="clear" w:color="auto" w:fill="ACACAC"/>
          </w:tcPr>
          <w:p>
            <w:pPr>
              <w:jc w:val="right"/>
              <w:ind w:right="213"/>
              <w:spacing w:after="0"/>
              <w:rPr>
                <w:sz w:val="20"/>
                <w:szCs w:val="20"/>
                <w:color w:val="auto"/>
              </w:rPr>
            </w:pPr>
            <w:r>
              <w:rPr>
                <w:rFonts w:ascii="Arial" w:cs="Arial" w:eastAsia="Arial" w:hAnsi="Arial"/>
                <w:sz w:val="14"/>
                <w:szCs w:val="14"/>
                <w:b w:val="1"/>
                <w:bCs w:val="1"/>
                <w:color w:val="FFFFFF"/>
              </w:rPr>
              <w:t>Filed In</w:t>
            </w:r>
          </w:p>
        </w:tc>
        <w:tc>
          <w:tcPr>
            <w:tcW w:w="960" w:type="dxa"/>
            <w:vAlign w:val="bottom"/>
            <w:shd w:val="clear" w:color="auto" w:fill="ACACAC"/>
          </w:tcPr>
          <w:p>
            <w:pPr>
              <w:spacing w:after="0"/>
              <w:rPr>
                <w:sz w:val="19"/>
                <w:szCs w:val="19"/>
                <w:color w:val="auto"/>
              </w:rPr>
            </w:pPr>
          </w:p>
        </w:tc>
        <w:tc>
          <w:tcPr>
            <w:tcW w:w="9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60" w:type="dxa"/>
            <w:vAlign w:val="bottom"/>
            <w:gridSpan w:val="3"/>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Exhibit</w:t>
            </w:r>
          </w:p>
        </w:tc>
        <w:tc>
          <w:tcPr>
            <w:tcW w:w="660" w:type="dxa"/>
            <w:vAlign w:val="bottom"/>
            <w:shd w:val="clear" w:color="auto" w:fill="ACACAC"/>
          </w:tcPr>
          <w:p>
            <w:pPr>
              <w:spacing w:after="0"/>
              <w:rPr>
                <w:sz w:val="14"/>
                <w:szCs w:val="14"/>
                <w:color w:val="auto"/>
              </w:rPr>
            </w:pPr>
          </w:p>
        </w:tc>
        <w:tc>
          <w:tcPr>
            <w:tcW w:w="100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3560" w:type="dxa"/>
            <w:vAlign w:val="bottom"/>
            <w:gridSpan w:val="20"/>
            <w:vMerge w:val="restart"/>
            <w:shd w:val="clear" w:color="auto" w:fill="ACACAC"/>
          </w:tcPr>
          <w:p>
            <w:pPr>
              <w:ind w:left="260"/>
              <w:spacing w:after="0"/>
              <w:rPr>
                <w:sz w:val="20"/>
                <w:szCs w:val="20"/>
                <w:color w:val="auto"/>
              </w:rPr>
            </w:pPr>
            <w:r>
              <w:rPr>
                <w:rFonts w:ascii="Arial" w:cs="Arial" w:eastAsia="Arial" w:hAnsi="Arial"/>
                <w:sz w:val="14"/>
                <w:szCs w:val="14"/>
                <w:b w:val="1"/>
                <w:bCs w:val="1"/>
                <w:color w:val="FFFFFF"/>
              </w:rPr>
              <w:t>Description of Document</w:t>
            </w:r>
          </w:p>
        </w:tc>
        <w:tc>
          <w:tcPr>
            <w:tcW w:w="1320" w:type="dxa"/>
            <w:vAlign w:val="bottom"/>
            <w:shd w:val="clear" w:color="auto" w:fill="ACACAC"/>
          </w:tcPr>
          <w:p>
            <w:pPr>
              <w:jc w:val="center"/>
              <w:ind w:right="113"/>
              <w:spacing w:after="0"/>
              <w:rPr>
                <w:sz w:val="20"/>
                <w:szCs w:val="20"/>
                <w:color w:val="auto"/>
              </w:rPr>
            </w:pPr>
            <w:r>
              <w:rPr>
                <w:rFonts w:ascii="Arial" w:cs="Arial" w:eastAsia="Arial" w:hAnsi="Arial"/>
                <w:sz w:val="14"/>
                <w:szCs w:val="14"/>
                <w:b w:val="1"/>
                <w:bCs w:val="1"/>
                <w:color w:val="FFFFFF"/>
              </w:rPr>
              <w:t>Registrant’s</w:t>
            </w:r>
          </w:p>
        </w:tc>
        <w:tc>
          <w:tcPr>
            <w:tcW w:w="1660" w:type="dxa"/>
            <w:vAlign w:val="bottom"/>
            <w:vMerge w:val="restart"/>
            <w:shd w:val="clear" w:color="auto" w:fill="ACACAC"/>
          </w:tcPr>
          <w:p>
            <w:pPr>
              <w:jc w:val="right"/>
              <w:ind w:right="433"/>
              <w:spacing w:after="0"/>
              <w:rPr>
                <w:sz w:val="20"/>
                <w:szCs w:val="20"/>
                <w:color w:val="auto"/>
              </w:rPr>
            </w:pPr>
            <w:r>
              <w:rPr>
                <w:rFonts w:ascii="Arial" w:cs="Arial" w:eastAsia="Arial" w:hAnsi="Arial"/>
                <w:sz w:val="14"/>
                <w:szCs w:val="14"/>
                <w:b w:val="1"/>
                <w:bCs w:val="1"/>
                <w:color w:val="FFFFFF"/>
              </w:rPr>
              <w:t>Dated</w:t>
            </w:r>
          </w:p>
        </w:tc>
        <w:tc>
          <w:tcPr>
            <w:tcW w:w="960" w:type="dxa"/>
            <w:vAlign w:val="bottom"/>
            <w:shd w:val="clear" w:color="auto" w:fill="ACACAC"/>
          </w:tcPr>
          <w:p>
            <w:pPr>
              <w:jc w:val="right"/>
              <w:ind w:right="53"/>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Filed</w:t>
            </w:r>
          </w:p>
        </w:tc>
        <w:tc>
          <w:tcPr>
            <w:tcW w:w="0" w:type="dxa"/>
            <w:vAlign w:val="bottom"/>
          </w:tcPr>
          <w:p>
            <w:pPr>
              <w:spacing w:after="0"/>
              <w:rPr>
                <w:sz w:val="1"/>
                <w:szCs w:val="1"/>
                <w:color w:val="auto"/>
              </w:rPr>
            </w:pPr>
          </w:p>
        </w:tc>
      </w:tr>
      <w:tr>
        <w:trPr>
          <w:trHeight w:val="176"/>
        </w:trPr>
        <w:tc>
          <w:tcPr>
            <w:tcW w:w="960" w:type="dxa"/>
            <w:vAlign w:val="bottom"/>
            <w:gridSpan w:val="3"/>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Number</w:t>
            </w:r>
          </w:p>
        </w:tc>
        <w:tc>
          <w:tcPr>
            <w:tcW w:w="660" w:type="dxa"/>
            <w:vAlign w:val="bottom"/>
            <w:shd w:val="clear" w:color="auto" w:fill="ACACAC"/>
          </w:tcPr>
          <w:p>
            <w:pPr>
              <w:spacing w:after="0"/>
              <w:rPr>
                <w:sz w:val="15"/>
                <w:szCs w:val="15"/>
                <w:color w:val="auto"/>
              </w:rPr>
            </w:pPr>
          </w:p>
        </w:tc>
        <w:tc>
          <w:tcPr>
            <w:tcW w:w="100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3560" w:type="dxa"/>
            <w:vAlign w:val="bottom"/>
            <w:gridSpan w:val="20"/>
            <w:vMerge w:val="continue"/>
            <w:shd w:val="clear" w:color="auto" w:fill="ACACAC"/>
          </w:tcPr>
          <w:p>
            <w:pPr>
              <w:spacing w:after="0"/>
              <w:rPr>
                <w:sz w:val="15"/>
                <w:szCs w:val="15"/>
                <w:color w:val="auto"/>
              </w:rPr>
            </w:pPr>
          </w:p>
        </w:tc>
        <w:tc>
          <w:tcPr>
            <w:tcW w:w="1320" w:type="dxa"/>
            <w:vAlign w:val="bottom"/>
            <w:shd w:val="clear" w:color="auto" w:fill="ACACAC"/>
          </w:tcPr>
          <w:p>
            <w:pPr>
              <w:jc w:val="center"/>
              <w:ind w:right="113"/>
              <w:spacing w:after="0"/>
              <w:rPr>
                <w:sz w:val="20"/>
                <w:szCs w:val="20"/>
                <w:color w:val="auto"/>
              </w:rPr>
            </w:pPr>
            <w:r>
              <w:rPr>
                <w:rFonts w:ascii="Arial" w:cs="Arial" w:eastAsia="Arial" w:hAnsi="Arial"/>
                <w:sz w:val="14"/>
                <w:szCs w:val="14"/>
                <w:b w:val="1"/>
                <w:bCs w:val="1"/>
                <w:color w:val="FFFFFF"/>
              </w:rPr>
              <w:t>Form</w:t>
            </w:r>
          </w:p>
        </w:tc>
        <w:tc>
          <w:tcPr>
            <w:tcW w:w="1660" w:type="dxa"/>
            <w:vAlign w:val="bottom"/>
            <w:vMerge w:val="continue"/>
            <w:shd w:val="clear" w:color="auto" w:fill="ACACAC"/>
          </w:tcPr>
          <w:p>
            <w:pPr>
              <w:spacing w:after="0"/>
              <w:rPr>
                <w:sz w:val="15"/>
                <w:szCs w:val="15"/>
                <w:color w:val="auto"/>
              </w:rPr>
            </w:pPr>
          </w:p>
        </w:tc>
        <w:tc>
          <w:tcPr>
            <w:tcW w:w="960" w:type="dxa"/>
            <w:vAlign w:val="bottom"/>
            <w:shd w:val="clear" w:color="auto" w:fill="ACACAC"/>
          </w:tcPr>
          <w:p>
            <w:pPr>
              <w:jc w:val="right"/>
              <w:ind w:right="53"/>
              <w:spacing w:after="0"/>
              <w:rPr>
                <w:sz w:val="20"/>
                <w:szCs w:val="20"/>
                <w:color w:val="auto"/>
              </w:rPr>
            </w:pPr>
            <w:r>
              <w:rPr>
                <w:rFonts w:ascii="Arial" w:cs="Arial" w:eastAsia="Arial" w:hAnsi="Arial"/>
                <w:sz w:val="14"/>
                <w:szCs w:val="14"/>
                <w:b w:val="1"/>
                <w:bCs w:val="1"/>
                <w:color w:val="FFFFFF"/>
              </w:rPr>
              <w:t>Number</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Herewith</w:t>
            </w:r>
          </w:p>
        </w:tc>
        <w:tc>
          <w:tcPr>
            <w:tcW w:w="0" w:type="dxa"/>
            <w:vAlign w:val="bottom"/>
          </w:tcPr>
          <w:p>
            <w:pPr>
              <w:spacing w:after="0"/>
              <w:rPr>
                <w:sz w:val="1"/>
                <w:szCs w:val="1"/>
                <w:color w:val="auto"/>
              </w:rPr>
            </w:pPr>
          </w:p>
        </w:tc>
      </w:tr>
      <w:tr>
        <w:trPr>
          <w:trHeight w:val="189"/>
        </w:trPr>
        <w:tc>
          <w:tcPr>
            <w:tcW w:w="960" w:type="dxa"/>
            <w:vAlign w:val="bottom"/>
            <w:gridSpan w:val="3"/>
            <w:shd w:val="clear" w:color="auto" w:fill="F4F4F4"/>
          </w:tcPr>
          <w:p>
            <w:pPr>
              <w:jc w:val="right"/>
              <w:ind w:right="20"/>
              <w:spacing w:after="0" w:line="189" w:lineRule="exact"/>
              <w:rPr>
                <w:rFonts w:ascii="Arial" w:cs="Arial" w:eastAsia="Arial" w:hAnsi="Arial"/>
                <w:sz w:val="18"/>
                <w:szCs w:val="18"/>
                <w:u w:val="single" w:color="auto"/>
                <w:color w:val="0000FF"/>
              </w:rPr>
            </w:pPr>
            <w:hyperlink r:id="rId370">
              <w:r>
                <w:rPr>
                  <w:rFonts w:ascii="Arial" w:cs="Arial" w:eastAsia="Arial" w:hAnsi="Arial"/>
                  <w:sz w:val="18"/>
                  <w:szCs w:val="18"/>
                  <w:u w:val="single" w:color="auto"/>
                  <w:color w:val="0000FF"/>
                </w:rPr>
                <w:t>2.1</w:t>
              </w:r>
            </w:hyperlink>
          </w:p>
        </w:tc>
        <w:tc>
          <w:tcPr>
            <w:tcW w:w="660" w:type="dxa"/>
            <w:vAlign w:val="bottom"/>
            <w:shd w:val="clear" w:color="auto" w:fill="F4F4F4"/>
          </w:tcPr>
          <w:p>
            <w:pPr>
              <w:spacing w:after="0"/>
              <w:rPr>
                <w:sz w:val="16"/>
                <w:szCs w:val="16"/>
                <w:color w:val="auto"/>
              </w:rPr>
            </w:pPr>
          </w:p>
        </w:tc>
        <w:tc>
          <w:tcPr>
            <w:tcW w:w="4780" w:type="dxa"/>
            <w:vAlign w:val="bottom"/>
            <w:gridSpan w:val="22"/>
            <w:shd w:val="clear" w:color="auto" w:fill="F4F4F4"/>
          </w:tcPr>
          <w:p>
            <w:pPr>
              <w:spacing w:after="0" w:line="189" w:lineRule="exact"/>
              <w:rPr>
                <w:rFonts w:ascii="Arial" w:cs="Arial" w:eastAsia="Arial" w:hAnsi="Arial"/>
                <w:sz w:val="18"/>
                <w:szCs w:val="18"/>
                <w:color w:val="0000FF"/>
              </w:rPr>
            </w:pPr>
            <w:hyperlink r:id="rId370">
              <w:r>
                <w:rPr>
                  <w:rFonts w:ascii="Arial" w:cs="Arial" w:eastAsia="Arial" w:hAnsi="Arial"/>
                  <w:sz w:val="18"/>
                  <w:szCs w:val="18"/>
                  <w:color w:val="0000FF"/>
                </w:rPr>
                <w:t>Agreement and Plan of Merger and Reincorporation dated</w:t>
              </w:r>
            </w:hyperlink>
          </w:p>
        </w:tc>
        <w:tc>
          <w:tcPr>
            <w:tcW w:w="1320" w:type="dxa"/>
            <w:vAlign w:val="bottom"/>
            <w:shd w:val="clear" w:color="auto" w:fill="F4F4F4"/>
          </w:tcPr>
          <w:p>
            <w:pPr>
              <w:jc w:val="center"/>
              <w:ind w:right="113"/>
              <w:spacing w:after="0" w:line="189" w:lineRule="exact"/>
              <w:rPr>
                <w:sz w:val="20"/>
                <w:szCs w:val="20"/>
                <w:color w:val="auto"/>
              </w:rPr>
            </w:pPr>
            <w:r>
              <w:rPr>
                <w:rFonts w:ascii="Arial" w:cs="Arial" w:eastAsia="Arial" w:hAnsi="Arial"/>
                <w:sz w:val="18"/>
                <w:szCs w:val="18"/>
                <w:color w:val="auto"/>
                <w:w w:val="97"/>
              </w:rPr>
              <w:t>S-1/A</w:t>
            </w:r>
          </w:p>
        </w:tc>
        <w:tc>
          <w:tcPr>
            <w:tcW w:w="1660" w:type="dxa"/>
            <w:vAlign w:val="bottom"/>
            <w:shd w:val="clear" w:color="auto" w:fill="F4F4F4"/>
          </w:tcPr>
          <w:p>
            <w:pPr>
              <w:jc w:val="right"/>
              <w:ind w:right="433"/>
              <w:spacing w:after="0" w:line="189" w:lineRule="exact"/>
              <w:rPr>
                <w:sz w:val="20"/>
                <w:szCs w:val="20"/>
                <w:color w:val="auto"/>
              </w:rPr>
            </w:pPr>
            <w:r>
              <w:rPr>
                <w:rFonts w:ascii="Arial" w:cs="Arial" w:eastAsia="Arial" w:hAnsi="Arial"/>
                <w:sz w:val="18"/>
                <w:szCs w:val="18"/>
                <w:color w:val="auto"/>
              </w:rPr>
              <w:t>4/6/2004</w:t>
            </w:r>
          </w:p>
        </w:tc>
        <w:tc>
          <w:tcPr>
            <w:tcW w:w="96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2.1</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0" w:type="dxa"/>
            <w:vAlign w:val="bottom"/>
            <w:tcBorders>
              <w:top w:val="single" w:sz="8" w:color="F4F4F4"/>
            </w:tcBorders>
            <w:shd w:val="clear" w:color="auto" w:fill="F4F4F4"/>
          </w:tcPr>
          <w:p>
            <w:pPr>
              <w:spacing w:after="0"/>
              <w:rPr>
                <w:sz w:val="13"/>
                <w:szCs w:val="13"/>
                <w:color w:val="auto"/>
              </w:rPr>
            </w:pPr>
          </w:p>
        </w:tc>
        <w:tc>
          <w:tcPr>
            <w:tcW w:w="34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660" w:type="dxa"/>
            <w:vAlign w:val="bottom"/>
            <w:tcBorders>
              <w:top w:val="single" w:sz="8" w:color="F4F4F4"/>
            </w:tcBorders>
            <w:shd w:val="clear" w:color="auto" w:fill="F4F4F4"/>
          </w:tcPr>
          <w:p>
            <w:pPr>
              <w:spacing w:after="0"/>
              <w:rPr>
                <w:sz w:val="13"/>
                <w:szCs w:val="13"/>
                <w:color w:val="auto"/>
              </w:rPr>
            </w:pPr>
          </w:p>
        </w:tc>
        <w:tc>
          <w:tcPr>
            <w:tcW w:w="4620" w:type="dxa"/>
            <w:vAlign w:val="bottom"/>
            <w:tcBorders>
              <w:top w:val="single" w:sz="8" w:color="0000FF"/>
            </w:tcBorders>
            <w:gridSpan w:val="21"/>
            <w:shd w:val="clear" w:color="auto" w:fill="F4F4F4"/>
          </w:tcPr>
          <w:p>
            <w:pPr>
              <w:spacing w:after="0" w:line="156" w:lineRule="exact"/>
              <w:rPr>
                <w:rFonts w:ascii="Arial" w:cs="Arial" w:eastAsia="Arial" w:hAnsi="Arial"/>
                <w:sz w:val="18"/>
                <w:szCs w:val="18"/>
                <w:color w:val="0000FF"/>
              </w:rPr>
            </w:pPr>
            <w:hyperlink r:id="rId370">
              <w:r>
                <w:rPr>
                  <w:rFonts w:ascii="Arial" w:cs="Arial" w:eastAsia="Arial" w:hAnsi="Arial"/>
                  <w:sz w:val="18"/>
                  <w:szCs w:val="18"/>
                  <w:color w:val="0000FF"/>
                </w:rPr>
                <w:t>April 6, 2004</w:t>
              </w:r>
            </w:hyperlink>
          </w:p>
        </w:tc>
        <w:tc>
          <w:tcPr>
            <w:tcW w:w="160" w:type="dxa"/>
            <w:vAlign w:val="bottom"/>
            <w:tcBorders>
              <w:top w:val="single" w:sz="8" w:color="F4F4F4"/>
            </w:tcBorders>
            <w:shd w:val="clear" w:color="auto" w:fill="F4F4F4"/>
          </w:tcPr>
          <w:p>
            <w:pPr>
              <w:spacing w:after="0"/>
              <w:rPr>
                <w:sz w:val="13"/>
                <w:szCs w:val="13"/>
                <w:color w:val="auto"/>
              </w:rPr>
            </w:pPr>
          </w:p>
        </w:tc>
        <w:tc>
          <w:tcPr>
            <w:tcW w:w="1320" w:type="dxa"/>
            <w:vAlign w:val="bottom"/>
            <w:tcBorders>
              <w:top w:val="single" w:sz="8" w:color="F4F4F4"/>
            </w:tcBorders>
            <w:shd w:val="clear" w:color="auto" w:fill="F4F4F4"/>
          </w:tcPr>
          <w:p>
            <w:pPr>
              <w:spacing w:after="0"/>
              <w:rPr>
                <w:sz w:val="13"/>
                <w:szCs w:val="13"/>
                <w:color w:val="auto"/>
              </w:rPr>
            </w:pPr>
          </w:p>
        </w:tc>
        <w:tc>
          <w:tcPr>
            <w:tcW w:w="1660" w:type="dxa"/>
            <w:vAlign w:val="bottom"/>
            <w:tcBorders>
              <w:top w:val="single" w:sz="8" w:color="F4F4F4"/>
            </w:tcBorders>
            <w:shd w:val="clear" w:color="auto" w:fill="F4F4F4"/>
          </w:tcPr>
          <w:p>
            <w:pPr>
              <w:spacing w:after="0"/>
              <w:rPr>
                <w:sz w:val="13"/>
                <w:szCs w:val="13"/>
                <w:color w:val="auto"/>
              </w:rPr>
            </w:pPr>
          </w:p>
        </w:tc>
        <w:tc>
          <w:tcPr>
            <w:tcW w:w="9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F4F4F4"/>
            </w:tcBorders>
            <w:shd w:val="clear" w:color="auto" w:fill="F4F4F4"/>
          </w:tcPr>
          <w:p>
            <w:pPr>
              <w:spacing w:after="0" w:line="20" w:lineRule="exact"/>
              <w:rPr>
                <w:sz w:val="1"/>
                <w:szCs w:val="1"/>
                <w:color w:val="auto"/>
              </w:rPr>
            </w:pPr>
          </w:p>
        </w:tc>
        <w:tc>
          <w:tcPr>
            <w:tcW w:w="3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660" w:type="dxa"/>
            <w:vAlign w:val="bottom"/>
            <w:tcBorders>
              <w:top w:val="single" w:sz="8" w:color="F4F4F4"/>
            </w:tcBorders>
            <w:shd w:val="clear" w:color="auto" w:fill="F4F4F4"/>
          </w:tcPr>
          <w:p>
            <w:pPr>
              <w:spacing w:after="0" w:line="20" w:lineRule="exact"/>
              <w:rPr>
                <w:sz w:val="1"/>
                <w:szCs w:val="1"/>
                <w:color w:val="auto"/>
              </w:rPr>
            </w:pPr>
          </w:p>
        </w:tc>
        <w:tc>
          <w:tcPr>
            <w:tcW w:w="1000" w:type="dxa"/>
            <w:vAlign w:val="bottom"/>
            <w:tcBorders>
              <w:top w:val="single" w:sz="8" w:color="0000FF"/>
            </w:tcBorders>
            <w:shd w:val="clear" w:color="auto" w:fill="F4F4F4"/>
          </w:tcPr>
          <w:p>
            <w:pPr>
              <w:spacing w:after="0" w:line="20" w:lineRule="exact"/>
              <w:rPr>
                <w:sz w:val="1"/>
                <w:szCs w:val="1"/>
                <w:color w:val="auto"/>
              </w:rPr>
            </w:pPr>
          </w:p>
        </w:tc>
        <w:tc>
          <w:tcPr>
            <w:tcW w:w="220" w:type="dxa"/>
            <w:vAlign w:val="bottom"/>
            <w:tcBorders>
              <w:top w:val="single" w:sz="8" w:color="F4F4F4"/>
            </w:tcBorders>
            <w:shd w:val="clear" w:color="auto" w:fill="F4F4F4"/>
          </w:tcPr>
          <w:p>
            <w:pPr>
              <w:spacing w:after="0" w:line="20" w:lineRule="exact"/>
              <w:rPr>
                <w:sz w:val="1"/>
                <w:szCs w:val="1"/>
                <w:color w:val="auto"/>
              </w:rPr>
            </w:pPr>
          </w:p>
        </w:tc>
        <w:tc>
          <w:tcPr>
            <w:tcW w:w="740" w:type="dxa"/>
            <w:vAlign w:val="bottom"/>
            <w:tcBorders>
              <w:top w:val="single" w:sz="8" w:color="F4F4F4"/>
            </w:tcBorders>
            <w:shd w:val="clear" w:color="auto" w:fill="F4F4F4"/>
          </w:tcPr>
          <w:p>
            <w:pPr>
              <w:spacing w:after="0" w:line="20" w:lineRule="exact"/>
              <w:rPr>
                <w:sz w:val="1"/>
                <w:szCs w:val="1"/>
                <w:color w:val="auto"/>
              </w:rPr>
            </w:pPr>
          </w:p>
        </w:tc>
        <w:tc>
          <w:tcPr>
            <w:tcW w:w="320" w:type="dxa"/>
            <w:vAlign w:val="bottom"/>
            <w:tcBorders>
              <w:top w:val="single" w:sz="8" w:color="F4F4F4"/>
            </w:tcBorders>
            <w:shd w:val="clear" w:color="auto" w:fill="F4F4F4"/>
          </w:tcPr>
          <w:p>
            <w:pPr>
              <w:spacing w:after="0" w:line="20" w:lineRule="exact"/>
              <w:rPr>
                <w:sz w:val="1"/>
                <w:szCs w:val="1"/>
                <w:color w:val="auto"/>
              </w:rPr>
            </w:pPr>
          </w:p>
        </w:tc>
        <w:tc>
          <w:tcPr>
            <w:tcW w:w="154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60" w:type="dxa"/>
            <w:vAlign w:val="bottom"/>
            <w:tcBorders>
              <w:top w:val="single" w:sz="8" w:color="F4F4F4"/>
            </w:tcBorders>
            <w:shd w:val="clear" w:color="auto" w:fill="F4F4F4"/>
          </w:tcPr>
          <w:p>
            <w:pPr>
              <w:spacing w:after="0" w:line="20" w:lineRule="exact"/>
              <w:rPr>
                <w:sz w:val="1"/>
                <w:szCs w:val="1"/>
                <w:color w:val="auto"/>
              </w:rPr>
            </w:pPr>
          </w:p>
        </w:tc>
        <w:tc>
          <w:tcPr>
            <w:tcW w:w="1320" w:type="dxa"/>
            <w:vAlign w:val="bottom"/>
            <w:tcBorders>
              <w:top w:val="single" w:sz="8" w:color="F4F4F4"/>
            </w:tcBorders>
            <w:shd w:val="clear" w:color="auto" w:fill="F4F4F4"/>
          </w:tcPr>
          <w:p>
            <w:pPr>
              <w:spacing w:after="0" w:line="20" w:lineRule="exact"/>
              <w:rPr>
                <w:sz w:val="1"/>
                <w:szCs w:val="1"/>
                <w:color w:val="auto"/>
              </w:rPr>
            </w:pPr>
          </w:p>
        </w:tc>
        <w:tc>
          <w:tcPr>
            <w:tcW w:w="1660" w:type="dxa"/>
            <w:vAlign w:val="bottom"/>
            <w:tcBorders>
              <w:top w:val="single" w:sz="8" w:color="F4F4F4"/>
            </w:tcBorders>
            <w:shd w:val="clear" w:color="auto" w:fill="F4F4F4"/>
          </w:tcPr>
          <w:p>
            <w:pPr>
              <w:spacing w:after="0" w:line="20" w:lineRule="exact"/>
              <w:rPr>
                <w:sz w:val="1"/>
                <w:szCs w:val="1"/>
                <w:color w:val="auto"/>
              </w:rPr>
            </w:pPr>
          </w:p>
        </w:tc>
        <w:tc>
          <w:tcPr>
            <w:tcW w:w="960" w:type="dxa"/>
            <w:vAlign w:val="bottom"/>
            <w:tcBorders>
              <w:top w:val="single" w:sz="8" w:color="F4F4F4"/>
            </w:tcBorders>
            <w:shd w:val="clear" w:color="auto" w:fill="F4F4F4"/>
          </w:tcPr>
          <w:p>
            <w:pPr>
              <w:spacing w:after="0" w:line="20" w:lineRule="exact"/>
              <w:rPr>
                <w:sz w:val="1"/>
                <w:szCs w:val="1"/>
                <w:color w:val="auto"/>
              </w:rPr>
            </w:pPr>
          </w:p>
        </w:tc>
        <w:tc>
          <w:tcPr>
            <w:tcW w:w="900" w:type="dxa"/>
            <w:vAlign w:val="bottom"/>
            <w:tcBorders>
              <w:top w:val="single" w:sz="8" w:color="F4F4F4"/>
            </w:tcBorders>
            <w:shd w:val="clear" w:color="auto" w:fill="F4F4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gridSpan w:val="3"/>
          </w:tcPr>
          <w:p>
            <w:pPr>
              <w:jc w:val="right"/>
              <w:ind w:right="20"/>
              <w:spacing w:after="0" w:line="189" w:lineRule="exact"/>
              <w:rPr>
                <w:rFonts w:ascii="Arial" w:cs="Arial" w:eastAsia="Arial" w:hAnsi="Arial"/>
                <w:sz w:val="18"/>
                <w:szCs w:val="18"/>
                <w:u w:val="single" w:color="auto"/>
                <w:color w:val="0000FF"/>
              </w:rPr>
            </w:pPr>
            <w:hyperlink r:id="rId371">
              <w:r>
                <w:rPr>
                  <w:rFonts w:ascii="Arial" w:cs="Arial" w:eastAsia="Arial" w:hAnsi="Arial"/>
                  <w:sz w:val="18"/>
                  <w:szCs w:val="18"/>
                  <w:u w:val="single" w:color="auto"/>
                  <w:color w:val="0000FF"/>
                </w:rPr>
                <w:t>2.5</w:t>
              </w:r>
            </w:hyperlink>
          </w:p>
        </w:tc>
        <w:tc>
          <w:tcPr>
            <w:tcW w:w="66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4780" w:type="dxa"/>
            <w:vAlign w:val="bottom"/>
            <w:gridSpan w:val="22"/>
          </w:tcPr>
          <w:p>
            <w:pPr>
              <w:spacing w:after="0" w:line="189" w:lineRule="exact"/>
              <w:rPr>
                <w:rFonts w:ascii="Arial" w:cs="Arial" w:eastAsia="Arial" w:hAnsi="Arial"/>
                <w:sz w:val="18"/>
                <w:szCs w:val="18"/>
                <w:color w:val="0000FF"/>
              </w:rPr>
            </w:pPr>
            <w:hyperlink r:id="rId371">
              <w:r>
                <w:rPr>
                  <w:rFonts w:ascii="Arial" w:cs="Arial" w:eastAsia="Arial" w:hAnsi="Arial"/>
                  <w:sz w:val="18"/>
                  <w:szCs w:val="18"/>
                  <w:color w:val="0000FF"/>
                </w:rPr>
                <w:t>Stock Purchase Agreement dated as of February 1, 2011</w:t>
              </w:r>
            </w:hyperlink>
          </w:p>
        </w:tc>
        <w:tc>
          <w:tcPr>
            <w:tcW w:w="1320" w:type="dxa"/>
            <w:vAlign w:val="bottom"/>
          </w:tcPr>
          <w:p>
            <w:pPr>
              <w:jc w:val="center"/>
              <w:ind w:right="113"/>
              <w:spacing w:after="0" w:line="189" w:lineRule="exact"/>
              <w:rPr>
                <w:sz w:val="20"/>
                <w:szCs w:val="20"/>
                <w:color w:val="auto"/>
              </w:rPr>
            </w:pPr>
            <w:r>
              <w:rPr>
                <w:rFonts w:ascii="Arial" w:cs="Arial" w:eastAsia="Arial" w:hAnsi="Arial"/>
                <w:sz w:val="18"/>
                <w:szCs w:val="18"/>
                <w:color w:val="auto"/>
                <w:w w:val="99"/>
              </w:rPr>
              <w:t>10-Q</w:t>
            </w:r>
          </w:p>
        </w:tc>
        <w:tc>
          <w:tcPr>
            <w:tcW w:w="1660" w:type="dxa"/>
            <w:vAlign w:val="bottom"/>
          </w:tcPr>
          <w:p>
            <w:pPr>
              <w:jc w:val="right"/>
              <w:ind w:right="433"/>
              <w:spacing w:after="0" w:line="189" w:lineRule="exact"/>
              <w:rPr>
                <w:sz w:val="20"/>
                <w:szCs w:val="20"/>
                <w:color w:val="auto"/>
              </w:rPr>
            </w:pPr>
            <w:r>
              <w:rPr>
                <w:rFonts w:ascii="Arial" w:cs="Arial" w:eastAsia="Arial" w:hAnsi="Arial"/>
                <w:sz w:val="18"/>
                <w:szCs w:val="18"/>
                <w:color w:val="auto"/>
              </w:rPr>
              <w:t>5/10/2011</w:t>
            </w: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color w:val="auto"/>
              </w:rPr>
              <w:t>2.3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540" w:type="dxa"/>
            <w:vAlign w:val="bottom"/>
            <w:tcBorders>
              <w:top w:val="single" w:sz="8" w:color="0000FF"/>
            </w:tcBorders>
            <w:gridSpan w:val="18"/>
          </w:tcPr>
          <w:p>
            <w:pPr>
              <w:spacing w:after="0" w:line="154" w:lineRule="exact"/>
              <w:rPr>
                <w:rFonts w:ascii="Arial" w:cs="Arial" w:eastAsia="Arial" w:hAnsi="Arial"/>
                <w:sz w:val="17"/>
                <w:szCs w:val="17"/>
                <w:color w:val="0000FF"/>
              </w:rPr>
            </w:pPr>
            <w:hyperlink r:id="rId371">
              <w:r>
                <w:rPr>
                  <w:rFonts w:ascii="Arial" w:cs="Arial" w:eastAsia="Arial" w:hAnsi="Arial"/>
                  <w:sz w:val="17"/>
                  <w:szCs w:val="17"/>
                  <w:color w:val="0000FF"/>
                </w:rPr>
                <w:t>by and among Public Interest Data, Inc., all for the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rFonts w:ascii="Arial" w:cs="Arial" w:eastAsia="Arial" w:hAnsi="Arial"/>
                <w:sz w:val="18"/>
                <w:szCs w:val="18"/>
                <w:color w:val="0000FF"/>
                <w:w w:val="99"/>
              </w:rPr>
            </w:pPr>
            <w:hyperlink r:id="rId371">
              <w:r>
                <w:rPr>
                  <w:rFonts w:ascii="Arial" w:cs="Arial" w:eastAsia="Arial" w:hAnsi="Arial"/>
                  <w:sz w:val="18"/>
                  <w:szCs w:val="18"/>
                  <w:color w:val="0000FF"/>
                  <w:w w:val="99"/>
                </w:rPr>
                <w:t>stockholders of Public Interest Data, Inc., Stephen</w:t>
              </w:r>
            </w:hyperlink>
          </w:p>
        </w:tc>
        <w:tc>
          <w:tcPr>
            <w:tcW w:w="40" w:type="dxa"/>
            <w:vAlign w:val="bottom"/>
          </w:tcPr>
          <w:p>
            <w:pPr>
              <w:spacing w:after="0"/>
              <w:rPr>
                <w:sz w:val="13"/>
                <w:szCs w:val="13"/>
                <w:color w:val="auto"/>
              </w:rPr>
            </w:pPr>
          </w:p>
        </w:tc>
        <w:tc>
          <w:tcPr>
            <w:tcW w:w="760" w:type="dxa"/>
            <w:vAlign w:val="bottom"/>
            <w:gridSpan w:val="13"/>
          </w:tcPr>
          <w:p>
            <w:pPr>
              <w:jc w:val="center"/>
              <w:ind w:right="520"/>
              <w:spacing w:after="0" w:line="156" w:lineRule="exact"/>
              <w:rPr>
                <w:rFonts w:ascii="Arial" w:cs="Arial" w:eastAsia="Arial" w:hAnsi="Arial"/>
                <w:sz w:val="18"/>
                <w:szCs w:val="18"/>
                <w:color w:val="0000FF"/>
                <w:w w:val="90"/>
              </w:rPr>
            </w:pPr>
            <w:hyperlink r:id="rId371">
              <w:r>
                <w:rPr>
                  <w:rFonts w:ascii="Arial" w:cs="Arial" w:eastAsia="Arial" w:hAnsi="Arial"/>
                  <w:sz w:val="18"/>
                  <w:szCs w:val="18"/>
                  <w:color w:val="0000FF"/>
                  <w:w w:val="90"/>
                </w:rPr>
                <w:t>W.</w:t>
              </w:r>
            </w:hyperlink>
          </w:p>
        </w:tc>
        <w:tc>
          <w:tcPr>
            <w:tcW w:w="1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60" w:type="dxa"/>
            <w:vAlign w:val="bottom"/>
            <w:tcBorders>
              <w:top w:val="single" w:sz="8" w:color="0000FF"/>
            </w:tcBorders>
            <w:gridSpan w:val="11"/>
          </w:tcPr>
          <w:p>
            <w:pPr>
              <w:spacing w:after="0" w:line="197" w:lineRule="exact"/>
              <w:rPr>
                <w:rFonts w:ascii="Arial" w:cs="Arial" w:eastAsia="Arial" w:hAnsi="Arial"/>
                <w:sz w:val="18"/>
                <w:szCs w:val="18"/>
                <w:u w:val="single" w:color="auto"/>
                <w:color w:val="0000FF"/>
                <w:w w:val="98"/>
              </w:rPr>
            </w:pPr>
            <w:hyperlink r:id="rId371">
              <w:r>
                <w:rPr>
                  <w:rFonts w:ascii="Arial" w:cs="Arial" w:eastAsia="Arial" w:hAnsi="Arial"/>
                  <w:sz w:val="18"/>
                  <w:szCs w:val="18"/>
                  <w:u w:val="single" w:color="auto"/>
                  <w:color w:val="0000FF"/>
                  <w:w w:val="98"/>
                </w:rPr>
                <w:t>Zautke, as stockholder representative and Blackbaud,</w:t>
              </w:r>
            </w:hyperlink>
          </w:p>
        </w:tc>
        <w:tc>
          <w:tcPr>
            <w:tcW w:w="20" w:type="dxa"/>
            <w:vAlign w:val="bottom"/>
          </w:tcPr>
          <w:p>
            <w:pPr>
              <w:spacing w:after="0"/>
              <w:rPr>
                <w:sz w:val="17"/>
                <w:szCs w:val="17"/>
                <w:color w:val="auto"/>
              </w:rPr>
            </w:pPr>
          </w:p>
        </w:tc>
        <w:tc>
          <w:tcPr>
            <w:tcW w:w="500" w:type="dxa"/>
            <w:vAlign w:val="bottom"/>
            <w:gridSpan w:val="10"/>
          </w:tcPr>
          <w:p>
            <w:pPr>
              <w:ind w:left="60"/>
              <w:spacing w:after="0" w:line="197" w:lineRule="exact"/>
              <w:rPr>
                <w:rFonts w:ascii="Arial" w:cs="Arial" w:eastAsia="Arial" w:hAnsi="Arial"/>
                <w:sz w:val="18"/>
                <w:szCs w:val="18"/>
                <w:u w:val="single" w:color="auto"/>
                <w:color w:val="0000FF"/>
              </w:rPr>
            </w:pPr>
            <w:hyperlink r:id="rId371">
              <w:r>
                <w:rPr>
                  <w:rFonts w:ascii="Arial" w:cs="Arial" w:eastAsia="Arial" w:hAnsi="Arial"/>
                  <w:sz w:val="18"/>
                  <w:szCs w:val="18"/>
                  <w:u w:val="single" w:color="auto"/>
                  <w:color w:val="0000FF"/>
                </w:rPr>
                <w:t>Inc.</w:t>
              </w:r>
            </w:hyperlink>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60" w:type="dxa"/>
            <w:vAlign w:val="bottom"/>
            <w:gridSpan w:val="3"/>
            <w:shd w:val="clear" w:color="auto" w:fill="F4F4F4"/>
          </w:tcPr>
          <w:p>
            <w:pPr>
              <w:jc w:val="right"/>
              <w:ind w:right="20"/>
              <w:spacing w:after="0" w:line="189" w:lineRule="exact"/>
              <w:rPr>
                <w:rFonts w:ascii="Arial" w:cs="Arial" w:eastAsia="Arial" w:hAnsi="Arial"/>
                <w:sz w:val="18"/>
                <w:szCs w:val="18"/>
                <w:u w:val="single" w:color="auto"/>
                <w:color w:val="0000FF"/>
              </w:rPr>
            </w:pPr>
            <w:hyperlink r:id="rId372">
              <w:r>
                <w:rPr>
                  <w:rFonts w:ascii="Arial" w:cs="Arial" w:eastAsia="Arial" w:hAnsi="Arial"/>
                  <w:sz w:val="18"/>
                  <w:szCs w:val="18"/>
                  <w:u w:val="single" w:color="auto"/>
                  <w:color w:val="0000FF"/>
                </w:rPr>
                <w:t>2.6</w:t>
              </w:r>
            </w:hyperlink>
          </w:p>
        </w:tc>
        <w:tc>
          <w:tcPr>
            <w:tcW w:w="660" w:type="dxa"/>
            <w:vAlign w:val="bottom"/>
            <w:shd w:val="clear" w:color="auto" w:fill="F4F4F4"/>
          </w:tcPr>
          <w:p>
            <w:pPr>
              <w:spacing w:after="0"/>
              <w:rPr>
                <w:sz w:val="16"/>
                <w:szCs w:val="16"/>
                <w:color w:val="auto"/>
              </w:rPr>
            </w:pPr>
          </w:p>
        </w:tc>
        <w:tc>
          <w:tcPr>
            <w:tcW w:w="4780" w:type="dxa"/>
            <w:vAlign w:val="bottom"/>
            <w:gridSpan w:val="22"/>
            <w:shd w:val="clear" w:color="auto" w:fill="F4F4F4"/>
          </w:tcPr>
          <w:p>
            <w:pPr>
              <w:spacing w:after="0" w:line="189" w:lineRule="exact"/>
              <w:rPr>
                <w:rFonts w:ascii="Arial" w:cs="Arial" w:eastAsia="Arial" w:hAnsi="Arial"/>
                <w:sz w:val="18"/>
                <w:szCs w:val="18"/>
                <w:color w:val="0000FF"/>
              </w:rPr>
            </w:pPr>
            <w:hyperlink r:id="rId372">
              <w:r>
                <w:rPr>
                  <w:rFonts w:ascii="Arial" w:cs="Arial" w:eastAsia="Arial" w:hAnsi="Arial"/>
                  <w:sz w:val="18"/>
                  <w:szCs w:val="18"/>
                  <w:color w:val="0000FF"/>
                </w:rPr>
                <w:t>Agreement and Plan of Merger dated as of January 16,</w:t>
              </w:r>
            </w:hyperlink>
          </w:p>
        </w:tc>
        <w:tc>
          <w:tcPr>
            <w:tcW w:w="1320" w:type="dxa"/>
            <w:vAlign w:val="bottom"/>
            <w:shd w:val="clear" w:color="auto" w:fill="F4F4F4"/>
          </w:tcPr>
          <w:p>
            <w:pPr>
              <w:jc w:val="center"/>
              <w:ind w:right="113"/>
              <w:spacing w:after="0" w:line="189" w:lineRule="exact"/>
              <w:rPr>
                <w:sz w:val="20"/>
                <w:szCs w:val="20"/>
                <w:color w:val="auto"/>
              </w:rPr>
            </w:pPr>
            <w:r>
              <w:rPr>
                <w:rFonts w:ascii="Arial" w:cs="Arial" w:eastAsia="Arial" w:hAnsi="Arial"/>
                <w:sz w:val="18"/>
                <w:szCs w:val="18"/>
                <w:color w:val="auto"/>
                <w:w w:val="99"/>
              </w:rPr>
              <w:t>8-K</w:t>
            </w:r>
          </w:p>
        </w:tc>
        <w:tc>
          <w:tcPr>
            <w:tcW w:w="1660" w:type="dxa"/>
            <w:vAlign w:val="bottom"/>
            <w:shd w:val="clear" w:color="auto" w:fill="F4F4F4"/>
          </w:tcPr>
          <w:p>
            <w:pPr>
              <w:jc w:val="right"/>
              <w:ind w:right="433"/>
              <w:spacing w:after="0" w:line="189" w:lineRule="exact"/>
              <w:rPr>
                <w:sz w:val="20"/>
                <w:szCs w:val="20"/>
                <w:color w:val="auto"/>
              </w:rPr>
            </w:pPr>
            <w:r>
              <w:rPr>
                <w:rFonts w:ascii="Arial" w:cs="Arial" w:eastAsia="Arial" w:hAnsi="Arial"/>
                <w:sz w:val="18"/>
                <w:szCs w:val="18"/>
                <w:color w:val="auto"/>
              </w:rPr>
              <w:t>1/17/2012</w:t>
            </w:r>
          </w:p>
        </w:tc>
        <w:tc>
          <w:tcPr>
            <w:tcW w:w="96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2.4</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0" w:type="dxa"/>
            <w:vAlign w:val="bottom"/>
            <w:tcBorders>
              <w:top w:val="single" w:sz="8" w:color="F4F4F4"/>
              <w:bottom w:val="single" w:sz="8" w:color="F4F4F4"/>
            </w:tcBorders>
            <w:shd w:val="clear" w:color="auto" w:fill="F4F4F4"/>
          </w:tcPr>
          <w:p>
            <w:pPr>
              <w:spacing w:after="0"/>
              <w:rPr>
                <w:sz w:val="13"/>
                <w:szCs w:val="13"/>
                <w:color w:val="auto"/>
              </w:rPr>
            </w:pPr>
          </w:p>
        </w:tc>
        <w:tc>
          <w:tcPr>
            <w:tcW w:w="340" w:type="dxa"/>
            <w:vAlign w:val="bottom"/>
            <w:tcBorders>
              <w:top w:val="single" w:sz="8" w:color="F4F4F4"/>
              <w:bottom w:val="single" w:sz="8" w:color="F4F4F4"/>
            </w:tcBorders>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660" w:type="dxa"/>
            <w:vAlign w:val="bottom"/>
            <w:tcBorders>
              <w:top w:val="single" w:sz="8" w:color="F4F4F4"/>
              <w:bottom w:val="single" w:sz="8" w:color="F4F4F4"/>
            </w:tcBorders>
            <w:shd w:val="clear" w:color="auto" w:fill="F4F4F4"/>
          </w:tcPr>
          <w:p>
            <w:pPr>
              <w:spacing w:after="0"/>
              <w:rPr>
                <w:sz w:val="13"/>
                <w:szCs w:val="13"/>
                <w:color w:val="auto"/>
              </w:rPr>
            </w:pPr>
          </w:p>
        </w:tc>
        <w:tc>
          <w:tcPr>
            <w:tcW w:w="4400" w:type="dxa"/>
            <w:vAlign w:val="bottom"/>
            <w:tcBorders>
              <w:top w:val="single" w:sz="8" w:color="0000FF"/>
              <w:bottom w:val="single" w:sz="8" w:color="0000FF"/>
            </w:tcBorders>
            <w:gridSpan w:val="13"/>
            <w:shd w:val="clear" w:color="auto" w:fill="F4F4F4"/>
          </w:tcPr>
          <w:p>
            <w:pPr>
              <w:spacing w:after="0" w:line="156" w:lineRule="exact"/>
              <w:rPr>
                <w:rFonts w:ascii="Arial" w:cs="Arial" w:eastAsia="Arial" w:hAnsi="Arial"/>
                <w:sz w:val="18"/>
                <w:szCs w:val="18"/>
                <w:color w:val="0000FF"/>
                <w:w w:val="96"/>
              </w:rPr>
            </w:pPr>
            <w:hyperlink r:id="rId372">
              <w:r>
                <w:rPr>
                  <w:rFonts w:ascii="Arial" w:cs="Arial" w:eastAsia="Arial" w:hAnsi="Arial"/>
                  <w:sz w:val="18"/>
                  <w:szCs w:val="18"/>
                  <w:color w:val="0000FF"/>
                  <w:w w:val="96"/>
                </w:rPr>
                <w:t>2012 by and among Blackbaud, Inc., Caribou Acquisition</w:t>
              </w:r>
            </w:hyperlink>
          </w:p>
        </w:tc>
        <w:tc>
          <w:tcPr>
            <w:tcW w:w="6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60" w:type="dxa"/>
            <w:vAlign w:val="bottom"/>
            <w:tcBorders>
              <w:top w:val="single" w:sz="8" w:color="F4F4F4"/>
              <w:bottom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180" w:type="dxa"/>
            <w:vAlign w:val="bottom"/>
            <w:tcBorders>
              <w:top w:val="single" w:sz="8" w:color="F4F4F4"/>
              <w:bottom w:val="single" w:sz="8" w:color="F4F4F4"/>
            </w:tcBorders>
            <w:gridSpan w:val="2"/>
            <w:shd w:val="clear" w:color="auto" w:fill="F4F4F4"/>
          </w:tcPr>
          <w:p>
            <w:pPr>
              <w:spacing w:after="0"/>
              <w:rPr>
                <w:sz w:val="13"/>
                <w:szCs w:val="13"/>
                <w:color w:val="auto"/>
              </w:rPr>
            </w:pPr>
          </w:p>
        </w:tc>
        <w:tc>
          <w:tcPr>
            <w:tcW w:w="1320" w:type="dxa"/>
            <w:vAlign w:val="bottom"/>
            <w:tcBorders>
              <w:top w:val="single" w:sz="8" w:color="F4F4F4"/>
              <w:bottom w:val="single" w:sz="8" w:color="F4F4F4"/>
            </w:tcBorders>
            <w:shd w:val="clear" w:color="auto" w:fill="F4F4F4"/>
          </w:tcPr>
          <w:p>
            <w:pPr>
              <w:spacing w:after="0"/>
              <w:rPr>
                <w:sz w:val="13"/>
                <w:szCs w:val="13"/>
                <w:color w:val="auto"/>
              </w:rPr>
            </w:pPr>
          </w:p>
        </w:tc>
        <w:tc>
          <w:tcPr>
            <w:tcW w:w="1660" w:type="dxa"/>
            <w:vAlign w:val="bottom"/>
            <w:tcBorders>
              <w:top w:val="single" w:sz="8" w:color="F4F4F4"/>
              <w:bottom w:val="single" w:sz="8" w:color="F4F4F4"/>
            </w:tcBorders>
            <w:shd w:val="clear" w:color="auto" w:fill="F4F4F4"/>
          </w:tcPr>
          <w:p>
            <w:pPr>
              <w:spacing w:after="0"/>
              <w:rPr>
                <w:sz w:val="13"/>
                <w:szCs w:val="13"/>
                <w:color w:val="auto"/>
              </w:rPr>
            </w:pPr>
          </w:p>
        </w:tc>
        <w:tc>
          <w:tcPr>
            <w:tcW w:w="960" w:type="dxa"/>
            <w:vAlign w:val="bottom"/>
            <w:tcBorders>
              <w:top w:val="single" w:sz="8" w:color="F4F4F4"/>
              <w:bottom w:val="single" w:sz="8" w:color="F4F4F4"/>
            </w:tcBorders>
            <w:shd w:val="clear" w:color="auto" w:fill="F4F4F4"/>
          </w:tcPr>
          <w:p>
            <w:pPr>
              <w:spacing w:after="0"/>
              <w:rPr>
                <w:sz w:val="13"/>
                <w:szCs w:val="13"/>
                <w:color w:val="auto"/>
              </w:rPr>
            </w:pPr>
          </w:p>
        </w:tc>
        <w:tc>
          <w:tcPr>
            <w:tcW w:w="900" w:type="dxa"/>
            <w:vAlign w:val="bottom"/>
            <w:tcBorders>
              <w:top w:val="single" w:sz="8" w:color="F4F4F4"/>
              <w:bottom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 w:type="dxa"/>
            <w:vAlign w:val="bottom"/>
            <w:shd w:val="clear" w:color="auto" w:fill="F4F4F4"/>
          </w:tcPr>
          <w:p>
            <w:pPr>
              <w:spacing w:after="0"/>
              <w:rPr>
                <w:sz w:val="13"/>
                <w:szCs w:val="13"/>
                <w:color w:val="auto"/>
              </w:rPr>
            </w:pPr>
          </w:p>
        </w:tc>
        <w:tc>
          <w:tcPr>
            <w:tcW w:w="34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660" w:type="dxa"/>
            <w:vAlign w:val="bottom"/>
            <w:shd w:val="clear" w:color="auto" w:fill="F4F4F4"/>
          </w:tcPr>
          <w:p>
            <w:pPr>
              <w:spacing w:after="0"/>
              <w:rPr>
                <w:sz w:val="13"/>
                <w:szCs w:val="13"/>
                <w:color w:val="auto"/>
              </w:rPr>
            </w:pPr>
          </w:p>
        </w:tc>
        <w:tc>
          <w:tcPr>
            <w:tcW w:w="4520" w:type="dxa"/>
            <w:vAlign w:val="bottom"/>
            <w:gridSpan w:val="17"/>
            <w:shd w:val="clear" w:color="auto" w:fill="F4F4F4"/>
          </w:tcPr>
          <w:p>
            <w:pPr>
              <w:spacing w:after="0" w:line="156" w:lineRule="exact"/>
              <w:rPr>
                <w:rFonts w:ascii="Arial" w:cs="Arial" w:eastAsia="Arial" w:hAnsi="Arial"/>
                <w:sz w:val="18"/>
                <w:szCs w:val="18"/>
                <w:color w:val="0000FF"/>
              </w:rPr>
            </w:pPr>
            <w:hyperlink r:id="rId372">
              <w:r>
                <w:rPr>
                  <w:rFonts w:ascii="Arial" w:cs="Arial" w:eastAsia="Arial" w:hAnsi="Arial"/>
                  <w:sz w:val="18"/>
                  <w:szCs w:val="18"/>
                  <w:color w:val="0000FF"/>
                </w:rPr>
                <w:t>Corporation and Convio, Inc.</w:t>
              </w:r>
            </w:hyperlink>
          </w:p>
        </w:tc>
        <w:tc>
          <w:tcPr>
            <w:tcW w:w="60" w:type="dxa"/>
            <w:vAlign w:val="bottom"/>
            <w:gridSpan w:val="2"/>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180" w:type="dxa"/>
            <w:vAlign w:val="bottom"/>
            <w:gridSpan w:val="2"/>
            <w:shd w:val="clear" w:color="auto" w:fill="F4F4F4"/>
          </w:tcPr>
          <w:p>
            <w:pPr>
              <w:spacing w:after="0"/>
              <w:rPr>
                <w:sz w:val="13"/>
                <w:szCs w:val="13"/>
                <w:color w:val="auto"/>
              </w:rPr>
            </w:pPr>
          </w:p>
        </w:tc>
        <w:tc>
          <w:tcPr>
            <w:tcW w:w="1320" w:type="dxa"/>
            <w:vAlign w:val="bottom"/>
            <w:shd w:val="clear" w:color="auto" w:fill="F4F4F4"/>
          </w:tcPr>
          <w:p>
            <w:pPr>
              <w:spacing w:after="0"/>
              <w:rPr>
                <w:sz w:val="13"/>
                <w:szCs w:val="13"/>
                <w:color w:val="auto"/>
              </w:rPr>
            </w:pPr>
          </w:p>
        </w:tc>
        <w:tc>
          <w:tcPr>
            <w:tcW w:w="1660" w:type="dxa"/>
            <w:vAlign w:val="bottom"/>
            <w:shd w:val="clear" w:color="auto" w:fill="F4F4F4"/>
          </w:tcPr>
          <w:p>
            <w:pPr>
              <w:spacing w:after="0"/>
              <w:rPr>
                <w:sz w:val="13"/>
                <w:szCs w:val="13"/>
                <w:color w:val="auto"/>
              </w:rPr>
            </w:pPr>
          </w:p>
        </w:tc>
        <w:tc>
          <w:tcPr>
            <w:tcW w:w="9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F4F4F4"/>
            </w:tcBorders>
            <w:shd w:val="clear" w:color="auto" w:fill="F4F4F4"/>
          </w:tcPr>
          <w:p>
            <w:pPr>
              <w:spacing w:after="0" w:line="20" w:lineRule="exact"/>
              <w:rPr>
                <w:sz w:val="1"/>
                <w:szCs w:val="1"/>
                <w:color w:val="auto"/>
              </w:rPr>
            </w:pPr>
          </w:p>
        </w:tc>
        <w:tc>
          <w:tcPr>
            <w:tcW w:w="3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660" w:type="dxa"/>
            <w:vAlign w:val="bottom"/>
            <w:tcBorders>
              <w:top w:val="single" w:sz="8" w:color="F4F4F4"/>
            </w:tcBorders>
            <w:shd w:val="clear" w:color="auto" w:fill="F4F4F4"/>
          </w:tcPr>
          <w:p>
            <w:pPr>
              <w:spacing w:after="0" w:line="20" w:lineRule="exact"/>
              <w:rPr>
                <w:sz w:val="1"/>
                <w:szCs w:val="1"/>
                <w:color w:val="auto"/>
              </w:rPr>
            </w:pPr>
          </w:p>
        </w:tc>
        <w:tc>
          <w:tcPr>
            <w:tcW w:w="1000" w:type="dxa"/>
            <w:vAlign w:val="bottom"/>
            <w:tcBorders>
              <w:top w:val="single" w:sz="8" w:color="0000FF"/>
            </w:tcBorders>
            <w:shd w:val="clear" w:color="auto" w:fill="F4F4F4"/>
          </w:tcPr>
          <w:p>
            <w:pPr>
              <w:spacing w:after="0" w:line="20" w:lineRule="exact"/>
              <w:rPr>
                <w:sz w:val="1"/>
                <w:szCs w:val="1"/>
                <w:color w:val="auto"/>
              </w:rPr>
            </w:pPr>
          </w:p>
        </w:tc>
        <w:tc>
          <w:tcPr>
            <w:tcW w:w="220" w:type="dxa"/>
            <w:vAlign w:val="bottom"/>
            <w:tcBorders>
              <w:top w:val="single" w:sz="8" w:color="0000FF"/>
            </w:tcBorders>
            <w:shd w:val="clear" w:color="auto" w:fill="F4F4F4"/>
          </w:tcPr>
          <w:p>
            <w:pPr>
              <w:spacing w:after="0" w:line="20" w:lineRule="exact"/>
              <w:rPr>
                <w:sz w:val="1"/>
                <w:szCs w:val="1"/>
                <w:color w:val="auto"/>
              </w:rPr>
            </w:pPr>
          </w:p>
        </w:tc>
        <w:tc>
          <w:tcPr>
            <w:tcW w:w="740" w:type="dxa"/>
            <w:vAlign w:val="bottom"/>
            <w:tcBorders>
              <w:top w:val="single" w:sz="8" w:color="0000FF"/>
            </w:tcBorders>
            <w:shd w:val="clear" w:color="auto" w:fill="F4F4F4"/>
          </w:tcPr>
          <w:p>
            <w:pPr>
              <w:spacing w:after="0" w:line="20" w:lineRule="exact"/>
              <w:rPr>
                <w:sz w:val="1"/>
                <w:szCs w:val="1"/>
                <w:color w:val="auto"/>
              </w:rPr>
            </w:pPr>
          </w:p>
        </w:tc>
        <w:tc>
          <w:tcPr>
            <w:tcW w:w="320" w:type="dxa"/>
            <w:vAlign w:val="bottom"/>
            <w:tcBorders>
              <w:top w:val="single" w:sz="8" w:color="0000FF"/>
            </w:tcBorders>
            <w:shd w:val="clear" w:color="auto" w:fill="F4F4F4"/>
          </w:tcPr>
          <w:p>
            <w:pPr>
              <w:spacing w:after="0" w:line="20" w:lineRule="exact"/>
              <w:rPr>
                <w:sz w:val="1"/>
                <w:szCs w:val="1"/>
                <w:color w:val="auto"/>
              </w:rPr>
            </w:pPr>
          </w:p>
        </w:tc>
        <w:tc>
          <w:tcPr>
            <w:tcW w:w="154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60" w:type="dxa"/>
            <w:vAlign w:val="bottom"/>
            <w:tcBorders>
              <w:top w:val="single" w:sz="8" w:color="F4F4F4"/>
            </w:tcBorders>
            <w:shd w:val="clear" w:color="auto" w:fill="F4F4F4"/>
          </w:tcPr>
          <w:p>
            <w:pPr>
              <w:spacing w:after="0" w:line="20" w:lineRule="exact"/>
              <w:rPr>
                <w:sz w:val="1"/>
                <w:szCs w:val="1"/>
                <w:color w:val="auto"/>
              </w:rPr>
            </w:pPr>
          </w:p>
        </w:tc>
        <w:tc>
          <w:tcPr>
            <w:tcW w:w="1320" w:type="dxa"/>
            <w:vAlign w:val="bottom"/>
            <w:tcBorders>
              <w:top w:val="single" w:sz="8" w:color="F4F4F4"/>
            </w:tcBorders>
            <w:shd w:val="clear" w:color="auto" w:fill="F4F4F4"/>
          </w:tcPr>
          <w:p>
            <w:pPr>
              <w:spacing w:after="0" w:line="20" w:lineRule="exact"/>
              <w:rPr>
                <w:sz w:val="1"/>
                <w:szCs w:val="1"/>
                <w:color w:val="auto"/>
              </w:rPr>
            </w:pPr>
          </w:p>
        </w:tc>
        <w:tc>
          <w:tcPr>
            <w:tcW w:w="1660" w:type="dxa"/>
            <w:vAlign w:val="bottom"/>
            <w:tcBorders>
              <w:top w:val="single" w:sz="8" w:color="F4F4F4"/>
            </w:tcBorders>
            <w:shd w:val="clear" w:color="auto" w:fill="F4F4F4"/>
          </w:tcPr>
          <w:p>
            <w:pPr>
              <w:spacing w:after="0" w:line="20" w:lineRule="exact"/>
              <w:rPr>
                <w:sz w:val="1"/>
                <w:szCs w:val="1"/>
                <w:color w:val="auto"/>
              </w:rPr>
            </w:pPr>
          </w:p>
        </w:tc>
        <w:tc>
          <w:tcPr>
            <w:tcW w:w="960" w:type="dxa"/>
            <w:vAlign w:val="bottom"/>
            <w:tcBorders>
              <w:top w:val="single" w:sz="8" w:color="F4F4F4"/>
            </w:tcBorders>
            <w:shd w:val="clear" w:color="auto" w:fill="F4F4F4"/>
          </w:tcPr>
          <w:p>
            <w:pPr>
              <w:spacing w:after="0" w:line="20" w:lineRule="exact"/>
              <w:rPr>
                <w:sz w:val="1"/>
                <w:szCs w:val="1"/>
                <w:color w:val="auto"/>
              </w:rPr>
            </w:pPr>
          </w:p>
        </w:tc>
        <w:tc>
          <w:tcPr>
            <w:tcW w:w="900" w:type="dxa"/>
            <w:vAlign w:val="bottom"/>
            <w:tcBorders>
              <w:top w:val="single" w:sz="8" w:color="F4F4F4"/>
            </w:tcBorders>
            <w:shd w:val="clear" w:color="auto" w:fill="F4F4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gridSpan w:val="3"/>
          </w:tcPr>
          <w:p>
            <w:pPr>
              <w:jc w:val="right"/>
              <w:ind w:right="20"/>
              <w:spacing w:after="0" w:line="189" w:lineRule="exact"/>
              <w:rPr>
                <w:rFonts w:ascii="Arial" w:cs="Arial" w:eastAsia="Arial" w:hAnsi="Arial"/>
                <w:sz w:val="18"/>
                <w:szCs w:val="18"/>
                <w:u w:val="single" w:color="auto"/>
                <w:color w:val="0000FF"/>
              </w:rPr>
            </w:pPr>
            <w:hyperlink r:id="rId373">
              <w:r>
                <w:rPr>
                  <w:rFonts w:ascii="Arial" w:cs="Arial" w:eastAsia="Arial" w:hAnsi="Arial"/>
                  <w:sz w:val="18"/>
                  <w:szCs w:val="18"/>
                  <w:u w:val="single" w:color="auto"/>
                  <w:color w:val="0000FF"/>
                </w:rPr>
                <w:t>2.7</w:t>
              </w:r>
            </w:hyperlink>
          </w:p>
        </w:tc>
        <w:tc>
          <w:tcPr>
            <w:tcW w:w="660" w:type="dxa"/>
            <w:vAlign w:val="bottom"/>
          </w:tcPr>
          <w:p>
            <w:pPr>
              <w:spacing w:after="0"/>
              <w:rPr>
                <w:sz w:val="16"/>
                <w:szCs w:val="16"/>
                <w:color w:val="auto"/>
              </w:rPr>
            </w:pPr>
          </w:p>
        </w:tc>
        <w:tc>
          <w:tcPr>
            <w:tcW w:w="4780" w:type="dxa"/>
            <w:vAlign w:val="bottom"/>
            <w:gridSpan w:val="22"/>
          </w:tcPr>
          <w:p>
            <w:pPr>
              <w:spacing w:after="0" w:line="189" w:lineRule="exact"/>
              <w:rPr>
                <w:rFonts w:ascii="Arial" w:cs="Arial" w:eastAsia="Arial" w:hAnsi="Arial"/>
                <w:sz w:val="18"/>
                <w:szCs w:val="18"/>
                <w:color w:val="0000FF"/>
              </w:rPr>
            </w:pPr>
            <w:hyperlink r:id="rId373">
              <w:r>
                <w:rPr>
                  <w:rFonts w:ascii="Arial" w:cs="Arial" w:eastAsia="Arial" w:hAnsi="Arial"/>
                  <w:sz w:val="18"/>
                  <w:szCs w:val="18"/>
                  <w:color w:val="0000FF"/>
                </w:rPr>
                <w:t>Stock Purchase Agreement dated as of October 6, 2011</w:t>
              </w:r>
            </w:hyperlink>
          </w:p>
        </w:tc>
        <w:tc>
          <w:tcPr>
            <w:tcW w:w="1320" w:type="dxa"/>
            <w:vAlign w:val="bottom"/>
          </w:tcPr>
          <w:p>
            <w:pPr>
              <w:jc w:val="center"/>
              <w:ind w:right="93"/>
              <w:spacing w:after="0" w:line="189" w:lineRule="exact"/>
              <w:rPr>
                <w:sz w:val="20"/>
                <w:szCs w:val="20"/>
                <w:color w:val="auto"/>
              </w:rPr>
            </w:pPr>
            <w:r>
              <w:rPr>
                <w:rFonts w:ascii="Arial" w:cs="Arial" w:eastAsia="Arial" w:hAnsi="Arial"/>
                <w:sz w:val="18"/>
                <w:szCs w:val="18"/>
                <w:color w:val="auto"/>
                <w:w w:val="99"/>
              </w:rPr>
              <w:t>10-K</w:t>
            </w:r>
          </w:p>
        </w:tc>
        <w:tc>
          <w:tcPr>
            <w:tcW w:w="1660" w:type="dxa"/>
            <w:vAlign w:val="bottom"/>
          </w:tcPr>
          <w:p>
            <w:pPr>
              <w:jc w:val="right"/>
              <w:ind w:right="433"/>
              <w:spacing w:after="0" w:line="189" w:lineRule="exact"/>
              <w:rPr>
                <w:sz w:val="20"/>
                <w:szCs w:val="20"/>
                <w:color w:val="auto"/>
              </w:rPr>
            </w:pPr>
            <w:r>
              <w:rPr>
                <w:rFonts w:ascii="Arial" w:cs="Arial" w:eastAsia="Arial" w:hAnsi="Arial"/>
                <w:sz w:val="18"/>
                <w:szCs w:val="18"/>
                <w:color w:val="auto"/>
              </w:rPr>
              <w:t>2/29/2012</w:t>
            </w: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color w:val="auto"/>
              </w:rPr>
              <w:t>2.7</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5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373">
              <w:r>
                <w:rPr>
                  <w:rFonts w:ascii="Arial" w:cs="Arial" w:eastAsia="Arial" w:hAnsi="Arial"/>
                  <w:sz w:val="18"/>
                  <w:szCs w:val="18"/>
                  <w:color w:val="0000FF"/>
                </w:rPr>
                <w:t>by and among Everyday Hero Pty. Ltd., all of the</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60" w:type="dxa"/>
            <w:vAlign w:val="bottom"/>
            <w:tcBorders>
              <w:top w:val="single" w:sz="8" w:color="0000FF"/>
            </w:tcBorders>
            <w:gridSpan w:val="6"/>
          </w:tcPr>
          <w:p>
            <w:pPr>
              <w:spacing w:after="0" w:line="154" w:lineRule="exact"/>
              <w:rPr>
                <w:rFonts w:ascii="Arial" w:cs="Arial" w:eastAsia="Arial" w:hAnsi="Arial"/>
                <w:sz w:val="17"/>
                <w:szCs w:val="17"/>
                <w:color w:val="0000FF"/>
              </w:rPr>
            </w:pPr>
            <w:hyperlink r:id="rId373">
              <w:r>
                <w:rPr>
                  <w:rFonts w:ascii="Arial" w:cs="Arial" w:eastAsia="Arial" w:hAnsi="Arial"/>
                  <w:sz w:val="17"/>
                  <w:szCs w:val="17"/>
                  <w:color w:val="0000FF"/>
                </w:rPr>
                <w:t>stockholders of Everyday Hero Pty. Ltd., Nathan</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20" w:type="dxa"/>
            <w:vAlign w:val="bottom"/>
            <w:tcBorders>
              <w:top w:val="single" w:sz="8" w:color="0000FF"/>
            </w:tcBorders>
            <w:gridSpan w:val="5"/>
          </w:tcPr>
          <w:p>
            <w:pPr>
              <w:spacing w:after="0" w:line="156" w:lineRule="exact"/>
              <w:rPr>
                <w:rFonts w:ascii="Arial" w:cs="Arial" w:eastAsia="Arial" w:hAnsi="Arial"/>
                <w:sz w:val="18"/>
                <w:szCs w:val="18"/>
                <w:u w:val="single" w:color="auto"/>
                <w:color w:val="0000FF"/>
              </w:rPr>
            </w:pPr>
            <w:hyperlink r:id="rId373">
              <w:r>
                <w:rPr>
                  <w:rFonts w:ascii="Arial" w:cs="Arial" w:eastAsia="Arial" w:hAnsi="Arial"/>
                  <w:sz w:val="18"/>
                  <w:szCs w:val="18"/>
                  <w:u w:val="single" w:color="auto"/>
                  <w:color w:val="0000FF"/>
                </w:rPr>
                <w:t>Betteridge as stockholder representative and</w:t>
              </w:r>
            </w:hyperlink>
          </w:p>
        </w:tc>
        <w:tc>
          <w:tcPr>
            <w:tcW w:w="960" w:type="dxa"/>
            <w:vAlign w:val="bottom"/>
            <w:gridSpan w:val="17"/>
          </w:tcPr>
          <w:p>
            <w:pPr>
              <w:jc w:val="center"/>
              <w:ind w:right="320"/>
              <w:spacing w:after="0" w:line="156" w:lineRule="exact"/>
              <w:rPr>
                <w:rFonts w:ascii="Arial" w:cs="Arial" w:eastAsia="Arial" w:hAnsi="Arial"/>
                <w:sz w:val="18"/>
                <w:szCs w:val="18"/>
                <w:u w:val="single" w:color="auto"/>
                <w:color w:val="0000FF"/>
                <w:w w:val="76"/>
              </w:rPr>
            </w:pPr>
            <w:hyperlink r:id="rId373">
              <w:r>
                <w:rPr>
                  <w:rFonts w:ascii="Arial" w:cs="Arial" w:eastAsia="Arial" w:hAnsi="Arial"/>
                  <w:sz w:val="18"/>
                  <w:szCs w:val="18"/>
                  <w:u w:val="single" w:color="auto"/>
                  <w:color w:val="0000FF"/>
                  <w:w w:val="76"/>
                </w:rPr>
                <w:t>Blackbaud</w:t>
              </w:r>
            </w:hyperlink>
          </w:p>
        </w:tc>
        <w:tc>
          <w:tcPr>
            <w:tcW w:w="1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80" w:type="dxa"/>
            <w:vAlign w:val="bottom"/>
            <w:gridSpan w:val="22"/>
          </w:tcPr>
          <w:p>
            <w:pPr>
              <w:spacing w:after="0"/>
              <w:rPr>
                <w:rFonts w:ascii="Arial" w:cs="Arial" w:eastAsia="Arial" w:hAnsi="Arial"/>
                <w:sz w:val="18"/>
                <w:szCs w:val="18"/>
                <w:u w:val="single" w:color="auto"/>
                <w:color w:val="0000FF"/>
              </w:rPr>
            </w:pPr>
            <w:hyperlink r:id="rId373">
              <w:r>
                <w:rPr>
                  <w:rFonts w:ascii="Arial" w:cs="Arial" w:eastAsia="Arial" w:hAnsi="Arial"/>
                  <w:sz w:val="18"/>
                  <w:szCs w:val="18"/>
                  <w:u w:val="single" w:color="auto"/>
                  <w:color w:val="0000FF"/>
                </w:rPr>
                <w:t>Pacific Pty. Ltd.</w:t>
              </w:r>
            </w:hyperlink>
          </w:p>
        </w:tc>
        <w:tc>
          <w:tcPr>
            <w:tcW w:w="1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Borders>
              <w:bottom w:val="single" w:sz="8" w:color="F4F4F4"/>
            </w:tcBorders>
            <w:gridSpan w:val="3"/>
            <w:shd w:val="clear" w:color="auto" w:fill="F4F4F4"/>
          </w:tcPr>
          <w:p>
            <w:pPr>
              <w:jc w:val="right"/>
              <w:ind w:right="20"/>
              <w:spacing w:after="0" w:line="189" w:lineRule="exact"/>
              <w:rPr>
                <w:rFonts w:ascii="Arial" w:cs="Arial" w:eastAsia="Arial" w:hAnsi="Arial"/>
                <w:sz w:val="18"/>
                <w:szCs w:val="18"/>
                <w:u w:val="single" w:color="auto"/>
                <w:color w:val="0000FF"/>
              </w:rPr>
            </w:pPr>
            <w:hyperlink r:id="rId374">
              <w:r>
                <w:rPr>
                  <w:rFonts w:ascii="Arial" w:cs="Arial" w:eastAsia="Arial" w:hAnsi="Arial"/>
                  <w:sz w:val="18"/>
                  <w:szCs w:val="18"/>
                  <w:u w:val="single" w:color="auto"/>
                  <w:color w:val="0000FF"/>
                </w:rPr>
                <w:t>2.8</w:t>
              </w:r>
            </w:hyperlink>
          </w:p>
        </w:tc>
        <w:tc>
          <w:tcPr>
            <w:tcW w:w="660" w:type="dxa"/>
            <w:vAlign w:val="bottom"/>
            <w:tcBorders>
              <w:bottom w:val="single" w:sz="8" w:color="F4F4F4"/>
            </w:tcBorders>
            <w:shd w:val="clear" w:color="auto" w:fill="F4F4F4"/>
          </w:tcPr>
          <w:p>
            <w:pPr>
              <w:spacing w:after="0"/>
              <w:rPr>
                <w:sz w:val="16"/>
                <w:szCs w:val="16"/>
                <w:color w:val="auto"/>
              </w:rPr>
            </w:pPr>
          </w:p>
        </w:tc>
        <w:tc>
          <w:tcPr>
            <w:tcW w:w="4280" w:type="dxa"/>
            <w:vAlign w:val="bottom"/>
            <w:tcBorders>
              <w:bottom w:val="single" w:sz="8" w:color="0000FF"/>
            </w:tcBorders>
            <w:gridSpan w:val="12"/>
            <w:shd w:val="clear" w:color="auto" w:fill="F4F4F4"/>
          </w:tcPr>
          <w:p>
            <w:pPr>
              <w:spacing w:after="0" w:line="189" w:lineRule="exact"/>
              <w:rPr>
                <w:rFonts w:ascii="Arial" w:cs="Arial" w:eastAsia="Arial" w:hAnsi="Arial"/>
                <w:sz w:val="18"/>
                <w:szCs w:val="18"/>
                <w:color w:val="0000FF"/>
              </w:rPr>
            </w:pPr>
            <w:hyperlink r:id="rId374">
              <w:r>
                <w:rPr>
                  <w:rFonts w:ascii="Arial" w:cs="Arial" w:eastAsia="Arial" w:hAnsi="Arial"/>
                  <w:sz w:val="18"/>
                  <w:szCs w:val="18"/>
                  <w:color w:val="0000FF"/>
                </w:rPr>
                <w:t>Purchase Agreement, dated August 30, 2014, by and</w:t>
              </w:r>
            </w:hyperlink>
          </w:p>
        </w:tc>
        <w:tc>
          <w:tcPr>
            <w:tcW w:w="500" w:type="dxa"/>
            <w:vAlign w:val="bottom"/>
            <w:tcBorders>
              <w:bottom w:val="single" w:sz="8" w:color="F4F4F4"/>
            </w:tcBorders>
            <w:gridSpan w:val="10"/>
            <w:shd w:val="clear" w:color="auto" w:fill="F4F4F4"/>
          </w:tcPr>
          <w:p>
            <w:pPr>
              <w:spacing w:after="0"/>
              <w:rPr>
                <w:sz w:val="16"/>
                <w:szCs w:val="16"/>
                <w:color w:val="auto"/>
              </w:rPr>
            </w:pPr>
          </w:p>
        </w:tc>
        <w:tc>
          <w:tcPr>
            <w:tcW w:w="1320" w:type="dxa"/>
            <w:vAlign w:val="bottom"/>
            <w:tcBorders>
              <w:bottom w:val="single" w:sz="8" w:color="F4F4F4"/>
            </w:tcBorders>
            <w:shd w:val="clear" w:color="auto" w:fill="F4F4F4"/>
          </w:tcPr>
          <w:p>
            <w:pPr>
              <w:jc w:val="center"/>
              <w:ind w:right="113"/>
              <w:spacing w:after="0" w:line="189" w:lineRule="exact"/>
              <w:rPr>
                <w:sz w:val="20"/>
                <w:szCs w:val="20"/>
                <w:color w:val="auto"/>
              </w:rPr>
            </w:pPr>
            <w:r>
              <w:rPr>
                <w:rFonts w:ascii="Arial" w:cs="Arial" w:eastAsia="Arial" w:hAnsi="Arial"/>
                <w:sz w:val="18"/>
                <w:szCs w:val="18"/>
                <w:color w:val="auto"/>
                <w:w w:val="99"/>
              </w:rPr>
              <w:t>8-K</w:t>
            </w:r>
          </w:p>
        </w:tc>
        <w:tc>
          <w:tcPr>
            <w:tcW w:w="1660" w:type="dxa"/>
            <w:vAlign w:val="bottom"/>
            <w:tcBorders>
              <w:bottom w:val="single" w:sz="8" w:color="F4F4F4"/>
            </w:tcBorders>
            <w:shd w:val="clear" w:color="auto" w:fill="F4F4F4"/>
          </w:tcPr>
          <w:p>
            <w:pPr>
              <w:jc w:val="right"/>
              <w:ind w:right="433"/>
              <w:spacing w:after="0" w:line="189" w:lineRule="exact"/>
              <w:rPr>
                <w:sz w:val="20"/>
                <w:szCs w:val="20"/>
                <w:color w:val="auto"/>
              </w:rPr>
            </w:pPr>
            <w:r>
              <w:rPr>
                <w:rFonts w:ascii="Arial" w:cs="Arial" w:eastAsia="Arial" w:hAnsi="Arial"/>
                <w:sz w:val="18"/>
                <w:szCs w:val="18"/>
                <w:color w:val="auto"/>
              </w:rPr>
              <w:t>10/2/2014</w:t>
            </w:r>
          </w:p>
        </w:tc>
        <w:tc>
          <w:tcPr>
            <w:tcW w:w="960" w:type="dxa"/>
            <w:vAlign w:val="bottom"/>
            <w:tcBorders>
              <w:bottom w:val="single" w:sz="8" w:color="F4F4F4"/>
            </w:tcBorders>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10.76</w:t>
            </w:r>
          </w:p>
        </w:tc>
        <w:tc>
          <w:tcPr>
            <w:tcW w:w="900" w:type="dxa"/>
            <w:vAlign w:val="bottom"/>
            <w:tcBorders>
              <w:bottom w:val="single" w:sz="8" w:color="F4F4F4"/>
            </w:tcBorders>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0" w:type="dxa"/>
            <w:vAlign w:val="bottom"/>
            <w:shd w:val="clear" w:color="auto" w:fill="F4F4F4"/>
          </w:tcPr>
          <w:p>
            <w:pPr>
              <w:spacing w:after="0"/>
              <w:rPr>
                <w:sz w:val="13"/>
                <w:szCs w:val="13"/>
                <w:color w:val="auto"/>
              </w:rPr>
            </w:pPr>
          </w:p>
        </w:tc>
        <w:tc>
          <w:tcPr>
            <w:tcW w:w="34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660" w:type="dxa"/>
            <w:vAlign w:val="bottom"/>
            <w:shd w:val="clear" w:color="auto" w:fill="F4F4F4"/>
          </w:tcPr>
          <w:p>
            <w:pPr>
              <w:spacing w:after="0"/>
              <w:rPr>
                <w:sz w:val="13"/>
                <w:szCs w:val="13"/>
                <w:color w:val="auto"/>
              </w:rPr>
            </w:pPr>
          </w:p>
        </w:tc>
        <w:tc>
          <w:tcPr>
            <w:tcW w:w="4780" w:type="dxa"/>
            <w:vAlign w:val="bottom"/>
            <w:gridSpan w:val="22"/>
            <w:shd w:val="clear" w:color="auto" w:fill="F4F4F4"/>
          </w:tcPr>
          <w:p>
            <w:pPr>
              <w:spacing w:after="0" w:line="156" w:lineRule="exact"/>
              <w:rPr>
                <w:rFonts w:ascii="Arial" w:cs="Arial" w:eastAsia="Arial" w:hAnsi="Arial"/>
                <w:sz w:val="18"/>
                <w:szCs w:val="18"/>
                <w:color w:val="0000FF"/>
              </w:rPr>
            </w:pPr>
            <w:hyperlink r:id="rId374">
              <w:r>
                <w:rPr>
                  <w:rFonts w:ascii="Arial" w:cs="Arial" w:eastAsia="Arial" w:hAnsi="Arial"/>
                  <w:sz w:val="18"/>
                  <w:szCs w:val="18"/>
                  <w:color w:val="0000FF"/>
                </w:rPr>
                <w:t>among MicroEdge Holdings, LLC, Blackbaud, Inc, direct</w:t>
              </w:r>
            </w:hyperlink>
          </w:p>
        </w:tc>
        <w:tc>
          <w:tcPr>
            <w:tcW w:w="1320" w:type="dxa"/>
            <w:vAlign w:val="bottom"/>
            <w:shd w:val="clear" w:color="auto" w:fill="F4F4F4"/>
          </w:tcPr>
          <w:p>
            <w:pPr>
              <w:spacing w:after="0"/>
              <w:rPr>
                <w:sz w:val="13"/>
                <w:szCs w:val="13"/>
                <w:color w:val="auto"/>
              </w:rPr>
            </w:pPr>
          </w:p>
        </w:tc>
        <w:tc>
          <w:tcPr>
            <w:tcW w:w="1660" w:type="dxa"/>
            <w:vAlign w:val="bottom"/>
            <w:shd w:val="clear" w:color="auto" w:fill="F4F4F4"/>
          </w:tcPr>
          <w:p>
            <w:pPr>
              <w:spacing w:after="0"/>
              <w:rPr>
                <w:sz w:val="13"/>
                <w:szCs w:val="13"/>
                <w:color w:val="auto"/>
              </w:rPr>
            </w:pPr>
          </w:p>
        </w:tc>
        <w:tc>
          <w:tcPr>
            <w:tcW w:w="9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 w:type="dxa"/>
            <w:vAlign w:val="bottom"/>
            <w:tcBorders>
              <w:top w:val="single" w:sz="8" w:color="F4F4F4"/>
              <w:bottom w:val="single" w:sz="8" w:color="F4F4F4"/>
            </w:tcBorders>
            <w:shd w:val="clear" w:color="auto" w:fill="F4F4F4"/>
          </w:tcPr>
          <w:p>
            <w:pPr>
              <w:spacing w:after="0"/>
              <w:rPr>
                <w:sz w:val="13"/>
                <w:szCs w:val="13"/>
                <w:color w:val="auto"/>
              </w:rPr>
            </w:pPr>
          </w:p>
        </w:tc>
        <w:tc>
          <w:tcPr>
            <w:tcW w:w="340" w:type="dxa"/>
            <w:vAlign w:val="bottom"/>
            <w:tcBorders>
              <w:top w:val="single" w:sz="8" w:color="F4F4F4"/>
              <w:bottom w:val="single" w:sz="8" w:color="F4F4F4"/>
            </w:tcBorders>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660" w:type="dxa"/>
            <w:vAlign w:val="bottom"/>
            <w:tcBorders>
              <w:top w:val="single" w:sz="8" w:color="F4F4F4"/>
              <w:bottom w:val="single" w:sz="8" w:color="F4F4F4"/>
            </w:tcBorders>
            <w:shd w:val="clear" w:color="auto" w:fill="F4F4F4"/>
          </w:tcPr>
          <w:p>
            <w:pPr>
              <w:spacing w:after="0"/>
              <w:rPr>
                <w:sz w:val="13"/>
                <w:szCs w:val="13"/>
                <w:color w:val="auto"/>
              </w:rPr>
            </w:pPr>
          </w:p>
        </w:tc>
        <w:tc>
          <w:tcPr>
            <w:tcW w:w="4020" w:type="dxa"/>
            <w:vAlign w:val="bottom"/>
            <w:tcBorders>
              <w:top w:val="single" w:sz="8" w:color="0000FF"/>
              <w:bottom w:val="single" w:sz="8" w:color="0000FF"/>
            </w:tcBorders>
            <w:gridSpan w:val="9"/>
            <w:shd w:val="clear" w:color="auto" w:fill="F4F4F4"/>
          </w:tcPr>
          <w:p>
            <w:pPr>
              <w:spacing w:after="0" w:line="156" w:lineRule="exact"/>
              <w:rPr>
                <w:rFonts w:ascii="Arial" w:cs="Arial" w:eastAsia="Arial" w:hAnsi="Arial"/>
                <w:sz w:val="18"/>
                <w:szCs w:val="18"/>
                <w:color w:val="0000FF"/>
                <w:w w:val="99"/>
              </w:rPr>
            </w:pPr>
            <w:hyperlink r:id="rId374">
              <w:r>
                <w:rPr>
                  <w:rFonts w:ascii="Arial" w:cs="Arial" w:eastAsia="Arial" w:hAnsi="Arial"/>
                  <w:sz w:val="18"/>
                  <w:szCs w:val="18"/>
                  <w:color w:val="0000FF"/>
                  <w:w w:val="99"/>
                </w:rPr>
                <w:t>and indirect holders of all of the outstanding equity</w:t>
              </w:r>
            </w:hyperlink>
          </w:p>
        </w:tc>
        <w:tc>
          <w:tcPr>
            <w:tcW w:w="440" w:type="dxa"/>
            <w:vAlign w:val="bottom"/>
            <w:tcBorders>
              <w:top w:val="single" w:sz="8" w:color="0000FF"/>
              <w:bottom w:val="single" w:sz="8" w:color="F4F4F4"/>
            </w:tcBorders>
            <w:gridSpan w:val="5"/>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100" w:type="dxa"/>
            <w:vAlign w:val="bottom"/>
            <w:tcBorders>
              <w:top w:val="single" w:sz="8" w:color="F4F4F4"/>
              <w:bottom w:val="single" w:sz="8" w:color="F4F4F4"/>
            </w:tcBorders>
            <w:gridSpan w:val="4"/>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180" w:type="dxa"/>
            <w:vAlign w:val="bottom"/>
            <w:tcBorders>
              <w:top w:val="single" w:sz="8" w:color="F4F4F4"/>
              <w:bottom w:val="single" w:sz="8" w:color="F4F4F4"/>
            </w:tcBorders>
            <w:gridSpan w:val="2"/>
            <w:shd w:val="clear" w:color="auto" w:fill="F4F4F4"/>
          </w:tcPr>
          <w:p>
            <w:pPr>
              <w:spacing w:after="0"/>
              <w:rPr>
                <w:sz w:val="13"/>
                <w:szCs w:val="13"/>
                <w:color w:val="auto"/>
              </w:rPr>
            </w:pPr>
          </w:p>
        </w:tc>
        <w:tc>
          <w:tcPr>
            <w:tcW w:w="1320" w:type="dxa"/>
            <w:vAlign w:val="bottom"/>
            <w:tcBorders>
              <w:top w:val="single" w:sz="8" w:color="F4F4F4"/>
              <w:bottom w:val="single" w:sz="8" w:color="F4F4F4"/>
            </w:tcBorders>
            <w:shd w:val="clear" w:color="auto" w:fill="F4F4F4"/>
          </w:tcPr>
          <w:p>
            <w:pPr>
              <w:spacing w:after="0"/>
              <w:rPr>
                <w:sz w:val="13"/>
                <w:szCs w:val="13"/>
                <w:color w:val="auto"/>
              </w:rPr>
            </w:pPr>
          </w:p>
        </w:tc>
        <w:tc>
          <w:tcPr>
            <w:tcW w:w="1660" w:type="dxa"/>
            <w:vAlign w:val="bottom"/>
            <w:tcBorders>
              <w:top w:val="single" w:sz="8" w:color="F4F4F4"/>
              <w:bottom w:val="single" w:sz="8" w:color="F4F4F4"/>
            </w:tcBorders>
            <w:shd w:val="clear" w:color="auto" w:fill="F4F4F4"/>
          </w:tcPr>
          <w:p>
            <w:pPr>
              <w:spacing w:after="0"/>
              <w:rPr>
                <w:sz w:val="13"/>
                <w:szCs w:val="13"/>
                <w:color w:val="auto"/>
              </w:rPr>
            </w:pPr>
          </w:p>
        </w:tc>
        <w:tc>
          <w:tcPr>
            <w:tcW w:w="960" w:type="dxa"/>
            <w:vAlign w:val="bottom"/>
            <w:tcBorders>
              <w:top w:val="single" w:sz="8" w:color="F4F4F4"/>
              <w:bottom w:val="single" w:sz="8" w:color="F4F4F4"/>
            </w:tcBorders>
            <w:shd w:val="clear" w:color="auto" w:fill="F4F4F4"/>
          </w:tcPr>
          <w:p>
            <w:pPr>
              <w:spacing w:after="0"/>
              <w:rPr>
                <w:sz w:val="13"/>
                <w:szCs w:val="13"/>
                <w:color w:val="auto"/>
              </w:rPr>
            </w:pPr>
          </w:p>
        </w:tc>
        <w:tc>
          <w:tcPr>
            <w:tcW w:w="900" w:type="dxa"/>
            <w:vAlign w:val="bottom"/>
            <w:tcBorders>
              <w:top w:val="single" w:sz="8" w:color="F4F4F4"/>
              <w:bottom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 w:type="dxa"/>
            <w:vAlign w:val="bottom"/>
            <w:shd w:val="clear" w:color="auto" w:fill="F4F4F4"/>
          </w:tcPr>
          <w:p>
            <w:pPr>
              <w:spacing w:after="0"/>
              <w:rPr>
                <w:sz w:val="13"/>
                <w:szCs w:val="13"/>
                <w:color w:val="auto"/>
              </w:rPr>
            </w:pPr>
          </w:p>
        </w:tc>
        <w:tc>
          <w:tcPr>
            <w:tcW w:w="34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660" w:type="dxa"/>
            <w:vAlign w:val="bottom"/>
            <w:shd w:val="clear" w:color="auto" w:fill="F4F4F4"/>
          </w:tcPr>
          <w:p>
            <w:pPr>
              <w:spacing w:after="0"/>
              <w:rPr>
                <w:sz w:val="13"/>
                <w:szCs w:val="13"/>
                <w:color w:val="auto"/>
              </w:rPr>
            </w:pPr>
          </w:p>
        </w:tc>
        <w:tc>
          <w:tcPr>
            <w:tcW w:w="4780" w:type="dxa"/>
            <w:vAlign w:val="bottom"/>
            <w:gridSpan w:val="22"/>
            <w:shd w:val="clear" w:color="auto" w:fill="F4F4F4"/>
          </w:tcPr>
          <w:p>
            <w:pPr>
              <w:spacing w:after="0" w:line="154" w:lineRule="exact"/>
              <w:rPr>
                <w:rFonts w:ascii="Arial" w:cs="Arial" w:eastAsia="Arial" w:hAnsi="Arial"/>
                <w:sz w:val="17"/>
                <w:szCs w:val="17"/>
                <w:u w:val="single" w:color="auto"/>
                <w:color w:val="0000FF"/>
              </w:rPr>
            </w:pPr>
            <w:hyperlink r:id="rId374">
              <w:r>
                <w:rPr>
                  <w:rFonts w:ascii="Arial" w:cs="Arial" w:eastAsia="Arial" w:hAnsi="Arial"/>
                  <w:sz w:val="17"/>
                  <w:szCs w:val="17"/>
                  <w:u w:val="single" w:color="auto"/>
                  <w:color w:val="0000FF"/>
                </w:rPr>
                <w:t>interests of MicroEdge Holdings, LLC, and VFF I AIV I,</w:t>
              </w:r>
            </w:hyperlink>
          </w:p>
        </w:tc>
        <w:tc>
          <w:tcPr>
            <w:tcW w:w="1320" w:type="dxa"/>
            <w:vAlign w:val="bottom"/>
            <w:shd w:val="clear" w:color="auto" w:fill="F4F4F4"/>
          </w:tcPr>
          <w:p>
            <w:pPr>
              <w:spacing w:after="0"/>
              <w:rPr>
                <w:sz w:val="13"/>
                <w:szCs w:val="13"/>
                <w:color w:val="auto"/>
              </w:rPr>
            </w:pPr>
          </w:p>
        </w:tc>
        <w:tc>
          <w:tcPr>
            <w:tcW w:w="1660" w:type="dxa"/>
            <w:vAlign w:val="bottom"/>
            <w:shd w:val="clear" w:color="auto" w:fill="F4F4F4"/>
          </w:tcPr>
          <w:p>
            <w:pPr>
              <w:spacing w:after="0"/>
              <w:rPr>
                <w:sz w:val="13"/>
                <w:szCs w:val="13"/>
                <w:color w:val="auto"/>
              </w:rPr>
            </w:pPr>
          </w:p>
        </w:tc>
        <w:tc>
          <w:tcPr>
            <w:tcW w:w="9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0" w:type="dxa"/>
            <w:vAlign w:val="bottom"/>
            <w:shd w:val="clear" w:color="auto" w:fill="F4F4F4"/>
          </w:tcPr>
          <w:p>
            <w:pPr>
              <w:spacing w:after="0"/>
              <w:rPr>
                <w:sz w:val="18"/>
                <w:szCs w:val="18"/>
                <w:color w:val="auto"/>
              </w:rPr>
            </w:pPr>
          </w:p>
        </w:tc>
        <w:tc>
          <w:tcPr>
            <w:tcW w:w="34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660" w:type="dxa"/>
            <w:vAlign w:val="bottom"/>
            <w:shd w:val="clear" w:color="auto" w:fill="F4F4F4"/>
          </w:tcPr>
          <w:p>
            <w:pPr>
              <w:spacing w:after="0"/>
              <w:rPr>
                <w:sz w:val="18"/>
                <w:szCs w:val="18"/>
                <w:color w:val="auto"/>
              </w:rPr>
            </w:pPr>
          </w:p>
        </w:tc>
        <w:tc>
          <w:tcPr>
            <w:tcW w:w="4780" w:type="dxa"/>
            <w:vAlign w:val="bottom"/>
            <w:gridSpan w:val="22"/>
            <w:shd w:val="clear" w:color="auto" w:fill="F4F4F4"/>
          </w:tcPr>
          <w:p>
            <w:pPr>
              <w:spacing w:after="0"/>
              <w:rPr>
                <w:rFonts w:ascii="Arial" w:cs="Arial" w:eastAsia="Arial" w:hAnsi="Arial"/>
                <w:sz w:val="18"/>
                <w:szCs w:val="18"/>
                <w:u w:val="single" w:color="auto"/>
                <w:color w:val="0000FF"/>
              </w:rPr>
            </w:pPr>
            <w:hyperlink r:id="rId374">
              <w:r>
                <w:rPr>
                  <w:rFonts w:ascii="Arial" w:cs="Arial" w:eastAsia="Arial" w:hAnsi="Arial"/>
                  <w:sz w:val="18"/>
                  <w:szCs w:val="18"/>
                  <w:u w:val="single" w:color="auto"/>
                  <w:color w:val="0000FF"/>
                </w:rPr>
                <w:t>L.P., as Sellers’ Representative.</w:t>
              </w:r>
            </w:hyperlink>
          </w:p>
        </w:tc>
        <w:tc>
          <w:tcPr>
            <w:tcW w:w="1320" w:type="dxa"/>
            <w:vAlign w:val="bottom"/>
            <w:shd w:val="clear" w:color="auto" w:fill="F4F4F4"/>
          </w:tcPr>
          <w:p>
            <w:pPr>
              <w:spacing w:after="0"/>
              <w:rPr>
                <w:sz w:val="18"/>
                <w:szCs w:val="18"/>
                <w:color w:val="auto"/>
              </w:rPr>
            </w:pPr>
          </w:p>
        </w:tc>
        <w:tc>
          <w:tcPr>
            <w:tcW w:w="1660" w:type="dxa"/>
            <w:vAlign w:val="bottom"/>
            <w:shd w:val="clear" w:color="auto" w:fill="F4F4F4"/>
          </w:tcPr>
          <w:p>
            <w:pPr>
              <w:spacing w:after="0"/>
              <w:rPr>
                <w:sz w:val="18"/>
                <w:szCs w:val="18"/>
                <w:color w:val="auto"/>
              </w:rPr>
            </w:pPr>
          </w:p>
        </w:tc>
        <w:tc>
          <w:tcPr>
            <w:tcW w:w="960" w:type="dxa"/>
            <w:vAlign w:val="bottom"/>
            <w:shd w:val="clear" w:color="auto" w:fill="F4F4F4"/>
          </w:tcPr>
          <w:p>
            <w:pPr>
              <w:spacing w:after="0"/>
              <w:rPr>
                <w:sz w:val="18"/>
                <w:szCs w:val="18"/>
                <w:color w:val="auto"/>
              </w:rPr>
            </w:pPr>
          </w:p>
        </w:tc>
        <w:tc>
          <w:tcPr>
            <w:tcW w:w="900" w:type="dxa"/>
            <w:vAlign w:val="bottom"/>
            <w:shd w:val="clear" w:color="auto" w:fill="F4F4F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gridSpan w:val="3"/>
          </w:tcPr>
          <w:p>
            <w:pPr>
              <w:jc w:val="right"/>
              <w:ind w:right="20"/>
              <w:spacing w:after="0" w:line="189" w:lineRule="exact"/>
              <w:rPr>
                <w:rFonts w:ascii="Arial" w:cs="Arial" w:eastAsia="Arial" w:hAnsi="Arial"/>
                <w:sz w:val="18"/>
                <w:szCs w:val="18"/>
                <w:u w:val="single" w:color="auto"/>
                <w:color w:val="0000FF"/>
              </w:rPr>
            </w:pPr>
            <w:hyperlink r:id="rId375">
              <w:r>
                <w:rPr>
                  <w:rFonts w:ascii="Arial" w:cs="Arial" w:eastAsia="Arial" w:hAnsi="Arial"/>
                  <w:sz w:val="18"/>
                  <w:szCs w:val="18"/>
                  <w:u w:val="single" w:color="auto"/>
                  <w:color w:val="0000FF"/>
                </w:rPr>
                <w:t>2.9</w:t>
              </w:r>
            </w:hyperlink>
          </w:p>
        </w:tc>
        <w:tc>
          <w:tcPr>
            <w:tcW w:w="660" w:type="dxa"/>
            <w:vAlign w:val="bottom"/>
          </w:tcPr>
          <w:p>
            <w:pPr>
              <w:spacing w:after="0"/>
              <w:rPr>
                <w:sz w:val="16"/>
                <w:szCs w:val="16"/>
                <w:color w:val="auto"/>
              </w:rPr>
            </w:pPr>
          </w:p>
        </w:tc>
        <w:tc>
          <w:tcPr>
            <w:tcW w:w="4780" w:type="dxa"/>
            <w:vAlign w:val="bottom"/>
            <w:gridSpan w:val="22"/>
          </w:tcPr>
          <w:p>
            <w:pPr>
              <w:spacing w:after="0" w:line="189" w:lineRule="exact"/>
              <w:rPr>
                <w:rFonts w:ascii="Arial" w:cs="Arial" w:eastAsia="Arial" w:hAnsi="Arial"/>
                <w:sz w:val="18"/>
                <w:szCs w:val="18"/>
                <w:color w:val="0000FF"/>
              </w:rPr>
            </w:pPr>
            <w:hyperlink r:id="rId375">
              <w:r>
                <w:rPr>
                  <w:rFonts w:ascii="Arial" w:cs="Arial" w:eastAsia="Arial" w:hAnsi="Arial"/>
                  <w:sz w:val="18"/>
                  <w:szCs w:val="18"/>
                  <w:color w:val="0000FF"/>
                </w:rPr>
                <w:t>Unit Purchase Agreement, dated as of August 10, 2015,</w:t>
              </w:r>
            </w:hyperlink>
          </w:p>
        </w:tc>
        <w:tc>
          <w:tcPr>
            <w:tcW w:w="1320" w:type="dxa"/>
            <w:vAlign w:val="bottom"/>
          </w:tcPr>
          <w:p>
            <w:pPr>
              <w:jc w:val="center"/>
              <w:ind w:right="113"/>
              <w:spacing w:after="0" w:line="189" w:lineRule="exact"/>
              <w:rPr>
                <w:sz w:val="20"/>
                <w:szCs w:val="20"/>
                <w:color w:val="auto"/>
              </w:rPr>
            </w:pPr>
            <w:r>
              <w:rPr>
                <w:rFonts w:ascii="Arial" w:cs="Arial" w:eastAsia="Arial" w:hAnsi="Arial"/>
                <w:sz w:val="18"/>
                <w:szCs w:val="18"/>
                <w:color w:val="auto"/>
                <w:w w:val="99"/>
              </w:rPr>
              <w:t>8-K</w:t>
            </w:r>
          </w:p>
        </w:tc>
        <w:tc>
          <w:tcPr>
            <w:tcW w:w="1660" w:type="dxa"/>
            <w:vAlign w:val="bottom"/>
          </w:tcPr>
          <w:p>
            <w:pPr>
              <w:jc w:val="right"/>
              <w:ind w:right="433"/>
              <w:spacing w:after="0" w:line="189" w:lineRule="exact"/>
              <w:rPr>
                <w:sz w:val="20"/>
                <w:szCs w:val="20"/>
                <w:color w:val="auto"/>
              </w:rPr>
            </w:pPr>
            <w:r>
              <w:rPr>
                <w:rFonts w:ascii="Arial" w:cs="Arial" w:eastAsia="Arial" w:hAnsi="Arial"/>
                <w:sz w:val="18"/>
                <w:szCs w:val="18"/>
                <w:color w:val="auto"/>
              </w:rPr>
              <w:t>10/8/2015</w:t>
            </w:r>
          </w:p>
        </w:tc>
        <w:tc>
          <w:tcPr>
            <w:tcW w:w="960" w:type="dxa"/>
            <w:vAlign w:val="bottom"/>
          </w:tcPr>
          <w:p>
            <w:pPr>
              <w:jc w:val="right"/>
              <w:ind w:right="53"/>
              <w:spacing w:after="0" w:line="189" w:lineRule="exact"/>
              <w:rPr>
                <w:sz w:val="20"/>
                <w:szCs w:val="20"/>
                <w:color w:val="auto"/>
              </w:rPr>
            </w:pPr>
            <w:r>
              <w:rPr>
                <w:rFonts w:ascii="Arial" w:cs="Arial" w:eastAsia="Arial" w:hAnsi="Arial"/>
                <w:sz w:val="18"/>
                <w:szCs w:val="18"/>
                <w:color w:val="auto"/>
              </w:rPr>
              <w:t>10.78</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75">
              <w:r>
                <w:rPr>
                  <w:rFonts w:ascii="Arial" w:cs="Arial" w:eastAsia="Arial" w:hAnsi="Arial"/>
                  <w:sz w:val="18"/>
                  <w:szCs w:val="18"/>
                  <w:color w:val="0000FF"/>
                </w:rPr>
                <w:t>by and between Smart Tuition Holdings, LLC and</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375">
              <w:r>
                <w:rPr>
                  <w:rFonts w:ascii="Arial" w:cs="Arial" w:eastAsia="Arial" w:hAnsi="Arial"/>
                  <w:sz w:val="18"/>
                  <w:szCs w:val="18"/>
                  <w:color w:val="0000FF"/>
                </w:rPr>
                <w:t>Blackbaud, Inc.</w:t>
              </w:r>
            </w:hyperlink>
          </w:p>
        </w:tc>
        <w:tc>
          <w:tcPr>
            <w:tcW w:w="3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gridSpan w:val="3"/>
            <w:shd w:val="clear" w:color="auto" w:fill="F4F4F4"/>
          </w:tcPr>
          <w:p>
            <w:pPr>
              <w:jc w:val="right"/>
              <w:ind w:right="20"/>
              <w:spacing w:after="0" w:line="189" w:lineRule="exact"/>
              <w:rPr>
                <w:rFonts w:ascii="Arial" w:cs="Arial" w:eastAsia="Arial" w:hAnsi="Arial"/>
                <w:sz w:val="18"/>
                <w:szCs w:val="18"/>
                <w:u w:val="single" w:color="auto"/>
                <w:color w:val="0000FF"/>
              </w:rPr>
            </w:pPr>
            <w:hyperlink r:id="rId376">
              <w:r>
                <w:rPr>
                  <w:rFonts w:ascii="Arial" w:cs="Arial" w:eastAsia="Arial" w:hAnsi="Arial"/>
                  <w:sz w:val="18"/>
                  <w:szCs w:val="18"/>
                  <w:u w:val="single" w:color="auto"/>
                  <w:color w:val="0000FF"/>
                </w:rPr>
                <w:t>2.10</w:t>
              </w:r>
            </w:hyperlink>
          </w:p>
        </w:tc>
        <w:tc>
          <w:tcPr>
            <w:tcW w:w="660" w:type="dxa"/>
            <w:vAlign w:val="bottom"/>
            <w:shd w:val="clear" w:color="auto" w:fill="F4F4F4"/>
          </w:tcPr>
          <w:p>
            <w:pPr>
              <w:spacing w:after="0"/>
              <w:rPr>
                <w:sz w:val="16"/>
                <w:szCs w:val="16"/>
                <w:color w:val="auto"/>
              </w:rPr>
            </w:pPr>
          </w:p>
        </w:tc>
        <w:tc>
          <w:tcPr>
            <w:tcW w:w="4780" w:type="dxa"/>
            <w:vAlign w:val="bottom"/>
            <w:gridSpan w:val="22"/>
            <w:shd w:val="clear" w:color="auto" w:fill="F4F4F4"/>
          </w:tcPr>
          <w:p>
            <w:pPr>
              <w:spacing w:after="0" w:line="189" w:lineRule="exact"/>
              <w:rPr>
                <w:rFonts w:ascii="Arial" w:cs="Arial" w:eastAsia="Arial" w:hAnsi="Arial"/>
                <w:sz w:val="18"/>
                <w:szCs w:val="18"/>
                <w:color w:val="0000FF"/>
              </w:rPr>
            </w:pPr>
            <w:hyperlink r:id="rId376">
              <w:r>
                <w:rPr>
                  <w:rFonts w:ascii="Arial" w:cs="Arial" w:eastAsia="Arial" w:hAnsi="Arial"/>
                  <w:sz w:val="18"/>
                  <w:szCs w:val="18"/>
                  <w:color w:val="0000FF"/>
                </w:rPr>
                <w:t>Amendment, Consent and Waiver, Agreement dated as of</w:t>
              </w:r>
            </w:hyperlink>
          </w:p>
        </w:tc>
        <w:tc>
          <w:tcPr>
            <w:tcW w:w="1320" w:type="dxa"/>
            <w:vAlign w:val="bottom"/>
            <w:shd w:val="clear" w:color="auto" w:fill="F4F4F4"/>
          </w:tcPr>
          <w:p>
            <w:pPr>
              <w:jc w:val="center"/>
              <w:ind w:right="113"/>
              <w:spacing w:after="0" w:line="189" w:lineRule="exact"/>
              <w:rPr>
                <w:sz w:val="20"/>
                <w:szCs w:val="20"/>
                <w:color w:val="auto"/>
              </w:rPr>
            </w:pPr>
            <w:r>
              <w:rPr>
                <w:rFonts w:ascii="Arial" w:cs="Arial" w:eastAsia="Arial" w:hAnsi="Arial"/>
                <w:sz w:val="18"/>
                <w:szCs w:val="18"/>
                <w:color w:val="auto"/>
                <w:w w:val="99"/>
              </w:rPr>
              <w:t>8-K</w:t>
            </w:r>
          </w:p>
        </w:tc>
        <w:tc>
          <w:tcPr>
            <w:tcW w:w="1660" w:type="dxa"/>
            <w:vAlign w:val="bottom"/>
            <w:shd w:val="clear" w:color="auto" w:fill="F4F4F4"/>
          </w:tcPr>
          <w:p>
            <w:pPr>
              <w:jc w:val="right"/>
              <w:ind w:right="433"/>
              <w:spacing w:after="0" w:line="189" w:lineRule="exact"/>
              <w:rPr>
                <w:sz w:val="20"/>
                <w:szCs w:val="20"/>
                <w:color w:val="auto"/>
              </w:rPr>
            </w:pPr>
            <w:r>
              <w:rPr>
                <w:rFonts w:ascii="Arial" w:cs="Arial" w:eastAsia="Arial" w:hAnsi="Arial"/>
                <w:sz w:val="18"/>
                <w:szCs w:val="18"/>
                <w:color w:val="auto"/>
              </w:rPr>
              <w:t>10/8/2015</w:t>
            </w:r>
          </w:p>
        </w:tc>
        <w:tc>
          <w:tcPr>
            <w:tcW w:w="96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10.79</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0" w:type="dxa"/>
            <w:vAlign w:val="bottom"/>
            <w:tcBorders>
              <w:top w:val="single" w:sz="8" w:color="F4F4F4"/>
            </w:tcBorders>
            <w:shd w:val="clear" w:color="auto" w:fill="F4F4F4"/>
          </w:tcPr>
          <w:p>
            <w:pPr>
              <w:spacing w:after="0"/>
              <w:rPr>
                <w:sz w:val="13"/>
                <w:szCs w:val="13"/>
                <w:color w:val="auto"/>
              </w:rPr>
            </w:pPr>
          </w:p>
        </w:tc>
        <w:tc>
          <w:tcPr>
            <w:tcW w:w="34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660" w:type="dxa"/>
            <w:vAlign w:val="bottom"/>
            <w:tcBorders>
              <w:top w:val="single" w:sz="8" w:color="F4F4F4"/>
            </w:tcBorders>
            <w:shd w:val="clear" w:color="auto" w:fill="F4F4F4"/>
          </w:tcPr>
          <w:p>
            <w:pPr>
              <w:spacing w:after="0"/>
              <w:rPr>
                <w:sz w:val="13"/>
                <w:szCs w:val="13"/>
                <w:color w:val="auto"/>
              </w:rPr>
            </w:pPr>
          </w:p>
        </w:tc>
        <w:tc>
          <w:tcPr>
            <w:tcW w:w="4600" w:type="dxa"/>
            <w:vAlign w:val="bottom"/>
            <w:tcBorders>
              <w:top w:val="single" w:sz="8" w:color="0000FF"/>
            </w:tcBorders>
            <w:gridSpan w:val="20"/>
            <w:shd w:val="clear" w:color="auto" w:fill="F4F4F4"/>
          </w:tcPr>
          <w:p>
            <w:pPr>
              <w:spacing w:after="0" w:line="156" w:lineRule="exact"/>
              <w:rPr>
                <w:rFonts w:ascii="Arial" w:cs="Arial" w:eastAsia="Arial" w:hAnsi="Arial"/>
                <w:sz w:val="18"/>
                <w:szCs w:val="18"/>
                <w:color w:val="0000FF"/>
                <w:w w:val="99"/>
              </w:rPr>
            </w:pPr>
            <w:hyperlink r:id="rId376">
              <w:r>
                <w:rPr>
                  <w:rFonts w:ascii="Arial" w:cs="Arial" w:eastAsia="Arial" w:hAnsi="Arial"/>
                  <w:sz w:val="18"/>
                  <w:szCs w:val="18"/>
                  <w:color w:val="0000FF"/>
                  <w:w w:val="99"/>
                </w:rPr>
                <w:t>October 2, 2015, by and between Smart Tuition Holdings,</w:t>
              </w:r>
            </w:hyperlink>
          </w:p>
        </w:tc>
        <w:tc>
          <w:tcPr>
            <w:tcW w:w="180" w:type="dxa"/>
            <w:vAlign w:val="bottom"/>
            <w:tcBorders>
              <w:top w:val="single" w:sz="8" w:color="F4F4F4"/>
            </w:tcBorders>
            <w:gridSpan w:val="2"/>
            <w:shd w:val="clear" w:color="auto" w:fill="F4F4F4"/>
          </w:tcPr>
          <w:p>
            <w:pPr>
              <w:spacing w:after="0"/>
              <w:rPr>
                <w:sz w:val="13"/>
                <w:szCs w:val="13"/>
                <w:color w:val="auto"/>
              </w:rPr>
            </w:pPr>
          </w:p>
        </w:tc>
        <w:tc>
          <w:tcPr>
            <w:tcW w:w="1320" w:type="dxa"/>
            <w:vAlign w:val="bottom"/>
            <w:tcBorders>
              <w:top w:val="single" w:sz="8" w:color="F4F4F4"/>
            </w:tcBorders>
            <w:shd w:val="clear" w:color="auto" w:fill="F4F4F4"/>
          </w:tcPr>
          <w:p>
            <w:pPr>
              <w:spacing w:after="0"/>
              <w:rPr>
                <w:sz w:val="13"/>
                <w:szCs w:val="13"/>
                <w:color w:val="auto"/>
              </w:rPr>
            </w:pPr>
          </w:p>
        </w:tc>
        <w:tc>
          <w:tcPr>
            <w:tcW w:w="1660" w:type="dxa"/>
            <w:vAlign w:val="bottom"/>
            <w:tcBorders>
              <w:top w:val="single" w:sz="8" w:color="F4F4F4"/>
            </w:tcBorders>
            <w:shd w:val="clear" w:color="auto" w:fill="F4F4F4"/>
          </w:tcPr>
          <w:p>
            <w:pPr>
              <w:spacing w:after="0"/>
              <w:rPr>
                <w:sz w:val="13"/>
                <w:szCs w:val="13"/>
                <w:color w:val="auto"/>
              </w:rPr>
            </w:pPr>
          </w:p>
        </w:tc>
        <w:tc>
          <w:tcPr>
            <w:tcW w:w="9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0" w:type="dxa"/>
            <w:vAlign w:val="bottom"/>
            <w:tcBorders>
              <w:top w:val="single" w:sz="8" w:color="F4F4F4"/>
              <w:bottom w:val="single" w:sz="8" w:color="F4F4F4"/>
            </w:tcBorders>
            <w:shd w:val="clear" w:color="auto" w:fill="F4F4F4"/>
          </w:tcPr>
          <w:p>
            <w:pPr>
              <w:spacing w:after="0"/>
              <w:rPr>
                <w:sz w:val="15"/>
                <w:szCs w:val="15"/>
                <w:color w:val="auto"/>
              </w:rPr>
            </w:pPr>
          </w:p>
        </w:tc>
        <w:tc>
          <w:tcPr>
            <w:tcW w:w="340" w:type="dxa"/>
            <w:vAlign w:val="bottom"/>
            <w:tcBorders>
              <w:top w:val="single" w:sz="8" w:color="F4F4F4"/>
              <w:bottom w:val="single" w:sz="8" w:color="F4F4F4"/>
            </w:tcBorders>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660" w:type="dxa"/>
            <w:vAlign w:val="bottom"/>
            <w:tcBorders>
              <w:top w:val="single" w:sz="8" w:color="F4F4F4"/>
              <w:bottom w:val="single" w:sz="8" w:color="F4F4F4"/>
            </w:tcBorders>
            <w:shd w:val="clear" w:color="auto" w:fill="F4F4F4"/>
          </w:tcPr>
          <w:p>
            <w:pPr>
              <w:spacing w:after="0"/>
              <w:rPr>
                <w:sz w:val="15"/>
                <w:szCs w:val="15"/>
                <w:color w:val="auto"/>
              </w:rPr>
            </w:pPr>
          </w:p>
        </w:tc>
        <w:tc>
          <w:tcPr>
            <w:tcW w:w="1960" w:type="dxa"/>
            <w:vAlign w:val="bottom"/>
            <w:tcBorders>
              <w:top w:val="single" w:sz="8" w:color="0000FF"/>
              <w:bottom w:val="single" w:sz="8" w:color="0000FF"/>
            </w:tcBorders>
            <w:gridSpan w:val="3"/>
            <w:shd w:val="clear" w:color="auto" w:fill="F4F4F4"/>
          </w:tcPr>
          <w:p>
            <w:pPr>
              <w:spacing w:after="0" w:line="156" w:lineRule="exact"/>
              <w:rPr>
                <w:rFonts w:ascii="Arial" w:cs="Arial" w:eastAsia="Arial" w:hAnsi="Arial"/>
                <w:sz w:val="18"/>
                <w:szCs w:val="18"/>
                <w:color w:val="0000FF"/>
                <w:w w:val="98"/>
              </w:rPr>
            </w:pPr>
            <w:hyperlink r:id="rId376">
              <w:r>
                <w:rPr>
                  <w:rFonts w:ascii="Arial" w:cs="Arial" w:eastAsia="Arial" w:hAnsi="Arial"/>
                  <w:sz w:val="18"/>
                  <w:szCs w:val="18"/>
                  <w:color w:val="0000FF"/>
                  <w:w w:val="98"/>
                </w:rPr>
                <w:t>LLC and Blackbaud, Inc.</w:t>
              </w:r>
            </w:hyperlink>
          </w:p>
        </w:tc>
        <w:tc>
          <w:tcPr>
            <w:tcW w:w="2620" w:type="dxa"/>
            <w:vAlign w:val="bottom"/>
            <w:tcBorders>
              <w:top w:val="single" w:sz="8" w:color="0000FF"/>
              <w:bottom w:val="single" w:sz="8" w:color="F4F4F4"/>
            </w:tcBorders>
            <w:gridSpan w:val="16"/>
            <w:shd w:val="clear" w:color="auto" w:fill="F4F4F4"/>
          </w:tcPr>
          <w:p>
            <w:pPr>
              <w:spacing w:after="0"/>
              <w:rPr>
                <w:sz w:val="15"/>
                <w:szCs w:val="15"/>
                <w:color w:val="auto"/>
              </w:rPr>
            </w:pPr>
          </w:p>
        </w:tc>
        <w:tc>
          <w:tcPr>
            <w:tcW w:w="200" w:type="dxa"/>
            <w:vAlign w:val="bottom"/>
            <w:tcBorders>
              <w:top w:val="single" w:sz="8" w:color="F4F4F4"/>
              <w:bottom w:val="single" w:sz="8" w:color="F4F4F4"/>
            </w:tcBorders>
            <w:gridSpan w:val="3"/>
            <w:shd w:val="clear" w:color="auto" w:fill="F4F4F4"/>
          </w:tcPr>
          <w:p>
            <w:pPr>
              <w:spacing w:after="0"/>
              <w:rPr>
                <w:sz w:val="15"/>
                <w:szCs w:val="15"/>
                <w:color w:val="auto"/>
              </w:rPr>
            </w:pPr>
          </w:p>
        </w:tc>
        <w:tc>
          <w:tcPr>
            <w:tcW w:w="1320" w:type="dxa"/>
            <w:vAlign w:val="bottom"/>
            <w:tcBorders>
              <w:top w:val="single" w:sz="8" w:color="F4F4F4"/>
              <w:bottom w:val="single" w:sz="8" w:color="F4F4F4"/>
            </w:tcBorders>
            <w:shd w:val="clear" w:color="auto" w:fill="F4F4F4"/>
          </w:tcPr>
          <w:p>
            <w:pPr>
              <w:spacing w:after="0"/>
              <w:rPr>
                <w:sz w:val="15"/>
                <w:szCs w:val="15"/>
                <w:color w:val="auto"/>
              </w:rPr>
            </w:pPr>
          </w:p>
        </w:tc>
        <w:tc>
          <w:tcPr>
            <w:tcW w:w="1660" w:type="dxa"/>
            <w:vAlign w:val="bottom"/>
            <w:tcBorders>
              <w:top w:val="single" w:sz="8" w:color="F4F4F4"/>
              <w:bottom w:val="single" w:sz="8" w:color="F4F4F4"/>
            </w:tcBorders>
            <w:shd w:val="clear" w:color="auto" w:fill="F4F4F4"/>
          </w:tcPr>
          <w:p>
            <w:pPr>
              <w:spacing w:after="0"/>
              <w:rPr>
                <w:sz w:val="15"/>
                <w:szCs w:val="15"/>
                <w:color w:val="auto"/>
              </w:rPr>
            </w:pPr>
          </w:p>
        </w:tc>
        <w:tc>
          <w:tcPr>
            <w:tcW w:w="960" w:type="dxa"/>
            <w:vAlign w:val="bottom"/>
            <w:tcBorders>
              <w:top w:val="single" w:sz="8" w:color="F4F4F4"/>
              <w:bottom w:val="single" w:sz="8" w:color="F4F4F4"/>
            </w:tcBorders>
            <w:shd w:val="clear" w:color="auto" w:fill="F4F4F4"/>
          </w:tcPr>
          <w:p>
            <w:pPr>
              <w:spacing w:after="0"/>
              <w:rPr>
                <w:sz w:val="15"/>
                <w:szCs w:val="15"/>
                <w:color w:val="auto"/>
              </w:rPr>
            </w:pPr>
          </w:p>
        </w:tc>
        <w:tc>
          <w:tcPr>
            <w:tcW w:w="900" w:type="dxa"/>
            <w:vAlign w:val="bottom"/>
            <w:tcBorders>
              <w:top w:val="single" w:sz="8" w:color="F4F4F4"/>
              <w:bottom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gridSpan w:val="3"/>
          </w:tcPr>
          <w:p>
            <w:pPr>
              <w:jc w:val="right"/>
              <w:ind w:right="20"/>
              <w:spacing w:after="0" w:line="189" w:lineRule="exact"/>
              <w:rPr>
                <w:rFonts w:ascii="Arial" w:cs="Arial" w:eastAsia="Arial" w:hAnsi="Arial"/>
                <w:sz w:val="18"/>
                <w:szCs w:val="18"/>
                <w:u w:val="single" w:color="auto"/>
                <w:color w:val="0000FF"/>
              </w:rPr>
            </w:pPr>
            <w:hyperlink r:id="rId377">
              <w:r>
                <w:rPr>
                  <w:rFonts w:ascii="Arial" w:cs="Arial" w:eastAsia="Arial" w:hAnsi="Arial"/>
                  <w:sz w:val="18"/>
                  <w:szCs w:val="18"/>
                  <w:u w:val="single" w:color="auto"/>
                  <w:color w:val="0000FF"/>
                </w:rPr>
                <w:t>3.4</w:t>
              </w:r>
            </w:hyperlink>
          </w:p>
        </w:tc>
        <w:tc>
          <w:tcPr>
            <w:tcW w:w="660" w:type="dxa"/>
            <w:vAlign w:val="bottom"/>
          </w:tcPr>
          <w:p>
            <w:pPr>
              <w:spacing w:after="0"/>
              <w:rPr>
                <w:sz w:val="16"/>
                <w:szCs w:val="16"/>
                <w:color w:val="auto"/>
              </w:rPr>
            </w:pPr>
          </w:p>
        </w:tc>
        <w:tc>
          <w:tcPr>
            <w:tcW w:w="4780" w:type="dxa"/>
            <w:vAlign w:val="bottom"/>
            <w:gridSpan w:val="22"/>
          </w:tcPr>
          <w:p>
            <w:pPr>
              <w:spacing w:after="0" w:line="189" w:lineRule="exact"/>
              <w:rPr>
                <w:rFonts w:ascii="Arial" w:cs="Arial" w:eastAsia="Arial" w:hAnsi="Arial"/>
                <w:sz w:val="18"/>
                <w:szCs w:val="18"/>
                <w:color w:val="0000FF"/>
              </w:rPr>
            </w:pPr>
            <w:hyperlink r:id="rId377">
              <w:r>
                <w:rPr>
                  <w:rFonts w:ascii="Arial" w:cs="Arial" w:eastAsia="Arial" w:hAnsi="Arial"/>
                  <w:sz w:val="18"/>
                  <w:szCs w:val="18"/>
                  <w:color w:val="0000FF"/>
                </w:rPr>
                <w:t>Amended and Restated Certificate of Incorporation of</w:t>
              </w:r>
            </w:hyperlink>
          </w:p>
        </w:tc>
        <w:tc>
          <w:tcPr>
            <w:tcW w:w="1320" w:type="dxa"/>
            <w:vAlign w:val="bottom"/>
          </w:tcPr>
          <w:p>
            <w:pPr>
              <w:jc w:val="center"/>
              <w:ind w:right="113"/>
              <w:spacing w:after="0" w:line="189" w:lineRule="exact"/>
              <w:rPr>
                <w:sz w:val="20"/>
                <w:szCs w:val="20"/>
                <w:color w:val="auto"/>
              </w:rPr>
            </w:pPr>
            <w:r>
              <w:rPr>
                <w:rFonts w:ascii="Arial" w:cs="Arial" w:eastAsia="Arial" w:hAnsi="Arial"/>
                <w:sz w:val="18"/>
                <w:szCs w:val="18"/>
                <w:color w:val="auto"/>
                <w:w w:val="98"/>
              </w:rPr>
              <w:t>DEF 14A</w:t>
            </w:r>
          </w:p>
        </w:tc>
        <w:tc>
          <w:tcPr>
            <w:tcW w:w="1660" w:type="dxa"/>
            <w:vAlign w:val="bottom"/>
          </w:tcPr>
          <w:p>
            <w:pPr>
              <w:jc w:val="right"/>
              <w:ind w:right="433"/>
              <w:spacing w:after="0" w:line="189" w:lineRule="exact"/>
              <w:rPr>
                <w:sz w:val="20"/>
                <w:szCs w:val="20"/>
                <w:color w:val="auto"/>
              </w:rPr>
            </w:pPr>
            <w:r>
              <w:rPr>
                <w:rFonts w:ascii="Arial" w:cs="Arial" w:eastAsia="Arial" w:hAnsi="Arial"/>
                <w:sz w:val="18"/>
                <w:szCs w:val="18"/>
                <w:color w:val="auto"/>
              </w:rPr>
              <w:t>4/30/2009</w:t>
            </w: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377">
              <w:r>
                <w:rPr>
                  <w:rFonts w:ascii="Arial" w:cs="Arial" w:eastAsia="Arial" w:hAnsi="Arial"/>
                  <w:sz w:val="18"/>
                  <w:szCs w:val="18"/>
                  <w:color w:val="0000FF"/>
                </w:rPr>
                <w:t>Blackbaud, Inc.</w:t>
              </w:r>
            </w:hyperlink>
          </w:p>
        </w:tc>
        <w:tc>
          <w:tcPr>
            <w:tcW w:w="500" w:type="dxa"/>
            <w:vAlign w:val="bottom"/>
            <w:gridSpan w:val="10"/>
          </w:tcPr>
          <w:p>
            <w:pPr>
              <w:spacing w:after="0"/>
              <w:rPr>
                <w:sz w:val="13"/>
                <w:szCs w:val="13"/>
                <w:color w:val="auto"/>
              </w:rPr>
            </w:pPr>
          </w:p>
        </w:tc>
        <w:tc>
          <w:tcPr>
            <w:tcW w:w="1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60" w:type="dxa"/>
            <w:vAlign w:val="bottom"/>
            <w:gridSpan w:val="3"/>
            <w:shd w:val="clear" w:color="auto" w:fill="F4F4F4"/>
          </w:tcPr>
          <w:p>
            <w:pPr>
              <w:jc w:val="right"/>
              <w:ind w:right="20"/>
              <w:spacing w:after="0"/>
              <w:rPr>
                <w:rFonts w:ascii="Arial" w:cs="Arial" w:eastAsia="Arial" w:hAnsi="Arial"/>
                <w:sz w:val="18"/>
                <w:szCs w:val="18"/>
                <w:u w:val="single" w:color="auto"/>
                <w:color w:val="0000FF"/>
              </w:rPr>
            </w:pPr>
            <w:hyperlink r:id="rId378">
              <w:r>
                <w:rPr>
                  <w:rFonts w:ascii="Arial" w:cs="Arial" w:eastAsia="Arial" w:hAnsi="Arial"/>
                  <w:sz w:val="18"/>
                  <w:szCs w:val="18"/>
                  <w:u w:val="single" w:color="auto"/>
                  <w:color w:val="0000FF"/>
                </w:rPr>
                <w:t>3.5</w:t>
              </w:r>
            </w:hyperlink>
          </w:p>
        </w:tc>
        <w:tc>
          <w:tcPr>
            <w:tcW w:w="660" w:type="dxa"/>
            <w:vAlign w:val="bottom"/>
            <w:shd w:val="clear" w:color="auto" w:fill="F4F4F4"/>
          </w:tcPr>
          <w:p>
            <w:pPr>
              <w:spacing w:after="0"/>
              <w:rPr>
                <w:sz w:val="19"/>
                <w:szCs w:val="19"/>
                <w:color w:val="auto"/>
              </w:rPr>
            </w:pPr>
          </w:p>
        </w:tc>
        <w:tc>
          <w:tcPr>
            <w:tcW w:w="4780" w:type="dxa"/>
            <w:vAlign w:val="bottom"/>
            <w:gridSpan w:val="22"/>
            <w:shd w:val="clear" w:color="auto" w:fill="F4F4F4"/>
          </w:tcPr>
          <w:p>
            <w:pPr>
              <w:spacing w:after="0"/>
              <w:rPr>
                <w:rFonts w:ascii="Arial" w:cs="Arial" w:eastAsia="Arial" w:hAnsi="Arial"/>
                <w:sz w:val="18"/>
                <w:szCs w:val="18"/>
                <w:u w:val="single" w:color="auto"/>
                <w:color w:val="0000FF"/>
              </w:rPr>
            </w:pPr>
            <w:hyperlink r:id="rId378">
              <w:r>
                <w:rPr>
                  <w:rFonts w:ascii="Arial" w:cs="Arial" w:eastAsia="Arial" w:hAnsi="Arial"/>
                  <w:sz w:val="18"/>
                  <w:szCs w:val="18"/>
                  <w:u w:val="single" w:color="auto"/>
                  <w:color w:val="0000FF"/>
                </w:rPr>
                <w:t>Amended and Restated Bylaws of Blackbaud, Inc.</w:t>
              </w:r>
            </w:hyperlink>
          </w:p>
        </w:tc>
        <w:tc>
          <w:tcPr>
            <w:tcW w:w="1320" w:type="dxa"/>
            <w:vAlign w:val="bottom"/>
            <w:shd w:val="clear" w:color="auto" w:fill="F4F4F4"/>
          </w:tcPr>
          <w:p>
            <w:pPr>
              <w:jc w:val="center"/>
              <w:ind w:right="113"/>
              <w:spacing w:after="0"/>
              <w:rPr>
                <w:sz w:val="20"/>
                <w:szCs w:val="20"/>
                <w:color w:val="auto"/>
              </w:rPr>
            </w:pPr>
            <w:r>
              <w:rPr>
                <w:rFonts w:ascii="Arial" w:cs="Arial" w:eastAsia="Arial" w:hAnsi="Arial"/>
                <w:sz w:val="18"/>
                <w:szCs w:val="18"/>
                <w:color w:val="auto"/>
                <w:w w:val="99"/>
              </w:rPr>
              <w:t>8-K</w:t>
            </w:r>
          </w:p>
        </w:tc>
        <w:tc>
          <w:tcPr>
            <w:tcW w:w="1660" w:type="dxa"/>
            <w:vAlign w:val="bottom"/>
            <w:shd w:val="clear" w:color="auto" w:fill="F4F4F4"/>
          </w:tcPr>
          <w:p>
            <w:pPr>
              <w:jc w:val="right"/>
              <w:ind w:right="433"/>
              <w:spacing w:after="0"/>
              <w:rPr>
                <w:sz w:val="20"/>
                <w:szCs w:val="20"/>
                <w:color w:val="auto"/>
              </w:rPr>
            </w:pPr>
            <w:r>
              <w:rPr>
                <w:rFonts w:ascii="Arial" w:cs="Arial" w:eastAsia="Arial" w:hAnsi="Arial"/>
                <w:sz w:val="18"/>
                <w:szCs w:val="18"/>
                <w:color w:val="auto"/>
              </w:rPr>
              <w:t>6/14/2019</w:t>
            </w:r>
          </w:p>
        </w:tc>
        <w:tc>
          <w:tcPr>
            <w:tcW w:w="960" w:type="dxa"/>
            <w:vAlign w:val="bottom"/>
            <w:shd w:val="clear" w:color="auto" w:fill="F4F4F4"/>
          </w:tcPr>
          <w:p>
            <w:pPr>
              <w:jc w:val="right"/>
              <w:ind w:right="53"/>
              <w:spacing w:after="0"/>
              <w:rPr>
                <w:sz w:val="20"/>
                <w:szCs w:val="20"/>
                <w:color w:val="auto"/>
              </w:rPr>
            </w:pPr>
            <w:r>
              <w:rPr>
                <w:rFonts w:ascii="Arial" w:cs="Arial" w:eastAsia="Arial" w:hAnsi="Arial"/>
                <w:sz w:val="18"/>
                <w:szCs w:val="18"/>
                <w:color w:val="auto"/>
              </w:rPr>
              <w:t>3.1</w:t>
            </w:r>
          </w:p>
        </w:tc>
        <w:tc>
          <w:tcPr>
            <w:tcW w:w="90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gridSpan w:val="3"/>
          </w:tcPr>
          <w:p>
            <w:pPr>
              <w:jc w:val="right"/>
              <w:ind w:right="20"/>
              <w:spacing w:after="0"/>
              <w:rPr>
                <w:rFonts w:ascii="Arial" w:cs="Arial" w:eastAsia="Arial" w:hAnsi="Arial"/>
                <w:sz w:val="18"/>
                <w:szCs w:val="18"/>
                <w:u w:val="single" w:color="auto"/>
                <w:color w:val="0000FF"/>
              </w:rPr>
            </w:pPr>
            <w:hyperlink r:id="rId379">
              <w:r>
                <w:rPr>
                  <w:rFonts w:ascii="Arial" w:cs="Arial" w:eastAsia="Arial" w:hAnsi="Arial"/>
                  <w:sz w:val="18"/>
                  <w:szCs w:val="18"/>
                  <w:u w:val="single" w:color="auto"/>
                  <w:color w:val="0000FF"/>
                </w:rPr>
                <w:t>4.1</w:t>
              </w:r>
            </w:hyperlink>
          </w:p>
        </w:tc>
        <w:tc>
          <w:tcPr>
            <w:tcW w:w="660" w:type="dxa"/>
            <w:vAlign w:val="bottom"/>
          </w:tcPr>
          <w:p>
            <w:pPr>
              <w:spacing w:after="0"/>
              <w:rPr>
                <w:sz w:val="19"/>
                <w:szCs w:val="19"/>
                <w:color w:val="auto"/>
              </w:rPr>
            </w:pPr>
          </w:p>
        </w:tc>
        <w:tc>
          <w:tcPr>
            <w:tcW w:w="4780" w:type="dxa"/>
            <w:vAlign w:val="bottom"/>
            <w:gridSpan w:val="22"/>
          </w:tcPr>
          <w:p>
            <w:pPr>
              <w:spacing w:after="0"/>
              <w:rPr>
                <w:rFonts w:ascii="Arial" w:cs="Arial" w:eastAsia="Arial" w:hAnsi="Arial"/>
                <w:sz w:val="18"/>
                <w:szCs w:val="18"/>
                <w:u w:val="single" w:color="auto"/>
                <w:color w:val="0000FF"/>
              </w:rPr>
            </w:pPr>
            <w:hyperlink r:id="rId379">
              <w:r>
                <w:rPr>
                  <w:rFonts w:ascii="Arial" w:cs="Arial" w:eastAsia="Arial" w:hAnsi="Arial"/>
                  <w:sz w:val="18"/>
                  <w:szCs w:val="18"/>
                  <w:u w:val="single" w:color="auto"/>
                  <w:color w:val="0000FF"/>
                </w:rPr>
                <w:t>Description of Capital Stock</w:t>
              </w:r>
            </w:hyperlink>
          </w:p>
        </w:tc>
        <w:tc>
          <w:tcPr>
            <w:tcW w:w="1320" w:type="dxa"/>
            <w:vAlign w:val="bottom"/>
          </w:tcPr>
          <w:p>
            <w:pPr>
              <w:jc w:val="center"/>
              <w:ind w:right="93"/>
              <w:spacing w:after="0"/>
              <w:rPr>
                <w:sz w:val="20"/>
                <w:szCs w:val="20"/>
                <w:color w:val="auto"/>
              </w:rPr>
            </w:pPr>
            <w:r>
              <w:rPr>
                <w:rFonts w:ascii="Arial" w:cs="Arial" w:eastAsia="Arial" w:hAnsi="Arial"/>
                <w:sz w:val="18"/>
                <w:szCs w:val="18"/>
                <w:color w:val="auto"/>
                <w:w w:val="99"/>
              </w:rPr>
              <w:t>10-K</w:t>
            </w:r>
          </w:p>
        </w:tc>
        <w:tc>
          <w:tcPr>
            <w:tcW w:w="1660" w:type="dxa"/>
            <w:vAlign w:val="bottom"/>
          </w:tcPr>
          <w:p>
            <w:pPr>
              <w:jc w:val="right"/>
              <w:ind w:right="433"/>
              <w:spacing w:after="0"/>
              <w:rPr>
                <w:sz w:val="20"/>
                <w:szCs w:val="20"/>
                <w:color w:val="auto"/>
              </w:rPr>
            </w:pPr>
            <w:r>
              <w:rPr>
                <w:rFonts w:ascii="Arial" w:cs="Arial" w:eastAsia="Arial" w:hAnsi="Arial"/>
                <w:sz w:val="18"/>
                <w:szCs w:val="18"/>
                <w:color w:val="auto"/>
              </w:rPr>
              <w:t>2/20/2020</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0" w:type="dxa"/>
            <w:vAlign w:val="bottom"/>
            <w:gridSpan w:val="3"/>
            <w:shd w:val="clear" w:color="auto" w:fill="F4F4F4"/>
          </w:tcPr>
          <w:p>
            <w:pPr>
              <w:jc w:val="right"/>
              <w:ind w:right="20"/>
              <w:spacing w:after="0" w:line="189" w:lineRule="exact"/>
              <w:rPr>
                <w:rFonts w:ascii="Arial" w:cs="Arial" w:eastAsia="Arial" w:hAnsi="Arial"/>
                <w:sz w:val="18"/>
                <w:szCs w:val="18"/>
                <w:color w:val="0000FF"/>
              </w:rPr>
            </w:pPr>
            <w:hyperlink r:id="rId380">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66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w:t>
            </w:r>
          </w:p>
        </w:tc>
        <w:tc>
          <w:tcPr>
            <w:tcW w:w="4780" w:type="dxa"/>
            <w:vAlign w:val="bottom"/>
            <w:gridSpan w:val="22"/>
            <w:shd w:val="clear" w:color="auto" w:fill="F4F4F4"/>
          </w:tcPr>
          <w:p>
            <w:pPr>
              <w:spacing w:after="0" w:line="189" w:lineRule="exact"/>
              <w:rPr>
                <w:rFonts w:ascii="Arial" w:cs="Arial" w:eastAsia="Arial" w:hAnsi="Arial"/>
                <w:sz w:val="18"/>
                <w:szCs w:val="18"/>
                <w:color w:val="0000FF"/>
              </w:rPr>
            </w:pPr>
            <w:hyperlink r:id="rId380">
              <w:r>
                <w:rPr>
                  <w:rFonts w:ascii="Arial" w:cs="Arial" w:eastAsia="Arial" w:hAnsi="Arial"/>
                  <w:sz w:val="18"/>
                  <w:szCs w:val="18"/>
                  <w:color w:val="0000FF"/>
                </w:rPr>
                <w:t>Form of Notice of Grant and Stock Option Agreement</w:t>
              </w:r>
            </w:hyperlink>
          </w:p>
        </w:tc>
        <w:tc>
          <w:tcPr>
            <w:tcW w:w="1320" w:type="dxa"/>
            <w:vAlign w:val="bottom"/>
            <w:shd w:val="clear" w:color="auto" w:fill="F4F4F4"/>
          </w:tcPr>
          <w:p>
            <w:pPr>
              <w:jc w:val="center"/>
              <w:ind w:right="113"/>
              <w:spacing w:after="0" w:line="189" w:lineRule="exact"/>
              <w:rPr>
                <w:sz w:val="20"/>
                <w:szCs w:val="20"/>
                <w:color w:val="auto"/>
              </w:rPr>
            </w:pPr>
            <w:r>
              <w:rPr>
                <w:rFonts w:ascii="Arial" w:cs="Arial" w:eastAsia="Arial" w:hAnsi="Arial"/>
                <w:sz w:val="18"/>
                <w:szCs w:val="18"/>
                <w:color w:val="auto"/>
                <w:w w:val="99"/>
              </w:rPr>
              <w:t>S-8</w:t>
            </w:r>
          </w:p>
        </w:tc>
        <w:tc>
          <w:tcPr>
            <w:tcW w:w="1660" w:type="dxa"/>
            <w:vAlign w:val="bottom"/>
            <w:shd w:val="clear" w:color="auto" w:fill="F4F4F4"/>
          </w:tcPr>
          <w:p>
            <w:pPr>
              <w:jc w:val="right"/>
              <w:ind w:right="433"/>
              <w:spacing w:after="0" w:line="189" w:lineRule="exact"/>
              <w:rPr>
                <w:sz w:val="20"/>
                <w:szCs w:val="20"/>
                <w:color w:val="auto"/>
              </w:rPr>
            </w:pPr>
            <w:r>
              <w:rPr>
                <w:rFonts w:ascii="Arial" w:cs="Arial" w:eastAsia="Arial" w:hAnsi="Arial"/>
                <w:sz w:val="18"/>
                <w:szCs w:val="18"/>
                <w:color w:val="auto"/>
              </w:rPr>
              <w:t>8/4/2008</w:t>
            </w:r>
          </w:p>
        </w:tc>
        <w:tc>
          <w:tcPr>
            <w:tcW w:w="96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10.34</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F4F4F4"/>
              <w:bottom w:val="single" w:sz="8" w:color="71BF43"/>
            </w:tcBorders>
            <w:shd w:val="clear" w:color="auto" w:fill="F4F4F4"/>
          </w:tcPr>
          <w:p>
            <w:pPr>
              <w:spacing w:after="0"/>
              <w:rPr>
                <w:sz w:val="17"/>
                <w:szCs w:val="17"/>
                <w:color w:val="auto"/>
              </w:rPr>
            </w:pPr>
          </w:p>
        </w:tc>
        <w:tc>
          <w:tcPr>
            <w:tcW w:w="340" w:type="dxa"/>
            <w:vAlign w:val="bottom"/>
            <w:tcBorders>
              <w:top w:val="single" w:sz="8" w:color="0000FF"/>
              <w:bottom w:val="single" w:sz="8" w:color="71BF43"/>
            </w:tcBorders>
            <w:shd w:val="clear" w:color="auto" w:fill="F4F4F4"/>
          </w:tcPr>
          <w:p>
            <w:pPr>
              <w:spacing w:after="0"/>
              <w:rPr>
                <w:sz w:val="17"/>
                <w:szCs w:val="17"/>
                <w:color w:val="auto"/>
              </w:rPr>
            </w:pPr>
          </w:p>
        </w:tc>
        <w:tc>
          <w:tcPr>
            <w:tcW w:w="20" w:type="dxa"/>
            <w:vAlign w:val="bottom"/>
            <w:tcBorders>
              <w:top w:val="single" w:sz="8" w:color="F4F4F4"/>
              <w:bottom w:val="single" w:sz="8" w:color="71BF43"/>
            </w:tcBorders>
            <w:shd w:val="clear" w:color="auto" w:fill="F4F4F4"/>
          </w:tcPr>
          <w:p>
            <w:pPr>
              <w:spacing w:after="0"/>
              <w:rPr>
                <w:sz w:val="17"/>
                <w:szCs w:val="17"/>
                <w:color w:val="auto"/>
              </w:rPr>
            </w:pPr>
          </w:p>
        </w:tc>
        <w:tc>
          <w:tcPr>
            <w:tcW w:w="660" w:type="dxa"/>
            <w:vAlign w:val="bottom"/>
            <w:tcBorders>
              <w:top w:val="single" w:sz="8" w:color="F4F4F4"/>
              <w:bottom w:val="single" w:sz="8" w:color="71BF43"/>
            </w:tcBorders>
            <w:shd w:val="clear" w:color="auto" w:fill="F4F4F4"/>
          </w:tcPr>
          <w:p>
            <w:pPr>
              <w:spacing w:after="0"/>
              <w:rPr>
                <w:sz w:val="17"/>
                <w:szCs w:val="17"/>
                <w:color w:val="auto"/>
              </w:rPr>
            </w:pPr>
          </w:p>
        </w:tc>
        <w:tc>
          <w:tcPr>
            <w:tcW w:w="4240" w:type="dxa"/>
            <w:vAlign w:val="bottom"/>
            <w:tcBorders>
              <w:top w:val="single" w:sz="8" w:color="0000FF"/>
              <w:bottom w:val="single" w:sz="8" w:color="71BF43"/>
            </w:tcBorders>
            <w:gridSpan w:val="10"/>
            <w:shd w:val="clear" w:color="auto" w:fill="F4F4F4"/>
          </w:tcPr>
          <w:p>
            <w:pPr>
              <w:spacing w:after="0" w:line="196" w:lineRule="exact"/>
              <w:rPr>
                <w:rFonts w:ascii="Arial" w:cs="Arial" w:eastAsia="Arial" w:hAnsi="Arial"/>
                <w:sz w:val="18"/>
                <w:szCs w:val="18"/>
                <w:u w:val="single" w:color="auto"/>
                <w:color w:val="0000FF"/>
              </w:rPr>
            </w:pPr>
            <w:hyperlink r:id="rId380">
              <w:r>
                <w:rPr>
                  <w:rFonts w:ascii="Arial" w:cs="Arial" w:eastAsia="Arial" w:hAnsi="Arial"/>
                  <w:sz w:val="18"/>
                  <w:szCs w:val="18"/>
                  <w:u w:val="single" w:color="auto"/>
                  <w:color w:val="0000FF"/>
                </w:rPr>
                <w:t>under Blackbaud, Inc. 2008 Equity Incentive Plan</w:t>
              </w:r>
            </w:hyperlink>
          </w:p>
        </w:tc>
        <w:tc>
          <w:tcPr>
            <w:tcW w:w="540" w:type="dxa"/>
            <w:vAlign w:val="bottom"/>
            <w:tcBorders>
              <w:top w:val="single" w:sz="8" w:color="F4F4F4"/>
              <w:bottom w:val="single" w:sz="8" w:color="71BF43"/>
            </w:tcBorders>
            <w:gridSpan w:val="12"/>
            <w:shd w:val="clear" w:color="auto" w:fill="F4F4F4"/>
          </w:tcPr>
          <w:p>
            <w:pPr>
              <w:spacing w:after="0"/>
              <w:rPr>
                <w:sz w:val="17"/>
                <w:szCs w:val="17"/>
                <w:color w:val="auto"/>
              </w:rPr>
            </w:pPr>
          </w:p>
        </w:tc>
        <w:tc>
          <w:tcPr>
            <w:tcW w:w="1320" w:type="dxa"/>
            <w:vAlign w:val="bottom"/>
            <w:tcBorders>
              <w:top w:val="single" w:sz="8" w:color="F4F4F4"/>
              <w:bottom w:val="single" w:sz="8" w:color="71BF43"/>
            </w:tcBorders>
            <w:shd w:val="clear" w:color="auto" w:fill="F4F4F4"/>
          </w:tcPr>
          <w:p>
            <w:pPr>
              <w:spacing w:after="0"/>
              <w:rPr>
                <w:sz w:val="17"/>
                <w:szCs w:val="17"/>
                <w:color w:val="auto"/>
              </w:rPr>
            </w:pPr>
          </w:p>
        </w:tc>
        <w:tc>
          <w:tcPr>
            <w:tcW w:w="1660" w:type="dxa"/>
            <w:vAlign w:val="bottom"/>
            <w:tcBorders>
              <w:top w:val="single" w:sz="8" w:color="F4F4F4"/>
              <w:bottom w:val="single" w:sz="8" w:color="71BF43"/>
            </w:tcBorders>
            <w:shd w:val="clear" w:color="auto" w:fill="F4F4F4"/>
          </w:tcPr>
          <w:p>
            <w:pPr>
              <w:spacing w:after="0"/>
              <w:rPr>
                <w:sz w:val="17"/>
                <w:szCs w:val="17"/>
                <w:color w:val="auto"/>
              </w:rPr>
            </w:pPr>
          </w:p>
        </w:tc>
        <w:tc>
          <w:tcPr>
            <w:tcW w:w="960" w:type="dxa"/>
            <w:vAlign w:val="bottom"/>
            <w:tcBorders>
              <w:top w:val="single" w:sz="8" w:color="F4F4F4"/>
              <w:bottom w:val="single" w:sz="8" w:color="71BF43"/>
            </w:tcBorders>
            <w:shd w:val="clear" w:color="auto" w:fill="F4F4F4"/>
          </w:tcPr>
          <w:p>
            <w:pPr>
              <w:spacing w:after="0"/>
              <w:rPr>
                <w:sz w:val="17"/>
                <w:szCs w:val="17"/>
                <w:color w:val="auto"/>
              </w:rPr>
            </w:pPr>
          </w:p>
        </w:tc>
        <w:tc>
          <w:tcPr>
            <w:tcW w:w="900" w:type="dxa"/>
            <w:vAlign w:val="bottom"/>
            <w:tcBorders>
              <w:top w:val="single" w:sz="8" w:color="F4F4F4"/>
              <w:bottom w:val="single" w:sz="8" w:color="71BF43"/>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-4053840</wp:posOffset>
            </wp:positionV>
            <wp:extent cx="30689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108  </w:t>
      </w:r>
      <w:r>
        <w:rPr>
          <w:sz w:val="1"/>
          <w:szCs w:val="1"/>
          <w:color w:val="auto"/>
        </w:rPr>
        <w:drawing>
          <wp:inline distT="0" distB="0" distL="0" distR="0">
            <wp:extent cx="728345" cy="18859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shd w:val="clear" w:color="auto" w:fill="ACACAC"/>
          </w:tcPr>
          <w:p>
            <w:pPr>
              <w:spacing w:after="0"/>
              <w:rPr>
                <w:sz w:val="19"/>
                <w:szCs w:val="19"/>
                <w:color w:val="auto"/>
              </w:rPr>
            </w:pPr>
          </w:p>
        </w:tc>
        <w:tc>
          <w:tcPr>
            <w:tcW w:w="680" w:type="dxa"/>
            <w:vAlign w:val="bottom"/>
            <w:shd w:val="clear" w:color="auto" w:fill="ACACAC"/>
          </w:tcPr>
          <w:p>
            <w:pPr>
              <w:spacing w:after="0"/>
              <w:rPr>
                <w:sz w:val="19"/>
                <w:szCs w:val="19"/>
                <w:color w:val="auto"/>
              </w:rPr>
            </w:pPr>
          </w:p>
        </w:tc>
        <w:tc>
          <w:tcPr>
            <w:tcW w:w="2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94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48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360" w:type="dxa"/>
            <w:vAlign w:val="bottom"/>
            <w:shd w:val="clear" w:color="auto" w:fill="ACACAC"/>
          </w:tcPr>
          <w:p>
            <w:pPr>
              <w:spacing w:after="0"/>
              <w:rPr>
                <w:sz w:val="19"/>
                <w:szCs w:val="19"/>
                <w:color w:val="auto"/>
              </w:rPr>
            </w:pPr>
          </w:p>
        </w:tc>
        <w:tc>
          <w:tcPr>
            <w:tcW w:w="60" w:type="dxa"/>
            <w:vAlign w:val="bottom"/>
            <w:shd w:val="clear" w:color="auto" w:fill="ACACAC"/>
          </w:tcPr>
          <w:p>
            <w:pPr>
              <w:spacing w:after="0"/>
              <w:rPr>
                <w:sz w:val="19"/>
                <w:szCs w:val="19"/>
                <w:color w:val="auto"/>
              </w:rPr>
            </w:pPr>
          </w:p>
        </w:tc>
        <w:tc>
          <w:tcPr>
            <w:tcW w:w="7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60" w:type="dxa"/>
            <w:vAlign w:val="bottom"/>
            <w:shd w:val="clear" w:color="auto" w:fill="ACACAC"/>
          </w:tcPr>
          <w:p>
            <w:pPr>
              <w:spacing w:after="0"/>
              <w:rPr>
                <w:sz w:val="19"/>
                <w:szCs w:val="19"/>
                <w:color w:val="auto"/>
              </w:rPr>
            </w:pPr>
          </w:p>
        </w:tc>
        <w:tc>
          <w:tcPr>
            <w:tcW w:w="60" w:type="dxa"/>
            <w:vAlign w:val="bottom"/>
            <w:shd w:val="clear" w:color="auto" w:fill="ACACAC"/>
          </w:tcPr>
          <w:p>
            <w:pPr>
              <w:spacing w:after="0"/>
              <w:rPr>
                <w:sz w:val="19"/>
                <w:szCs w:val="19"/>
                <w:color w:val="auto"/>
              </w:rPr>
            </w:pPr>
          </w:p>
        </w:tc>
        <w:tc>
          <w:tcPr>
            <w:tcW w:w="40" w:type="dxa"/>
            <w:vAlign w:val="bottom"/>
            <w:shd w:val="clear" w:color="auto" w:fill="ACACAC"/>
          </w:tcPr>
          <w:p>
            <w:pPr>
              <w:spacing w:after="0"/>
              <w:rPr>
                <w:sz w:val="19"/>
                <w:szCs w:val="19"/>
                <w:color w:val="auto"/>
              </w:rPr>
            </w:pPr>
          </w:p>
        </w:tc>
        <w:tc>
          <w:tcPr>
            <w:tcW w:w="60" w:type="dxa"/>
            <w:vAlign w:val="bottom"/>
            <w:shd w:val="clear" w:color="auto" w:fill="ACACAC"/>
          </w:tcPr>
          <w:p>
            <w:pPr>
              <w:spacing w:after="0"/>
              <w:rPr>
                <w:sz w:val="19"/>
                <w:szCs w:val="19"/>
                <w:color w:val="auto"/>
              </w:rPr>
            </w:pPr>
          </w:p>
        </w:tc>
        <w:tc>
          <w:tcPr>
            <w:tcW w:w="4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6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4294967277"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260" w:type="dxa"/>
            <w:vAlign w:val="bottom"/>
            <w:shd w:val="clear" w:color="auto" w:fill="ACACAC"/>
          </w:tcPr>
          <w:p>
            <w:pPr>
              <w:spacing w:after="0"/>
              <w:rPr>
                <w:sz w:val="19"/>
                <w:szCs w:val="19"/>
                <w:color w:val="auto"/>
              </w:rPr>
            </w:pPr>
          </w:p>
        </w:tc>
        <w:tc>
          <w:tcPr>
            <w:tcW w:w="1520" w:type="dxa"/>
            <w:vAlign w:val="bottom"/>
            <w:gridSpan w:val="2"/>
            <w:shd w:val="clear" w:color="auto" w:fill="ACACAC"/>
          </w:tcPr>
          <w:p>
            <w:pPr>
              <w:ind w:left="900"/>
              <w:spacing w:after="0"/>
              <w:rPr>
                <w:sz w:val="20"/>
                <w:szCs w:val="20"/>
                <w:color w:val="auto"/>
              </w:rPr>
            </w:pPr>
            <w:r>
              <w:rPr>
                <w:rFonts w:ascii="Arial" w:cs="Arial" w:eastAsia="Arial" w:hAnsi="Arial"/>
                <w:sz w:val="14"/>
                <w:szCs w:val="14"/>
                <w:b w:val="1"/>
                <w:bCs w:val="1"/>
                <w:color w:val="FFFFFF"/>
              </w:rPr>
              <w:t>Filed In</w:t>
            </w:r>
          </w:p>
        </w:tc>
        <w:tc>
          <w:tcPr>
            <w:tcW w:w="380" w:type="dxa"/>
            <w:vAlign w:val="bottom"/>
            <w:shd w:val="clear" w:color="auto" w:fill="ACACAC"/>
          </w:tcPr>
          <w:p>
            <w:pPr>
              <w:spacing w:after="0"/>
              <w:rPr>
                <w:sz w:val="19"/>
                <w:szCs w:val="19"/>
                <w:color w:val="auto"/>
              </w:rPr>
            </w:pPr>
          </w:p>
        </w:tc>
        <w:tc>
          <w:tcPr>
            <w:tcW w:w="660" w:type="dxa"/>
            <w:vAlign w:val="bottom"/>
            <w:shd w:val="clear" w:color="auto" w:fill="ACACAC"/>
          </w:tcPr>
          <w:p>
            <w:pPr>
              <w:spacing w:after="0"/>
              <w:rPr>
                <w:sz w:val="19"/>
                <w:szCs w:val="19"/>
                <w:color w:val="auto"/>
              </w:rPr>
            </w:pPr>
          </w:p>
        </w:tc>
        <w:tc>
          <w:tcPr>
            <w:tcW w:w="10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Exhibit</w:t>
            </w:r>
          </w:p>
        </w:tc>
        <w:tc>
          <w:tcPr>
            <w:tcW w:w="68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80" w:type="dxa"/>
            <w:vAlign w:val="bottom"/>
            <w:shd w:val="clear" w:color="auto" w:fill="ACACAC"/>
          </w:tcPr>
          <w:p>
            <w:pPr>
              <w:spacing w:after="0"/>
              <w:rPr>
                <w:sz w:val="14"/>
                <w:szCs w:val="14"/>
                <w:color w:val="auto"/>
              </w:rPr>
            </w:pPr>
          </w:p>
        </w:tc>
        <w:tc>
          <w:tcPr>
            <w:tcW w:w="94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3340" w:type="dxa"/>
            <w:vAlign w:val="bottom"/>
            <w:gridSpan w:val="32"/>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Description of Document</w:t>
            </w:r>
          </w:p>
        </w:tc>
        <w:tc>
          <w:tcPr>
            <w:tcW w:w="1260" w:type="dxa"/>
            <w:vAlign w:val="bottom"/>
            <w:shd w:val="clear" w:color="auto" w:fill="ACACAC"/>
          </w:tcPr>
          <w:p>
            <w:pPr>
              <w:jc w:val="center"/>
              <w:ind w:right="72"/>
              <w:spacing w:after="0"/>
              <w:rPr>
                <w:sz w:val="20"/>
                <w:szCs w:val="20"/>
                <w:color w:val="auto"/>
              </w:rPr>
            </w:pPr>
            <w:r>
              <w:rPr>
                <w:rFonts w:ascii="Arial" w:cs="Arial" w:eastAsia="Arial" w:hAnsi="Arial"/>
                <w:sz w:val="14"/>
                <w:szCs w:val="14"/>
                <w:b w:val="1"/>
                <w:bCs w:val="1"/>
                <w:color w:val="FFFFFF"/>
              </w:rPr>
              <w:t>Registrant’s</w:t>
            </w:r>
          </w:p>
        </w:tc>
        <w:tc>
          <w:tcPr>
            <w:tcW w:w="1520" w:type="dxa"/>
            <w:vAlign w:val="bottom"/>
            <w:gridSpan w:val="2"/>
            <w:vMerge w:val="restart"/>
            <w:shd w:val="clear" w:color="auto" w:fill="ACACAC"/>
          </w:tcPr>
          <w:p>
            <w:pPr>
              <w:ind w:left="780"/>
              <w:spacing w:after="0"/>
              <w:rPr>
                <w:sz w:val="20"/>
                <w:szCs w:val="20"/>
                <w:color w:val="auto"/>
              </w:rPr>
            </w:pPr>
            <w:r>
              <w:rPr>
                <w:rFonts w:ascii="Arial" w:cs="Arial" w:eastAsia="Arial" w:hAnsi="Arial"/>
                <w:sz w:val="14"/>
                <w:szCs w:val="14"/>
                <w:b w:val="1"/>
                <w:bCs w:val="1"/>
                <w:color w:val="FFFFFF"/>
              </w:rPr>
              <w:t>Dated</w:t>
            </w:r>
          </w:p>
        </w:tc>
        <w:tc>
          <w:tcPr>
            <w:tcW w:w="380" w:type="dxa"/>
            <w:vAlign w:val="bottom"/>
            <w:shd w:val="clear" w:color="auto" w:fill="ACACAC"/>
          </w:tcPr>
          <w:p>
            <w:pPr>
              <w:spacing w:after="0"/>
              <w:rPr>
                <w:sz w:val="14"/>
                <w:szCs w:val="14"/>
                <w:color w:val="auto"/>
              </w:rPr>
            </w:pPr>
          </w:p>
        </w:tc>
        <w:tc>
          <w:tcPr>
            <w:tcW w:w="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Exhibit</w:t>
            </w:r>
          </w:p>
        </w:tc>
        <w:tc>
          <w:tcPr>
            <w:tcW w:w="1020" w:type="dxa"/>
            <w:vAlign w:val="bottom"/>
            <w:shd w:val="clear" w:color="auto" w:fill="ACACAC"/>
          </w:tcPr>
          <w:p>
            <w:pPr>
              <w:jc w:val="center"/>
              <w:ind w:left="48"/>
              <w:spacing w:after="0"/>
              <w:rPr>
                <w:sz w:val="20"/>
                <w:szCs w:val="20"/>
                <w:color w:val="auto"/>
              </w:rPr>
            </w:pPr>
            <w:r>
              <w:rPr>
                <w:rFonts w:ascii="Arial" w:cs="Arial" w:eastAsia="Arial" w:hAnsi="Arial"/>
                <w:sz w:val="14"/>
                <w:szCs w:val="14"/>
                <w:b w:val="1"/>
                <w:bCs w:val="1"/>
                <w:color w:val="FFFFFF"/>
              </w:rPr>
              <w:t>Filed</w:t>
            </w:r>
          </w:p>
        </w:tc>
        <w:tc>
          <w:tcPr>
            <w:tcW w:w="0" w:type="dxa"/>
            <w:vAlign w:val="bottom"/>
          </w:tcPr>
          <w:p>
            <w:pPr>
              <w:spacing w:after="0"/>
              <w:rPr>
                <w:sz w:val="1"/>
                <w:szCs w:val="1"/>
                <w:color w:val="auto"/>
              </w:rPr>
            </w:pPr>
          </w:p>
        </w:tc>
      </w:tr>
      <w:tr>
        <w:trPr>
          <w:trHeight w:val="176"/>
        </w:trPr>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680" w:type="dxa"/>
            <w:vAlign w:val="bottom"/>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80" w:type="dxa"/>
            <w:vAlign w:val="bottom"/>
            <w:shd w:val="clear" w:color="auto" w:fill="ACACAC"/>
          </w:tcPr>
          <w:p>
            <w:pPr>
              <w:spacing w:after="0"/>
              <w:rPr>
                <w:sz w:val="15"/>
                <w:szCs w:val="15"/>
                <w:color w:val="auto"/>
              </w:rPr>
            </w:pPr>
          </w:p>
        </w:tc>
        <w:tc>
          <w:tcPr>
            <w:tcW w:w="94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3340" w:type="dxa"/>
            <w:vAlign w:val="bottom"/>
            <w:gridSpan w:val="32"/>
            <w:vMerge w:val="continue"/>
            <w:shd w:val="clear" w:color="auto" w:fill="ACACAC"/>
          </w:tcPr>
          <w:p>
            <w:pPr>
              <w:spacing w:after="0"/>
              <w:rPr>
                <w:sz w:val="15"/>
                <w:szCs w:val="15"/>
                <w:color w:val="auto"/>
              </w:rPr>
            </w:pPr>
          </w:p>
        </w:tc>
        <w:tc>
          <w:tcPr>
            <w:tcW w:w="1260" w:type="dxa"/>
            <w:vAlign w:val="bottom"/>
            <w:shd w:val="clear" w:color="auto" w:fill="ACACAC"/>
          </w:tcPr>
          <w:p>
            <w:pPr>
              <w:jc w:val="center"/>
              <w:ind w:right="92"/>
              <w:spacing w:after="0"/>
              <w:rPr>
                <w:sz w:val="20"/>
                <w:szCs w:val="20"/>
                <w:color w:val="auto"/>
              </w:rPr>
            </w:pPr>
            <w:r>
              <w:rPr>
                <w:rFonts w:ascii="Arial" w:cs="Arial" w:eastAsia="Arial" w:hAnsi="Arial"/>
                <w:sz w:val="14"/>
                <w:szCs w:val="14"/>
                <w:b w:val="1"/>
                <w:bCs w:val="1"/>
                <w:color w:val="FFFFFF"/>
              </w:rPr>
              <w:t>Form</w:t>
            </w:r>
          </w:p>
        </w:tc>
        <w:tc>
          <w:tcPr>
            <w:tcW w:w="1520" w:type="dxa"/>
            <w:vAlign w:val="bottom"/>
            <w:gridSpan w:val="2"/>
            <w:vMerge w:val="continue"/>
            <w:shd w:val="clear" w:color="auto" w:fill="ACACAC"/>
          </w:tcPr>
          <w:p>
            <w:pPr>
              <w:spacing w:after="0"/>
              <w:rPr>
                <w:sz w:val="15"/>
                <w:szCs w:val="15"/>
                <w:color w:val="auto"/>
              </w:rPr>
            </w:pPr>
          </w:p>
        </w:tc>
        <w:tc>
          <w:tcPr>
            <w:tcW w:w="380" w:type="dxa"/>
            <w:vAlign w:val="bottom"/>
            <w:shd w:val="clear" w:color="auto" w:fill="ACACAC"/>
          </w:tcPr>
          <w:p>
            <w:pPr>
              <w:spacing w:after="0"/>
              <w:rPr>
                <w:sz w:val="15"/>
                <w:szCs w:val="15"/>
                <w:color w:val="auto"/>
              </w:rPr>
            </w:pPr>
          </w:p>
        </w:tc>
        <w:tc>
          <w:tcPr>
            <w:tcW w:w="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1020" w:type="dxa"/>
            <w:vAlign w:val="bottom"/>
            <w:shd w:val="clear" w:color="auto" w:fill="ACACAC"/>
          </w:tcPr>
          <w:p>
            <w:pPr>
              <w:jc w:val="center"/>
              <w:ind w:left="48"/>
              <w:spacing w:after="0"/>
              <w:rPr>
                <w:sz w:val="20"/>
                <w:szCs w:val="20"/>
                <w:color w:val="auto"/>
              </w:rPr>
            </w:pPr>
            <w:r>
              <w:rPr>
                <w:rFonts w:ascii="Arial" w:cs="Arial" w:eastAsia="Arial" w:hAnsi="Arial"/>
                <w:sz w:val="14"/>
                <w:szCs w:val="14"/>
                <w:b w:val="1"/>
                <w:bCs w:val="1"/>
                <w:color w:val="FFFFFF"/>
              </w:rPr>
              <w:t>Herewith</w:t>
            </w:r>
          </w:p>
        </w:tc>
        <w:tc>
          <w:tcPr>
            <w:tcW w:w="0" w:type="dxa"/>
            <w:vAlign w:val="bottom"/>
          </w:tcPr>
          <w:p>
            <w:pPr>
              <w:spacing w:after="0"/>
              <w:rPr>
                <w:sz w:val="1"/>
                <w:szCs w:val="1"/>
                <w:color w:val="auto"/>
              </w:rPr>
            </w:pPr>
          </w:p>
        </w:tc>
      </w:tr>
      <w:tr>
        <w:trPr>
          <w:trHeight w:val="189"/>
        </w:trPr>
        <w:tc>
          <w:tcPr>
            <w:tcW w:w="960" w:type="dxa"/>
            <w:vAlign w:val="bottom"/>
            <w:shd w:val="clear" w:color="auto" w:fill="F4F4F4"/>
          </w:tcPr>
          <w:p>
            <w:pPr>
              <w:jc w:val="right"/>
              <w:spacing w:after="0" w:line="189" w:lineRule="exact"/>
              <w:rPr>
                <w:rFonts w:ascii="Arial" w:cs="Arial" w:eastAsia="Arial" w:hAnsi="Arial"/>
                <w:sz w:val="18"/>
                <w:szCs w:val="18"/>
                <w:u w:val="single" w:color="auto"/>
                <w:color w:val="0000FF"/>
              </w:rPr>
            </w:pPr>
            <w:hyperlink r:id="rId384">
              <w:r>
                <w:rPr>
                  <w:rFonts w:ascii="Arial" w:cs="Arial" w:eastAsia="Arial" w:hAnsi="Arial"/>
                  <w:sz w:val="18"/>
                  <w:szCs w:val="18"/>
                  <w:u w:val="single" w:color="auto"/>
                  <w:color w:val="0000FF"/>
                </w:rPr>
                <w:t>10.2</w:t>
              </w:r>
            </w:hyperlink>
          </w:p>
        </w:tc>
        <w:tc>
          <w:tcPr>
            <w:tcW w:w="68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shd w:val="clear" w:color="auto" w:fill="F4F4F4"/>
          </w:tcPr>
          <w:p>
            <w:pPr>
              <w:spacing w:after="0" w:line="189" w:lineRule="exact"/>
              <w:rPr>
                <w:rFonts w:ascii="Arial" w:cs="Arial" w:eastAsia="Arial" w:hAnsi="Arial"/>
                <w:sz w:val="18"/>
                <w:szCs w:val="18"/>
                <w:color w:val="0000FF"/>
              </w:rPr>
            </w:pPr>
            <w:hyperlink r:id="rId384">
              <w:r>
                <w:rPr>
                  <w:rFonts w:ascii="Arial" w:cs="Arial" w:eastAsia="Arial" w:hAnsi="Arial"/>
                  <w:sz w:val="18"/>
                  <w:szCs w:val="18"/>
                  <w:color w:val="0000FF"/>
                </w:rPr>
                <w:t>Form of Notice of Grant and Restricted Stock Agreement</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S-8</w:t>
            </w:r>
          </w:p>
        </w:tc>
        <w:tc>
          <w:tcPr>
            <w:tcW w:w="132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8/4/2008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10.35</w:t>
            </w:r>
          </w:p>
        </w:tc>
        <w:tc>
          <w:tcPr>
            <w:tcW w:w="102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Borders>
              <w:top w:val="single" w:sz="8" w:color="F4F4F4"/>
            </w:tcBorders>
            <w:shd w:val="clear" w:color="auto" w:fill="F4F4F4"/>
          </w:tcPr>
          <w:p>
            <w:pPr>
              <w:spacing w:after="0"/>
              <w:rPr>
                <w:sz w:val="17"/>
                <w:szCs w:val="17"/>
                <w:color w:val="auto"/>
              </w:rPr>
            </w:pPr>
          </w:p>
        </w:tc>
        <w:tc>
          <w:tcPr>
            <w:tcW w:w="680" w:type="dxa"/>
            <w:vAlign w:val="bottom"/>
            <w:tcBorders>
              <w:top w:val="single" w:sz="8" w:color="F4F4F4"/>
            </w:tcBorders>
            <w:shd w:val="clear" w:color="auto" w:fill="F4F4F4"/>
          </w:tcPr>
          <w:p>
            <w:pPr>
              <w:spacing w:after="0"/>
              <w:rPr>
                <w:sz w:val="17"/>
                <w:szCs w:val="17"/>
                <w:color w:val="auto"/>
              </w:rPr>
            </w:pPr>
          </w:p>
        </w:tc>
        <w:tc>
          <w:tcPr>
            <w:tcW w:w="4560" w:type="dxa"/>
            <w:vAlign w:val="bottom"/>
            <w:tcBorders>
              <w:top w:val="single" w:sz="8" w:color="0000FF"/>
            </w:tcBorders>
            <w:gridSpan w:val="29"/>
            <w:shd w:val="clear" w:color="auto" w:fill="F4F4F4"/>
          </w:tcPr>
          <w:p>
            <w:pPr>
              <w:spacing w:after="0" w:line="196" w:lineRule="exact"/>
              <w:rPr>
                <w:rFonts w:ascii="Arial" w:cs="Arial" w:eastAsia="Arial" w:hAnsi="Arial"/>
                <w:sz w:val="18"/>
                <w:szCs w:val="18"/>
                <w:u w:val="single" w:color="auto"/>
                <w:color w:val="0000FF"/>
              </w:rPr>
            </w:pPr>
            <w:hyperlink r:id="rId384">
              <w:r>
                <w:rPr>
                  <w:rFonts w:ascii="Arial" w:cs="Arial" w:eastAsia="Arial" w:hAnsi="Arial"/>
                  <w:sz w:val="18"/>
                  <w:szCs w:val="18"/>
                  <w:u w:val="single" w:color="auto"/>
                  <w:color w:val="0000FF"/>
                </w:rPr>
                <w:t>under Blackbaud, Inc. 2008 Equity Incentive Plan</w:t>
              </w:r>
            </w:hyperlink>
          </w:p>
        </w:tc>
        <w:tc>
          <w:tcPr>
            <w:tcW w:w="20" w:type="dxa"/>
            <w:vAlign w:val="bottom"/>
            <w:tcBorders>
              <w:top w:val="single" w:sz="8" w:color="F4F4F4"/>
            </w:tcBorders>
            <w:shd w:val="clear" w:color="auto" w:fill="F4F4F4"/>
          </w:tcPr>
          <w:p>
            <w:pPr>
              <w:spacing w:after="0"/>
              <w:rPr>
                <w:sz w:val="17"/>
                <w:szCs w:val="17"/>
                <w:color w:val="auto"/>
              </w:rPr>
            </w:pPr>
          </w:p>
        </w:tc>
        <w:tc>
          <w:tcPr>
            <w:tcW w:w="4294967277"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120" w:type="dxa"/>
            <w:vAlign w:val="bottom"/>
            <w:tcBorders>
              <w:top w:val="single" w:sz="8" w:color="F4F4F4"/>
            </w:tcBorders>
            <w:shd w:val="clear" w:color="auto" w:fill="F4F4F4"/>
          </w:tcPr>
          <w:p>
            <w:pPr>
              <w:spacing w:after="0"/>
              <w:rPr>
                <w:sz w:val="17"/>
                <w:szCs w:val="17"/>
                <w:color w:val="auto"/>
              </w:rPr>
            </w:pPr>
          </w:p>
        </w:tc>
        <w:tc>
          <w:tcPr>
            <w:tcW w:w="1260" w:type="dxa"/>
            <w:vAlign w:val="bottom"/>
            <w:tcBorders>
              <w:top w:val="single" w:sz="8" w:color="F4F4F4"/>
            </w:tcBorders>
            <w:shd w:val="clear" w:color="auto" w:fill="F4F4F4"/>
          </w:tcPr>
          <w:p>
            <w:pPr>
              <w:spacing w:after="0"/>
              <w:rPr>
                <w:sz w:val="17"/>
                <w:szCs w:val="17"/>
                <w:color w:val="auto"/>
              </w:rPr>
            </w:pPr>
          </w:p>
        </w:tc>
        <w:tc>
          <w:tcPr>
            <w:tcW w:w="1320" w:type="dxa"/>
            <w:vAlign w:val="bottom"/>
            <w:tcBorders>
              <w:top w:val="single" w:sz="8" w:color="F4F4F4"/>
            </w:tcBorders>
            <w:shd w:val="clear" w:color="auto" w:fill="F4F4F4"/>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Borders>
              <w:top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right"/>
              <w:spacing w:after="0" w:line="189" w:lineRule="exact"/>
              <w:rPr>
                <w:rFonts w:ascii="Arial" w:cs="Arial" w:eastAsia="Arial" w:hAnsi="Arial"/>
                <w:sz w:val="18"/>
                <w:szCs w:val="18"/>
                <w:u w:val="single" w:color="auto"/>
                <w:color w:val="0000FF"/>
              </w:rPr>
            </w:pPr>
            <w:hyperlink r:id="rId385">
              <w:r>
                <w:rPr>
                  <w:rFonts w:ascii="Arial" w:cs="Arial" w:eastAsia="Arial" w:hAnsi="Arial"/>
                  <w:sz w:val="18"/>
                  <w:szCs w:val="18"/>
                  <w:u w:val="single" w:color="auto"/>
                  <w:color w:val="0000FF"/>
                </w:rPr>
                <w:t>10.3</w:t>
              </w:r>
            </w:hyperlink>
          </w:p>
        </w:tc>
        <w:tc>
          <w:tcPr>
            <w:tcW w:w="68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tcPr>
          <w:p>
            <w:pPr>
              <w:spacing w:after="0" w:line="189" w:lineRule="exact"/>
              <w:rPr>
                <w:rFonts w:ascii="Arial" w:cs="Arial" w:eastAsia="Arial" w:hAnsi="Arial"/>
                <w:sz w:val="18"/>
                <w:szCs w:val="18"/>
                <w:color w:val="0000FF"/>
              </w:rPr>
            </w:pPr>
            <w:hyperlink r:id="rId385">
              <w:r>
                <w:rPr>
                  <w:rFonts w:ascii="Arial" w:cs="Arial" w:eastAsia="Arial" w:hAnsi="Arial"/>
                  <w:sz w:val="18"/>
                  <w:szCs w:val="18"/>
                  <w:color w:val="0000FF"/>
                </w:rPr>
                <w:t>Form of Notice of Grant and Stock Appreciation Rights</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S-8</w:t>
            </w:r>
          </w:p>
        </w:tc>
        <w:tc>
          <w:tcPr>
            <w:tcW w:w="13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8/4/2008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10.36</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7"/>
              </w:rPr>
            </w:pPr>
            <w:hyperlink r:id="rId385">
              <w:r>
                <w:rPr>
                  <w:rFonts w:ascii="Arial" w:cs="Arial" w:eastAsia="Arial" w:hAnsi="Arial"/>
                  <w:sz w:val="18"/>
                  <w:szCs w:val="18"/>
                  <w:color w:val="0000FF"/>
                  <w:w w:val="97"/>
                </w:rPr>
                <w:t>Agreement under Blackbaud, Inc. 2008 Equity Incentive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40" w:type="dxa"/>
            <w:vAlign w:val="bottom"/>
            <w:gridSpan w:val="23"/>
          </w:tcPr>
          <w:p>
            <w:pPr>
              <w:spacing w:after="0" w:line="156" w:lineRule="exact"/>
              <w:rPr>
                <w:rFonts w:ascii="Arial" w:cs="Arial" w:eastAsia="Arial" w:hAnsi="Arial"/>
                <w:sz w:val="18"/>
                <w:szCs w:val="18"/>
                <w:color w:val="0000FF"/>
              </w:rPr>
            </w:pPr>
            <w:hyperlink r:id="rId385">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Borders>
              <w:bottom w:val="single" w:sz="8" w:color="F4F4F4"/>
            </w:tcBorders>
            <w:shd w:val="clear" w:color="auto" w:fill="F4F4F4"/>
          </w:tcPr>
          <w:p>
            <w:pPr>
              <w:jc w:val="right"/>
              <w:spacing w:after="0" w:line="189" w:lineRule="exact"/>
              <w:rPr>
                <w:rFonts w:ascii="Arial" w:cs="Arial" w:eastAsia="Arial" w:hAnsi="Arial"/>
                <w:sz w:val="18"/>
                <w:szCs w:val="18"/>
                <w:u w:val="single" w:color="auto"/>
                <w:color w:val="0000FF"/>
              </w:rPr>
            </w:pPr>
            <w:hyperlink r:id="rId386">
              <w:r>
                <w:rPr>
                  <w:rFonts w:ascii="Arial" w:cs="Arial" w:eastAsia="Arial" w:hAnsi="Arial"/>
                  <w:sz w:val="18"/>
                  <w:szCs w:val="18"/>
                  <w:u w:val="single" w:color="auto"/>
                  <w:color w:val="0000FF"/>
                </w:rPr>
                <w:t>10.4</w:t>
              </w:r>
            </w:hyperlink>
          </w:p>
        </w:tc>
        <w:tc>
          <w:tcPr>
            <w:tcW w:w="680" w:type="dxa"/>
            <w:vAlign w:val="bottom"/>
            <w:tcBorders>
              <w:bottom w:val="single" w:sz="8" w:color="F4F4F4"/>
            </w:tcBorders>
            <w:shd w:val="clear" w:color="auto" w:fill="F4F4F4"/>
          </w:tcPr>
          <w:p>
            <w:pPr>
              <w:spacing w:after="0"/>
              <w:rPr>
                <w:sz w:val="16"/>
                <w:szCs w:val="16"/>
                <w:color w:val="auto"/>
              </w:rPr>
            </w:pPr>
          </w:p>
        </w:tc>
        <w:tc>
          <w:tcPr>
            <w:tcW w:w="4560" w:type="dxa"/>
            <w:vAlign w:val="bottom"/>
            <w:tcBorders>
              <w:bottom w:val="single" w:sz="8" w:color="0000FF"/>
            </w:tcBorders>
            <w:gridSpan w:val="31"/>
            <w:shd w:val="clear" w:color="auto" w:fill="F4F4F4"/>
          </w:tcPr>
          <w:p>
            <w:pPr>
              <w:spacing w:after="0" w:line="189" w:lineRule="exact"/>
              <w:rPr>
                <w:rFonts w:ascii="Arial" w:cs="Arial" w:eastAsia="Arial" w:hAnsi="Arial"/>
                <w:sz w:val="18"/>
                <w:szCs w:val="18"/>
                <w:color w:val="0000FF"/>
              </w:rPr>
            </w:pPr>
            <w:hyperlink r:id="rId386">
              <w:r>
                <w:rPr>
                  <w:rFonts w:ascii="Arial" w:cs="Arial" w:eastAsia="Arial" w:hAnsi="Arial"/>
                  <w:sz w:val="18"/>
                  <w:szCs w:val="18"/>
                  <w:color w:val="0000FF"/>
                </w:rPr>
                <w:t>Triple Net Lease Agreement dated as of October 1, 2008</w:t>
              </w:r>
            </w:hyperlink>
          </w:p>
        </w:tc>
        <w:tc>
          <w:tcPr>
            <w:tcW w:w="200" w:type="dxa"/>
            <w:vAlign w:val="bottom"/>
            <w:tcBorders>
              <w:bottom w:val="single" w:sz="8" w:color="F4F4F4"/>
            </w:tcBorders>
            <w:gridSpan w:val="5"/>
            <w:shd w:val="clear" w:color="auto" w:fill="F4F4F4"/>
          </w:tcPr>
          <w:p>
            <w:pPr>
              <w:spacing w:after="0"/>
              <w:rPr>
                <w:sz w:val="16"/>
                <w:szCs w:val="16"/>
                <w:color w:val="auto"/>
              </w:rPr>
            </w:pPr>
          </w:p>
        </w:tc>
        <w:tc>
          <w:tcPr>
            <w:tcW w:w="1260" w:type="dxa"/>
            <w:vAlign w:val="bottom"/>
            <w:tcBorders>
              <w:bottom w:val="single" w:sz="8" w:color="F4F4F4"/>
            </w:tcBorders>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tcBorders>
              <w:bottom w:val="single" w:sz="8" w:color="F4F4F4"/>
            </w:tcBorders>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12/11/2008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10.37</w:t>
            </w:r>
          </w:p>
        </w:tc>
        <w:tc>
          <w:tcPr>
            <w:tcW w:w="1020" w:type="dxa"/>
            <w:vAlign w:val="bottom"/>
            <w:tcBorders>
              <w:bottom w:val="single" w:sz="8" w:color="F4F4F4"/>
            </w:tcBorders>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shd w:val="clear" w:color="auto" w:fill="F4F4F4"/>
          </w:tcPr>
          <w:p>
            <w:pPr>
              <w:spacing w:after="0"/>
              <w:rPr>
                <w:sz w:val="17"/>
                <w:szCs w:val="17"/>
                <w:color w:val="auto"/>
              </w:rPr>
            </w:pPr>
          </w:p>
        </w:tc>
        <w:tc>
          <w:tcPr>
            <w:tcW w:w="680" w:type="dxa"/>
            <w:vAlign w:val="bottom"/>
            <w:shd w:val="clear" w:color="auto" w:fill="F4F4F4"/>
          </w:tcPr>
          <w:p>
            <w:pPr>
              <w:spacing w:after="0"/>
              <w:rPr>
                <w:sz w:val="17"/>
                <w:szCs w:val="17"/>
                <w:color w:val="auto"/>
              </w:rPr>
            </w:pPr>
          </w:p>
        </w:tc>
        <w:tc>
          <w:tcPr>
            <w:tcW w:w="4760" w:type="dxa"/>
            <w:vAlign w:val="bottom"/>
            <w:gridSpan w:val="36"/>
            <w:shd w:val="clear" w:color="auto" w:fill="F4F4F4"/>
          </w:tcPr>
          <w:p>
            <w:pPr>
              <w:spacing w:after="0" w:line="196" w:lineRule="exact"/>
              <w:rPr>
                <w:rFonts w:ascii="Arial" w:cs="Arial" w:eastAsia="Arial" w:hAnsi="Arial"/>
                <w:sz w:val="18"/>
                <w:szCs w:val="18"/>
                <w:u w:val="single" w:color="auto"/>
                <w:color w:val="0000FF"/>
              </w:rPr>
            </w:pPr>
            <w:hyperlink r:id="rId386">
              <w:r>
                <w:rPr>
                  <w:rFonts w:ascii="Arial" w:cs="Arial" w:eastAsia="Arial" w:hAnsi="Arial"/>
                  <w:sz w:val="18"/>
                  <w:szCs w:val="18"/>
                  <w:u w:val="single" w:color="auto"/>
                  <w:color w:val="0000FF"/>
                </w:rPr>
                <w:t>between Blackbaud, Inc. and Duck Pond Creek-SPE, LLC</w:t>
              </w:r>
            </w:hyperlink>
          </w:p>
        </w:tc>
        <w:tc>
          <w:tcPr>
            <w:tcW w:w="1260" w:type="dxa"/>
            <w:vAlign w:val="bottom"/>
            <w:shd w:val="clear" w:color="auto" w:fill="F4F4F4"/>
          </w:tcPr>
          <w:p>
            <w:pPr>
              <w:spacing w:after="0"/>
              <w:rPr>
                <w:sz w:val="17"/>
                <w:szCs w:val="17"/>
                <w:color w:val="auto"/>
              </w:rPr>
            </w:pPr>
          </w:p>
        </w:tc>
        <w:tc>
          <w:tcPr>
            <w:tcW w:w="1320" w:type="dxa"/>
            <w:vAlign w:val="bottom"/>
            <w:shd w:val="clear" w:color="auto" w:fill="F4F4F4"/>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right"/>
              <w:spacing w:after="0" w:line="189" w:lineRule="exact"/>
              <w:rPr>
                <w:rFonts w:ascii="Arial" w:cs="Arial" w:eastAsia="Arial" w:hAnsi="Arial"/>
                <w:sz w:val="18"/>
                <w:szCs w:val="18"/>
                <w:u w:val="single" w:color="auto"/>
                <w:color w:val="0000FF"/>
              </w:rPr>
            </w:pPr>
            <w:hyperlink r:id="rId387">
              <w:r>
                <w:rPr>
                  <w:rFonts w:ascii="Arial" w:cs="Arial" w:eastAsia="Arial" w:hAnsi="Arial"/>
                  <w:sz w:val="18"/>
                  <w:szCs w:val="18"/>
                  <w:u w:val="single" w:color="auto"/>
                  <w:color w:val="0000FF"/>
                </w:rPr>
                <w:t>10.5</w:t>
              </w:r>
            </w:hyperlink>
          </w:p>
        </w:tc>
        <w:tc>
          <w:tcPr>
            <w:tcW w:w="68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tcPr>
          <w:p>
            <w:pPr>
              <w:spacing w:after="0" w:line="189" w:lineRule="exact"/>
              <w:rPr>
                <w:rFonts w:ascii="Arial" w:cs="Arial" w:eastAsia="Arial" w:hAnsi="Arial"/>
                <w:sz w:val="18"/>
                <w:szCs w:val="18"/>
                <w:color w:val="0000FF"/>
              </w:rPr>
            </w:pPr>
            <w:hyperlink r:id="rId387">
              <w:r>
                <w:rPr>
                  <w:rFonts w:ascii="Arial" w:cs="Arial" w:eastAsia="Arial" w:hAnsi="Arial"/>
                  <w:sz w:val="18"/>
                  <w:szCs w:val="18"/>
                  <w:color w:val="0000FF"/>
                </w:rPr>
                <w:t>Convio, Inc. 1999 Stock Option/Stock Issuance Plan, as</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S-1</w:t>
            </w:r>
          </w:p>
        </w:tc>
        <w:tc>
          <w:tcPr>
            <w:tcW w:w="13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1/22/2010</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Borders>
              <w:top w:val="single" w:sz="8" w:color="0000FF"/>
            </w:tcBorders>
            <w:gridSpan w:val="24"/>
          </w:tcPr>
          <w:p>
            <w:pPr>
              <w:spacing w:after="0" w:line="196" w:lineRule="exact"/>
              <w:rPr>
                <w:rFonts w:ascii="Arial" w:cs="Arial" w:eastAsia="Arial" w:hAnsi="Arial"/>
                <w:sz w:val="18"/>
                <w:szCs w:val="18"/>
                <w:u w:val="single" w:color="auto"/>
                <w:color w:val="0000FF"/>
              </w:rPr>
            </w:pPr>
            <w:hyperlink r:id="rId387">
              <w:r>
                <w:rPr>
                  <w:rFonts w:ascii="Arial" w:cs="Arial" w:eastAsia="Arial" w:hAnsi="Arial"/>
                  <w:sz w:val="18"/>
                  <w:szCs w:val="18"/>
                  <w:u w:val="single" w:color="auto"/>
                  <w:color w:val="0000FF"/>
                </w:rPr>
                <w:t>amended, and forms of stock option agreements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4294967277"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F4F4F4"/>
          </w:tcPr>
          <w:p>
            <w:pPr>
              <w:jc w:val="right"/>
              <w:spacing w:after="0" w:line="189" w:lineRule="exact"/>
              <w:rPr>
                <w:rFonts w:ascii="Arial" w:cs="Arial" w:eastAsia="Arial" w:hAnsi="Arial"/>
                <w:sz w:val="18"/>
                <w:szCs w:val="18"/>
                <w:u w:val="single" w:color="auto"/>
                <w:color w:val="0000FF"/>
              </w:rPr>
            </w:pPr>
            <w:hyperlink r:id="rId388">
              <w:r>
                <w:rPr>
                  <w:rFonts w:ascii="Arial" w:cs="Arial" w:eastAsia="Arial" w:hAnsi="Arial"/>
                  <w:sz w:val="18"/>
                  <w:szCs w:val="18"/>
                  <w:u w:val="single" w:color="auto"/>
                  <w:color w:val="0000FF"/>
                </w:rPr>
                <w:t>10.6</w:t>
              </w:r>
            </w:hyperlink>
          </w:p>
        </w:tc>
        <w:tc>
          <w:tcPr>
            <w:tcW w:w="68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shd w:val="clear" w:color="auto" w:fill="F4F4F4"/>
          </w:tcPr>
          <w:p>
            <w:pPr>
              <w:spacing w:after="0" w:line="189" w:lineRule="exact"/>
              <w:rPr>
                <w:rFonts w:ascii="Arial" w:cs="Arial" w:eastAsia="Arial" w:hAnsi="Arial"/>
                <w:sz w:val="18"/>
                <w:szCs w:val="18"/>
                <w:color w:val="0000FF"/>
              </w:rPr>
            </w:pPr>
            <w:hyperlink r:id="rId388">
              <w:r>
                <w:rPr>
                  <w:rFonts w:ascii="Arial" w:cs="Arial" w:eastAsia="Arial" w:hAnsi="Arial"/>
                  <w:sz w:val="18"/>
                  <w:szCs w:val="18"/>
                  <w:color w:val="0000FF"/>
                </w:rPr>
                <w:t>Convio, Inc. 2009 Amended and Restated Stock Incentive</w:t>
              </w:r>
            </w:hyperlink>
          </w:p>
        </w:tc>
        <w:tc>
          <w:tcPr>
            <w:tcW w:w="1260" w:type="dxa"/>
            <w:vAlign w:val="bottom"/>
            <w:shd w:val="clear" w:color="auto" w:fill="F4F4F4"/>
          </w:tcPr>
          <w:p>
            <w:pPr>
              <w:jc w:val="center"/>
              <w:ind w:right="72"/>
              <w:spacing w:after="0" w:line="189" w:lineRule="exact"/>
              <w:rPr>
                <w:sz w:val="20"/>
                <w:szCs w:val="20"/>
                <w:color w:val="auto"/>
              </w:rPr>
            </w:pPr>
            <w:r>
              <w:rPr>
                <w:rFonts w:ascii="Arial" w:cs="Arial" w:eastAsia="Arial" w:hAnsi="Arial"/>
                <w:sz w:val="18"/>
                <w:szCs w:val="18"/>
                <w:color w:val="auto"/>
              </w:rPr>
              <w:t>S-1/A</w:t>
            </w:r>
          </w:p>
        </w:tc>
        <w:tc>
          <w:tcPr>
            <w:tcW w:w="132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3/19/2010</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10.1</w:t>
            </w:r>
          </w:p>
        </w:tc>
        <w:tc>
          <w:tcPr>
            <w:tcW w:w="102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Borders>
              <w:top w:val="single" w:sz="8" w:color="F4F4F4"/>
            </w:tcBorders>
            <w:shd w:val="clear" w:color="auto" w:fill="F4F4F4"/>
          </w:tcPr>
          <w:p>
            <w:pPr>
              <w:spacing w:after="0"/>
              <w:rPr>
                <w:sz w:val="17"/>
                <w:szCs w:val="17"/>
                <w:color w:val="auto"/>
              </w:rPr>
            </w:pPr>
          </w:p>
        </w:tc>
        <w:tc>
          <w:tcPr>
            <w:tcW w:w="680" w:type="dxa"/>
            <w:vAlign w:val="bottom"/>
            <w:tcBorders>
              <w:top w:val="single" w:sz="8" w:color="F4F4F4"/>
            </w:tcBorders>
            <w:shd w:val="clear" w:color="auto" w:fill="F4F4F4"/>
          </w:tcPr>
          <w:p>
            <w:pPr>
              <w:spacing w:after="0"/>
              <w:rPr>
                <w:sz w:val="17"/>
                <w:szCs w:val="17"/>
                <w:color w:val="auto"/>
              </w:rPr>
            </w:pPr>
          </w:p>
        </w:tc>
        <w:tc>
          <w:tcPr>
            <w:tcW w:w="4640" w:type="dxa"/>
            <w:vAlign w:val="bottom"/>
            <w:tcBorders>
              <w:top w:val="single" w:sz="8" w:color="0000FF"/>
            </w:tcBorders>
            <w:gridSpan w:val="35"/>
            <w:shd w:val="clear" w:color="auto" w:fill="F4F4F4"/>
          </w:tcPr>
          <w:p>
            <w:pPr>
              <w:spacing w:after="0" w:line="196" w:lineRule="exact"/>
              <w:rPr>
                <w:rFonts w:ascii="Arial" w:cs="Arial" w:eastAsia="Arial" w:hAnsi="Arial"/>
                <w:sz w:val="18"/>
                <w:szCs w:val="18"/>
                <w:u w:val="single" w:color="auto"/>
                <w:color w:val="0000FF"/>
              </w:rPr>
            </w:pPr>
            <w:hyperlink r:id="rId388">
              <w:r>
                <w:rPr>
                  <w:rFonts w:ascii="Arial" w:cs="Arial" w:eastAsia="Arial" w:hAnsi="Arial"/>
                  <w:sz w:val="18"/>
                  <w:szCs w:val="18"/>
                  <w:u w:val="single" w:color="auto"/>
                  <w:color w:val="0000FF"/>
                </w:rPr>
                <w:t>Plan, as amended, and forms of stock option agreements</w:t>
              </w:r>
            </w:hyperlink>
          </w:p>
        </w:tc>
        <w:tc>
          <w:tcPr>
            <w:tcW w:w="120" w:type="dxa"/>
            <w:vAlign w:val="bottom"/>
            <w:tcBorders>
              <w:top w:val="single" w:sz="8" w:color="F4F4F4"/>
            </w:tcBorders>
            <w:shd w:val="clear" w:color="auto" w:fill="F4F4F4"/>
          </w:tcPr>
          <w:p>
            <w:pPr>
              <w:spacing w:after="0"/>
              <w:rPr>
                <w:sz w:val="17"/>
                <w:szCs w:val="17"/>
                <w:color w:val="auto"/>
              </w:rPr>
            </w:pPr>
          </w:p>
        </w:tc>
        <w:tc>
          <w:tcPr>
            <w:tcW w:w="1260" w:type="dxa"/>
            <w:vAlign w:val="bottom"/>
            <w:tcBorders>
              <w:top w:val="single" w:sz="8" w:color="F4F4F4"/>
            </w:tcBorders>
            <w:shd w:val="clear" w:color="auto" w:fill="F4F4F4"/>
          </w:tcPr>
          <w:p>
            <w:pPr>
              <w:spacing w:after="0"/>
              <w:rPr>
                <w:sz w:val="17"/>
                <w:szCs w:val="17"/>
                <w:color w:val="auto"/>
              </w:rPr>
            </w:pPr>
          </w:p>
        </w:tc>
        <w:tc>
          <w:tcPr>
            <w:tcW w:w="1320" w:type="dxa"/>
            <w:vAlign w:val="bottom"/>
            <w:tcBorders>
              <w:top w:val="single" w:sz="8" w:color="F4F4F4"/>
            </w:tcBorders>
            <w:shd w:val="clear" w:color="auto" w:fill="F4F4F4"/>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Borders>
              <w:top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right"/>
              <w:spacing w:after="0" w:line="189" w:lineRule="exact"/>
              <w:rPr>
                <w:rFonts w:ascii="Arial" w:cs="Arial" w:eastAsia="Arial" w:hAnsi="Arial"/>
                <w:sz w:val="18"/>
                <w:szCs w:val="18"/>
                <w:u w:val="single" w:color="auto"/>
                <w:color w:val="0000FF"/>
              </w:rPr>
            </w:pPr>
            <w:hyperlink r:id="rId389">
              <w:r>
                <w:rPr>
                  <w:rFonts w:ascii="Arial" w:cs="Arial" w:eastAsia="Arial" w:hAnsi="Arial"/>
                  <w:sz w:val="18"/>
                  <w:szCs w:val="18"/>
                  <w:u w:val="single" w:color="auto"/>
                  <w:color w:val="0000FF"/>
                </w:rPr>
                <w:t>10.7</w:t>
              </w:r>
            </w:hyperlink>
          </w:p>
        </w:tc>
        <w:tc>
          <w:tcPr>
            <w:tcW w:w="68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tcPr>
          <w:p>
            <w:pPr>
              <w:spacing w:after="0" w:line="189" w:lineRule="exact"/>
              <w:rPr>
                <w:rFonts w:ascii="Arial" w:cs="Arial" w:eastAsia="Arial" w:hAnsi="Arial"/>
                <w:sz w:val="18"/>
                <w:szCs w:val="18"/>
                <w:color w:val="0000FF"/>
              </w:rPr>
            </w:pPr>
            <w:hyperlink r:id="rId389">
              <w:r>
                <w:rPr>
                  <w:rFonts w:ascii="Arial" w:cs="Arial" w:eastAsia="Arial" w:hAnsi="Arial"/>
                  <w:sz w:val="18"/>
                  <w:szCs w:val="18"/>
                  <w:color w:val="0000FF"/>
                </w:rPr>
                <w:t>Convio, Inc. Form of Nonstatutory Stock Option Notice</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2/28/2011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3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89">
              <w:r>
                <w:rPr>
                  <w:rFonts w:ascii="Arial" w:cs="Arial" w:eastAsia="Arial" w:hAnsi="Arial"/>
                  <w:sz w:val="18"/>
                  <w:szCs w:val="18"/>
                  <w:color w:val="0000FF"/>
                </w:rPr>
                <w:t>(Double Trigger)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F4F4F4"/>
          </w:tcPr>
          <w:p>
            <w:pPr>
              <w:jc w:val="right"/>
              <w:spacing w:after="0" w:line="189" w:lineRule="exact"/>
              <w:rPr>
                <w:rFonts w:ascii="Arial" w:cs="Arial" w:eastAsia="Arial" w:hAnsi="Arial"/>
                <w:sz w:val="18"/>
                <w:szCs w:val="18"/>
                <w:u w:val="single" w:color="auto"/>
                <w:color w:val="0000FF"/>
              </w:rPr>
            </w:pPr>
            <w:hyperlink r:id="rId390">
              <w:r>
                <w:rPr>
                  <w:rFonts w:ascii="Arial" w:cs="Arial" w:eastAsia="Arial" w:hAnsi="Arial"/>
                  <w:sz w:val="18"/>
                  <w:szCs w:val="18"/>
                  <w:u w:val="single" w:color="auto"/>
                  <w:color w:val="0000FF"/>
                </w:rPr>
                <w:t>10.8</w:t>
              </w:r>
            </w:hyperlink>
          </w:p>
        </w:tc>
        <w:tc>
          <w:tcPr>
            <w:tcW w:w="68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shd w:val="clear" w:color="auto" w:fill="F4F4F4"/>
          </w:tcPr>
          <w:p>
            <w:pPr>
              <w:spacing w:after="0" w:line="189" w:lineRule="exact"/>
              <w:rPr>
                <w:rFonts w:ascii="Arial" w:cs="Arial" w:eastAsia="Arial" w:hAnsi="Arial"/>
                <w:sz w:val="18"/>
                <w:szCs w:val="18"/>
                <w:color w:val="0000FF"/>
              </w:rPr>
            </w:pPr>
            <w:hyperlink r:id="rId390">
              <w:r>
                <w:rPr>
                  <w:rFonts w:ascii="Arial" w:cs="Arial" w:eastAsia="Arial" w:hAnsi="Arial"/>
                  <w:sz w:val="18"/>
                  <w:szCs w:val="18"/>
                  <w:color w:val="0000FF"/>
                </w:rPr>
                <w:t>Convio, Inc. Form of Restricted Stock Unit Notice (Double</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2/28/2011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10.2</w:t>
            </w:r>
          </w:p>
        </w:tc>
        <w:tc>
          <w:tcPr>
            <w:tcW w:w="102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F4F4F4"/>
              <w:bottom w:val="single" w:sz="8" w:color="F4F4F4"/>
            </w:tcBorders>
            <w:shd w:val="clear" w:color="auto" w:fill="F4F4F4"/>
          </w:tcPr>
          <w:p>
            <w:pPr>
              <w:spacing w:after="0"/>
              <w:rPr>
                <w:sz w:val="15"/>
                <w:szCs w:val="15"/>
                <w:color w:val="auto"/>
              </w:rPr>
            </w:pPr>
          </w:p>
        </w:tc>
        <w:tc>
          <w:tcPr>
            <w:tcW w:w="680" w:type="dxa"/>
            <w:vAlign w:val="bottom"/>
            <w:tcBorders>
              <w:top w:val="single" w:sz="8" w:color="F4F4F4"/>
              <w:bottom w:val="single" w:sz="8" w:color="F4F4F4"/>
            </w:tcBorders>
            <w:shd w:val="clear" w:color="auto" w:fill="F4F4F4"/>
          </w:tcPr>
          <w:p>
            <w:pPr>
              <w:spacing w:after="0"/>
              <w:rPr>
                <w:sz w:val="15"/>
                <w:szCs w:val="15"/>
                <w:color w:val="auto"/>
              </w:rPr>
            </w:pPr>
          </w:p>
        </w:tc>
        <w:tc>
          <w:tcPr>
            <w:tcW w:w="1900" w:type="dxa"/>
            <w:vAlign w:val="bottom"/>
            <w:tcBorders>
              <w:top w:val="single" w:sz="8" w:color="0000FF"/>
              <w:bottom w:val="single" w:sz="8" w:color="0000FF"/>
            </w:tcBorders>
            <w:gridSpan w:val="5"/>
            <w:shd w:val="clear" w:color="auto" w:fill="F4F4F4"/>
          </w:tcPr>
          <w:p>
            <w:pPr>
              <w:spacing w:after="0" w:line="156" w:lineRule="exact"/>
              <w:rPr>
                <w:rFonts w:ascii="Arial" w:cs="Arial" w:eastAsia="Arial" w:hAnsi="Arial"/>
                <w:sz w:val="18"/>
                <w:szCs w:val="18"/>
                <w:color w:val="0000FF"/>
                <w:w w:val="98"/>
              </w:rPr>
            </w:pPr>
            <w:hyperlink r:id="rId390">
              <w:r>
                <w:rPr>
                  <w:rFonts w:ascii="Arial" w:cs="Arial" w:eastAsia="Arial" w:hAnsi="Arial"/>
                  <w:sz w:val="18"/>
                  <w:szCs w:val="18"/>
                  <w:color w:val="0000FF"/>
                  <w:w w:val="98"/>
                </w:rPr>
                <w:t>Trigger) and Agreement</w:t>
              </w:r>
            </w:hyperlink>
          </w:p>
        </w:tc>
        <w:tc>
          <w:tcPr>
            <w:tcW w:w="2700" w:type="dxa"/>
            <w:vAlign w:val="bottom"/>
            <w:tcBorders>
              <w:top w:val="single" w:sz="8" w:color="0000FF"/>
              <w:bottom w:val="single" w:sz="8" w:color="F4F4F4"/>
            </w:tcBorders>
            <w:gridSpan w:val="28"/>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140" w:type="dxa"/>
            <w:vAlign w:val="bottom"/>
            <w:tcBorders>
              <w:top w:val="single" w:sz="8" w:color="F4F4F4"/>
              <w:bottom w:val="single" w:sz="8" w:color="F4F4F4"/>
            </w:tcBorders>
            <w:gridSpan w:val="2"/>
            <w:shd w:val="clear" w:color="auto" w:fill="F4F4F4"/>
          </w:tcPr>
          <w:p>
            <w:pPr>
              <w:spacing w:after="0"/>
              <w:rPr>
                <w:sz w:val="15"/>
                <w:szCs w:val="15"/>
                <w:color w:val="auto"/>
              </w:rPr>
            </w:pPr>
          </w:p>
        </w:tc>
        <w:tc>
          <w:tcPr>
            <w:tcW w:w="1260" w:type="dxa"/>
            <w:vAlign w:val="bottom"/>
            <w:tcBorders>
              <w:top w:val="single" w:sz="8" w:color="F4F4F4"/>
              <w:bottom w:val="single" w:sz="8" w:color="F4F4F4"/>
            </w:tcBorders>
            <w:shd w:val="clear" w:color="auto" w:fill="F4F4F4"/>
          </w:tcPr>
          <w:p>
            <w:pPr>
              <w:spacing w:after="0"/>
              <w:rPr>
                <w:sz w:val="15"/>
                <w:szCs w:val="15"/>
                <w:color w:val="auto"/>
              </w:rPr>
            </w:pPr>
          </w:p>
        </w:tc>
        <w:tc>
          <w:tcPr>
            <w:tcW w:w="1320" w:type="dxa"/>
            <w:vAlign w:val="bottom"/>
            <w:tcBorders>
              <w:top w:val="single" w:sz="8" w:color="F4F4F4"/>
              <w:bottom w:val="single" w:sz="8" w:color="F4F4F4"/>
            </w:tcBorders>
            <w:shd w:val="clear" w:color="auto" w:fill="F4F4F4"/>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Borders>
              <w:top w:val="single" w:sz="8" w:color="F4F4F4"/>
              <w:bottom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0" w:type="dxa"/>
            <w:vAlign w:val="bottom"/>
          </w:tcPr>
          <w:p>
            <w:pPr>
              <w:jc w:val="right"/>
              <w:spacing w:after="0"/>
              <w:rPr>
                <w:rFonts w:ascii="Arial" w:cs="Arial" w:eastAsia="Arial" w:hAnsi="Arial"/>
                <w:sz w:val="18"/>
                <w:szCs w:val="18"/>
                <w:u w:val="single" w:color="auto"/>
                <w:color w:val="0000FF"/>
              </w:rPr>
            </w:pPr>
            <w:hyperlink r:id="rId391">
              <w:r>
                <w:rPr>
                  <w:rFonts w:ascii="Arial" w:cs="Arial" w:eastAsia="Arial" w:hAnsi="Arial"/>
                  <w:sz w:val="18"/>
                  <w:szCs w:val="18"/>
                  <w:u w:val="single" w:color="auto"/>
                  <w:color w:val="0000FF"/>
                </w:rPr>
                <w:t>10.9</w:t>
              </w:r>
            </w:hyperlink>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4760" w:type="dxa"/>
            <w:vAlign w:val="bottom"/>
            <w:gridSpan w:val="36"/>
          </w:tcPr>
          <w:p>
            <w:pPr>
              <w:spacing w:after="0"/>
              <w:rPr>
                <w:rFonts w:ascii="Arial" w:cs="Arial" w:eastAsia="Arial" w:hAnsi="Arial"/>
                <w:sz w:val="18"/>
                <w:szCs w:val="18"/>
                <w:u w:val="single" w:color="auto"/>
                <w:color w:val="0000FF"/>
              </w:rPr>
            </w:pPr>
            <w:hyperlink r:id="rId391">
              <w:r>
                <w:rPr>
                  <w:rFonts w:ascii="Arial" w:cs="Arial" w:eastAsia="Arial" w:hAnsi="Arial"/>
                  <w:sz w:val="18"/>
                  <w:szCs w:val="18"/>
                  <w:u w:val="single" w:color="auto"/>
                  <w:color w:val="0000FF"/>
                </w:rPr>
                <w:t>Blackbaud, Inc. 2008 Equity Incentive Plan, as amended</w:t>
              </w:r>
            </w:hyperlink>
          </w:p>
        </w:tc>
        <w:tc>
          <w:tcPr>
            <w:tcW w:w="1260" w:type="dxa"/>
            <w:vAlign w:val="bottom"/>
          </w:tcPr>
          <w:p>
            <w:pPr>
              <w:jc w:val="center"/>
              <w:ind w:right="92"/>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6/26/2012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F4F4F4"/>
          </w:tcPr>
          <w:p>
            <w:pPr>
              <w:jc w:val="right"/>
              <w:spacing w:after="0" w:line="189" w:lineRule="exact"/>
              <w:rPr>
                <w:rFonts w:ascii="Arial" w:cs="Arial" w:eastAsia="Arial" w:hAnsi="Arial"/>
                <w:sz w:val="18"/>
                <w:szCs w:val="18"/>
                <w:u w:val="single" w:color="auto"/>
                <w:color w:val="0000FF"/>
              </w:rPr>
            </w:pPr>
            <w:hyperlink r:id="rId392">
              <w:r>
                <w:rPr>
                  <w:rFonts w:ascii="Arial" w:cs="Arial" w:eastAsia="Arial" w:hAnsi="Arial"/>
                  <w:sz w:val="18"/>
                  <w:szCs w:val="18"/>
                  <w:u w:val="single" w:color="auto"/>
                  <w:color w:val="0000FF"/>
                </w:rPr>
                <w:t>10.10</w:t>
              </w:r>
            </w:hyperlink>
          </w:p>
        </w:tc>
        <w:tc>
          <w:tcPr>
            <w:tcW w:w="68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shd w:val="clear" w:color="auto" w:fill="F4F4F4"/>
          </w:tcPr>
          <w:p>
            <w:pPr>
              <w:spacing w:after="0" w:line="189" w:lineRule="exact"/>
              <w:rPr>
                <w:rFonts w:ascii="Arial" w:cs="Arial" w:eastAsia="Arial" w:hAnsi="Arial"/>
                <w:sz w:val="18"/>
                <w:szCs w:val="18"/>
                <w:color w:val="0000FF"/>
              </w:rPr>
            </w:pPr>
            <w:hyperlink r:id="rId392">
              <w:r>
                <w:rPr>
                  <w:rFonts w:ascii="Arial" w:cs="Arial" w:eastAsia="Arial" w:hAnsi="Arial"/>
                  <w:sz w:val="18"/>
                  <w:szCs w:val="18"/>
                  <w:color w:val="0000FF"/>
                </w:rPr>
                <w:t>Amendment to the Blackbaud, Inc. 2008 Equity Incentive</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6/26/2012</w:t>
            </w:r>
          </w:p>
        </w:tc>
        <w:tc>
          <w:tcPr>
            <w:tcW w:w="200" w:type="dxa"/>
            <w:vAlign w:val="bottom"/>
            <w:shd w:val="clear" w:color="auto" w:fill="F4F4F4"/>
          </w:tcPr>
          <w:p>
            <w:pPr>
              <w:spacing w:after="0"/>
              <w:rPr>
                <w:sz w:val="16"/>
                <w:szCs w:val="16"/>
                <w:color w:val="auto"/>
              </w:rPr>
            </w:pPr>
          </w:p>
        </w:tc>
        <w:tc>
          <w:tcPr>
            <w:tcW w:w="380" w:type="dxa"/>
            <w:vAlign w:val="bottom"/>
            <w:shd w:val="clear" w:color="auto" w:fill="F4F4F4"/>
          </w:tcPr>
          <w:p>
            <w:pPr>
              <w:spacing w:after="0"/>
              <w:rPr>
                <w:sz w:val="16"/>
                <w:szCs w:val="16"/>
                <w:color w:val="auto"/>
              </w:rPr>
            </w:pPr>
          </w:p>
        </w:tc>
        <w:tc>
          <w:tcPr>
            <w:tcW w:w="660" w:type="dxa"/>
            <w:vAlign w:val="bottom"/>
            <w:shd w:val="clear" w:color="auto" w:fill="F4F4F4"/>
          </w:tcPr>
          <w:p>
            <w:pPr>
              <w:jc w:val="right"/>
              <w:spacing w:after="0" w:line="189" w:lineRule="exact"/>
              <w:rPr>
                <w:sz w:val="20"/>
                <w:szCs w:val="20"/>
                <w:color w:val="auto"/>
              </w:rPr>
            </w:pPr>
            <w:r>
              <w:rPr>
                <w:rFonts w:ascii="Arial" w:cs="Arial" w:eastAsia="Arial" w:hAnsi="Arial"/>
                <w:sz w:val="18"/>
                <w:szCs w:val="18"/>
                <w:color w:val="auto"/>
              </w:rPr>
              <w:t>10.60</w:t>
            </w:r>
          </w:p>
        </w:tc>
        <w:tc>
          <w:tcPr>
            <w:tcW w:w="102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F4F4F4"/>
              <w:bottom w:val="single" w:sz="8" w:color="F4F4F4"/>
            </w:tcBorders>
            <w:shd w:val="clear" w:color="auto" w:fill="F4F4F4"/>
          </w:tcPr>
          <w:p>
            <w:pPr>
              <w:spacing w:after="0"/>
              <w:rPr>
                <w:sz w:val="15"/>
                <w:szCs w:val="15"/>
                <w:color w:val="auto"/>
              </w:rPr>
            </w:pPr>
          </w:p>
        </w:tc>
        <w:tc>
          <w:tcPr>
            <w:tcW w:w="680" w:type="dxa"/>
            <w:vAlign w:val="bottom"/>
            <w:tcBorders>
              <w:top w:val="single" w:sz="8" w:color="F4F4F4"/>
              <w:bottom w:val="single" w:sz="8" w:color="F4F4F4"/>
            </w:tcBorders>
            <w:shd w:val="clear" w:color="auto" w:fill="F4F4F4"/>
          </w:tcPr>
          <w:p>
            <w:pPr>
              <w:spacing w:after="0"/>
              <w:rPr>
                <w:sz w:val="15"/>
                <w:szCs w:val="15"/>
                <w:color w:val="auto"/>
              </w:rPr>
            </w:pPr>
          </w:p>
        </w:tc>
        <w:tc>
          <w:tcPr>
            <w:tcW w:w="360" w:type="dxa"/>
            <w:vAlign w:val="bottom"/>
            <w:tcBorders>
              <w:top w:val="single" w:sz="8" w:color="0000FF"/>
              <w:bottom w:val="single" w:sz="8" w:color="0000FF"/>
            </w:tcBorders>
            <w:gridSpan w:val="2"/>
            <w:shd w:val="clear" w:color="auto" w:fill="F4F4F4"/>
          </w:tcPr>
          <w:p>
            <w:pPr>
              <w:spacing w:after="0" w:line="156" w:lineRule="exact"/>
              <w:rPr>
                <w:rFonts w:ascii="Arial" w:cs="Arial" w:eastAsia="Arial" w:hAnsi="Arial"/>
                <w:sz w:val="18"/>
                <w:szCs w:val="18"/>
                <w:color w:val="0000FF"/>
                <w:w w:val="94"/>
              </w:rPr>
            </w:pPr>
            <w:hyperlink r:id="rId392">
              <w:r>
                <w:rPr>
                  <w:rFonts w:ascii="Arial" w:cs="Arial" w:eastAsia="Arial" w:hAnsi="Arial"/>
                  <w:sz w:val="18"/>
                  <w:szCs w:val="18"/>
                  <w:color w:val="0000FF"/>
                  <w:w w:val="94"/>
                </w:rPr>
                <w:t>Plan</w:t>
              </w:r>
            </w:hyperlink>
          </w:p>
        </w:tc>
        <w:tc>
          <w:tcPr>
            <w:tcW w:w="4220" w:type="dxa"/>
            <w:vAlign w:val="bottom"/>
            <w:tcBorders>
              <w:top w:val="single" w:sz="8" w:color="0000FF"/>
              <w:bottom w:val="single" w:sz="8" w:color="F4F4F4"/>
            </w:tcBorders>
            <w:gridSpan w:val="28"/>
            <w:shd w:val="clear" w:color="auto" w:fill="F4F4F4"/>
          </w:tcPr>
          <w:p>
            <w:pPr>
              <w:spacing w:after="0"/>
              <w:rPr>
                <w:sz w:val="15"/>
                <w:szCs w:val="15"/>
                <w:color w:val="auto"/>
              </w:rPr>
            </w:pPr>
          </w:p>
        </w:tc>
        <w:tc>
          <w:tcPr>
            <w:tcW w:w="4294967277" w:type="dxa"/>
            <w:vAlign w:val="bottom"/>
            <w:tcBorders>
              <w:top w:val="single" w:sz="8" w:color="F4F4F4"/>
              <w:bottom w:val="single" w:sz="8" w:color="F4F4F4"/>
            </w:tcBorders>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40" w:type="dxa"/>
            <w:vAlign w:val="bottom"/>
            <w:tcBorders>
              <w:top w:val="single" w:sz="8" w:color="F4F4F4"/>
              <w:bottom w:val="single" w:sz="8" w:color="F4F4F4"/>
            </w:tcBorders>
            <w:gridSpan w:val="2"/>
            <w:shd w:val="clear" w:color="auto" w:fill="F4F4F4"/>
          </w:tcPr>
          <w:p>
            <w:pPr>
              <w:spacing w:after="0"/>
              <w:rPr>
                <w:sz w:val="15"/>
                <w:szCs w:val="15"/>
                <w:color w:val="auto"/>
              </w:rPr>
            </w:pPr>
          </w:p>
        </w:tc>
        <w:tc>
          <w:tcPr>
            <w:tcW w:w="140" w:type="dxa"/>
            <w:vAlign w:val="bottom"/>
            <w:tcBorders>
              <w:top w:val="single" w:sz="8" w:color="F4F4F4"/>
              <w:bottom w:val="single" w:sz="8" w:color="F4F4F4"/>
            </w:tcBorders>
            <w:gridSpan w:val="2"/>
            <w:shd w:val="clear" w:color="auto" w:fill="F4F4F4"/>
          </w:tcPr>
          <w:p>
            <w:pPr>
              <w:spacing w:after="0"/>
              <w:rPr>
                <w:sz w:val="15"/>
                <w:szCs w:val="15"/>
                <w:color w:val="auto"/>
              </w:rPr>
            </w:pPr>
          </w:p>
        </w:tc>
        <w:tc>
          <w:tcPr>
            <w:tcW w:w="1260" w:type="dxa"/>
            <w:vAlign w:val="bottom"/>
            <w:tcBorders>
              <w:top w:val="single" w:sz="8" w:color="F4F4F4"/>
              <w:bottom w:val="single" w:sz="8" w:color="F4F4F4"/>
            </w:tcBorders>
            <w:shd w:val="clear" w:color="auto" w:fill="F4F4F4"/>
          </w:tcPr>
          <w:p>
            <w:pPr>
              <w:spacing w:after="0"/>
              <w:rPr>
                <w:sz w:val="15"/>
                <w:szCs w:val="15"/>
                <w:color w:val="auto"/>
              </w:rPr>
            </w:pPr>
          </w:p>
        </w:tc>
        <w:tc>
          <w:tcPr>
            <w:tcW w:w="1320" w:type="dxa"/>
            <w:vAlign w:val="bottom"/>
            <w:tcBorders>
              <w:top w:val="single" w:sz="8" w:color="F4F4F4"/>
              <w:bottom w:val="single" w:sz="8" w:color="F4F4F4"/>
            </w:tcBorders>
            <w:shd w:val="clear" w:color="auto" w:fill="F4F4F4"/>
          </w:tcPr>
          <w:p>
            <w:pPr>
              <w:spacing w:after="0"/>
              <w:rPr>
                <w:sz w:val="15"/>
                <w:szCs w:val="15"/>
                <w:color w:val="auto"/>
              </w:rPr>
            </w:pPr>
          </w:p>
        </w:tc>
        <w:tc>
          <w:tcPr>
            <w:tcW w:w="200" w:type="dxa"/>
            <w:vAlign w:val="bottom"/>
            <w:tcBorders>
              <w:top w:val="single" w:sz="8" w:color="F4F4F4"/>
              <w:bottom w:val="single" w:sz="8" w:color="F4F4F4"/>
            </w:tcBorders>
            <w:shd w:val="clear" w:color="auto" w:fill="F4F4F4"/>
          </w:tcPr>
          <w:p>
            <w:pPr>
              <w:spacing w:after="0"/>
              <w:rPr>
                <w:sz w:val="15"/>
                <w:szCs w:val="15"/>
                <w:color w:val="auto"/>
              </w:rPr>
            </w:pPr>
          </w:p>
        </w:tc>
        <w:tc>
          <w:tcPr>
            <w:tcW w:w="380" w:type="dxa"/>
            <w:vAlign w:val="bottom"/>
            <w:tcBorders>
              <w:top w:val="single" w:sz="8" w:color="F4F4F4"/>
              <w:bottom w:val="single" w:sz="8" w:color="F4F4F4"/>
            </w:tcBorders>
            <w:shd w:val="clear" w:color="auto" w:fill="F4F4F4"/>
          </w:tcPr>
          <w:p>
            <w:pPr>
              <w:spacing w:after="0"/>
              <w:rPr>
                <w:sz w:val="15"/>
                <w:szCs w:val="15"/>
                <w:color w:val="auto"/>
              </w:rPr>
            </w:pPr>
          </w:p>
        </w:tc>
        <w:tc>
          <w:tcPr>
            <w:tcW w:w="660" w:type="dxa"/>
            <w:vAlign w:val="bottom"/>
            <w:tcBorders>
              <w:top w:val="single" w:sz="8" w:color="F4F4F4"/>
              <w:bottom w:val="single" w:sz="8" w:color="F4F4F4"/>
            </w:tcBorders>
            <w:shd w:val="clear" w:color="auto" w:fill="F4F4F4"/>
          </w:tcPr>
          <w:p>
            <w:pPr>
              <w:spacing w:after="0"/>
              <w:rPr>
                <w:sz w:val="15"/>
                <w:szCs w:val="15"/>
                <w:color w:val="auto"/>
              </w:rPr>
            </w:pPr>
          </w:p>
        </w:tc>
        <w:tc>
          <w:tcPr>
            <w:tcW w:w="1020" w:type="dxa"/>
            <w:vAlign w:val="bottom"/>
            <w:tcBorders>
              <w:top w:val="single" w:sz="8" w:color="F4F4F4"/>
              <w:bottom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right"/>
              <w:spacing w:after="0" w:line="189" w:lineRule="exact"/>
              <w:rPr>
                <w:rFonts w:ascii="Arial" w:cs="Arial" w:eastAsia="Arial" w:hAnsi="Arial"/>
                <w:sz w:val="18"/>
                <w:szCs w:val="18"/>
                <w:u w:val="single" w:color="auto"/>
                <w:color w:val="0000FF"/>
              </w:rPr>
            </w:pPr>
            <w:hyperlink r:id="rId393">
              <w:r>
                <w:rPr>
                  <w:rFonts w:ascii="Arial" w:cs="Arial" w:eastAsia="Arial" w:hAnsi="Arial"/>
                  <w:sz w:val="18"/>
                  <w:szCs w:val="18"/>
                  <w:u w:val="single" w:color="auto"/>
                  <w:color w:val="0000FF"/>
                </w:rPr>
                <w:t>10.11</w:t>
              </w:r>
            </w:hyperlink>
          </w:p>
        </w:tc>
        <w:tc>
          <w:tcPr>
            <w:tcW w:w="68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tcPr>
          <w:p>
            <w:pPr>
              <w:spacing w:after="0" w:line="189" w:lineRule="exact"/>
              <w:rPr>
                <w:rFonts w:ascii="Arial" w:cs="Arial" w:eastAsia="Arial" w:hAnsi="Arial"/>
                <w:sz w:val="18"/>
                <w:szCs w:val="18"/>
                <w:color w:val="0000FF"/>
              </w:rPr>
            </w:pPr>
            <w:hyperlink r:id="rId393">
              <w:r>
                <w:rPr>
                  <w:rFonts w:ascii="Arial" w:cs="Arial" w:eastAsia="Arial" w:hAnsi="Arial"/>
                  <w:sz w:val="18"/>
                  <w:szCs w:val="18"/>
                  <w:color w:val="0000FF"/>
                </w:rPr>
                <w:t>Form of Employment Agreement between Blackbaud, Inc.</w:t>
              </w:r>
            </w:hyperlink>
          </w:p>
        </w:tc>
        <w:tc>
          <w:tcPr>
            <w:tcW w:w="1260" w:type="dxa"/>
            <w:vAlign w:val="bottom"/>
          </w:tcPr>
          <w:p>
            <w:pPr>
              <w:jc w:val="center"/>
              <w:ind w:right="72"/>
              <w:spacing w:after="0" w:line="189"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2/27/2013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10.65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20" w:type="dxa"/>
            <w:vAlign w:val="bottom"/>
            <w:tcBorders>
              <w:top w:val="single" w:sz="8" w:color="0000FF"/>
            </w:tcBorders>
            <w:gridSpan w:val="34"/>
          </w:tcPr>
          <w:p>
            <w:pPr>
              <w:spacing w:after="0" w:line="196" w:lineRule="exact"/>
              <w:rPr>
                <w:rFonts w:ascii="Arial" w:cs="Arial" w:eastAsia="Arial" w:hAnsi="Arial"/>
                <w:sz w:val="18"/>
                <w:szCs w:val="18"/>
                <w:u w:val="single" w:color="auto"/>
                <w:color w:val="0000FF"/>
              </w:rPr>
            </w:pPr>
            <w:hyperlink r:id="rId393">
              <w:r>
                <w:rPr>
                  <w:rFonts w:ascii="Arial" w:cs="Arial" w:eastAsia="Arial" w:hAnsi="Arial"/>
                  <w:sz w:val="18"/>
                  <w:szCs w:val="18"/>
                  <w:u w:val="single" w:color="auto"/>
                  <w:color w:val="0000FF"/>
                </w:rPr>
                <w:t>and each of Anthony W. Boor and Kevin W. Mooney</w:t>
              </w:r>
            </w:hyperlink>
          </w:p>
        </w:tc>
        <w:tc>
          <w:tcPr>
            <w:tcW w:w="14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F4F4F4"/>
          </w:tcPr>
          <w:p>
            <w:pPr>
              <w:jc w:val="right"/>
              <w:spacing w:after="0" w:line="189" w:lineRule="exact"/>
              <w:rPr>
                <w:rFonts w:ascii="Arial" w:cs="Arial" w:eastAsia="Arial" w:hAnsi="Arial"/>
                <w:sz w:val="18"/>
                <w:szCs w:val="18"/>
                <w:u w:val="single" w:color="auto"/>
                <w:color w:val="0000FF"/>
              </w:rPr>
            </w:pPr>
            <w:hyperlink r:id="rId393">
              <w:r>
                <w:rPr>
                  <w:rFonts w:ascii="Arial" w:cs="Arial" w:eastAsia="Arial" w:hAnsi="Arial"/>
                  <w:sz w:val="18"/>
                  <w:szCs w:val="18"/>
                  <w:u w:val="single" w:color="auto"/>
                  <w:color w:val="0000FF"/>
                </w:rPr>
                <w:t>10.12</w:t>
              </w:r>
            </w:hyperlink>
          </w:p>
        </w:tc>
        <w:tc>
          <w:tcPr>
            <w:tcW w:w="68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shd w:val="clear" w:color="auto" w:fill="F4F4F4"/>
          </w:tcPr>
          <w:p>
            <w:pPr>
              <w:spacing w:after="0" w:line="189" w:lineRule="exact"/>
              <w:rPr>
                <w:rFonts w:ascii="Arial" w:cs="Arial" w:eastAsia="Arial" w:hAnsi="Arial"/>
                <w:sz w:val="18"/>
                <w:szCs w:val="18"/>
                <w:color w:val="0000FF"/>
              </w:rPr>
            </w:pPr>
            <w:hyperlink r:id="rId393">
              <w:r>
                <w:rPr>
                  <w:rFonts w:ascii="Arial" w:cs="Arial" w:eastAsia="Arial" w:hAnsi="Arial"/>
                  <w:sz w:val="18"/>
                  <w:szCs w:val="18"/>
                  <w:color w:val="0000FF"/>
                </w:rPr>
                <w:t>Form of Employment Agreement between Blackbaud, Inc.</w:t>
              </w:r>
            </w:hyperlink>
          </w:p>
        </w:tc>
        <w:tc>
          <w:tcPr>
            <w:tcW w:w="1260" w:type="dxa"/>
            <w:vAlign w:val="bottom"/>
            <w:shd w:val="clear" w:color="auto" w:fill="F4F4F4"/>
          </w:tcPr>
          <w:p>
            <w:pPr>
              <w:jc w:val="center"/>
              <w:ind w:right="72"/>
              <w:spacing w:after="0" w:line="189" w:lineRule="exact"/>
              <w:rPr>
                <w:sz w:val="20"/>
                <w:szCs w:val="20"/>
                <w:color w:val="auto"/>
              </w:rPr>
            </w:pPr>
            <w:r>
              <w:rPr>
                <w:rFonts w:ascii="Arial" w:cs="Arial" w:eastAsia="Arial" w:hAnsi="Arial"/>
                <w:sz w:val="18"/>
                <w:szCs w:val="18"/>
                <w:color w:val="auto"/>
                <w:w w:val="99"/>
              </w:rPr>
              <w:t>10-K</w:t>
            </w:r>
          </w:p>
        </w:tc>
        <w:tc>
          <w:tcPr>
            <w:tcW w:w="132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2/27/2013</w:t>
            </w:r>
          </w:p>
        </w:tc>
        <w:tc>
          <w:tcPr>
            <w:tcW w:w="200" w:type="dxa"/>
            <w:vAlign w:val="bottom"/>
            <w:shd w:val="clear" w:color="auto" w:fill="F4F4F4"/>
          </w:tcPr>
          <w:p>
            <w:pPr>
              <w:spacing w:after="0"/>
              <w:rPr>
                <w:sz w:val="16"/>
                <w:szCs w:val="16"/>
                <w:color w:val="auto"/>
              </w:rPr>
            </w:pPr>
          </w:p>
        </w:tc>
        <w:tc>
          <w:tcPr>
            <w:tcW w:w="380" w:type="dxa"/>
            <w:vAlign w:val="bottom"/>
            <w:shd w:val="clear" w:color="auto" w:fill="F4F4F4"/>
          </w:tcPr>
          <w:p>
            <w:pPr>
              <w:spacing w:after="0"/>
              <w:rPr>
                <w:sz w:val="16"/>
                <w:szCs w:val="16"/>
                <w:color w:val="auto"/>
              </w:rPr>
            </w:pPr>
          </w:p>
        </w:tc>
        <w:tc>
          <w:tcPr>
            <w:tcW w:w="660" w:type="dxa"/>
            <w:vAlign w:val="bottom"/>
            <w:shd w:val="clear" w:color="auto" w:fill="F4F4F4"/>
          </w:tcPr>
          <w:p>
            <w:pPr>
              <w:jc w:val="right"/>
              <w:spacing w:after="0" w:line="189" w:lineRule="exact"/>
              <w:rPr>
                <w:sz w:val="20"/>
                <w:szCs w:val="20"/>
                <w:color w:val="auto"/>
              </w:rPr>
            </w:pPr>
            <w:r>
              <w:rPr>
                <w:rFonts w:ascii="Arial" w:cs="Arial" w:eastAsia="Arial" w:hAnsi="Arial"/>
                <w:sz w:val="18"/>
                <w:szCs w:val="18"/>
                <w:color w:val="auto"/>
              </w:rPr>
              <w:t>10.65</w:t>
            </w:r>
          </w:p>
        </w:tc>
        <w:tc>
          <w:tcPr>
            <w:tcW w:w="102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F4F4F4"/>
              <w:bottom w:val="single" w:sz="8" w:color="F4F4F4"/>
            </w:tcBorders>
            <w:shd w:val="clear" w:color="auto" w:fill="F4F4F4"/>
          </w:tcPr>
          <w:p>
            <w:pPr>
              <w:spacing w:after="0"/>
              <w:rPr>
                <w:sz w:val="15"/>
                <w:szCs w:val="15"/>
                <w:color w:val="auto"/>
              </w:rPr>
            </w:pPr>
          </w:p>
        </w:tc>
        <w:tc>
          <w:tcPr>
            <w:tcW w:w="680" w:type="dxa"/>
            <w:vAlign w:val="bottom"/>
            <w:tcBorders>
              <w:top w:val="single" w:sz="8" w:color="F4F4F4"/>
              <w:bottom w:val="single" w:sz="8" w:color="F4F4F4"/>
            </w:tcBorders>
            <w:shd w:val="clear" w:color="auto" w:fill="F4F4F4"/>
          </w:tcPr>
          <w:p>
            <w:pPr>
              <w:spacing w:after="0"/>
              <w:rPr>
                <w:sz w:val="15"/>
                <w:szCs w:val="15"/>
                <w:color w:val="auto"/>
              </w:rPr>
            </w:pPr>
          </w:p>
        </w:tc>
        <w:tc>
          <w:tcPr>
            <w:tcW w:w="1420" w:type="dxa"/>
            <w:vAlign w:val="bottom"/>
            <w:tcBorders>
              <w:top w:val="single" w:sz="8" w:color="0000FF"/>
              <w:bottom w:val="single" w:sz="8" w:color="0000FF"/>
            </w:tcBorders>
            <w:gridSpan w:val="4"/>
            <w:shd w:val="clear" w:color="auto" w:fill="F4F4F4"/>
          </w:tcPr>
          <w:p>
            <w:pPr>
              <w:spacing w:after="0" w:line="156" w:lineRule="exact"/>
              <w:rPr>
                <w:rFonts w:ascii="Arial" w:cs="Arial" w:eastAsia="Arial" w:hAnsi="Arial"/>
                <w:sz w:val="18"/>
                <w:szCs w:val="18"/>
                <w:color w:val="0000FF"/>
                <w:w w:val="97"/>
              </w:rPr>
            </w:pPr>
            <w:hyperlink r:id="rId393">
              <w:r>
                <w:rPr>
                  <w:rFonts w:ascii="Arial" w:cs="Arial" w:eastAsia="Arial" w:hAnsi="Arial"/>
                  <w:sz w:val="18"/>
                  <w:szCs w:val="18"/>
                  <w:color w:val="0000FF"/>
                  <w:w w:val="97"/>
                </w:rPr>
                <w:t>and Jon W. Olson</w:t>
              </w:r>
            </w:hyperlink>
          </w:p>
        </w:tc>
        <w:tc>
          <w:tcPr>
            <w:tcW w:w="3200" w:type="dxa"/>
            <w:vAlign w:val="bottom"/>
            <w:tcBorders>
              <w:top w:val="single" w:sz="8" w:color="0000FF"/>
              <w:bottom w:val="single" w:sz="8" w:color="F4F4F4"/>
            </w:tcBorders>
            <w:gridSpan w:val="30"/>
            <w:shd w:val="clear" w:color="auto" w:fill="F4F4F4"/>
          </w:tcPr>
          <w:p>
            <w:pPr>
              <w:spacing w:after="0"/>
              <w:rPr>
                <w:sz w:val="15"/>
                <w:szCs w:val="15"/>
                <w:color w:val="auto"/>
              </w:rPr>
            </w:pPr>
          </w:p>
        </w:tc>
        <w:tc>
          <w:tcPr>
            <w:tcW w:w="140" w:type="dxa"/>
            <w:vAlign w:val="bottom"/>
            <w:tcBorders>
              <w:top w:val="single" w:sz="8" w:color="F4F4F4"/>
              <w:bottom w:val="single" w:sz="8" w:color="F4F4F4"/>
            </w:tcBorders>
            <w:gridSpan w:val="2"/>
            <w:shd w:val="clear" w:color="auto" w:fill="F4F4F4"/>
          </w:tcPr>
          <w:p>
            <w:pPr>
              <w:spacing w:after="0"/>
              <w:rPr>
                <w:sz w:val="15"/>
                <w:szCs w:val="15"/>
                <w:color w:val="auto"/>
              </w:rPr>
            </w:pPr>
          </w:p>
        </w:tc>
        <w:tc>
          <w:tcPr>
            <w:tcW w:w="1260" w:type="dxa"/>
            <w:vAlign w:val="bottom"/>
            <w:tcBorders>
              <w:top w:val="single" w:sz="8" w:color="F4F4F4"/>
              <w:bottom w:val="single" w:sz="8" w:color="F4F4F4"/>
            </w:tcBorders>
            <w:shd w:val="clear" w:color="auto" w:fill="F4F4F4"/>
          </w:tcPr>
          <w:p>
            <w:pPr>
              <w:spacing w:after="0"/>
              <w:rPr>
                <w:sz w:val="15"/>
                <w:szCs w:val="15"/>
                <w:color w:val="auto"/>
              </w:rPr>
            </w:pPr>
          </w:p>
        </w:tc>
        <w:tc>
          <w:tcPr>
            <w:tcW w:w="1320" w:type="dxa"/>
            <w:vAlign w:val="bottom"/>
            <w:tcBorders>
              <w:top w:val="single" w:sz="8" w:color="F4F4F4"/>
              <w:bottom w:val="single" w:sz="8" w:color="F4F4F4"/>
            </w:tcBorders>
            <w:shd w:val="clear" w:color="auto" w:fill="F4F4F4"/>
          </w:tcPr>
          <w:p>
            <w:pPr>
              <w:spacing w:after="0"/>
              <w:rPr>
                <w:sz w:val="15"/>
                <w:szCs w:val="15"/>
                <w:color w:val="auto"/>
              </w:rPr>
            </w:pPr>
          </w:p>
        </w:tc>
        <w:tc>
          <w:tcPr>
            <w:tcW w:w="200" w:type="dxa"/>
            <w:vAlign w:val="bottom"/>
            <w:tcBorders>
              <w:top w:val="single" w:sz="8" w:color="F4F4F4"/>
              <w:bottom w:val="single" w:sz="8" w:color="F4F4F4"/>
            </w:tcBorders>
            <w:shd w:val="clear" w:color="auto" w:fill="F4F4F4"/>
          </w:tcPr>
          <w:p>
            <w:pPr>
              <w:spacing w:after="0"/>
              <w:rPr>
                <w:sz w:val="15"/>
                <w:szCs w:val="15"/>
                <w:color w:val="auto"/>
              </w:rPr>
            </w:pPr>
          </w:p>
        </w:tc>
        <w:tc>
          <w:tcPr>
            <w:tcW w:w="380" w:type="dxa"/>
            <w:vAlign w:val="bottom"/>
            <w:tcBorders>
              <w:top w:val="single" w:sz="8" w:color="F4F4F4"/>
              <w:bottom w:val="single" w:sz="8" w:color="F4F4F4"/>
            </w:tcBorders>
            <w:shd w:val="clear" w:color="auto" w:fill="F4F4F4"/>
          </w:tcPr>
          <w:p>
            <w:pPr>
              <w:spacing w:after="0"/>
              <w:rPr>
                <w:sz w:val="15"/>
                <w:szCs w:val="15"/>
                <w:color w:val="auto"/>
              </w:rPr>
            </w:pPr>
          </w:p>
        </w:tc>
        <w:tc>
          <w:tcPr>
            <w:tcW w:w="660" w:type="dxa"/>
            <w:vAlign w:val="bottom"/>
            <w:tcBorders>
              <w:top w:val="single" w:sz="8" w:color="F4F4F4"/>
              <w:bottom w:val="single" w:sz="8" w:color="F4F4F4"/>
            </w:tcBorders>
            <w:shd w:val="clear" w:color="auto" w:fill="F4F4F4"/>
          </w:tcPr>
          <w:p>
            <w:pPr>
              <w:spacing w:after="0"/>
              <w:rPr>
                <w:sz w:val="15"/>
                <w:szCs w:val="15"/>
                <w:color w:val="auto"/>
              </w:rPr>
            </w:pPr>
          </w:p>
        </w:tc>
        <w:tc>
          <w:tcPr>
            <w:tcW w:w="1020" w:type="dxa"/>
            <w:vAlign w:val="bottom"/>
            <w:tcBorders>
              <w:top w:val="single" w:sz="8" w:color="F4F4F4"/>
              <w:bottom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right"/>
              <w:spacing w:after="0" w:line="189" w:lineRule="exact"/>
              <w:rPr>
                <w:rFonts w:ascii="Arial" w:cs="Arial" w:eastAsia="Arial" w:hAnsi="Arial"/>
                <w:sz w:val="18"/>
                <w:szCs w:val="18"/>
                <w:u w:val="single" w:color="auto"/>
                <w:color w:val="0000FF"/>
              </w:rPr>
            </w:pPr>
            <w:hyperlink r:id="rId394">
              <w:r>
                <w:rPr>
                  <w:rFonts w:ascii="Arial" w:cs="Arial" w:eastAsia="Arial" w:hAnsi="Arial"/>
                  <w:sz w:val="18"/>
                  <w:szCs w:val="18"/>
                  <w:u w:val="single" w:color="auto"/>
                  <w:color w:val="0000FF"/>
                </w:rPr>
                <w:t>10.13</w:t>
              </w:r>
            </w:hyperlink>
          </w:p>
        </w:tc>
        <w:tc>
          <w:tcPr>
            <w:tcW w:w="680" w:type="dxa"/>
            <w:vAlign w:val="bottom"/>
          </w:tcPr>
          <w:p>
            <w:pPr>
              <w:spacing w:after="0"/>
              <w:rPr>
                <w:sz w:val="16"/>
                <w:szCs w:val="16"/>
                <w:color w:val="auto"/>
              </w:rPr>
            </w:pPr>
          </w:p>
        </w:tc>
        <w:tc>
          <w:tcPr>
            <w:tcW w:w="4760" w:type="dxa"/>
            <w:vAlign w:val="bottom"/>
            <w:gridSpan w:val="36"/>
          </w:tcPr>
          <w:p>
            <w:pPr>
              <w:spacing w:after="0" w:line="189" w:lineRule="exact"/>
              <w:rPr>
                <w:rFonts w:ascii="Arial" w:cs="Arial" w:eastAsia="Arial" w:hAnsi="Arial"/>
                <w:sz w:val="18"/>
                <w:szCs w:val="18"/>
                <w:color w:val="0000FF"/>
              </w:rPr>
            </w:pPr>
            <w:hyperlink r:id="rId394">
              <w:r>
                <w:rPr>
                  <w:rFonts w:ascii="Arial" w:cs="Arial" w:eastAsia="Arial" w:hAnsi="Arial"/>
                  <w:sz w:val="18"/>
                  <w:szCs w:val="18"/>
                  <w:color w:val="0000FF"/>
                </w:rPr>
                <w:t>Lease Amendment and Remediation Agreement entered</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3/28/2013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10.66</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94">
              <w:r>
                <w:rPr>
                  <w:rFonts w:ascii="Arial" w:cs="Arial" w:eastAsia="Arial" w:hAnsi="Arial"/>
                  <w:sz w:val="18"/>
                  <w:szCs w:val="18"/>
                  <w:color w:val="0000FF"/>
                </w:rPr>
                <w:t>into as of March 22, 2013, by and between Blackbaud,</w:t>
              </w:r>
            </w:hyperlink>
          </w:p>
        </w:tc>
        <w:tc>
          <w:tcPr>
            <w:tcW w:w="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3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94">
              <w:r>
                <w:rPr>
                  <w:rFonts w:ascii="Arial" w:cs="Arial" w:eastAsia="Arial" w:hAnsi="Arial"/>
                  <w:sz w:val="18"/>
                  <w:szCs w:val="18"/>
                  <w:color w:val="0000FF"/>
                </w:rPr>
                <w:t>Inc. and Duck Pond Creek-SPE, LLC.</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F4F4F4"/>
          </w:tcPr>
          <w:p>
            <w:pPr>
              <w:jc w:val="right"/>
              <w:spacing w:after="0" w:line="189" w:lineRule="exact"/>
              <w:rPr>
                <w:rFonts w:ascii="Arial" w:cs="Arial" w:eastAsia="Arial" w:hAnsi="Arial"/>
                <w:sz w:val="18"/>
                <w:szCs w:val="18"/>
                <w:u w:val="single" w:color="auto"/>
                <w:color w:val="0000FF"/>
              </w:rPr>
            </w:pPr>
            <w:hyperlink r:id="rId395">
              <w:r>
                <w:rPr>
                  <w:rFonts w:ascii="Arial" w:cs="Arial" w:eastAsia="Arial" w:hAnsi="Arial"/>
                  <w:sz w:val="18"/>
                  <w:szCs w:val="18"/>
                  <w:u w:val="single" w:color="auto"/>
                  <w:color w:val="0000FF"/>
                </w:rPr>
                <w:t>10.14</w:t>
              </w:r>
            </w:hyperlink>
          </w:p>
        </w:tc>
        <w:tc>
          <w:tcPr>
            <w:tcW w:w="68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w:t>
            </w:r>
          </w:p>
        </w:tc>
        <w:tc>
          <w:tcPr>
            <w:tcW w:w="4760" w:type="dxa"/>
            <w:vAlign w:val="bottom"/>
            <w:gridSpan w:val="36"/>
            <w:shd w:val="clear" w:color="auto" w:fill="F4F4F4"/>
          </w:tcPr>
          <w:p>
            <w:pPr>
              <w:spacing w:after="0" w:line="189" w:lineRule="exact"/>
              <w:rPr>
                <w:rFonts w:ascii="Arial" w:cs="Arial" w:eastAsia="Arial" w:hAnsi="Arial"/>
                <w:sz w:val="18"/>
                <w:szCs w:val="18"/>
                <w:color w:val="0000FF"/>
              </w:rPr>
            </w:pPr>
            <w:hyperlink r:id="rId395">
              <w:r>
                <w:rPr>
                  <w:rFonts w:ascii="Arial" w:cs="Arial" w:eastAsia="Arial" w:hAnsi="Arial"/>
                  <w:sz w:val="18"/>
                  <w:szCs w:val="18"/>
                  <w:color w:val="0000FF"/>
                </w:rPr>
                <w:t>Blackbaud, Inc. 2016 Equity and Incentive Compensation</w:t>
              </w:r>
            </w:hyperlink>
          </w:p>
        </w:tc>
        <w:tc>
          <w:tcPr>
            <w:tcW w:w="1260" w:type="dxa"/>
            <w:vAlign w:val="bottom"/>
            <w:shd w:val="clear" w:color="auto" w:fill="F4F4F4"/>
          </w:tcPr>
          <w:p>
            <w:pPr>
              <w:jc w:val="center"/>
              <w:ind w:right="72"/>
              <w:spacing w:after="0" w:line="189" w:lineRule="exact"/>
              <w:rPr>
                <w:sz w:val="20"/>
                <w:szCs w:val="20"/>
                <w:color w:val="auto"/>
              </w:rPr>
            </w:pPr>
            <w:r>
              <w:rPr>
                <w:rFonts w:ascii="Arial" w:cs="Arial" w:eastAsia="Arial" w:hAnsi="Arial"/>
                <w:sz w:val="18"/>
                <w:szCs w:val="18"/>
                <w:color w:val="auto"/>
              </w:rPr>
              <w:t>DEF 14A</w:t>
            </w:r>
          </w:p>
        </w:tc>
        <w:tc>
          <w:tcPr>
            <w:tcW w:w="132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4/26/2016</w:t>
            </w:r>
          </w:p>
        </w:tc>
        <w:tc>
          <w:tcPr>
            <w:tcW w:w="200" w:type="dxa"/>
            <w:vAlign w:val="bottom"/>
            <w:shd w:val="clear" w:color="auto" w:fill="F4F4F4"/>
          </w:tcPr>
          <w:p>
            <w:pPr>
              <w:spacing w:after="0"/>
              <w:rPr>
                <w:sz w:val="16"/>
                <w:szCs w:val="16"/>
                <w:color w:val="auto"/>
              </w:rPr>
            </w:pPr>
          </w:p>
        </w:tc>
        <w:tc>
          <w:tcPr>
            <w:tcW w:w="1040" w:type="dxa"/>
            <w:vAlign w:val="bottom"/>
            <w:gridSpan w:val="2"/>
            <w:shd w:val="clear" w:color="auto" w:fill="F4F4F4"/>
          </w:tcPr>
          <w:p>
            <w:pPr>
              <w:jc w:val="right"/>
              <w:spacing w:after="0" w:line="189" w:lineRule="exact"/>
              <w:rPr>
                <w:sz w:val="20"/>
                <w:szCs w:val="20"/>
                <w:color w:val="auto"/>
              </w:rPr>
            </w:pPr>
            <w:r>
              <w:rPr>
                <w:rFonts w:ascii="Arial" w:cs="Arial" w:eastAsia="Arial" w:hAnsi="Arial"/>
                <w:sz w:val="18"/>
                <w:szCs w:val="18"/>
                <w:color w:val="auto"/>
              </w:rPr>
              <w:t>Appendix C</w:t>
            </w:r>
          </w:p>
        </w:tc>
        <w:tc>
          <w:tcPr>
            <w:tcW w:w="102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F4F4F4"/>
              <w:bottom w:val="single" w:sz="8" w:color="F4F4F4"/>
            </w:tcBorders>
            <w:shd w:val="clear" w:color="auto" w:fill="F4F4F4"/>
          </w:tcPr>
          <w:p>
            <w:pPr>
              <w:spacing w:after="0"/>
              <w:rPr>
                <w:sz w:val="15"/>
                <w:szCs w:val="15"/>
                <w:color w:val="auto"/>
              </w:rPr>
            </w:pPr>
          </w:p>
        </w:tc>
        <w:tc>
          <w:tcPr>
            <w:tcW w:w="680" w:type="dxa"/>
            <w:vAlign w:val="bottom"/>
            <w:tcBorders>
              <w:top w:val="single" w:sz="8" w:color="F4F4F4"/>
              <w:bottom w:val="single" w:sz="8" w:color="F4F4F4"/>
            </w:tcBorders>
            <w:shd w:val="clear" w:color="auto" w:fill="F4F4F4"/>
          </w:tcPr>
          <w:p>
            <w:pPr>
              <w:spacing w:after="0"/>
              <w:rPr>
                <w:sz w:val="15"/>
                <w:szCs w:val="15"/>
                <w:color w:val="auto"/>
              </w:rPr>
            </w:pPr>
          </w:p>
        </w:tc>
        <w:tc>
          <w:tcPr>
            <w:tcW w:w="360" w:type="dxa"/>
            <w:vAlign w:val="bottom"/>
            <w:tcBorders>
              <w:top w:val="single" w:sz="8" w:color="0000FF"/>
              <w:bottom w:val="single" w:sz="8" w:color="0000FF"/>
            </w:tcBorders>
            <w:gridSpan w:val="2"/>
            <w:shd w:val="clear" w:color="auto" w:fill="F4F4F4"/>
          </w:tcPr>
          <w:p>
            <w:pPr>
              <w:spacing w:after="0" w:line="156" w:lineRule="exact"/>
              <w:rPr>
                <w:rFonts w:ascii="Arial" w:cs="Arial" w:eastAsia="Arial" w:hAnsi="Arial"/>
                <w:sz w:val="18"/>
                <w:szCs w:val="18"/>
                <w:color w:val="0000FF"/>
                <w:w w:val="94"/>
              </w:rPr>
            </w:pPr>
            <w:hyperlink r:id="rId395">
              <w:r>
                <w:rPr>
                  <w:rFonts w:ascii="Arial" w:cs="Arial" w:eastAsia="Arial" w:hAnsi="Arial"/>
                  <w:sz w:val="18"/>
                  <w:szCs w:val="18"/>
                  <w:color w:val="0000FF"/>
                  <w:w w:val="94"/>
                </w:rPr>
                <w:t>Plan</w:t>
              </w:r>
            </w:hyperlink>
          </w:p>
        </w:tc>
        <w:tc>
          <w:tcPr>
            <w:tcW w:w="4200" w:type="dxa"/>
            <w:vAlign w:val="bottom"/>
            <w:tcBorders>
              <w:top w:val="single" w:sz="8" w:color="0000FF"/>
              <w:bottom w:val="single" w:sz="8" w:color="F4F4F4"/>
            </w:tcBorders>
            <w:gridSpan w:val="29"/>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180" w:type="dxa"/>
            <w:vAlign w:val="bottom"/>
            <w:tcBorders>
              <w:top w:val="single" w:sz="8" w:color="F4F4F4"/>
              <w:bottom w:val="single" w:sz="8" w:color="F4F4F4"/>
            </w:tcBorders>
            <w:gridSpan w:val="4"/>
            <w:shd w:val="clear" w:color="auto" w:fill="F4F4F4"/>
          </w:tcPr>
          <w:p>
            <w:pPr>
              <w:spacing w:after="0"/>
              <w:rPr>
                <w:sz w:val="15"/>
                <w:szCs w:val="15"/>
                <w:color w:val="auto"/>
              </w:rPr>
            </w:pPr>
          </w:p>
        </w:tc>
        <w:tc>
          <w:tcPr>
            <w:tcW w:w="1260" w:type="dxa"/>
            <w:vAlign w:val="bottom"/>
            <w:tcBorders>
              <w:top w:val="single" w:sz="8" w:color="F4F4F4"/>
              <w:bottom w:val="single" w:sz="8" w:color="F4F4F4"/>
            </w:tcBorders>
            <w:shd w:val="clear" w:color="auto" w:fill="F4F4F4"/>
          </w:tcPr>
          <w:p>
            <w:pPr>
              <w:spacing w:after="0"/>
              <w:rPr>
                <w:sz w:val="15"/>
                <w:szCs w:val="15"/>
                <w:color w:val="auto"/>
              </w:rPr>
            </w:pPr>
          </w:p>
        </w:tc>
        <w:tc>
          <w:tcPr>
            <w:tcW w:w="1320" w:type="dxa"/>
            <w:vAlign w:val="bottom"/>
            <w:tcBorders>
              <w:top w:val="single" w:sz="8" w:color="F4F4F4"/>
              <w:bottom w:val="single" w:sz="8" w:color="F4F4F4"/>
            </w:tcBorders>
            <w:shd w:val="clear" w:color="auto" w:fill="F4F4F4"/>
          </w:tcPr>
          <w:p>
            <w:pPr>
              <w:spacing w:after="0"/>
              <w:rPr>
                <w:sz w:val="15"/>
                <w:szCs w:val="15"/>
                <w:color w:val="auto"/>
              </w:rPr>
            </w:pPr>
          </w:p>
        </w:tc>
        <w:tc>
          <w:tcPr>
            <w:tcW w:w="200" w:type="dxa"/>
            <w:vAlign w:val="bottom"/>
            <w:tcBorders>
              <w:top w:val="single" w:sz="8" w:color="F4F4F4"/>
              <w:bottom w:val="single" w:sz="8" w:color="F4F4F4"/>
            </w:tcBorders>
            <w:shd w:val="clear" w:color="auto" w:fill="F4F4F4"/>
          </w:tcPr>
          <w:p>
            <w:pPr>
              <w:spacing w:after="0"/>
              <w:rPr>
                <w:sz w:val="15"/>
                <w:szCs w:val="15"/>
                <w:color w:val="auto"/>
              </w:rPr>
            </w:pPr>
          </w:p>
        </w:tc>
        <w:tc>
          <w:tcPr>
            <w:tcW w:w="380" w:type="dxa"/>
            <w:vAlign w:val="bottom"/>
            <w:tcBorders>
              <w:top w:val="single" w:sz="8" w:color="F4F4F4"/>
              <w:bottom w:val="single" w:sz="8" w:color="F4F4F4"/>
            </w:tcBorders>
            <w:shd w:val="clear" w:color="auto" w:fill="F4F4F4"/>
          </w:tcPr>
          <w:p>
            <w:pPr>
              <w:spacing w:after="0"/>
              <w:rPr>
                <w:sz w:val="15"/>
                <w:szCs w:val="15"/>
                <w:color w:val="auto"/>
              </w:rPr>
            </w:pPr>
          </w:p>
        </w:tc>
        <w:tc>
          <w:tcPr>
            <w:tcW w:w="660" w:type="dxa"/>
            <w:vAlign w:val="bottom"/>
            <w:tcBorders>
              <w:top w:val="single" w:sz="8" w:color="F4F4F4"/>
              <w:bottom w:val="single" w:sz="8" w:color="F4F4F4"/>
            </w:tcBorders>
            <w:shd w:val="clear" w:color="auto" w:fill="F4F4F4"/>
          </w:tcPr>
          <w:p>
            <w:pPr>
              <w:spacing w:after="0"/>
              <w:rPr>
                <w:sz w:val="15"/>
                <w:szCs w:val="15"/>
                <w:color w:val="auto"/>
              </w:rPr>
            </w:pPr>
          </w:p>
        </w:tc>
        <w:tc>
          <w:tcPr>
            <w:tcW w:w="1020" w:type="dxa"/>
            <w:vAlign w:val="bottom"/>
            <w:tcBorders>
              <w:top w:val="single" w:sz="8" w:color="F4F4F4"/>
              <w:bottom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right"/>
              <w:spacing w:after="0" w:line="189" w:lineRule="exact"/>
              <w:rPr>
                <w:rFonts w:ascii="Arial" w:cs="Arial" w:eastAsia="Arial" w:hAnsi="Arial"/>
                <w:sz w:val="18"/>
                <w:szCs w:val="18"/>
                <w:u w:val="single" w:color="auto"/>
                <w:color w:val="0000FF"/>
              </w:rPr>
            </w:pPr>
            <w:hyperlink r:id="rId396">
              <w:r>
                <w:rPr>
                  <w:rFonts w:ascii="Arial" w:cs="Arial" w:eastAsia="Arial" w:hAnsi="Arial"/>
                  <w:sz w:val="18"/>
                  <w:szCs w:val="18"/>
                  <w:u w:val="single" w:color="auto"/>
                  <w:color w:val="0000FF"/>
                </w:rPr>
                <w:t>10.15</w:t>
              </w:r>
            </w:hyperlink>
          </w:p>
        </w:tc>
        <w:tc>
          <w:tcPr>
            <w:tcW w:w="680" w:type="dxa"/>
            <w:vAlign w:val="bottom"/>
          </w:tcPr>
          <w:p>
            <w:pPr>
              <w:spacing w:after="0"/>
              <w:rPr>
                <w:sz w:val="16"/>
                <w:szCs w:val="16"/>
                <w:color w:val="auto"/>
              </w:rPr>
            </w:pPr>
          </w:p>
        </w:tc>
        <w:tc>
          <w:tcPr>
            <w:tcW w:w="4760" w:type="dxa"/>
            <w:vAlign w:val="bottom"/>
            <w:gridSpan w:val="36"/>
          </w:tcPr>
          <w:p>
            <w:pPr>
              <w:spacing w:after="0" w:line="189" w:lineRule="exact"/>
              <w:rPr>
                <w:rFonts w:ascii="Arial" w:cs="Arial" w:eastAsia="Arial" w:hAnsi="Arial"/>
                <w:sz w:val="18"/>
                <w:szCs w:val="18"/>
                <w:color w:val="0000FF"/>
              </w:rPr>
            </w:pPr>
            <w:hyperlink r:id="rId396">
              <w:r>
                <w:rPr>
                  <w:rFonts w:ascii="Arial" w:cs="Arial" w:eastAsia="Arial" w:hAnsi="Arial"/>
                  <w:sz w:val="18"/>
                  <w:szCs w:val="18"/>
                  <w:color w:val="0000FF"/>
                </w:rPr>
                <w:t>Lease Agreement dated May 16, 2016 between</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3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8/4/2016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10.84</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396">
              <w:r>
                <w:rPr>
                  <w:rFonts w:ascii="Arial" w:cs="Arial" w:eastAsia="Arial" w:hAnsi="Arial"/>
                  <w:sz w:val="18"/>
                  <w:szCs w:val="18"/>
                  <w:color w:val="0000FF"/>
                </w:rPr>
                <w:t>Blackbaud, Inc. and HPBB1, LLC</w:t>
              </w:r>
            </w:hyperlink>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5"/>
          </w:tcPr>
          <w:p>
            <w:pPr>
              <w:spacing w:after="0"/>
              <w:rPr>
                <w:sz w:val="13"/>
                <w:szCs w:val="13"/>
                <w:color w:val="auto"/>
              </w:rPr>
            </w:pPr>
          </w:p>
        </w:tc>
        <w:tc>
          <w:tcPr>
            <w:tcW w:w="180" w:type="dxa"/>
            <w:vAlign w:val="bottom"/>
            <w:gridSpan w:val="4"/>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Borders>
              <w:bottom w:val="single" w:sz="8" w:color="F4F4F4"/>
            </w:tcBorders>
            <w:shd w:val="clear" w:color="auto" w:fill="F4F4F4"/>
          </w:tcPr>
          <w:p>
            <w:pPr>
              <w:jc w:val="right"/>
              <w:spacing w:after="0" w:line="189" w:lineRule="exact"/>
              <w:rPr>
                <w:rFonts w:ascii="Arial" w:cs="Arial" w:eastAsia="Arial" w:hAnsi="Arial"/>
                <w:sz w:val="18"/>
                <w:szCs w:val="18"/>
                <w:u w:val="single" w:color="auto"/>
                <w:color w:val="0000FF"/>
              </w:rPr>
            </w:pPr>
            <w:hyperlink r:id="rId397">
              <w:r>
                <w:rPr>
                  <w:rFonts w:ascii="Arial" w:cs="Arial" w:eastAsia="Arial" w:hAnsi="Arial"/>
                  <w:sz w:val="18"/>
                  <w:szCs w:val="18"/>
                  <w:u w:val="single" w:color="auto"/>
                  <w:color w:val="0000FF"/>
                </w:rPr>
                <w:t>10.16</w:t>
              </w:r>
            </w:hyperlink>
          </w:p>
        </w:tc>
        <w:tc>
          <w:tcPr>
            <w:tcW w:w="680" w:type="dxa"/>
            <w:vAlign w:val="bottom"/>
            <w:tcBorders>
              <w:bottom w:val="single" w:sz="8" w:color="F4F4F4"/>
            </w:tcBorders>
            <w:shd w:val="clear" w:color="auto" w:fill="F4F4F4"/>
          </w:tcPr>
          <w:p>
            <w:pPr>
              <w:spacing w:after="0"/>
              <w:rPr>
                <w:sz w:val="16"/>
                <w:szCs w:val="16"/>
                <w:color w:val="auto"/>
              </w:rPr>
            </w:pPr>
          </w:p>
        </w:tc>
        <w:tc>
          <w:tcPr>
            <w:tcW w:w="4040" w:type="dxa"/>
            <w:vAlign w:val="bottom"/>
            <w:tcBorders>
              <w:bottom w:val="single" w:sz="8" w:color="0000FF"/>
            </w:tcBorders>
            <w:gridSpan w:val="13"/>
            <w:shd w:val="clear" w:color="auto" w:fill="F4F4F4"/>
          </w:tcPr>
          <w:p>
            <w:pPr>
              <w:spacing w:after="0" w:line="189" w:lineRule="exact"/>
              <w:rPr>
                <w:rFonts w:ascii="Arial" w:cs="Arial" w:eastAsia="Arial" w:hAnsi="Arial"/>
                <w:sz w:val="18"/>
                <w:szCs w:val="18"/>
                <w:color w:val="0000FF"/>
                <w:w w:val="99"/>
              </w:rPr>
            </w:pPr>
            <w:hyperlink r:id="rId397">
              <w:r>
                <w:rPr>
                  <w:rFonts w:ascii="Arial" w:cs="Arial" w:eastAsia="Arial" w:hAnsi="Arial"/>
                  <w:sz w:val="18"/>
                  <w:szCs w:val="18"/>
                  <w:color w:val="0000FF"/>
                  <w:w w:val="99"/>
                </w:rPr>
                <w:t>First Amendment to Lease Agreement, dated as of</w:t>
              </w:r>
            </w:hyperlink>
          </w:p>
        </w:tc>
        <w:tc>
          <w:tcPr>
            <w:tcW w:w="720" w:type="dxa"/>
            <w:vAlign w:val="bottom"/>
            <w:tcBorders>
              <w:bottom w:val="single" w:sz="8" w:color="F4F4F4"/>
            </w:tcBorders>
            <w:gridSpan w:val="23"/>
            <w:shd w:val="clear" w:color="auto" w:fill="F4F4F4"/>
          </w:tcPr>
          <w:p>
            <w:pPr>
              <w:spacing w:after="0"/>
              <w:rPr>
                <w:sz w:val="16"/>
                <w:szCs w:val="16"/>
                <w:color w:val="auto"/>
              </w:rPr>
            </w:pPr>
          </w:p>
        </w:tc>
        <w:tc>
          <w:tcPr>
            <w:tcW w:w="1260" w:type="dxa"/>
            <w:vAlign w:val="bottom"/>
            <w:tcBorders>
              <w:bottom w:val="single" w:sz="8" w:color="F4F4F4"/>
            </w:tcBorders>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320" w:type="dxa"/>
            <w:vAlign w:val="bottom"/>
            <w:tcBorders>
              <w:bottom w:val="single" w:sz="8" w:color="F4F4F4"/>
            </w:tcBorders>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11/4/2016</w:t>
            </w:r>
          </w:p>
        </w:tc>
        <w:tc>
          <w:tcPr>
            <w:tcW w:w="200" w:type="dxa"/>
            <w:vAlign w:val="bottom"/>
            <w:tcBorders>
              <w:bottom w:val="single" w:sz="8" w:color="F4F4F4"/>
            </w:tcBorders>
            <w:shd w:val="clear" w:color="auto" w:fill="F4F4F4"/>
          </w:tcPr>
          <w:p>
            <w:pPr>
              <w:spacing w:after="0"/>
              <w:rPr>
                <w:sz w:val="16"/>
                <w:szCs w:val="16"/>
                <w:color w:val="auto"/>
              </w:rPr>
            </w:pPr>
          </w:p>
        </w:tc>
        <w:tc>
          <w:tcPr>
            <w:tcW w:w="380" w:type="dxa"/>
            <w:vAlign w:val="bottom"/>
            <w:tcBorders>
              <w:bottom w:val="single" w:sz="8" w:color="F4F4F4"/>
            </w:tcBorders>
            <w:shd w:val="clear" w:color="auto" w:fill="F4F4F4"/>
          </w:tcPr>
          <w:p>
            <w:pPr>
              <w:spacing w:after="0"/>
              <w:rPr>
                <w:sz w:val="16"/>
                <w:szCs w:val="16"/>
                <w:color w:val="auto"/>
              </w:rPr>
            </w:pPr>
          </w:p>
        </w:tc>
        <w:tc>
          <w:tcPr>
            <w:tcW w:w="660" w:type="dxa"/>
            <w:vAlign w:val="bottom"/>
            <w:tcBorders>
              <w:bottom w:val="single" w:sz="8" w:color="F4F4F4"/>
            </w:tcBorders>
            <w:shd w:val="clear" w:color="auto" w:fill="F4F4F4"/>
          </w:tcPr>
          <w:p>
            <w:pPr>
              <w:jc w:val="right"/>
              <w:spacing w:after="0" w:line="189" w:lineRule="exact"/>
              <w:rPr>
                <w:sz w:val="20"/>
                <w:szCs w:val="20"/>
                <w:color w:val="auto"/>
              </w:rPr>
            </w:pPr>
            <w:r>
              <w:rPr>
                <w:rFonts w:ascii="Arial" w:cs="Arial" w:eastAsia="Arial" w:hAnsi="Arial"/>
                <w:sz w:val="18"/>
                <w:szCs w:val="18"/>
                <w:color w:val="auto"/>
              </w:rPr>
              <w:t>10.87</w:t>
            </w:r>
          </w:p>
        </w:tc>
        <w:tc>
          <w:tcPr>
            <w:tcW w:w="1020" w:type="dxa"/>
            <w:vAlign w:val="bottom"/>
            <w:tcBorders>
              <w:bottom w:val="single" w:sz="8" w:color="F4F4F4"/>
            </w:tcBorders>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6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4760" w:type="dxa"/>
            <w:vAlign w:val="bottom"/>
            <w:gridSpan w:val="36"/>
            <w:shd w:val="clear" w:color="auto" w:fill="F4F4F4"/>
          </w:tcPr>
          <w:p>
            <w:pPr>
              <w:spacing w:after="0" w:line="156" w:lineRule="exact"/>
              <w:rPr>
                <w:rFonts w:ascii="Arial" w:cs="Arial" w:eastAsia="Arial" w:hAnsi="Arial"/>
                <w:sz w:val="18"/>
                <w:szCs w:val="18"/>
                <w:color w:val="0000FF"/>
              </w:rPr>
            </w:pPr>
            <w:hyperlink r:id="rId397">
              <w:r>
                <w:rPr>
                  <w:rFonts w:ascii="Arial" w:cs="Arial" w:eastAsia="Arial" w:hAnsi="Arial"/>
                  <w:sz w:val="18"/>
                  <w:szCs w:val="18"/>
                  <w:color w:val="0000FF"/>
                </w:rPr>
                <w:t>August 22, 2016, between HPBB1, LLC and Blackbaud,</w:t>
              </w:r>
            </w:hyperlink>
          </w:p>
        </w:tc>
        <w:tc>
          <w:tcPr>
            <w:tcW w:w="1260" w:type="dxa"/>
            <w:vAlign w:val="bottom"/>
            <w:shd w:val="clear" w:color="auto" w:fill="F4F4F4"/>
          </w:tcPr>
          <w:p>
            <w:pPr>
              <w:spacing w:after="0"/>
              <w:rPr>
                <w:sz w:val="13"/>
                <w:szCs w:val="13"/>
                <w:color w:val="auto"/>
              </w:rPr>
            </w:pPr>
          </w:p>
        </w:tc>
        <w:tc>
          <w:tcPr>
            <w:tcW w:w="1320" w:type="dxa"/>
            <w:vAlign w:val="bottom"/>
            <w:shd w:val="clear" w:color="auto" w:fill="F4F4F4"/>
          </w:tcPr>
          <w:p>
            <w:pPr>
              <w:spacing w:after="0"/>
              <w:rPr>
                <w:sz w:val="13"/>
                <w:szCs w:val="13"/>
                <w:color w:val="auto"/>
              </w:rPr>
            </w:pPr>
          </w:p>
        </w:tc>
        <w:tc>
          <w:tcPr>
            <w:tcW w:w="200" w:type="dxa"/>
            <w:vAlign w:val="bottom"/>
            <w:shd w:val="clear" w:color="auto" w:fill="F4F4F4"/>
          </w:tcPr>
          <w:p>
            <w:pPr>
              <w:spacing w:after="0"/>
              <w:rPr>
                <w:sz w:val="13"/>
                <w:szCs w:val="13"/>
                <w:color w:val="auto"/>
              </w:rPr>
            </w:pPr>
          </w:p>
        </w:tc>
        <w:tc>
          <w:tcPr>
            <w:tcW w:w="380" w:type="dxa"/>
            <w:vAlign w:val="bottom"/>
            <w:shd w:val="clear" w:color="auto" w:fill="F4F4F4"/>
          </w:tcPr>
          <w:p>
            <w:pPr>
              <w:spacing w:after="0"/>
              <w:rPr>
                <w:sz w:val="13"/>
                <w:szCs w:val="13"/>
                <w:color w:val="auto"/>
              </w:rPr>
            </w:pPr>
          </w:p>
        </w:tc>
        <w:tc>
          <w:tcPr>
            <w:tcW w:w="660" w:type="dxa"/>
            <w:vAlign w:val="bottom"/>
            <w:shd w:val="clear" w:color="auto" w:fill="F4F4F4"/>
          </w:tcPr>
          <w:p>
            <w:pPr>
              <w:spacing w:after="0"/>
              <w:rPr>
                <w:sz w:val="13"/>
                <w:szCs w:val="13"/>
                <w:color w:val="auto"/>
              </w:rPr>
            </w:pPr>
          </w:p>
        </w:tc>
        <w:tc>
          <w:tcPr>
            <w:tcW w:w="102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Borders>
              <w:top w:val="single" w:sz="8" w:color="F4F4F4"/>
            </w:tcBorders>
            <w:shd w:val="clear" w:color="auto" w:fill="F4F4F4"/>
          </w:tcPr>
          <w:p>
            <w:pPr>
              <w:spacing w:after="0"/>
              <w:rPr>
                <w:sz w:val="13"/>
                <w:szCs w:val="13"/>
                <w:color w:val="auto"/>
              </w:rPr>
            </w:pPr>
          </w:p>
        </w:tc>
        <w:tc>
          <w:tcPr>
            <w:tcW w:w="680" w:type="dxa"/>
            <w:vAlign w:val="bottom"/>
            <w:tcBorders>
              <w:top w:val="single" w:sz="8" w:color="F4F4F4"/>
            </w:tcBorders>
            <w:shd w:val="clear" w:color="auto" w:fill="F4F4F4"/>
          </w:tcPr>
          <w:p>
            <w:pPr>
              <w:spacing w:after="0"/>
              <w:rPr>
                <w:sz w:val="13"/>
                <w:szCs w:val="13"/>
                <w:color w:val="auto"/>
              </w:rPr>
            </w:pPr>
          </w:p>
        </w:tc>
        <w:tc>
          <w:tcPr>
            <w:tcW w:w="4480" w:type="dxa"/>
            <w:vAlign w:val="bottom"/>
            <w:tcBorders>
              <w:top w:val="single" w:sz="8" w:color="0000FF"/>
            </w:tcBorders>
            <w:gridSpan w:val="25"/>
            <w:shd w:val="clear" w:color="auto" w:fill="F4F4F4"/>
          </w:tcPr>
          <w:p>
            <w:pPr>
              <w:spacing w:after="0" w:line="156" w:lineRule="exact"/>
              <w:rPr>
                <w:rFonts w:ascii="Arial" w:cs="Arial" w:eastAsia="Arial" w:hAnsi="Arial"/>
                <w:sz w:val="18"/>
                <w:szCs w:val="18"/>
                <w:color w:val="0000FF"/>
              </w:rPr>
            </w:pPr>
            <w:hyperlink r:id="rId397">
              <w:r>
                <w:rPr>
                  <w:rFonts w:ascii="Arial" w:cs="Arial" w:eastAsia="Arial" w:hAnsi="Arial"/>
                  <w:sz w:val="18"/>
                  <w:szCs w:val="18"/>
                  <w:color w:val="0000FF"/>
                </w:rPr>
                <w:t>Inc.</w:t>
              </w:r>
            </w:hyperlink>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60" w:type="dxa"/>
            <w:vAlign w:val="bottom"/>
            <w:tcBorders>
              <w:top w:val="single" w:sz="8" w:color="F4F4F4"/>
            </w:tcBorders>
            <w:gridSpan w:val="5"/>
            <w:shd w:val="clear" w:color="auto" w:fill="F4F4F4"/>
          </w:tcPr>
          <w:p>
            <w:pPr>
              <w:spacing w:after="0"/>
              <w:rPr>
                <w:sz w:val="13"/>
                <w:szCs w:val="13"/>
                <w:color w:val="auto"/>
              </w:rPr>
            </w:pPr>
          </w:p>
        </w:tc>
        <w:tc>
          <w:tcPr>
            <w:tcW w:w="180" w:type="dxa"/>
            <w:vAlign w:val="bottom"/>
            <w:tcBorders>
              <w:top w:val="single" w:sz="8" w:color="F4F4F4"/>
            </w:tcBorders>
            <w:gridSpan w:val="4"/>
            <w:shd w:val="clear" w:color="auto" w:fill="F4F4F4"/>
          </w:tcPr>
          <w:p>
            <w:pPr>
              <w:spacing w:after="0"/>
              <w:rPr>
                <w:sz w:val="13"/>
                <w:szCs w:val="13"/>
                <w:color w:val="auto"/>
              </w:rPr>
            </w:pPr>
          </w:p>
        </w:tc>
        <w:tc>
          <w:tcPr>
            <w:tcW w:w="1260" w:type="dxa"/>
            <w:vAlign w:val="bottom"/>
            <w:tcBorders>
              <w:top w:val="single" w:sz="8" w:color="F4F4F4"/>
            </w:tcBorders>
            <w:shd w:val="clear" w:color="auto" w:fill="F4F4F4"/>
          </w:tcPr>
          <w:p>
            <w:pPr>
              <w:spacing w:after="0"/>
              <w:rPr>
                <w:sz w:val="13"/>
                <w:szCs w:val="13"/>
                <w:color w:val="auto"/>
              </w:rPr>
            </w:pPr>
          </w:p>
        </w:tc>
        <w:tc>
          <w:tcPr>
            <w:tcW w:w="1320" w:type="dxa"/>
            <w:vAlign w:val="bottom"/>
            <w:tcBorders>
              <w:top w:val="single" w:sz="8" w:color="F4F4F4"/>
            </w:tcBorders>
            <w:shd w:val="clear" w:color="auto" w:fill="F4F4F4"/>
          </w:tcPr>
          <w:p>
            <w:pPr>
              <w:spacing w:after="0"/>
              <w:rPr>
                <w:sz w:val="13"/>
                <w:szCs w:val="13"/>
                <w:color w:val="auto"/>
              </w:rPr>
            </w:pPr>
          </w:p>
        </w:tc>
        <w:tc>
          <w:tcPr>
            <w:tcW w:w="200" w:type="dxa"/>
            <w:vAlign w:val="bottom"/>
            <w:tcBorders>
              <w:top w:val="single" w:sz="8" w:color="F4F4F4"/>
            </w:tcBorders>
            <w:shd w:val="clear" w:color="auto" w:fill="F4F4F4"/>
          </w:tcPr>
          <w:p>
            <w:pPr>
              <w:spacing w:after="0"/>
              <w:rPr>
                <w:sz w:val="13"/>
                <w:szCs w:val="13"/>
                <w:color w:val="auto"/>
              </w:rPr>
            </w:pPr>
          </w:p>
        </w:tc>
        <w:tc>
          <w:tcPr>
            <w:tcW w:w="380" w:type="dxa"/>
            <w:vAlign w:val="bottom"/>
            <w:tcBorders>
              <w:top w:val="single" w:sz="8" w:color="F4F4F4"/>
            </w:tcBorders>
            <w:shd w:val="clear" w:color="auto" w:fill="F4F4F4"/>
          </w:tcPr>
          <w:p>
            <w:pPr>
              <w:spacing w:after="0"/>
              <w:rPr>
                <w:sz w:val="13"/>
                <w:szCs w:val="13"/>
                <w:color w:val="auto"/>
              </w:rPr>
            </w:pPr>
          </w:p>
        </w:tc>
        <w:tc>
          <w:tcPr>
            <w:tcW w:w="660" w:type="dxa"/>
            <w:vAlign w:val="bottom"/>
            <w:tcBorders>
              <w:top w:val="single" w:sz="8" w:color="F4F4F4"/>
            </w:tcBorders>
            <w:shd w:val="clear" w:color="auto" w:fill="F4F4F4"/>
          </w:tcPr>
          <w:p>
            <w:pPr>
              <w:spacing w:after="0"/>
              <w:rPr>
                <w:sz w:val="13"/>
                <w:szCs w:val="13"/>
                <w:color w:val="auto"/>
              </w:rPr>
            </w:pPr>
          </w:p>
        </w:tc>
        <w:tc>
          <w:tcPr>
            <w:tcW w:w="102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F4F4F4"/>
            </w:tcBorders>
            <w:shd w:val="clear" w:color="auto" w:fill="F4F4F4"/>
          </w:tcPr>
          <w:p>
            <w:pPr>
              <w:spacing w:after="0" w:line="20" w:lineRule="exact"/>
              <w:rPr>
                <w:sz w:val="1"/>
                <w:szCs w:val="1"/>
                <w:color w:val="auto"/>
              </w:rPr>
            </w:pPr>
          </w:p>
        </w:tc>
        <w:tc>
          <w:tcPr>
            <w:tcW w:w="680" w:type="dxa"/>
            <w:vAlign w:val="bottom"/>
            <w:tcBorders>
              <w:top w:val="single" w:sz="8" w:color="F4F4F4"/>
            </w:tcBorders>
            <w:shd w:val="clear" w:color="auto" w:fill="F4F4F4"/>
          </w:tcPr>
          <w:p>
            <w:pPr>
              <w:spacing w:after="0" w:line="20" w:lineRule="exact"/>
              <w:rPr>
                <w:sz w:val="1"/>
                <w:szCs w:val="1"/>
                <w:color w:val="auto"/>
              </w:rPr>
            </w:pPr>
          </w:p>
        </w:tc>
        <w:tc>
          <w:tcPr>
            <w:tcW w:w="280" w:type="dxa"/>
            <w:vAlign w:val="bottom"/>
            <w:tcBorders>
              <w:top w:val="single" w:sz="8" w:color="0000FF"/>
            </w:tcBorders>
            <w:shd w:val="clear" w:color="auto" w:fill="F4F4F4"/>
          </w:tcPr>
          <w:p>
            <w:pPr>
              <w:spacing w:after="0" w:line="20" w:lineRule="exact"/>
              <w:rPr>
                <w:sz w:val="1"/>
                <w:szCs w:val="1"/>
                <w:color w:val="auto"/>
              </w:rPr>
            </w:pPr>
          </w:p>
        </w:tc>
        <w:tc>
          <w:tcPr>
            <w:tcW w:w="80" w:type="dxa"/>
            <w:vAlign w:val="bottom"/>
            <w:tcBorders>
              <w:top w:val="single" w:sz="8" w:color="F4F4F4"/>
            </w:tcBorders>
            <w:shd w:val="clear" w:color="auto" w:fill="F4F4F4"/>
          </w:tcPr>
          <w:p>
            <w:pPr>
              <w:spacing w:after="0" w:line="20" w:lineRule="exact"/>
              <w:rPr>
                <w:sz w:val="1"/>
                <w:szCs w:val="1"/>
                <w:color w:val="auto"/>
              </w:rPr>
            </w:pPr>
          </w:p>
        </w:tc>
        <w:tc>
          <w:tcPr>
            <w:tcW w:w="94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480" w:type="dxa"/>
            <w:vAlign w:val="bottom"/>
            <w:tcBorders>
              <w:top w:val="single" w:sz="8" w:color="F4F4F4"/>
            </w:tcBorders>
            <w:shd w:val="clear" w:color="auto" w:fill="F4F4F4"/>
          </w:tcPr>
          <w:p>
            <w:pPr>
              <w:spacing w:after="0" w:line="20" w:lineRule="exact"/>
              <w:rPr>
                <w:sz w:val="1"/>
                <w:szCs w:val="1"/>
                <w:color w:val="auto"/>
              </w:rPr>
            </w:pPr>
          </w:p>
        </w:tc>
        <w:tc>
          <w:tcPr>
            <w:tcW w:w="740" w:type="dxa"/>
            <w:vAlign w:val="bottom"/>
            <w:tcBorders>
              <w:top w:val="single" w:sz="8" w:color="F4F4F4"/>
            </w:tcBorders>
            <w:shd w:val="clear" w:color="auto" w:fill="F4F4F4"/>
          </w:tcPr>
          <w:p>
            <w:pPr>
              <w:spacing w:after="0" w:line="20" w:lineRule="exact"/>
              <w:rPr>
                <w:sz w:val="1"/>
                <w:szCs w:val="1"/>
                <w:color w:val="auto"/>
              </w:rPr>
            </w:pPr>
          </w:p>
        </w:tc>
        <w:tc>
          <w:tcPr>
            <w:tcW w:w="36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720" w:type="dxa"/>
            <w:vAlign w:val="bottom"/>
            <w:tcBorders>
              <w:top w:val="single" w:sz="8" w:color="F4F4F4"/>
            </w:tcBorders>
            <w:shd w:val="clear" w:color="auto" w:fill="F4F4F4"/>
          </w:tcPr>
          <w:p>
            <w:pPr>
              <w:spacing w:after="0" w:line="20" w:lineRule="exact"/>
              <w:rPr>
                <w:sz w:val="1"/>
                <w:szCs w:val="1"/>
                <w:color w:val="auto"/>
              </w:rPr>
            </w:pPr>
          </w:p>
        </w:tc>
        <w:tc>
          <w:tcPr>
            <w:tcW w:w="80" w:type="dxa"/>
            <w:vAlign w:val="bottom"/>
            <w:tcBorders>
              <w:top w:val="single" w:sz="8" w:color="F4F4F4"/>
            </w:tcBorders>
            <w:shd w:val="clear" w:color="auto" w:fill="F4F4F4"/>
          </w:tcPr>
          <w:p>
            <w:pPr>
              <w:spacing w:after="0" w:line="20" w:lineRule="exact"/>
              <w:rPr>
                <w:sz w:val="1"/>
                <w:szCs w:val="1"/>
                <w:color w:val="auto"/>
              </w:rPr>
            </w:pPr>
          </w:p>
        </w:tc>
        <w:tc>
          <w:tcPr>
            <w:tcW w:w="1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4294967277"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1260" w:type="dxa"/>
            <w:vAlign w:val="bottom"/>
            <w:tcBorders>
              <w:top w:val="single" w:sz="8" w:color="F4F4F4"/>
            </w:tcBorders>
            <w:shd w:val="clear" w:color="auto" w:fill="F4F4F4"/>
          </w:tcPr>
          <w:p>
            <w:pPr>
              <w:spacing w:after="0" w:line="20" w:lineRule="exact"/>
              <w:rPr>
                <w:sz w:val="1"/>
                <w:szCs w:val="1"/>
                <w:color w:val="auto"/>
              </w:rPr>
            </w:pPr>
          </w:p>
        </w:tc>
        <w:tc>
          <w:tcPr>
            <w:tcW w:w="132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F4F4F4"/>
            </w:tcBorders>
            <w:shd w:val="clear" w:color="auto" w:fill="F4F4F4"/>
          </w:tcPr>
          <w:p>
            <w:pPr>
              <w:spacing w:after="0" w:line="20" w:lineRule="exact"/>
              <w:rPr>
                <w:sz w:val="1"/>
                <w:szCs w:val="1"/>
                <w:color w:val="auto"/>
              </w:rPr>
            </w:pPr>
          </w:p>
        </w:tc>
        <w:tc>
          <w:tcPr>
            <w:tcW w:w="380" w:type="dxa"/>
            <w:vAlign w:val="bottom"/>
            <w:tcBorders>
              <w:top w:val="single" w:sz="8" w:color="F4F4F4"/>
            </w:tcBorders>
            <w:shd w:val="clear" w:color="auto" w:fill="F4F4F4"/>
          </w:tcPr>
          <w:p>
            <w:pPr>
              <w:spacing w:after="0" w:line="20" w:lineRule="exact"/>
              <w:rPr>
                <w:sz w:val="1"/>
                <w:szCs w:val="1"/>
                <w:color w:val="auto"/>
              </w:rPr>
            </w:pPr>
          </w:p>
        </w:tc>
        <w:tc>
          <w:tcPr>
            <w:tcW w:w="660" w:type="dxa"/>
            <w:vAlign w:val="bottom"/>
            <w:tcBorders>
              <w:top w:val="single" w:sz="8" w:color="F4F4F4"/>
            </w:tcBorders>
            <w:shd w:val="clear" w:color="auto" w:fill="F4F4F4"/>
          </w:tcPr>
          <w:p>
            <w:pPr>
              <w:spacing w:after="0" w:line="20" w:lineRule="exact"/>
              <w:rPr>
                <w:sz w:val="1"/>
                <w:szCs w:val="1"/>
                <w:color w:val="auto"/>
              </w:rPr>
            </w:pPr>
          </w:p>
        </w:tc>
        <w:tc>
          <w:tcPr>
            <w:tcW w:w="1020" w:type="dxa"/>
            <w:vAlign w:val="bottom"/>
            <w:tcBorders>
              <w:top w:val="single" w:sz="8" w:color="F4F4F4"/>
            </w:tcBorders>
            <w:shd w:val="clear" w:color="auto" w:fill="F4F4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60" w:type="dxa"/>
            <w:vAlign w:val="bottom"/>
          </w:tcPr>
          <w:p>
            <w:pPr>
              <w:jc w:val="right"/>
              <w:spacing w:after="0" w:line="189" w:lineRule="exact"/>
              <w:rPr>
                <w:rFonts w:ascii="Arial" w:cs="Arial" w:eastAsia="Arial" w:hAnsi="Arial"/>
                <w:sz w:val="18"/>
                <w:szCs w:val="18"/>
                <w:u w:val="single" w:color="auto"/>
                <w:color w:val="0000FF"/>
              </w:rPr>
            </w:pPr>
            <w:hyperlink r:id="rId398">
              <w:r>
                <w:rPr>
                  <w:rFonts w:ascii="Arial" w:cs="Arial" w:eastAsia="Arial" w:hAnsi="Arial"/>
                  <w:sz w:val="18"/>
                  <w:szCs w:val="18"/>
                  <w:u w:val="single" w:color="auto"/>
                  <w:color w:val="0000FF"/>
                </w:rPr>
                <w:t>10.17</w:t>
              </w:r>
            </w:hyperlink>
          </w:p>
        </w:tc>
        <w:tc>
          <w:tcPr>
            <w:tcW w:w="680" w:type="dxa"/>
            <w:vAlign w:val="bottom"/>
          </w:tcPr>
          <w:p>
            <w:pPr>
              <w:spacing w:after="0"/>
              <w:rPr>
                <w:sz w:val="16"/>
                <w:szCs w:val="16"/>
                <w:color w:val="auto"/>
              </w:rPr>
            </w:pPr>
          </w:p>
        </w:tc>
        <w:tc>
          <w:tcPr>
            <w:tcW w:w="4760" w:type="dxa"/>
            <w:vAlign w:val="bottom"/>
            <w:gridSpan w:val="36"/>
          </w:tcPr>
          <w:p>
            <w:pPr>
              <w:spacing w:after="0" w:line="189" w:lineRule="exact"/>
              <w:rPr>
                <w:rFonts w:ascii="Arial" w:cs="Arial" w:eastAsia="Arial" w:hAnsi="Arial"/>
                <w:sz w:val="18"/>
                <w:szCs w:val="18"/>
                <w:color w:val="0000FF"/>
              </w:rPr>
            </w:pPr>
            <w:hyperlink r:id="rId398">
              <w:r>
                <w:rPr>
                  <w:rFonts w:ascii="Arial" w:cs="Arial" w:eastAsia="Arial" w:hAnsi="Arial"/>
                  <w:sz w:val="18"/>
                  <w:szCs w:val="18"/>
                  <w:color w:val="0000FF"/>
                </w:rPr>
                <w:t>Credit Agreement, dated as of June 2, 2017, by and</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6/5/2017</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10.90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120" w:type="dxa"/>
            <w:vAlign w:val="bottom"/>
            <w:tcBorders>
              <w:top w:val="single" w:sz="8" w:color="0000FF"/>
            </w:tcBorders>
            <w:gridSpan w:val="15"/>
          </w:tcPr>
          <w:p>
            <w:pPr>
              <w:spacing w:after="0" w:line="157" w:lineRule="exact"/>
              <w:rPr>
                <w:rFonts w:ascii="Arial" w:cs="Arial" w:eastAsia="Arial" w:hAnsi="Arial"/>
                <w:sz w:val="18"/>
                <w:szCs w:val="18"/>
                <w:color w:val="0000FF"/>
                <w:w w:val="96"/>
              </w:rPr>
            </w:pPr>
            <w:hyperlink r:id="rId398">
              <w:r>
                <w:rPr>
                  <w:rFonts w:ascii="Arial" w:cs="Arial" w:eastAsia="Arial" w:hAnsi="Arial"/>
                  <w:sz w:val="18"/>
                  <w:szCs w:val="18"/>
                  <w:color w:val="0000FF"/>
                  <w:w w:val="96"/>
                </w:rPr>
                <w:t>among Blackbaud, Inc. and certain of its subsidiaries,</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18"/>
          </w:tcPr>
          <w:p>
            <w:pPr>
              <w:ind w:left="20"/>
              <w:spacing w:after="0" w:line="157" w:lineRule="exact"/>
              <w:rPr>
                <w:rFonts w:ascii="Arial" w:cs="Arial" w:eastAsia="Arial" w:hAnsi="Arial"/>
                <w:sz w:val="18"/>
                <w:szCs w:val="18"/>
                <w:color w:val="0000FF"/>
              </w:rPr>
            </w:pPr>
            <w:hyperlink r:id="rId398">
              <w:r>
                <w:rPr>
                  <w:rFonts w:ascii="Arial" w:cs="Arial" w:eastAsia="Arial" w:hAnsi="Arial"/>
                  <w:sz w:val="18"/>
                  <w:szCs w:val="18"/>
                  <w:color w:val="0000FF"/>
                </w:rPr>
                <w:t>as</w:t>
              </w:r>
            </w:hyperlink>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20" w:type="dxa"/>
            <w:vAlign w:val="bottom"/>
            <w:tcBorders>
              <w:top w:val="single" w:sz="8" w:color="0000FF"/>
            </w:tcBorders>
            <w:gridSpan w:val="27"/>
          </w:tcPr>
          <w:p>
            <w:pPr>
              <w:spacing w:after="0" w:line="154" w:lineRule="exact"/>
              <w:rPr>
                <w:rFonts w:ascii="Arial" w:cs="Arial" w:eastAsia="Arial" w:hAnsi="Arial"/>
                <w:sz w:val="17"/>
                <w:szCs w:val="17"/>
                <w:color w:val="0000FF"/>
              </w:rPr>
            </w:pPr>
            <w:hyperlink r:id="rId398">
              <w:r>
                <w:rPr>
                  <w:rFonts w:ascii="Arial" w:cs="Arial" w:eastAsia="Arial" w:hAnsi="Arial"/>
                  <w:sz w:val="17"/>
                  <w:szCs w:val="17"/>
                  <w:color w:val="0000FF"/>
                </w:rPr>
                <w:t>Borrowers, the lenders referred to therein, Bank of</w:t>
              </w:r>
            </w:hyperlink>
          </w:p>
        </w:tc>
        <w:tc>
          <w:tcPr>
            <w:tcW w:w="60" w:type="dxa"/>
            <w:vAlign w:val="bottom"/>
            <w:gridSpan w:val="5"/>
          </w:tcPr>
          <w:p>
            <w:pPr>
              <w:spacing w:after="0"/>
              <w:rPr>
                <w:sz w:val="13"/>
                <w:szCs w:val="13"/>
                <w:color w:val="auto"/>
              </w:rPr>
            </w:pPr>
          </w:p>
        </w:tc>
        <w:tc>
          <w:tcPr>
            <w:tcW w:w="180" w:type="dxa"/>
            <w:vAlign w:val="bottom"/>
            <w:gridSpan w:val="4"/>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0" w:type="dxa"/>
            <w:vAlign w:val="bottom"/>
            <w:tcBorders>
              <w:top w:val="single" w:sz="8" w:color="0000FF"/>
            </w:tcBorders>
            <w:gridSpan w:val="11"/>
          </w:tcPr>
          <w:p>
            <w:pPr>
              <w:spacing w:after="0" w:line="157" w:lineRule="exact"/>
              <w:rPr>
                <w:rFonts w:ascii="Arial" w:cs="Arial" w:eastAsia="Arial" w:hAnsi="Arial"/>
                <w:sz w:val="18"/>
                <w:szCs w:val="18"/>
                <w:color w:val="0000FF"/>
              </w:rPr>
            </w:pPr>
            <w:hyperlink r:id="rId398">
              <w:r>
                <w:rPr>
                  <w:rFonts w:ascii="Arial" w:cs="Arial" w:eastAsia="Arial" w:hAnsi="Arial"/>
                  <w:sz w:val="18"/>
                  <w:szCs w:val="18"/>
                  <w:color w:val="0000FF"/>
                </w:rPr>
                <w:t>America, N.A., as Administrative Agent, Swingline</w:t>
              </w:r>
            </w:hyperlink>
          </w:p>
        </w:tc>
        <w:tc>
          <w:tcPr>
            <w:tcW w:w="20" w:type="dxa"/>
            <w:vAlign w:val="bottom"/>
          </w:tcPr>
          <w:p>
            <w:pPr>
              <w:spacing w:after="0"/>
              <w:rPr>
                <w:sz w:val="13"/>
                <w:szCs w:val="13"/>
                <w:color w:val="auto"/>
              </w:rPr>
            </w:pPr>
          </w:p>
        </w:tc>
        <w:tc>
          <w:tcPr>
            <w:tcW w:w="740" w:type="dxa"/>
            <w:vAlign w:val="bottom"/>
            <w:gridSpan w:val="24"/>
          </w:tcPr>
          <w:p>
            <w:pPr>
              <w:spacing w:after="0" w:line="157" w:lineRule="exact"/>
              <w:rPr>
                <w:rFonts w:ascii="Arial" w:cs="Arial" w:eastAsia="Arial" w:hAnsi="Arial"/>
                <w:sz w:val="18"/>
                <w:szCs w:val="18"/>
                <w:color w:val="0000FF"/>
              </w:rPr>
            </w:pPr>
            <w:hyperlink r:id="rId398">
              <w:r>
                <w:rPr>
                  <w:rFonts w:ascii="Arial" w:cs="Arial" w:eastAsia="Arial" w:hAnsi="Arial"/>
                  <w:sz w:val="18"/>
                  <w:szCs w:val="18"/>
                  <w:color w:val="0000FF"/>
                </w:rPr>
                <w:t>Lender</w:t>
              </w:r>
            </w:hyperlink>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398">
              <w:r>
                <w:rPr>
                  <w:rFonts w:ascii="Arial" w:cs="Arial" w:eastAsia="Arial" w:hAnsi="Arial"/>
                  <w:sz w:val="18"/>
                  <w:szCs w:val="18"/>
                  <w:color w:val="0000FF"/>
                </w:rPr>
                <w:t>and Issuing Lender, PNC Bank, National Association, as</w:t>
              </w:r>
            </w:hyperlink>
          </w:p>
        </w:tc>
        <w:tc>
          <w:tcPr>
            <w:tcW w:w="180" w:type="dxa"/>
            <w:vAlign w:val="bottom"/>
            <w:gridSpan w:val="4"/>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98">
              <w:r>
                <w:rPr>
                  <w:rFonts w:ascii="Arial" w:cs="Arial" w:eastAsia="Arial" w:hAnsi="Arial"/>
                  <w:sz w:val="18"/>
                  <w:szCs w:val="18"/>
                  <w:color w:val="0000FF"/>
                </w:rPr>
                <w:t>Syndication Agent, and Wells Fargo Bank, National</w:t>
              </w:r>
            </w:hyperlink>
          </w:p>
        </w:tc>
        <w:tc>
          <w:tcPr>
            <w:tcW w:w="260" w:type="dxa"/>
            <w:vAlign w:val="bottom"/>
            <w:gridSpan w:val="10"/>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4"/>
              </w:rPr>
            </w:pPr>
            <w:hyperlink r:id="rId398">
              <w:r>
                <w:rPr>
                  <w:rFonts w:ascii="Arial" w:cs="Arial" w:eastAsia="Arial" w:hAnsi="Arial"/>
                  <w:sz w:val="18"/>
                  <w:szCs w:val="18"/>
                  <w:color w:val="0000FF"/>
                  <w:w w:val="94"/>
                </w:rPr>
                <w:t>Association and Regions Bank, as Co-Documentation</w:t>
              </w:r>
            </w:hyperlink>
          </w:p>
        </w:tc>
        <w:tc>
          <w:tcPr>
            <w:tcW w:w="12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100" w:type="dxa"/>
            <w:vAlign w:val="bottom"/>
            <w:gridSpan w:val="4"/>
          </w:tcPr>
          <w:p>
            <w:pPr>
              <w:spacing w:after="0"/>
              <w:rPr>
                <w:sz w:val="13"/>
                <w:szCs w:val="13"/>
                <w:color w:val="auto"/>
              </w:rPr>
            </w:pPr>
          </w:p>
        </w:tc>
        <w:tc>
          <w:tcPr>
            <w:tcW w:w="380" w:type="dxa"/>
            <w:vAlign w:val="bottom"/>
            <w:gridSpan w:val="14"/>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2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398">
              <w:r>
                <w:rPr>
                  <w:rFonts w:ascii="Arial" w:cs="Arial" w:eastAsia="Arial" w:hAnsi="Arial"/>
                  <w:sz w:val="18"/>
                  <w:szCs w:val="18"/>
                  <w:color w:val="0000FF"/>
                  <w:w w:val="99"/>
                </w:rPr>
                <w:t>Agents, with Merrill Lynch, Pierce, Fenner &amp; Smith</w:t>
              </w:r>
            </w:hyperlink>
          </w:p>
        </w:tc>
        <w:tc>
          <w:tcPr>
            <w:tcW w:w="260" w:type="dxa"/>
            <w:vAlign w:val="bottom"/>
            <w:gridSpan w:val="6"/>
          </w:tcPr>
          <w:p>
            <w:pPr>
              <w:spacing w:after="0"/>
              <w:rPr>
                <w:sz w:val="13"/>
                <w:szCs w:val="13"/>
                <w:color w:val="auto"/>
              </w:rPr>
            </w:pPr>
          </w:p>
        </w:tc>
        <w:tc>
          <w:tcPr>
            <w:tcW w:w="100" w:type="dxa"/>
            <w:vAlign w:val="bottom"/>
            <w:gridSpan w:val="4"/>
          </w:tcPr>
          <w:p>
            <w:pPr>
              <w:spacing w:after="0"/>
              <w:rPr>
                <w:sz w:val="13"/>
                <w:szCs w:val="13"/>
                <w:color w:val="auto"/>
              </w:rPr>
            </w:pPr>
          </w:p>
        </w:tc>
        <w:tc>
          <w:tcPr>
            <w:tcW w:w="380" w:type="dxa"/>
            <w:vAlign w:val="bottom"/>
            <w:gridSpan w:val="14"/>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20" w:type="dxa"/>
            <w:vAlign w:val="bottom"/>
            <w:tcBorders>
              <w:bottom w:val="single" w:sz="8" w:color="0000FF"/>
            </w:tcBorders>
            <w:gridSpan w:val="17"/>
          </w:tcPr>
          <w:p>
            <w:pPr>
              <w:spacing w:after="0" w:line="156" w:lineRule="exact"/>
              <w:rPr>
                <w:rFonts w:ascii="Arial" w:cs="Arial" w:eastAsia="Arial" w:hAnsi="Arial"/>
                <w:sz w:val="18"/>
                <w:szCs w:val="18"/>
                <w:color w:val="0000FF"/>
                <w:w w:val="99"/>
              </w:rPr>
            </w:pPr>
            <w:hyperlink r:id="rId398">
              <w:r>
                <w:rPr>
                  <w:rFonts w:ascii="Arial" w:cs="Arial" w:eastAsia="Arial" w:hAnsi="Arial"/>
                  <w:sz w:val="18"/>
                  <w:szCs w:val="18"/>
                  <w:color w:val="0000FF"/>
                  <w:w w:val="99"/>
                </w:rPr>
                <w:t>Incorporated, PNC Capital Markets LLC, Wells Fargo</w:t>
              </w:r>
            </w:hyperlink>
          </w:p>
        </w:tc>
        <w:tc>
          <w:tcPr>
            <w:tcW w:w="540" w:type="dxa"/>
            <w:vAlign w:val="bottom"/>
            <w:gridSpan w:val="19"/>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760" w:type="dxa"/>
            <w:vAlign w:val="bottom"/>
            <w:gridSpan w:val="36"/>
          </w:tcPr>
          <w:p>
            <w:pPr>
              <w:spacing w:after="0" w:line="154" w:lineRule="exact"/>
              <w:rPr>
                <w:rFonts w:ascii="Arial" w:cs="Arial" w:eastAsia="Arial" w:hAnsi="Arial"/>
                <w:sz w:val="17"/>
                <w:szCs w:val="17"/>
                <w:u w:val="single" w:color="auto"/>
                <w:color w:val="0000FF"/>
              </w:rPr>
            </w:pPr>
            <w:hyperlink r:id="rId398">
              <w:r>
                <w:rPr>
                  <w:rFonts w:ascii="Arial" w:cs="Arial" w:eastAsia="Arial" w:hAnsi="Arial"/>
                  <w:sz w:val="17"/>
                  <w:szCs w:val="17"/>
                  <w:u w:val="single" w:color="auto"/>
                  <w:color w:val="0000FF"/>
                </w:rPr>
                <w:t>Securities, LLC and Regions Capital Markets, a division of</w:t>
              </w:r>
            </w:hyperlink>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760" w:type="dxa"/>
            <w:vAlign w:val="bottom"/>
            <w:gridSpan w:val="36"/>
          </w:tcPr>
          <w:p>
            <w:pPr>
              <w:spacing w:after="0" w:line="176" w:lineRule="exact"/>
              <w:rPr>
                <w:rFonts w:ascii="Arial" w:cs="Arial" w:eastAsia="Arial" w:hAnsi="Arial"/>
                <w:sz w:val="18"/>
                <w:szCs w:val="18"/>
                <w:u w:val="single" w:color="auto"/>
                <w:color w:val="0000FF"/>
              </w:rPr>
            </w:pPr>
            <w:hyperlink r:id="rId398">
              <w:r>
                <w:rPr>
                  <w:rFonts w:ascii="Arial" w:cs="Arial" w:eastAsia="Arial" w:hAnsi="Arial"/>
                  <w:sz w:val="18"/>
                  <w:szCs w:val="18"/>
                  <w:u w:val="single" w:color="auto"/>
                  <w:color w:val="0000FF"/>
                </w:rPr>
                <w:t>Regions Bank, as Joint Lead Arrangers and Joint</w:t>
              </w:r>
            </w:hyperlink>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36"/>
          </w:tcPr>
          <w:p>
            <w:pPr>
              <w:spacing w:after="0"/>
              <w:rPr>
                <w:rFonts w:ascii="Arial" w:cs="Arial" w:eastAsia="Arial" w:hAnsi="Arial"/>
                <w:sz w:val="18"/>
                <w:szCs w:val="18"/>
                <w:u w:val="single" w:color="auto"/>
                <w:color w:val="0000FF"/>
              </w:rPr>
            </w:pPr>
            <w:hyperlink r:id="rId398">
              <w:r>
                <w:rPr>
                  <w:rFonts w:ascii="Arial" w:cs="Arial" w:eastAsia="Arial" w:hAnsi="Arial"/>
                  <w:sz w:val="18"/>
                  <w:szCs w:val="18"/>
                  <w:u w:val="single" w:color="auto"/>
                  <w:color w:val="0000FF"/>
                </w:rPr>
                <w:t>Bookrunners.</w:t>
              </w:r>
            </w:hyperlink>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60" w:type="dxa"/>
            <w:vAlign w:val="bottom"/>
            <w:shd w:val="clear" w:color="auto" w:fill="F4F4F4"/>
          </w:tcPr>
          <w:p>
            <w:pPr>
              <w:jc w:val="right"/>
              <w:spacing w:after="0" w:line="189" w:lineRule="exact"/>
              <w:rPr>
                <w:rFonts w:ascii="Arial" w:cs="Arial" w:eastAsia="Arial" w:hAnsi="Arial"/>
                <w:sz w:val="18"/>
                <w:szCs w:val="18"/>
                <w:u w:val="single" w:color="auto"/>
                <w:color w:val="0000FF"/>
              </w:rPr>
            </w:pPr>
            <w:hyperlink r:id="rId399">
              <w:r>
                <w:rPr>
                  <w:rFonts w:ascii="Arial" w:cs="Arial" w:eastAsia="Arial" w:hAnsi="Arial"/>
                  <w:sz w:val="18"/>
                  <w:szCs w:val="18"/>
                  <w:u w:val="single" w:color="auto"/>
                  <w:color w:val="0000FF"/>
                </w:rPr>
                <w:t>10.18</w:t>
              </w:r>
            </w:hyperlink>
          </w:p>
        </w:tc>
        <w:tc>
          <w:tcPr>
            <w:tcW w:w="680" w:type="dxa"/>
            <w:vAlign w:val="bottom"/>
            <w:shd w:val="clear" w:color="auto" w:fill="F4F4F4"/>
          </w:tcPr>
          <w:p>
            <w:pPr>
              <w:spacing w:after="0"/>
              <w:rPr>
                <w:sz w:val="16"/>
                <w:szCs w:val="16"/>
                <w:color w:val="auto"/>
              </w:rPr>
            </w:pPr>
          </w:p>
        </w:tc>
        <w:tc>
          <w:tcPr>
            <w:tcW w:w="4760" w:type="dxa"/>
            <w:vAlign w:val="bottom"/>
            <w:gridSpan w:val="36"/>
            <w:shd w:val="clear" w:color="auto" w:fill="F4F4F4"/>
          </w:tcPr>
          <w:p>
            <w:pPr>
              <w:spacing w:after="0" w:line="189" w:lineRule="exact"/>
              <w:rPr>
                <w:rFonts w:ascii="Arial" w:cs="Arial" w:eastAsia="Arial" w:hAnsi="Arial"/>
                <w:sz w:val="18"/>
                <w:szCs w:val="18"/>
                <w:color w:val="0000FF"/>
              </w:rPr>
            </w:pPr>
            <w:hyperlink r:id="rId399">
              <w:r>
                <w:rPr>
                  <w:rFonts w:ascii="Arial" w:cs="Arial" w:eastAsia="Arial" w:hAnsi="Arial"/>
                  <w:sz w:val="18"/>
                  <w:szCs w:val="18"/>
                  <w:color w:val="0000FF"/>
                </w:rPr>
                <w:t>Pledge Agreement, dated as of June 2, 2017, by</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6/5/2017</w:t>
            </w:r>
          </w:p>
        </w:tc>
        <w:tc>
          <w:tcPr>
            <w:tcW w:w="200" w:type="dxa"/>
            <w:vAlign w:val="bottom"/>
            <w:shd w:val="clear" w:color="auto" w:fill="F4F4F4"/>
          </w:tcPr>
          <w:p>
            <w:pPr>
              <w:spacing w:after="0"/>
              <w:rPr>
                <w:sz w:val="16"/>
                <w:szCs w:val="16"/>
                <w:color w:val="auto"/>
              </w:rPr>
            </w:pPr>
          </w:p>
        </w:tc>
        <w:tc>
          <w:tcPr>
            <w:tcW w:w="380" w:type="dxa"/>
            <w:vAlign w:val="bottom"/>
            <w:shd w:val="clear" w:color="auto" w:fill="F4F4F4"/>
          </w:tcPr>
          <w:p>
            <w:pPr>
              <w:spacing w:after="0"/>
              <w:rPr>
                <w:sz w:val="16"/>
                <w:szCs w:val="16"/>
                <w:color w:val="auto"/>
              </w:rPr>
            </w:pPr>
          </w:p>
        </w:tc>
        <w:tc>
          <w:tcPr>
            <w:tcW w:w="660" w:type="dxa"/>
            <w:vAlign w:val="bottom"/>
            <w:shd w:val="clear" w:color="auto" w:fill="F4F4F4"/>
          </w:tcPr>
          <w:p>
            <w:pPr>
              <w:jc w:val="right"/>
              <w:spacing w:after="0" w:line="189" w:lineRule="exact"/>
              <w:rPr>
                <w:sz w:val="20"/>
                <w:szCs w:val="20"/>
                <w:color w:val="auto"/>
              </w:rPr>
            </w:pPr>
            <w:r>
              <w:rPr>
                <w:rFonts w:ascii="Arial" w:cs="Arial" w:eastAsia="Arial" w:hAnsi="Arial"/>
                <w:sz w:val="18"/>
                <w:szCs w:val="18"/>
                <w:color w:val="auto"/>
              </w:rPr>
              <w:t>10.91</w:t>
            </w:r>
          </w:p>
        </w:tc>
        <w:tc>
          <w:tcPr>
            <w:tcW w:w="102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60" w:type="dxa"/>
            <w:vAlign w:val="bottom"/>
            <w:tcBorders>
              <w:top w:val="single" w:sz="8" w:color="F4F4F4"/>
              <w:bottom w:val="single" w:sz="8" w:color="F4F4F4"/>
            </w:tcBorders>
            <w:shd w:val="clear" w:color="auto" w:fill="F4F4F4"/>
          </w:tcPr>
          <w:p>
            <w:pPr>
              <w:spacing w:after="0"/>
              <w:rPr>
                <w:sz w:val="13"/>
                <w:szCs w:val="13"/>
                <w:color w:val="auto"/>
              </w:rPr>
            </w:pPr>
          </w:p>
        </w:tc>
        <w:tc>
          <w:tcPr>
            <w:tcW w:w="680" w:type="dxa"/>
            <w:vAlign w:val="bottom"/>
            <w:tcBorders>
              <w:top w:val="single" w:sz="8" w:color="F4F4F4"/>
              <w:bottom w:val="single" w:sz="8" w:color="F4F4F4"/>
            </w:tcBorders>
            <w:shd w:val="clear" w:color="auto" w:fill="F4F4F4"/>
          </w:tcPr>
          <w:p>
            <w:pPr>
              <w:spacing w:after="0"/>
              <w:rPr>
                <w:sz w:val="13"/>
                <w:szCs w:val="13"/>
                <w:color w:val="auto"/>
              </w:rPr>
            </w:pPr>
          </w:p>
        </w:tc>
        <w:tc>
          <w:tcPr>
            <w:tcW w:w="3860" w:type="dxa"/>
            <w:vAlign w:val="bottom"/>
            <w:tcBorders>
              <w:top w:val="single" w:sz="8" w:color="0000FF"/>
              <w:bottom w:val="single" w:sz="8" w:color="0000FF"/>
            </w:tcBorders>
            <w:gridSpan w:val="10"/>
            <w:shd w:val="clear" w:color="auto" w:fill="F4F4F4"/>
          </w:tcPr>
          <w:p>
            <w:pPr>
              <w:spacing w:after="0" w:line="157" w:lineRule="exact"/>
              <w:rPr>
                <w:rFonts w:ascii="Arial" w:cs="Arial" w:eastAsia="Arial" w:hAnsi="Arial"/>
                <w:sz w:val="18"/>
                <w:szCs w:val="18"/>
                <w:color w:val="0000FF"/>
                <w:w w:val="97"/>
              </w:rPr>
            </w:pPr>
            <w:hyperlink r:id="rId399">
              <w:r>
                <w:rPr>
                  <w:rFonts w:ascii="Arial" w:cs="Arial" w:eastAsia="Arial" w:hAnsi="Arial"/>
                  <w:sz w:val="18"/>
                  <w:szCs w:val="18"/>
                  <w:color w:val="0000FF"/>
                  <w:w w:val="97"/>
                </w:rPr>
                <w:t>Blackbaud, Inc. in favor of Bank of America, N.A.,</w:t>
              </w:r>
            </w:hyperlink>
          </w:p>
        </w:tc>
        <w:tc>
          <w:tcPr>
            <w:tcW w:w="320" w:type="dxa"/>
            <w:vAlign w:val="bottom"/>
            <w:tcBorders>
              <w:top w:val="single" w:sz="8" w:color="F4F4F4"/>
              <w:bottom w:val="single" w:sz="8" w:color="0000FF"/>
            </w:tcBorders>
            <w:gridSpan w:val="6"/>
            <w:shd w:val="clear" w:color="auto" w:fill="F4F4F4"/>
          </w:tcPr>
          <w:p>
            <w:pPr>
              <w:ind w:left="120"/>
              <w:spacing w:after="0" w:line="157" w:lineRule="exact"/>
              <w:rPr>
                <w:rFonts w:ascii="Arial" w:cs="Arial" w:eastAsia="Arial" w:hAnsi="Arial"/>
                <w:sz w:val="18"/>
                <w:szCs w:val="18"/>
                <w:color w:val="0000FF"/>
                <w:w w:val="94"/>
              </w:rPr>
            </w:pPr>
            <w:hyperlink r:id="rId399">
              <w:r>
                <w:rPr>
                  <w:rFonts w:ascii="Arial" w:cs="Arial" w:eastAsia="Arial" w:hAnsi="Arial"/>
                  <w:sz w:val="18"/>
                  <w:szCs w:val="18"/>
                  <w:color w:val="0000FF"/>
                  <w:w w:val="94"/>
                </w:rPr>
                <w:t>as</w:t>
              </w:r>
            </w:hyperlink>
          </w:p>
        </w:tc>
        <w:tc>
          <w:tcPr>
            <w:tcW w:w="580" w:type="dxa"/>
            <w:vAlign w:val="bottom"/>
            <w:tcBorders>
              <w:top w:val="single" w:sz="8" w:color="F4F4F4"/>
              <w:bottom w:val="single" w:sz="8" w:color="F4F4F4"/>
            </w:tcBorders>
            <w:gridSpan w:val="20"/>
            <w:shd w:val="clear" w:color="auto" w:fill="F4F4F4"/>
          </w:tcPr>
          <w:p>
            <w:pPr>
              <w:spacing w:after="0"/>
              <w:rPr>
                <w:sz w:val="13"/>
                <w:szCs w:val="13"/>
                <w:color w:val="auto"/>
              </w:rPr>
            </w:pPr>
          </w:p>
        </w:tc>
        <w:tc>
          <w:tcPr>
            <w:tcW w:w="1260" w:type="dxa"/>
            <w:vAlign w:val="bottom"/>
            <w:tcBorders>
              <w:top w:val="single" w:sz="8" w:color="F4F4F4"/>
              <w:bottom w:val="single" w:sz="8" w:color="F4F4F4"/>
            </w:tcBorders>
            <w:shd w:val="clear" w:color="auto" w:fill="F4F4F4"/>
          </w:tcPr>
          <w:p>
            <w:pPr>
              <w:spacing w:after="0"/>
              <w:rPr>
                <w:sz w:val="13"/>
                <w:szCs w:val="13"/>
                <w:color w:val="auto"/>
              </w:rPr>
            </w:pPr>
          </w:p>
        </w:tc>
        <w:tc>
          <w:tcPr>
            <w:tcW w:w="1320" w:type="dxa"/>
            <w:vAlign w:val="bottom"/>
            <w:tcBorders>
              <w:top w:val="single" w:sz="8" w:color="F4F4F4"/>
              <w:bottom w:val="single" w:sz="8" w:color="F4F4F4"/>
            </w:tcBorders>
            <w:shd w:val="clear" w:color="auto" w:fill="F4F4F4"/>
          </w:tcPr>
          <w:p>
            <w:pPr>
              <w:spacing w:after="0"/>
              <w:rPr>
                <w:sz w:val="13"/>
                <w:szCs w:val="13"/>
                <w:color w:val="auto"/>
              </w:rPr>
            </w:pPr>
          </w:p>
        </w:tc>
        <w:tc>
          <w:tcPr>
            <w:tcW w:w="200" w:type="dxa"/>
            <w:vAlign w:val="bottom"/>
            <w:tcBorders>
              <w:top w:val="single" w:sz="8" w:color="F4F4F4"/>
              <w:bottom w:val="single" w:sz="8" w:color="F4F4F4"/>
            </w:tcBorders>
            <w:shd w:val="clear" w:color="auto" w:fill="F4F4F4"/>
          </w:tcPr>
          <w:p>
            <w:pPr>
              <w:spacing w:after="0"/>
              <w:rPr>
                <w:sz w:val="13"/>
                <w:szCs w:val="13"/>
                <w:color w:val="auto"/>
              </w:rPr>
            </w:pPr>
          </w:p>
        </w:tc>
        <w:tc>
          <w:tcPr>
            <w:tcW w:w="380" w:type="dxa"/>
            <w:vAlign w:val="bottom"/>
            <w:tcBorders>
              <w:top w:val="single" w:sz="8" w:color="F4F4F4"/>
              <w:bottom w:val="single" w:sz="8" w:color="F4F4F4"/>
            </w:tcBorders>
            <w:shd w:val="clear" w:color="auto" w:fill="F4F4F4"/>
          </w:tcPr>
          <w:p>
            <w:pPr>
              <w:spacing w:after="0"/>
              <w:rPr>
                <w:sz w:val="13"/>
                <w:szCs w:val="13"/>
                <w:color w:val="auto"/>
              </w:rPr>
            </w:pPr>
          </w:p>
        </w:tc>
        <w:tc>
          <w:tcPr>
            <w:tcW w:w="660" w:type="dxa"/>
            <w:vAlign w:val="bottom"/>
            <w:tcBorders>
              <w:top w:val="single" w:sz="8" w:color="F4F4F4"/>
              <w:bottom w:val="single" w:sz="8" w:color="F4F4F4"/>
            </w:tcBorders>
            <w:shd w:val="clear" w:color="auto" w:fill="F4F4F4"/>
          </w:tcPr>
          <w:p>
            <w:pPr>
              <w:spacing w:after="0"/>
              <w:rPr>
                <w:sz w:val="13"/>
                <w:szCs w:val="13"/>
                <w:color w:val="auto"/>
              </w:rPr>
            </w:pPr>
          </w:p>
        </w:tc>
        <w:tc>
          <w:tcPr>
            <w:tcW w:w="1020" w:type="dxa"/>
            <w:vAlign w:val="bottom"/>
            <w:tcBorders>
              <w:top w:val="single" w:sz="8" w:color="F4F4F4"/>
              <w:bottom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4760" w:type="dxa"/>
            <w:vAlign w:val="bottom"/>
            <w:gridSpan w:val="36"/>
            <w:shd w:val="clear" w:color="auto" w:fill="F4F4F4"/>
          </w:tcPr>
          <w:p>
            <w:pPr>
              <w:spacing w:after="0" w:line="156" w:lineRule="exact"/>
              <w:rPr>
                <w:rFonts w:ascii="Arial" w:cs="Arial" w:eastAsia="Arial" w:hAnsi="Arial"/>
                <w:sz w:val="18"/>
                <w:szCs w:val="18"/>
                <w:color w:val="0000FF"/>
              </w:rPr>
            </w:pPr>
            <w:hyperlink r:id="rId399">
              <w:r>
                <w:rPr>
                  <w:rFonts w:ascii="Arial" w:cs="Arial" w:eastAsia="Arial" w:hAnsi="Arial"/>
                  <w:sz w:val="18"/>
                  <w:szCs w:val="18"/>
                  <w:color w:val="0000FF"/>
                </w:rPr>
                <w:t>administrative agent, for the ratable benefit of itself and</w:t>
              </w:r>
            </w:hyperlink>
          </w:p>
        </w:tc>
        <w:tc>
          <w:tcPr>
            <w:tcW w:w="1260" w:type="dxa"/>
            <w:vAlign w:val="bottom"/>
            <w:shd w:val="clear" w:color="auto" w:fill="F4F4F4"/>
          </w:tcPr>
          <w:p>
            <w:pPr>
              <w:spacing w:after="0"/>
              <w:rPr>
                <w:sz w:val="13"/>
                <w:szCs w:val="13"/>
                <w:color w:val="auto"/>
              </w:rPr>
            </w:pPr>
          </w:p>
        </w:tc>
        <w:tc>
          <w:tcPr>
            <w:tcW w:w="1320" w:type="dxa"/>
            <w:vAlign w:val="bottom"/>
            <w:shd w:val="clear" w:color="auto" w:fill="F4F4F4"/>
          </w:tcPr>
          <w:p>
            <w:pPr>
              <w:spacing w:after="0"/>
              <w:rPr>
                <w:sz w:val="13"/>
                <w:szCs w:val="13"/>
                <w:color w:val="auto"/>
              </w:rPr>
            </w:pPr>
          </w:p>
        </w:tc>
        <w:tc>
          <w:tcPr>
            <w:tcW w:w="200" w:type="dxa"/>
            <w:vAlign w:val="bottom"/>
            <w:shd w:val="clear" w:color="auto" w:fill="F4F4F4"/>
          </w:tcPr>
          <w:p>
            <w:pPr>
              <w:spacing w:after="0"/>
              <w:rPr>
                <w:sz w:val="13"/>
                <w:szCs w:val="13"/>
                <w:color w:val="auto"/>
              </w:rPr>
            </w:pPr>
          </w:p>
        </w:tc>
        <w:tc>
          <w:tcPr>
            <w:tcW w:w="380" w:type="dxa"/>
            <w:vAlign w:val="bottom"/>
            <w:shd w:val="clear" w:color="auto" w:fill="F4F4F4"/>
          </w:tcPr>
          <w:p>
            <w:pPr>
              <w:spacing w:after="0"/>
              <w:rPr>
                <w:sz w:val="13"/>
                <w:szCs w:val="13"/>
                <w:color w:val="auto"/>
              </w:rPr>
            </w:pPr>
          </w:p>
        </w:tc>
        <w:tc>
          <w:tcPr>
            <w:tcW w:w="660" w:type="dxa"/>
            <w:vAlign w:val="bottom"/>
            <w:shd w:val="clear" w:color="auto" w:fill="F4F4F4"/>
          </w:tcPr>
          <w:p>
            <w:pPr>
              <w:spacing w:after="0"/>
              <w:rPr>
                <w:sz w:val="13"/>
                <w:szCs w:val="13"/>
                <w:color w:val="auto"/>
              </w:rPr>
            </w:pPr>
          </w:p>
        </w:tc>
        <w:tc>
          <w:tcPr>
            <w:tcW w:w="102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F4F4F4"/>
            </w:tcBorders>
            <w:shd w:val="clear" w:color="auto" w:fill="F4F4F4"/>
          </w:tcPr>
          <w:p>
            <w:pPr>
              <w:spacing w:after="0"/>
              <w:rPr>
                <w:sz w:val="15"/>
                <w:szCs w:val="15"/>
                <w:color w:val="auto"/>
              </w:rPr>
            </w:pPr>
          </w:p>
        </w:tc>
        <w:tc>
          <w:tcPr>
            <w:tcW w:w="680" w:type="dxa"/>
            <w:vAlign w:val="bottom"/>
            <w:tcBorders>
              <w:top w:val="single" w:sz="8" w:color="F4F4F4"/>
            </w:tcBorders>
            <w:shd w:val="clear" w:color="auto" w:fill="F4F4F4"/>
          </w:tcPr>
          <w:p>
            <w:pPr>
              <w:spacing w:after="0"/>
              <w:rPr>
                <w:sz w:val="15"/>
                <w:szCs w:val="15"/>
                <w:color w:val="auto"/>
              </w:rPr>
            </w:pPr>
          </w:p>
        </w:tc>
        <w:tc>
          <w:tcPr>
            <w:tcW w:w="4380" w:type="dxa"/>
            <w:vAlign w:val="bottom"/>
            <w:tcBorders>
              <w:top w:val="single" w:sz="8" w:color="0000FF"/>
            </w:tcBorders>
            <w:gridSpan w:val="22"/>
            <w:shd w:val="clear" w:color="auto" w:fill="F4F4F4"/>
          </w:tcPr>
          <w:p>
            <w:pPr>
              <w:spacing w:after="0" w:line="156" w:lineRule="exact"/>
              <w:rPr>
                <w:rFonts w:ascii="Arial" w:cs="Arial" w:eastAsia="Arial" w:hAnsi="Arial"/>
                <w:sz w:val="18"/>
                <w:szCs w:val="18"/>
                <w:color w:val="0000FF"/>
              </w:rPr>
            </w:pPr>
            <w:hyperlink r:id="rId399">
              <w:r>
                <w:rPr>
                  <w:rFonts w:ascii="Arial" w:cs="Arial" w:eastAsia="Arial" w:hAnsi="Arial"/>
                  <w:sz w:val="18"/>
                  <w:szCs w:val="18"/>
                  <w:color w:val="0000FF"/>
                </w:rPr>
                <w:t>the secured parties referred to therein.</w:t>
              </w:r>
            </w:hyperlink>
          </w:p>
        </w:tc>
        <w:tc>
          <w:tcPr>
            <w:tcW w:w="380" w:type="dxa"/>
            <w:vAlign w:val="bottom"/>
            <w:tcBorders>
              <w:top w:val="single" w:sz="8" w:color="F4F4F4"/>
            </w:tcBorders>
            <w:gridSpan w:val="14"/>
            <w:shd w:val="clear" w:color="auto" w:fill="F4F4F4"/>
          </w:tcPr>
          <w:p>
            <w:pPr>
              <w:spacing w:after="0"/>
              <w:rPr>
                <w:sz w:val="15"/>
                <w:szCs w:val="15"/>
                <w:color w:val="auto"/>
              </w:rPr>
            </w:pPr>
          </w:p>
        </w:tc>
        <w:tc>
          <w:tcPr>
            <w:tcW w:w="1260" w:type="dxa"/>
            <w:vAlign w:val="bottom"/>
            <w:tcBorders>
              <w:top w:val="single" w:sz="8" w:color="F4F4F4"/>
            </w:tcBorders>
            <w:shd w:val="clear" w:color="auto" w:fill="F4F4F4"/>
          </w:tcPr>
          <w:p>
            <w:pPr>
              <w:spacing w:after="0"/>
              <w:rPr>
                <w:sz w:val="15"/>
                <w:szCs w:val="15"/>
                <w:color w:val="auto"/>
              </w:rPr>
            </w:pPr>
          </w:p>
        </w:tc>
        <w:tc>
          <w:tcPr>
            <w:tcW w:w="1320" w:type="dxa"/>
            <w:vAlign w:val="bottom"/>
            <w:tcBorders>
              <w:top w:val="single" w:sz="8" w:color="F4F4F4"/>
            </w:tcBorders>
            <w:shd w:val="clear" w:color="auto" w:fill="F4F4F4"/>
          </w:tcPr>
          <w:p>
            <w:pPr>
              <w:spacing w:after="0"/>
              <w:rPr>
                <w:sz w:val="15"/>
                <w:szCs w:val="15"/>
                <w:color w:val="auto"/>
              </w:rPr>
            </w:pPr>
          </w:p>
        </w:tc>
        <w:tc>
          <w:tcPr>
            <w:tcW w:w="200" w:type="dxa"/>
            <w:vAlign w:val="bottom"/>
            <w:tcBorders>
              <w:top w:val="single" w:sz="8" w:color="F4F4F4"/>
            </w:tcBorders>
            <w:shd w:val="clear" w:color="auto" w:fill="F4F4F4"/>
          </w:tcPr>
          <w:p>
            <w:pPr>
              <w:spacing w:after="0"/>
              <w:rPr>
                <w:sz w:val="15"/>
                <w:szCs w:val="15"/>
                <w:color w:val="auto"/>
              </w:rPr>
            </w:pPr>
          </w:p>
        </w:tc>
        <w:tc>
          <w:tcPr>
            <w:tcW w:w="380" w:type="dxa"/>
            <w:vAlign w:val="bottom"/>
            <w:tcBorders>
              <w:top w:val="single" w:sz="8" w:color="F4F4F4"/>
            </w:tcBorders>
            <w:shd w:val="clear" w:color="auto" w:fill="F4F4F4"/>
          </w:tcPr>
          <w:p>
            <w:pPr>
              <w:spacing w:after="0"/>
              <w:rPr>
                <w:sz w:val="15"/>
                <w:szCs w:val="15"/>
                <w:color w:val="auto"/>
              </w:rPr>
            </w:pPr>
          </w:p>
        </w:tc>
        <w:tc>
          <w:tcPr>
            <w:tcW w:w="660" w:type="dxa"/>
            <w:vAlign w:val="bottom"/>
            <w:tcBorders>
              <w:top w:val="single" w:sz="8" w:color="F4F4F4"/>
            </w:tcBorders>
            <w:shd w:val="clear" w:color="auto" w:fill="F4F4F4"/>
          </w:tcPr>
          <w:p>
            <w:pPr>
              <w:spacing w:after="0"/>
              <w:rPr>
                <w:sz w:val="15"/>
                <w:szCs w:val="15"/>
                <w:color w:val="auto"/>
              </w:rPr>
            </w:pPr>
          </w:p>
        </w:tc>
        <w:tc>
          <w:tcPr>
            <w:tcW w:w="1020" w:type="dxa"/>
            <w:vAlign w:val="bottom"/>
            <w:tcBorders>
              <w:top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703"/>
        </w:trPr>
        <w:tc>
          <w:tcPr>
            <w:tcW w:w="960" w:type="dxa"/>
            <w:vAlign w:val="bottom"/>
            <w:tcBorders>
              <w:top w:val="single" w:sz="8" w:color="F4F4F4"/>
            </w:tcBorders>
          </w:tcPr>
          <w:p>
            <w:pPr>
              <w:spacing w:after="0"/>
              <w:rPr>
                <w:sz w:val="24"/>
                <w:szCs w:val="24"/>
                <w:color w:val="auto"/>
              </w:rPr>
            </w:pPr>
          </w:p>
        </w:tc>
        <w:tc>
          <w:tcPr>
            <w:tcW w:w="680" w:type="dxa"/>
            <w:vAlign w:val="bottom"/>
            <w:tcBorders>
              <w:top w:val="single" w:sz="8" w:color="F4F4F4"/>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20" w:type="dxa"/>
            <w:vAlign w:val="bottom"/>
            <w:tcBorders>
              <w:top w:val="single" w:sz="8" w:color="F4F4F4"/>
            </w:tcBorders>
          </w:tcPr>
          <w:p>
            <w:pPr>
              <w:spacing w:after="0"/>
              <w:rPr>
                <w:sz w:val="24"/>
                <w:szCs w:val="24"/>
                <w:color w:val="auto"/>
              </w:rPr>
            </w:pPr>
          </w:p>
        </w:tc>
        <w:tc>
          <w:tcPr>
            <w:tcW w:w="80" w:type="dxa"/>
            <w:vAlign w:val="bottom"/>
            <w:tcBorders>
              <w:top w:val="single" w:sz="8" w:color="F4F4F4"/>
            </w:tcBorders>
          </w:tcPr>
          <w:p>
            <w:pPr>
              <w:spacing w:after="0"/>
              <w:rPr>
                <w:sz w:val="24"/>
                <w:szCs w:val="24"/>
                <w:color w:val="auto"/>
              </w:rPr>
            </w:pPr>
          </w:p>
        </w:tc>
        <w:tc>
          <w:tcPr>
            <w:tcW w:w="14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60" w:type="dxa"/>
            <w:vAlign w:val="bottom"/>
            <w:tcBorders>
              <w:top w:val="single" w:sz="8" w:color="F4F4F4"/>
            </w:tcBorders>
          </w:tcPr>
          <w:p>
            <w:pPr>
              <w:spacing w:after="0"/>
              <w:rPr>
                <w:sz w:val="24"/>
                <w:szCs w:val="24"/>
                <w:color w:val="auto"/>
              </w:rPr>
            </w:pPr>
          </w:p>
        </w:tc>
        <w:tc>
          <w:tcPr>
            <w:tcW w:w="60" w:type="dxa"/>
            <w:vAlign w:val="bottom"/>
            <w:tcBorders>
              <w:top w:val="single" w:sz="8" w:color="F4F4F4"/>
            </w:tcBorders>
          </w:tcPr>
          <w:p>
            <w:pPr>
              <w:spacing w:after="0"/>
              <w:rPr>
                <w:sz w:val="24"/>
                <w:szCs w:val="24"/>
                <w:color w:val="auto"/>
              </w:rPr>
            </w:pPr>
          </w:p>
        </w:tc>
        <w:tc>
          <w:tcPr>
            <w:tcW w:w="40" w:type="dxa"/>
            <w:vAlign w:val="bottom"/>
            <w:tcBorders>
              <w:top w:val="single" w:sz="8" w:color="F4F4F4"/>
            </w:tcBorders>
          </w:tcPr>
          <w:p>
            <w:pPr>
              <w:spacing w:after="0"/>
              <w:rPr>
                <w:sz w:val="24"/>
                <w:szCs w:val="24"/>
                <w:color w:val="auto"/>
              </w:rPr>
            </w:pPr>
          </w:p>
        </w:tc>
        <w:tc>
          <w:tcPr>
            <w:tcW w:w="60" w:type="dxa"/>
            <w:vAlign w:val="bottom"/>
            <w:tcBorders>
              <w:top w:val="single" w:sz="8" w:color="F4F4F4"/>
            </w:tcBorders>
          </w:tcPr>
          <w:p>
            <w:pPr>
              <w:spacing w:after="0"/>
              <w:rPr>
                <w:sz w:val="24"/>
                <w:szCs w:val="24"/>
                <w:color w:val="auto"/>
              </w:rPr>
            </w:pPr>
          </w:p>
        </w:tc>
        <w:tc>
          <w:tcPr>
            <w:tcW w:w="4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6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4294967277"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20" w:type="dxa"/>
            <w:vAlign w:val="bottom"/>
            <w:tcBorders>
              <w:top w:val="single" w:sz="8" w:color="F4F4F4"/>
            </w:tcBorders>
          </w:tcPr>
          <w:p>
            <w:pPr>
              <w:spacing w:after="0"/>
              <w:rPr>
                <w:sz w:val="24"/>
                <w:szCs w:val="24"/>
                <w:color w:val="auto"/>
              </w:rPr>
            </w:pPr>
          </w:p>
        </w:tc>
        <w:tc>
          <w:tcPr>
            <w:tcW w:w="120" w:type="dxa"/>
            <w:vAlign w:val="bottom"/>
            <w:tcBorders>
              <w:top w:val="single" w:sz="8" w:color="F4F4F4"/>
            </w:tcBorders>
          </w:tcPr>
          <w:p>
            <w:pPr>
              <w:spacing w:after="0"/>
              <w:rPr>
                <w:sz w:val="24"/>
                <w:szCs w:val="24"/>
                <w:color w:val="auto"/>
              </w:rPr>
            </w:pPr>
          </w:p>
        </w:tc>
        <w:tc>
          <w:tcPr>
            <w:tcW w:w="1260" w:type="dxa"/>
            <w:vAlign w:val="bottom"/>
            <w:tcBorders>
              <w:top w:val="single" w:sz="8" w:color="F4F4F4"/>
            </w:tcBorders>
          </w:tcPr>
          <w:p>
            <w:pPr>
              <w:spacing w:after="0"/>
              <w:rPr>
                <w:sz w:val="24"/>
                <w:szCs w:val="24"/>
                <w:color w:val="auto"/>
              </w:rPr>
            </w:pPr>
          </w:p>
        </w:tc>
        <w:tc>
          <w:tcPr>
            <w:tcW w:w="1900" w:type="dxa"/>
            <w:vAlign w:val="bottom"/>
            <w:tcBorders>
              <w:top w:val="single" w:sz="8" w:color="F4F4F4"/>
            </w:tcBorders>
            <w:gridSpan w:val="3"/>
          </w:tcPr>
          <w:p>
            <w:pPr>
              <w:ind w:left="760"/>
              <w:spacing w:after="0"/>
              <w:rPr>
                <w:sz w:val="20"/>
                <w:szCs w:val="20"/>
                <w:color w:val="auto"/>
              </w:rPr>
            </w:pPr>
            <w:r>
              <w:rPr>
                <w:rFonts w:ascii="Arial" w:cs="Arial" w:eastAsia="Arial" w:hAnsi="Arial"/>
                <w:sz w:val="14"/>
                <w:szCs w:val="14"/>
                <w:color w:val="auto"/>
              </w:rPr>
              <w:t>2020 Form 10-K</w:t>
            </w:r>
          </w:p>
        </w:tc>
        <w:tc>
          <w:tcPr>
            <w:tcW w:w="660" w:type="dxa"/>
            <w:vAlign w:val="bottom"/>
            <w:tcBorders>
              <w:top w:val="single" w:sz="8" w:color="F4F4F4"/>
            </w:tcBorders>
          </w:tcPr>
          <w:p>
            <w:pPr>
              <w:spacing w:after="0"/>
              <w:rPr>
                <w:sz w:val="24"/>
                <w:szCs w:val="24"/>
                <w:color w:val="auto"/>
              </w:rPr>
            </w:pPr>
          </w:p>
        </w:tc>
        <w:tc>
          <w:tcPr>
            <w:tcW w:w="1020" w:type="dxa"/>
            <w:vAlign w:val="bottom"/>
            <w:tcBorders>
              <w:top w:val="single" w:sz="8" w:color="F4F4F4"/>
            </w:tcBorders>
          </w:tcPr>
          <w:p>
            <w:pPr>
              <w:jc w:val="right"/>
              <w:ind w:right="8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303"/>
        </w:trPr>
        <w:tc>
          <w:tcPr>
            <w:tcW w:w="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-6797040</wp:posOffset>
            </wp:positionV>
            <wp:extent cx="307721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-385445</wp:posOffset>
            </wp:positionV>
            <wp:extent cx="728980"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 w:type="dxa"/>
            <w:vAlign w:val="bottom"/>
            <w:tcBorders>
              <w:top w:val="single" w:sz="8" w:color="71BF43"/>
            </w:tcBorders>
            <w:shd w:val="clear" w:color="auto" w:fill="ACACAC"/>
          </w:tcPr>
          <w:p>
            <w:pPr>
              <w:spacing w:after="0"/>
              <w:rPr>
                <w:sz w:val="21"/>
                <w:szCs w:val="21"/>
                <w:color w:val="auto"/>
              </w:rPr>
            </w:pPr>
          </w:p>
        </w:tc>
        <w:tc>
          <w:tcPr>
            <w:tcW w:w="440" w:type="dxa"/>
            <w:vAlign w:val="bottom"/>
            <w:tcBorders>
              <w:top w:val="single" w:sz="8" w:color="71BF43"/>
            </w:tcBorders>
            <w:shd w:val="clear" w:color="auto" w:fill="ACACAC"/>
          </w:tcPr>
          <w:p>
            <w:pPr>
              <w:spacing w:after="0"/>
              <w:rPr>
                <w:sz w:val="21"/>
                <w:szCs w:val="21"/>
                <w:color w:val="auto"/>
              </w:rPr>
            </w:pPr>
          </w:p>
        </w:tc>
        <w:tc>
          <w:tcPr>
            <w:tcW w:w="680" w:type="dxa"/>
            <w:vAlign w:val="bottom"/>
            <w:tcBorders>
              <w:top w:val="single" w:sz="8" w:color="71BF43"/>
              <w:left w:val="single" w:sz="8" w:color="ACACAC"/>
            </w:tcBorders>
            <w:shd w:val="clear" w:color="auto" w:fill="ACACAC"/>
          </w:tcPr>
          <w:p>
            <w:pPr>
              <w:spacing w:after="0"/>
              <w:rPr>
                <w:sz w:val="21"/>
                <w:szCs w:val="21"/>
                <w:color w:val="auto"/>
              </w:rPr>
            </w:pPr>
          </w:p>
        </w:tc>
        <w:tc>
          <w:tcPr>
            <w:tcW w:w="280" w:type="dxa"/>
            <w:vAlign w:val="bottom"/>
            <w:tcBorders>
              <w:top w:val="single" w:sz="8" w:color="71BF43"/>
            </w:tcBorders>
            <w:shd w:val="clear" w:color="auto" w:fill="ACACAC"/>
          </w:tcPr>
          <w:p>
            <w:pPr>
              <w:spacing w:after="0"/>
              <w:rPr>
                <w:sz w:val="21"/>
                <w:szCs w:val="21"/>
                <w:color w:val="auto"/>
              </w:rPr>
            </w:pPr>
          </w:p>
        </w:tc>
        <w:tc>
          <w:tcPr>
            <w:tcW w:w="100" w:type="dxa"/>
            <w:vAlign w:val="bottom"/>
            <w:tcBorders>
              <w:top w:val="single" w:sz="8" w:color="71BF43"/>
            </w:tcBorders>
            <w:shd w:val="clear" w:color="auto" w:fill="ACACAC"/>
          </w:tcPr>
          <w:p>
            <w:pPr>
              <w:spacing w:after="0"/>
              <w:rPr>
                <w:sz w:val="21"/>
                <w:szCs w:val="21"/>
                <w:color w:val="auto"/>
              </w:rPr>
            </w:pPr>
          </w:p>
        </w:tc>
        <w:tc>
          <w:tcPr>
            <w:tcW w:w="840" w:type="dxa"/>
            <w:vAlign w:val="bottom"/>
            <w:tcBorders>
              <w:top w:val="single" w:sz="8" w:color="71BF43"/>
            </w:tcBorders>
            <w:shd w:val="clear" w:color="auto" w:fill="ACACAC"/>
          </w:tcPr>
          <w:p>
            <w:pPr>
              <w:spacing w:after="0"/>
              <w:rPr>
                <w:sz w:val="21"/>
                <w:szCs w:val="21"/>
                <w:color w:val="auto"/>
              </w:rPr>
            </w:pPr>
          </w:p>
        </w:tc>
        <w:tc>
          <w:tcPr>
            <w:tcW w:w="180" w:type="dxa"/>
            <w:vAlign w:val="bottom"/>
            <w:tcBorders>
              <w:top w:val="single" w:sz="8" w:color="71BF43"/>
            </w:tcBorders>
            <w:shd w:val="clear" w:color="auto" w:fill="ACACAC"/>
          </w:tcPr>
          <w:p>
            <w:pPr>
              <w:spacing w:after="0"/>
              <w:rPr>
                <w:sz w:val="21"/>
                <w:szCs w:val="21"/>
                <w:color w:val="auto"/>
              </w:rPr>
            </w:pPr>
          </w:p>
        </w:tc>
        <w:tc>
          <w:tcPr>
            <w:tcW w:w="340" w:type="dxa"/>
            <w:vAlign w:val="bottom"/>
            <w:tcBorders>
              <w:top w:val="single" w:sz="8" w:color="71BF43"/>
            </w:tcBorders>
            <w:shd w:val="clear" w:color="auto" w:fill="ACACAC"/>
          </w:tcPr>
          <w:p>
            <w:pPr>
              <w:spacing w:after="0"/>
              <w:rPr>
                <w:sz w:val="21"/>
                <w:szCs w:val="21"/>
                <w:color w:val="auto"/>
              </w:rPr>
            </w:pPr>
          </w:p>
        </w:tc>
        <w:tc>
          <w:tcPr>
            <w:tcW w:w="600" w:type="dxa"/>
            <w:vAlign w:val="bottom"/>
            <w:tcBorders>
              <w:top w:val="single" w:sz="8" w:color="71BF43"/>
            </w:tcBorders>
            <w:shd w:val="clear" w:color="auto" w:fill="ACACAC"/>
          </w:tcPr>
          <w:p>
            <w:pPr>
              <w:spacing w:after="0"/>
              <w:rPr>
                <w:sz w:val="21"/>
                <w:szCs w:val="21"/>
                <w:color w:val="auto"/>
              </w:rPr>
            </w:pPr>
          </w:p>
        </w:tc>
        <w:tc>
          <w:tcPr>
            <w:tcW w:w="580" w:type="dxa"/>
            <w:vAlign w:val="bottom"/>
            <w:tcBorders>
              <w:top w:val="single" w:sz="8" w:color="71BF43"/>
            </w:tcBorders>
            <w:shd w:val="clear" w:color="auto" w:fill="ACACAC"/>
          </w:tcPr>
          <w:p>
            <w:pPr>
              <w:spacing w:after="0"/>
              <w:rPr>
                <w:sz w:val="21"/>
                <w:szCs w:val="21"/>
                <w:color w:val="auto"/>
              </w:rPr>
            </w:pPr>
          </w:p>
        </w:tc>
        <w:tc>
          <w:tcPr>
            <w:tcW w:w="200" w:type="dxa"/>
            <w:vAlign w:val="bottom"/>
            <w:tcBorders>
              <w:top w:val="single" w:sz="8" w:color="71BF43"/>
            </w:tcBorders>
            <w:shd w:val="clear" w:color="auto" w:fill="ACACAC"/>
          </w:tcPr>
          <w:p>
            <w:pPr>
              <w:spacing w:after="0"/>
              <w:rPr>
                <w:sz w:val="21"/>
                <w:szCs w:val="21"/>
                <w:color w:val="auto"/>
              </w:rPr>
            </w:pPr>
          </w:p>
        </w:tc>
        <w:tc>
          <w:tcPr>
            <w:tcW w:w="260" w:type="dxa"/>
            <w:vAlign w:val="bottom"/>
            <w:tcBorders>
              <w:top w:val="single" w:sz="8" w:color="71BF43"/>
            </w:tcBorders>
            <w:shd w:val="clear" w:color="auto" w:fill="ACACAC"/>
          </w:tcPr>
          <w:p>
            <w:pPr>
              <w:spacing w:after="0"/>
              <w:rPr>
                <w:sz w:val="21"/>
                <w:szCs w:val="21"/>
                <w:color w:val="auto"/>
              </w:rPr>
            </w:pPr>
          </w:p>
        </w:tc>
        <w:tc>
          <w:tcPr>
            <w:tcW w:w="360" w:type="dxa"/>
            <w:vAlign w:val="bottom"/>
            <w:tcBorders>
              <w:top w:val="single" w:sz="8" w:color="71BF43"/>
            </w:tcBorders>
            <w:shd w:val="clear" w:color="auto" w:fill="ACACAC"/>
          </w:tcPr>
          <w:p>
            <w:pPr>
              <w:spacing w:after="0"/>
              <w:rPr>
                <w:sz w:val="21"/>
                <w:szCs w:val="21"/>
                <w:color w:val="auto"/>
              </w:rPr>
            </w:pPr>
          </w:p>
        </w:tc>
        <w:tc>
          <w:tcPr>
            <w:tcW w:w="40" w:type="dxa"/>
            <w:vAlign w:val="bottom"/>
            <w:tcBorders>
              <w:top w:val="single" w:sz="8" w:color="71BF43"/>
            </w:tcBorders>
            <w:shd w:val="clear" w:color="auto" w:fill="ACACAC"/>
          </w:tcPr>
          <w:p>
            <w:pPr>
              <w:spacing w:after="0"/>
              <w:rPr>
                <w:sz w:val="21"/>
                <w:szCs w:val="21"/>
                <w:color w:val="auto"/>
              </w:rPr>
            </w:pPr>
          </w:p>
        </w:tc>
        <w:tc>
          <w:tcPr>
            <w:tcW w:w="240" w:type="dxa"/>
            <w:vAlign w:val="bottom"/>
            <w:tcBorders>
              <w:top w:val="single" w:sz="8" w:color="71BF43"/>
            </w:tcBorders>
            <w:shd w:val="clear" w:color="auto" w:fill="ACACAC"/>
          </w:tcPr>
          <w:p>
            <w:pPr>
              <w:spacing w:after="0"/>
              <w:rPr>
                <w:sz w:val="21"/>
                <w:szCs w:val="21"/>
                <w:color w:val="auto"/>
              </w:rPr>
            </w:pPr>
          </w:p>
        </w:tc>
        <w:tc>
          <w:tcPr>
            <w:tcW w:w="60" w:type="dxa"/>
            <w:vAlign w:val="bottom"/>
            <w:tcBorders>
              <w:top w:val="single" w:sz="8" w:color="71BF43"/>
            </w:tcBorders>
            <w:shd w:val="clear" w:color="auto" w:fill="ACACAC"/>
          </w:tcPr>
          <w:p>
            <w:pPr>
              <w:spacing w:after="0"/>
              <w:rPr>
                <w:sz w:val="21"/>
                <w:szCs w:val="21"/>
                <w:color w:val="auto"/>
              </w:rPr>
            </w:pPr>
          </w:p>
        </w:tc>
        <w:tc>
          <w:tcPr>
            <w:tcW w:w="120" w:type="dxa"/>
            <w:vAlign w:val="bottom"/>
            <w:tcBorders>
              <w:top w:val="single" w:sz="8" w:color="71BF43"/>
            </w:tcBorders>
            <w:shd w:val="clear" w:color="auto" w:fill="ACACAC"/>
          </w:tcPr>
          <w:p>
            <w:pPr>
              <w:spacing w:after="0"/>
              <w:rPr>
                <w:sz w:val="21"/>
                <w:szCs w:val="21"/>
                <w:color w:val="auto"/>
              </w:rPr>
            </w:pPr>
          </w:p>
        </w:tc>
        <w:tc>
          <w:tcPr>
            <w:tcW w:w="40" w:type="dxa"/>
            <w:vAlign w:val="bottom"/>
            <w:tcBorders>
              <w:top w:val="single" w:sz="8" w:color="71BF43"/>
              <w:right w:val="single" w:sz="8" w:color="ACACAC"/>
            </w:tcBorders>
            <w:shd w:val="clear" w:color="auto" w:fill="ACACAC"/>
          </w:tcPr>
          <w:p>
            <w:pPr>
              <w:spacing w:after="0"/>
              <w:rPr>
                <w:sz w:val="21"/>
                <w:szCs w:val="21"/>
                <w:color w:val="auto"/>
              </w:rPr>
            </w:pPr>
          </w:p>
        </w:tc>
        <w:tc>
          <w:tcPr>
            <w:tcW w:w="40" w:type="dxa"/>
            <w:vAlign w:val="bottom"/>
            <w:tcBorders>
              <w:top w:val="single" w:sz="8" w:color="71BF43"/>
            </w:tcBorders>
            <w:shd w:val="clear" w:color="auto" w:fill="ACACAC"/>
          </w:tcPr>
          <w:p>
            <w:pPr>
              <w:spacing w:after="0"/>
              <w:rPr>
                <w:sz w:val="21"/>
                <w:szCs w:val="21"/>
                <w:color w:val="auto"/>
              </w:rPr>
            </w:pPr>
          </w:p>
        </w:tc>
        <w:tc>
          <w:tcPr>
            <w:tcW w:w="60" w:type="dxa"/>
            <w:vAlign w:val="bottom"/>
            <w:tcBorders>
              <w:top w:val="single" w:sz="8" w:color="71BF43"/>
            </w:tcBorders>
            <w:shd w:val="clear" w:color="auto" w:fill="ACACAC"/>
          </w:tcPr>
          <w:p>
            <w:pPr>
              <w:spacing w:after="0"/>
              <w:rPr>
                <w:sz w:val="21"/>
                <w:szCs w:val="21"/>
                <w:color w:val="auto"/>
              </w:rPr>
            </w:pPr>
          </w:p>
        </w:tc>
        <w:tc>
          <w:tcPr>
            <w:tcW w:w="4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10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20" w:type="dxa"/>
            <w:vAlign w:val="bottom"/>
            <w:tcBorders>
              <w:top w:val="single" w:sz="8" w:color="71BF43"/>
            </w:tcBorders>
            <w:shd w:val="clear" w:color="auto" w:fill="ACACAC"/>
          </w:tcPr>
          <w:p>
            <w:pPr>
              <w:spacing w:after="0"/>
              <w:rPr>
                <w:sz w:val="21"/>
                <w:szCs w:val="21"/>
                <w:color w:val="auto"/>
              </w:rPr>
            </w:pPr>
          </w:p>
        </w:tc>
        <w:tc>
          <w:tcPr>
            <w:tcW w:w="1260" w:type="dxa"/>
            <w:vAlign w:val="bottom"/>
            <w:tcBorders>
              <w:top w:val="single" w:sz="8" w:color="71BF43"/>
            </w:tcBorders>
            <w:shd w:val="clear" w:color="auto" w:fill="ACACAC"/>
          </w:tcPr>
          <w:p>
            <w:pPr>
              <w:spacing w:after="0"/>
              <w:rPr>
                <w:sz w:val="21"/>
                <w:szCs w:val="21"/>
                <w:color w:val="auto"/>
              </w:rPr>
            </w:pPr>
          </w:p>
        </w:tc>
        <w:tc>
          <w:tcPr>
            <w:tcW w:w="1520" w:type="dxa"/>
            <w:vAlign w:val="bottom"/>
            <w:tcBorders>
              <w:top w:val="single" w:sz="8" w:color="71BF43"/>
            </w:tcBorders>
            <w:shd w:val="clear" w:color="auto" w:fill="ACACAC"/>
          </w:tcPr>
          <w:p>
            <w:pPr>
              <w:jc w:val="right"/>
              <w:ind w:right="32"/>
              <w:spacing w:after="0"/>
              <w:rPr>
                <w:sz w:val="20"/>
                <w:szCs w:val="20"/>
                <w:color w:val="auto"/>
              </w:rPr>
            </w:pPr>
            <w:r>
              <w:rPr>
                <w:rFonts w:ascii="Arial" w:cs="Arial" w:eastAsia="Arial" w:hAnsi="Arial"/>
                <w:sz w:val="14"/>
                <w:szCs w:val="14"/>
                <w:b w:val="1"/>
                <w:bCs w:val="1"/>
                <w:color w:val="FFFFFF"/>
              </w:rPr>
              <w:t>Filed In</w:t>
            </w:r>
          </w:p>
        </w:tc>
        <w:tc>
          <w:tcPr>
            <w:tcW w:w="1160" w:type="dxa"/>
            <w:vAlign w:val="bottom"/>
            <w:tcBorders>
              <w:top w:val="single" w:sz="8" w:color="71BF43"/>
            </w:tcBorders>
            <w:shd w:val="clear" w:color="auto" w:fill="ACACAC"/>
          </w:tcPr>
          <w:p>
            <w:pPr>
              <w:spacing w:after="0"/>
              <w:rPr>
                <w:sz w:val="21"/>
                <w:szCs w:val="21"/>
                <w:color w:val="auto"/>
              </w:rPr>
            </w:pPr>
          </w:p>
        </w:tc>
        <w:tc>
          <w:tcPr>
            <w:tcW w:w="900" w:type="dxa"/>
            <w:vAlign w:val="bottom"/>
            <w:tcBorders>
              <w:top w:val="single" w:sz="8" w:color="71BF43"/>
            </w:tcBorders>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940" w:type="dxa"/>
            <w:vAlign w:val="bottom"/>
            <w:gridSpan w:val="2"/>
            <w:shd w:val="clear" w:color="auto" w:fill="ACACAC"/>
          </w:tcPr>
          <w:p>
            <w:pPr>
              <w:ind w:left="420"/>
              <w:spacing w:after="0"/>
              <w:rPr>
                <w:sz w:val="20"/>
                <w:szCs w:val="20"/>
                <w:color w:val="auto"/>
              </w:rPr>
            </w:pPr>
            <w:r>
              <w:rPr>
                <w:rFonts w:ascii="Arial" w:cs="Arial" w:eastAsia="Arial" w:hAnsi="Arial"/>
                <w:sz w:val="14"/>
                <w:szCs w:val="14"/>
                <w:b w:val="1"/>
                <w:bCs w:val="1"/>
                <w:color w:val="FFFFFF"/>
              </w:rPr>
              <w:t>Exhibit</w:t>
            </w:r>
          </w:p>
        </w:tc>
        <w:tc>
          <w:tcPr>
            <w:tcW w:w="680" w:type="dxa"/>
            <w:vAlign w:val="bottom"/>
            <w:tcBorders>
              <w:left w:val="single" w:sz="8" w:color="ACACAC"/>
            </w:tcBorders>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840" w:type="dxa"/>
            <w:vAlign w:val="bottom"/>
            <w:shd w:val="clear" w:color="auto" w:fill="ACACAC"/>
          </w:tcPr>
          <w:p>
            <w:pPr>
              <w:spacing w:after="0"/>
              <w:rPr>
                <w:sz w:val="14"/>
                <w:szCs w:val="14"/>
                <w:color w:val="auto"/>
              </w:rPr>
            </w:pPr>
          </w:p>
        </w:tc>
        <w:tc>
          <w:tcPr>
            <w:tcW w:w="180" w:type="dxa"/>
            <w:vAlign w:val="bottom"/>
            <w:shd w:val="clear" w:color="auto" w:fill="ACACAC"/>
          </w:tcPr>
          <w:p>
            <w:pPr>
              <w:spacing w:after="0"/>
              <w:rPr>
                <w:sz w:val="14"/>
                <w:szCs w:val="14"/>
                <w:color w:val="auto"/>
              </w:rPr>
            </w:pPr>
          </w:p>
        </w:tc>
        <w:tc>
          <w:tcPr>
            <w:tcW w:w="3380" w:type="dxa"/>
            <w:vAlign w:val="bottom"/>
            <w:gridSpan w:val="30"/>
            <w:vMerge w:val="restart"/>
            <w:shd w:val="clear" w:color="auto" w:fill="ACACAC"/>
          </w:tcPr>
          <w:p>
            <w:pPr>
              <w:ind w:left="60"/>
              <w:spacing w:after="0"/>
              <w:rPr>
                <w:sz w:val="20"/>
                <w:szCs w:val="20"/>
                <w:color w:val="auto"/>
              </w:rPr>
            </w:pPr>
            <w:r>
              <w:rPr>
                <w:rFonts w:ascii="Arial" w:cs="Arial" w:eastAsia="Arial" w:hAnsi="Arial"/>
                <w:sz w:val="14"/>
                <w:szCs w:val="14"/>
                <w:b w:val="1"/>
                <w:bCs w:val="1"/>
                <w:color w:val="FFFFFF"/>
              </w:rPr>
              <w:t>Description of Document</w:t>
            </w:r>
          </w:p>
        </w:tc>
        <w:tc>
          <w:tcPr>
            <w:tcW w:w="1260" w:type="dxa"/>
            <w:vAlign w:val="bottom"/>
            <w:shd w:val="clear" w:color="auto" w:fill="ACACAC"/>
          </w:tcPr>
          <w:p>
            <w:pPr>
              <w:jc w:val="center"/>
              <w:ind w:right="72"/>
              <w:spacing w:after="0"/>
              <w:rPr>
                <w:sz w:val="20"/>
                <w:szCs w:val="20"/>
                <w:color w:val="auto"/>
              </w:rPr>
            </w:pPr>
            <w:r>
              <w:rPr>
                <w:rFonts w:ascii="Arial" w:cs="Arial" w:eastAsia="Arial" w:hAnsi="Arial"/>
                <w:sz w:val="14"/>
                <w:szCs w:val="14"/>
                <w:b w:val="1"/>
                <w:bCs w:val="1"/>
                <w:color w:val="FFFFFF"/>
              </w:rPr>
              <w:t>Registrant’s</w:t>
            </w:r>
          </w:p>
        </w:tc>
        <w:tc>
          <w:tcPr>
            <w:tcW w:w="1520" w:type="dxa"/>
            <w:vAlign w:val="bottom"/>
            <w:vMerge w:val="restart"/>
            <w:shd w:val="clear" w:color="auto" w:fill="ACACAC"/>
          </w:tcPr>
          <w:p>
            <w:pPr>
              <w:jc w:val="right"/>
              <w:ind w:right="252"/>
              <w:spacing w:after="0"/>
              <w:rPr>
                <w:sz w:val="20"/>
                <w:szCs w:val="20"/>
                <w:color w:val="auto"/>
              </w:rPr>
            </w:pPr>
            <w:r>
              <w:rPr>
                <w:rFonts w:ascii="Arial" w:cs="Arial" w:eastAsia="Arial" w:hAnsi="Arial"/>
                <w:sz w:val="14"/>
                <w:szCs w:val="14"/>
                <w:b w:val="1"/>
                <w:bCs w:val="1"/>
                <w:color w:val="FFFFFF"/>
              </w:rPr>
              <w:t>Dated</w:t>
            </w:r>
          </w:p>
        </w:tc>
        <w:tc>
          <w:tcPr>
            <w:tcW w:w="1160" w:type="dxa"/>
            <w:vAlign w:val="bottom"/>
            <w:shd w:val="clear" w:color="auto" w:fill="ACACAC"/>
          </w:tcPr>
          <w:p>
            <w:pPr>
              <w:jc w:val="right"/>
              <w:ind w:right="52"/>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Filed</w:t>
            </w:r>
          </w:p>
        </w:tc>
        <w:tc>
          <w:tcPr>
            <w:tcW w:w="0" w:type="dxa"/>
            <w:vAlign w:val="bottom"/>
          </w:tcPr>
          <w:p>
            <w:pPr>
              <w:spacing w:after="0"/>
              <w:rPr>
                <w:sz w:val="1"/>
                <w:szCs w:val="1"/>
                <w:color w:val="auto"/>
              </w:rPr>
            </w:pPr>
          </w:p>
        </w:tc>
      </w:tr>
      <w:tr>
        <w:trPr>
          <w:trHeight w:val="176"/>
        </w:trPr>
        <w:tc>
          <w:tcPr>
            <w:tcW w:w="9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680" w:type="dxa"/>
            <w:vAlign w:val="bottom"/>
            <w:tcBorders>
              <w:left w:val="single" w:sz="8" w:color="ACACAC"/>
            </w:tcBorders>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100" w:type="dxa"/>
            <w:vAlign w:val="bottom"/>
            <w:shd w:val="clear" w:color="auto" w:fill="ACACAC"/>
          </w:tcPr>
          <w:p>
            <w:pPr>
              <w:spacing w:after="0"/>
              <w:rPr>
                <w:sz w:val="15"/>
                <w:szCs w:val="15"/>
                <w:color w:val="auto"/>
              </w:rPr>
            </w:pPr>
          </w:p>
        </w:tc>
        <w:tc>
          <w:tcPr>
            <w:tcW w:w="84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3380" w:type="dxa"/>
            <w:vAlign w:val="bottom"/>
            <w:gridSpan w:val="30"/>
            <w:vMerge w:val="continue"/>
            <w:shd w:val="clear" w:color="auto" w:fill="ACACAC"/>
          </w:tcPr>
          <w:p>
            <w:pPr>
              <w:spacing w:after="0"/>
              <w:rPr>
                <w:sz w:val="15"/>
                <w:szCs w:val="15"/>
                <w:color w:val="auto"/>
              </w:rPr>
            </w:pPr>
          </w:p>
        </w:tc>
        <w:tc>
          <w:tcPr>
            <w:tcW w:w="1260" w:type="dxa"/>
            <w:vAlign w:val="bottom"/>
            <w:shd w:val="clear" w:color="auto" w:fill="ACACAC"/>
          </w:tcPr>
          <w:p>
            <w:pPr>
              <w:jc w:val="center"/>
              <w:ind w:right="92"/>
              <w:spacing w:after="0"/>
              <w:rPr>
                <w:sz w:val="20"/>
                <w:szCs w:val="20"/>
                <w:color w:val="auto"/>
              </w:rPr>
            </w:pPr>
            <w:r>
              <w:rPr>
                <w:rFonts w:ascii="Arial" w:cs="Arial" w:eastAsia="Arial" w:hAnsi="Arial"/>
                <w:sz w:val="14"/>
                <w:szCs w:val="14"/>
                <w:b w:val="1"/>
                <w:bCs w:val="1"/>
                <w:color w:val="FFFFFF"/>
              </w:rPr>
              <w:t>Form</w:t>
            </w:r>
          </w:p>
        </w:tc>
        <w:tc>
          <w:tcPr>
            <w:tcW w:w="1520" w:type="dxa"/>
            <w:vAlign w:val="bottom"/>
            <w:vMerge w:val="continue"/>
            <w:shd w:val="clear" w:color="auto" w:fill="ACACAC"/>
          </w:tcPr>
          <w:p>
            <w:pPr>
              <w:spacing w:after="0"/>
              <w:rPr>
                <w:sz w:val="15"/>
                <w:szCs w:val="15"/>
                <w:color w:val="auto"/>
              </w:rPr>
            </w:pPr>
          </w:p>
        </w:tc>
        <w:tc>
          <w:tcPr>
            <w:tcW w:w="1160" w:type="dxa"/>
            <w:vAlign w:val="bottom"/>
            <w:shd w:val="clear" w:color="auto" w:fill="ACACAC"/>
          </w:tcPr>
          <w:p>
            <w:pPr>
              <w:jc w:val="right"/>
              <w:ind w:right="52"/>
              <w:spacing w:after="0"/>
              <w:rPr>
                <w:sz w:val="20"/>
                <w:szCs w:val="20"/>
                <w:color w:val="auto"/>
              </w:rPr>
            </w:pPr>
            <w:r>
              <w:rPr>
                <w:rFonts w:ascii="Arial" w:cs="Arial" w:eastAsia="Arial" w:hAnsi="Arial"/>
                <w:sz w:val="14"/>
                <w:szCs w:val="14"/>
                <w:b w:val="1"/>
                <w:bCs w:val="1"/>
                <w:color w:val="FFFFFF"/>
              </w:rPr>
              <w:t>Number</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Herewith</w:t>
            </w:r>
          </w:p>
        </w:tc>
        <w:tc>
          <w:tcPr>
            <w:tcW w:w="0" w:type="dxa"/>
            <w:vAlign w:val="bottom"/>
          </w:tcPr>
          <w:p>
            <w:pPr>
              <w:spacing w:after="0"/>
              <w:rPr>
                <w:sz w:val="1"/>
                <w:szCs w:val="1"/>
                <w:color w:val="auto"/>
              </w:rPr>
            </w:pPr>
          </w:p>
        </w:tc>
      </w:tr>
      <w:tr>
        <w:trPr>
          <w:trHeight w:val="189"/>
        </w:trPr>
        <w:tc>
          <w:tcPr>
            <w:tcW w:w="940" w:type="dxa"/>
            <w:vAlign w:val="bottom"/>
            <w:gridSpan w:val="2"/>
          </w:tcPr>
          <w:p>
            <w:pPr>
              <w:jc w:val="right"/>
              <w:spacing w:after="0" w:line="189" w:lineRule="exact"/>
              <w:rPr>
                <w:rFonts w:ascii="Arial" w:cs="Arial" w:eastAsia="Arial" w:hAnsi="Arial"/>
                <w:sz w:val="18"/>
                <w:szCs w:val="18"/>
                <w:color w:val="0000FF"/>
              </w:rPr>
            </w:pPr>
            <w:hyperlink r:id="rId404">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68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4780" w:type="dxa"/>
            <w:vAlign w:val="bottom"/>
            <w:gridSpan w:val="34"/>
          </w:tcPr>
          <w:p>
            <w:pPr>
              <w:spacing w:after="0" w:line="189" w:lineRule="exact"/>
              <w:rPr>
                <w:rFonts w:ascii="Arial" w:cs="Arial" w:eastAsia="Arial" w:hAnsi="Arial"/>
                <w:sz w:val="18"/>
                <w:szCs w:val="18"/>
                <w:color w:val="0000FF"/>
              </w:rPr>
            </w:pPr>
            <w:hyperlink r:id="rId404">
              <w:r>
                <w:rPr>
                  <w:rFonts w:ascii="Arial" w:cs="Arial" w:eastAsia="Arial" w:hAnsi="Arial"/>
                  <w:sz w:val="18"/>
                  <w:szCs w:val="18"/>
                  <w:color w:val="0000FF"/>
                </w:rPr>
                <w:t>Form of Retention Agreement dated as of August 1, 2017</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8/4/2017</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10.92</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45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404">
              <w:r>
                <w:rPr>
                  <w:rFonts w:ascii="Arial" w:cs="Arial" w:eastAsia="Arial" w:hAnsi="Arial"/>
                  <w:sz w:val="18"/>
                  <w:szCs w:val="18"/>
                  <w:color w:val="0000FF"/>
                </w:rPr>
                <w:t>between Blackbaud, Inc. and each of Anthony W. Boor,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04">
              <w:r>
                <w:rPr>
                  <w:rFonts w:ascii="Arial" w:cs="Arial" w:eastAsia="Arial" w:hAnsi="Arial"/>
                  <w:sz w:val="18"/>
                  <w:szCs w:val="18"/>
                  <w:color w:val="0000FF"/>
                </w:rPr>
                <w:t>Kevin W. Mooney and Jon W. Olson.</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gridSpan w:val="2"/>
            <w:shd w:val="clear" w:color="auto" w:fill="F4F4F4"/>
          </w:tcPr>
          <w:p>
            <w:pPr>
              <w:jc w:val="right"/>
              <w:spacing w:after="0" w:line="189" w:lineRule="exact"/>
              <w:rPr>
                <w:rFonts w:ascii="Arial" w:cs="Arial" w:eastAsia="Arial" w:hAnsi="Arial"/>
                <w:sz w:val="18"/>
                <w:szCs w:val="18"/>
                <w:color w:val="0000FF"/>
              </w:rPr>
            </w:pPr>
            <w:hyperlink r:id="rId404">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680" w:type="dxa"/>
            <w:vAlign w:val="bottom"/>
            <w:tcBorders>
              <w:left w:val="single" w:sz="8" w:color="F4F4F4"/>
            </w:tcBorders>
            <w:shd w:val="clear" w:color="auto" w:fill="F4F4F4"/>
          </w:tcPr>
          <w:p>
            <w:pPr>
              <w:ind w:left="40"/>
              <w:spacing w:after="0" w:line="189" w:lineRule="exact"/>
              <w:rPr>
                <w:sz w:val="20"/>
                <w:szCs w:val="20"/>
                <w:color w:val="auto"/>
              </w:rPr>
            </w:pPr>
            <w:r>
              <w:rPr>
                <w:rFonts w:ascii="Arial" w:cs="Arial" w:eastAsia="Arial" w:hAnsi="Arial"/>
                <w:sz w:val="18"/>
                <w:szCs w:val="18"/>
                <w:color w:val="auto"/>
              </w:rPr>
              <w:t>†</w:t>
            </w:r>
          </w:p>
        </w:tc>
        <w:tc>
          <w:tcPr>
            <w:tcW w:w="4780" w:type="dxa"/>
            <w:vAlign w:val="bottom"/>
            <w:gridSpan w:val="34"/>
            <w:shd w:val="clear" w:color="auto" w:fill="F4F4F4"/>
          </w:tcPr>
          <w:p>
            <w:pPr>
              <w:spacing w:after="0" w:line="189" w:lineRule="exact"/>
              <w:rPr>
                <w:rFonts w:ascii="Arial" w:cs="Arial" w:eastAsia="Arial" w:hAnsi="Arial"/>
                <w:sz w:val="18"/>
                <w:szCs w:val="18"/>
                <w:color w:val="0000FF"/>
              </w:rPr>
            </w:pPr>
            <w:hyperlink r:id="rId404">
              <w:r>
                <w:rPr>
                  <w:rFonts w:ascii="Arial" w:cs="Arial" w:eastAsia="Arial" w:hAnsi="Arial"/>
                  <w:sz w:val="18"/>
                  <w:szCs w:val="18"/>
                  <w:color w:val="0000FF"/>
                </w:rPr>
                <w:t>Form of Retention Agreement between Blackbaud, Inc.</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shd w:val="clear" w:color="auto" w:fill="F4F4F4"/>
          </w:tcPr>
          <w:p>
            <w:pPr>
              <w:jc w:val="right"/>
              <w:ind w:right="252"/>
              <w:spacing w:after="0" w:line="189" w:lineRule="exact"/>
              <w:rPr>
                <w:sz w:val="20"/>
                <w:szCs w:val="20"/>
                <w:color w:val="auto"/>
              </w:rPr>
            </w:pPr>
            <w:r>
              <w:rPr>
                <w:rFonts w:ascii="Arial" w:cs="Arial" w:eastAsia="Arial" w:hAnsi="Arial"/>
                <w:sz w:val="18"/>
                <w:szCs w:val="18"/>
                <w:color w:val="auto"/>
              </w:rPr>
              <w:t>8/4/2017</w:t>
            </w:r>
          </w:p>
        </w:tc>
        <w:tc>
          <w:tcPr>
            <w:tcW w:w="1160" w:type="dxa"/>
            <w:vAlign w:val="bottom"/>
            <w:shd w:val="clear" w:color="auto" w:fill="F4F4F4"/>
          </w:tcPr>
          <w:p>
            <w:pPr>
              <w:jc w:val="right"/>
              <w:ind w:right="52"/>
              <w:spacing w:after="0" w:line="189" w:lineRule="exact"/>
              <w:rPr>
                <w:sz w:val="20"/>
                <w:szCs w:val="20"/>
                <w:color w:val="auto"/>
              </w:rPr>
            </w:pPr>
            <w:r>
              <w:rPr>
                <w:rFonts w:ascii="Arial" w:cs="Arial" w:eastAsia="Arial" w:hAnsi="Arial"/>
                <w:sz w:val="18"/>
                <w:szCs w:val="18"/>
                <w:color w:val="auto"/>
              </w:rPr>
              <w:t>10.92</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0" w:type="dxa"/>
            <w:vAlign w:val="bottom"/>
            <w:tcBorders>
              <w:top w:val="single" w:sz="8" w:color="F4F4F4"/>
            </w:tcBorders>
            <w:shd w:val="clear" w:color="auto" w:fill="F4F4F4"/>
          </w:tcPr>
          <w:p>
            <w:pPr>
              <w:spacing w:after="0"/>
              <w:rPr>
                <w:sz w:val="13"/>
                <w:szCs w:val="13"/>
                <w:color w:val="auto"/>
              </w:rPr>
            </w:pPr>
          </w:p>
        </w:tc>
        <w:tc>
          <w:tcPr>
            <w:tcW w:w="440" w:type="dxa"/>
            <w:vAlign w:val="bottom"/>
            <w:tcBorders>
              <w:top w:val="single" w:sz="8" w:color="0000FF"/>
            </w:tcBorders>
            <w:shd w:val="clear" w:color="auto" w:fill="F4F4F4"/>
          </w:tcPr>
          <w:p>
            <w:pPr>
              <w:spacing w:after="0"/>
              <w:rPr>
                <w:sz w:val="13"/>
                <w:szCs w:val="13"/>
                <w:color w:val="auto"/>
              </w:rPr>
            </w:pPr>
          </w:p>
        </w:tc>
        <w:tc>
          <w:tcPr>
            <w:tcW w:w="680" w:type="dxa"/>
            <w:vAlign w:val="bottom"/>
            <w:tcBorders>
              <w:top w:val="single" w:sz="8" w:color="F4F4F4"/>
              <w:left w:val="single" w:sz="8" w:color="F4F4F4"/>
            </w:tcBorders>
            <w:shd w:val="clear" w:color="auto" w:fill="F4F4F4"/>
          </w:tcPr>
          <w:p>
            <w:pPr>
              <w:spacing w:after="0"/>
              <w:rPr>
                <w:sz w:val="13"/>
                <w:szCs w:val="13"/>
                <w:color w:val="auto"/>
              </w:rPr>
            </w:pPr>
          </w:p>
        </w:tc>
        <w:tc>
          <w:tcPr>
            <w:tcW w:w="4380" w:type="dxa"/>
            <w:vAlign w:val="bottom"/>
            <w:tcBorders>
              <w:top w:val="single" w:sz="8" w:color="0000FF"/>
            </w:tcBorders>
            <w:gridSpan w:val="18"/>
            <w:shd w:val="clear" w:color="auto" w:fill="F4F4F4"/>
          </w:tcPr>
          <w:p>
            <w:pPr>
              <w:spacing w:after="0" w:line="156" w:lineRule="exact"/>
              <w:rPr>
                <w:rFonts w:ascii="Arial" w:cs="Arial" w:eastAsia="Arial" w:hAnsi="Arial"/>
                <w:sz w:val="18"/>
                <w:szCs w:val="18"/>
                <w:color w:val="0000FF"/>
              </w:rPr>
            </w:pPr>
            <w:hyperlink r:id="rId404">
              <w:r>
                <w:rPr>
                  <w:rFonts w:ascii="Arial" w:cs="Arial" w:eastAsia="Arial" w:hAnsi="Arial"/>
                  <w:sz w:val="18"/>
                  <w:szCs w:val="18"/>
                  <w:color w:val="0000FF"/>
                </w:rPr>
                <w:t>and Kevin P. Gregoire</w:t>
              </w:r>
            </w:hyperlink>
          </w:p>
        </w:tc>
        <w:tc>
          <w:tcPr>
            <w:tcW w:w="40" w:type="dxa"/>
            <w:vAlign w:val="bottom"/>
            <w:tcBorders>
              <w:top w:val="single" w:sz="8" w:color="F4F4F4"/>
            </w:tcBorders>
            <w:gridSpan w:val="2"/>
            <w:shd w:val="clear" w:color="auto" w:fill="F4F4F4"/>
          </w:tcPr>
          <w:p>
            <w:pPr>
              <w:spacing w:after="0"/>
              <w:rPr>
                <w:sz w:val="13"/>
                <w:szCs w:val="13"/>
                <w:color w:val="auto"/>
              </w:rPr>
            </w:pPr>
          </w:p>
        </w:tc>
        <w:tc>
          <w:tcPr>
            <w:tcW w:w="10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40" w:type="dxa"/>
            <w:vAlign w:val="bottom"/>
            <w:tcBorders>
              <w:top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60" w:type="dxa"/>
            <w:vAlign w:val="bottom"/>
            <w:tcBorders>
              <w:top w:val="single" w:sz="8" w:color="F4F4F4"/>
            </w:tcBorders>
            <w:shd w:val="clear" w:color="auto" w:fill="F4F4F4"/>
          </w:tcPr>
          <w:p>
            <w:pPr>
              <w:spacing w:after="0"/>
              <w:rPr>
                <w:sz w:val="13"/>
                <w:szCs w:val="13"/>
                <w:color w:val="auto"/>
              </w:rPr>
            </w:pPr>
          </w:p>
        </w:tc>
        <w:tc>
          <w:tcPr>
            <w:tcW w:w="1520" w:type="dxa"/>
            <w:vAlign w:val="bottom"/>
            <w:tcBorders>
              <w:top w:val="single" w:sz="8" w:color="F4F4F4"/>
            </w:tcBorders>
            <w:shd w:val="clear" w:color="auto" w:fill="F4F4F4"/>
          </w:tcPr>
          <w:p>
            <w:pPr>
              <w:spacing w:after="0"/>
              <w:rPr>
                <w:sz w:val="13"/>
                <w:szCs w:val="13"/>
                <w:color w:val="auto"/>
              </w:rPr>
            </w:pPr>
          </w:p>
        </w:tc>
        <w:tc>
          <w:tcPr>
            <w:tcW w:w="11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F4F4F4"/>
            </w:tcBorders>
            <w:shd w:val="clear" w:color="auto" w:fill="F4F4F4"/>
          </w:tcPr>
          <w:p>
            <w:pPr>
              <w:spacing w:after="0" w:line="20" w:lineRule="exact"/>
              <w:rPr>
                <w:sz w:val="1"/>
                <w:szCs w:val="1"/>
                <w:color w:val="auto"/>
              </w:rPr>
            </w:pPr>
          </w:p>
        </w:tc>
        <w:tc>
          <w:tcPr>
            <w:tcW w:w="440" w:type="dxa"/>
            <w:vAlign w:val="bottom"/>
            <w:tcBorders>
              <w:top w:val="single" w:sz="8" w:color="F4F4F4"/>
            </w:tcBorders>
            <w:shd w:val="clear" w:color="auto" w:fill="F4F4F4"/>
          </w:tcPr>
          <w:p>
            <w:pPr>
              <w:spacing w:after="0" w:line="20" w:lineRule="exact"/>
              <w:rPr>
                <w:sz w:val="1"/>
                <w:szCs w:val="1"/>
                <w:color w:val="auto"/>
              </w:rPr>
            </w:pPr>
          </w:p>
        </w:tc>
        <w:tc>
          <w:tcPr>
            <w:tcW w:w="680" w:type="dxa"/>
            <w:vAlign w:val="bottom"/>
            <w:tcBorders>
              <w:top w:val="single" w:sz="8" w:color="F4F4F4"/>
              <w:left w:val="single" w:sz="8" w:color="F4F4F4"/>
            </w:tcBorders>
            <w:shd w:val="clear" w:color="auto" w:fill="F4F4F4"/>
          </w:tcPr>
          <w:p>
            <w:pPr>
              <w:spacing w:after="0" w:line="20" w:lineRule="exact"/>
              <w:rPr>
                <w:sz w:val="1"/>
                <w:szCs w:val="1"/>
                <w:color w:val="auto"/>
              </w:rPr>
            </w:pPr>
          </w:p>
        </w:tc>
        <w:tc>
          <w:tcPr>
            <w:tcW w:w="280" w:type="dxa"/>
            <w:vAlign w:val="bottom"/>
            <w:tcBorders>
              <w:top w:val="single" w:sz="8" w:color="0000FF"/>
            </w:tcBorders>
            <w:shd w:val="clear" w:color="auto" w:fill="F4F4F4"/>
          </w:tcPr>
          <w:p>
            <w:pPr>
              <w:spacing w:after="0" w:line="20" w:lineRule="exact"/>
              <w:rPr>
                <w:sz w:val="1"/>
                <w:szCs w:val="1"/>
                <w:color w:val="auto"/>
              </w:rPr>
            </w:pPr>
          </w:p>
        </w:tc>
        <w:tc>
          <w:tcPr>
            <w:tcW w:w="100" w:type="dxa"/>
            <w:vAlign w:val="bottom"/>
            <w:tcBorders>
              <w:top w:val="single" w:sz="8" w:color="0000FF"/>
            </w:tcBorders>
            <w:shd w:val="clear" w:color="auto" w:fill="F4F4F4"/>
          </w:tcPr>
          <w:p>
            <w:pPr>
              <w:spacing w:after="0" w:line="20" w:lineRule="exact"/>
              <w:rPr>
                <w:sz w:val="1"/>
                <w:szCs w:val="1"/>
                <w:color w:val="auto"/>
              </w:rPr>
            </w:pPr>
          </w:p>
        </w:tc>
        <w:tc>
          <w:tcPr>
            <w:tcW w:w="840" w:type="dxa"/>
            <w:vAlign w:val="bottom"/>
            <w:tcBorders>
              <w:top w:val="single" w:sz="8" w:color="0000FF"/>
            </w:tcBorders>
            <w:shd w:val="clear" w:color="auto" w:fill="F4F4F4"/>
          </w:tcPr>
          <w:p>
            <w:pPr>
              <w:spacing w:after="0" w:line="20" w:lineRule="exact"/>
              <w:rPr>
                <w:sz w:val="1"/>
                <w:szCs w:val="1"/>
                <w:color w:val="auto"/>
              </w:rPr>
            </w:pPr>
          </w:p>
        </w:tc>
        <w:tc>
          <w:tcPr>
            <w:tcW w:w="180" w:type="dxa"/>
            <w:vAlign w:val="bottom"/>
            <w:tcBorders>
              <w:top w:val="single" w:sz="8" w:color="0000FF"/>
            </w:tcBorders>
            <w:shd w:val="clear" w:color="auto" w:fill="F4F4F4"/>
          </w:tcPr>
          <w:p>
            <w:pPr>
              <w:spacing w:after="0" w:line="20" w:lineRule="exact"/>
              <w:rPr>
                <w:sz w:val="1"/>
                <w:szCs w:val="1"/>
                <w:color w:val="auto"/>
              </w:rPr>
            </w:pPr>
          </w:p>
        </w:tc>
        <w:tc>
          <w:tcPr>
            <w:tcW w:w="340" w:type="dxa"/>
            <w:vAlign w:val="bottom"/>
            <w:tcBorders>
              <w:top w:val="single" w:sz="8" w:color="0000FF"/>
            </w:tcBorders>
            <w:shd w:val="clear" w:color="auto" w:fill="F4F4F4"/>
          </w:tcPr>
          <w:p>
            <w:pPr>
              <w:spacing w:after="0" w:line="20" w:lineRule="exact"/>
              <w:rPr>
                <w:sz w:val="1"/>
                <w:szCs w:val="1"/>
                <w:color w:val="auto"/>
              </w:rPr>
            </w:pPr>
          </w:p>
        </w:tc>
        <w:tc>
          <w:tcPr>
            <w:tcW w:w="600" w:type="dxa"/>
            <w:vAlign w:val="bottom"/>
            <w:tcBorders>
              <w:top w:val="single" w:sz="8" w:color="F4F4F4"/>
            </w:tcBorders>
            <w:shd w:val="clear" w:color="auto" w:fill="F4F4F4"/>
          </w:tcPr>
          <w:p>
            <w:pPr>
              <w:spacing w:after="0" w:line="20" w:lineRule="exact"/>
              <w:rPr>
                <w:sz w:val="1"/>
                <w:szCs w:val="1"/>
                <w:color w:val="auto"/>
              </w:rPr>
            </w:pPr>
          </w:p>
        </w:tc>
        <w:tc>
          <w:tcPr>
            <w:tcW w:w="58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F4F4F4"/>
            </w:tcBorders>
            <w:shd w:val="clear" w:color="auto" w:fill="F4F4F4"/>
          </w:tcPr>
          <w:p>
            <w:pPr>
              <w:spacing w:after="0" w:line="20" w:lineRule="exact"/>
              <w:rPr>
                <w:sz w:val="1"/>
                <w:szCs w:val="1"/>
                <w:color w:val="auto"/>
              </w:rPr>
            </w:pPr>
          </w:p>
        </w:tc>
        <w:tc>
          <w:tcPr>
            <w:tcW w:w="260" w:type="dxa"/>
            <w:vAlign w:val="bottom"/>
            <w:tcBorders>
              <w:top w:val="single" w:sz="8" w:color="F4F4F4"/>
            </w:tcBorders>
            <w:shd w:val="clear" w:color="auto" w:fill="F4F4F4"/>
          </w:tcPr>
          <w:p>
            <w:pPr>
              <w:spacing w:after="0" w:line="20" w:lineRule="exact"/>
              <w:rPr>
                <w:sz w:val="1"/>
                <w:szCs w:val="1"/>
                <w:color w:val="auto"/>
              </w:rPr>
            </w:pPr>
          </w:p>
        </w:tc>
        <w:tc>
          <w:tcPr>
            <w:tcW w:w="3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right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0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60" w:type="dxa"/>
            <w:vAlign w:val="bottom"/>
            <w:tcBorders>
              <w:top w:val="single" w:sz="8" w:color="F4F4F4"/>
            </w:tcBorders>
            <w:shd w:val="clear" w:color="auto" w:fill="F4F4F4"/>
          </w:tcPr>
          <w:p>
            <w:pPr>
              <w:spacing w:after="0" w:line="20" w:lineRule="exact"/>
              <w:rPr>
                <w:sz w:val="1"/>
                <w:szCs w:val="1"/>
                <w:color w:val="auto"/>
              </w:rPr>
            </w:pPr>
          </w:p>
        </w:tc>
        <w:tc>
          <w:tcPr>
            <w:tcW w:w="1520" w:type="dxa"/>
            <w:vAlign w:val="bottom"/>
            <w:tcBorders>
              <w:top w:val="single" w:sz="8" w:color="F4F4F4"/>
            </w:tcBorders>
            <w:shd w:val="clear" w:color="auto" w:fill="F4F4F4"/>
          </w:tcPr>
          <w:p>
            <w:pPr>
              <w:spacing w:after="0" w:line="20" w:lineRule="exact"/>
              <w:rPr>
                <w:sz w:val="1"/>
                <w:szCs w:val="1"/>
                <w:color w:val="auto"/>
              </w:rPr>
            </w:pPr>
          </w:p>
        </w:tc>
        <w:tc>
          <w:tcPr>
            <w:tcW w:w="1160" w:type="dxa"/>
            <w:vAlign w:val="bottom"/>
            <w:tcBorders>
              <w:top w:val="single" w:sz="8" w:color="F4F4F4"/>
            </w:tcBorders>
            <w:shd w:val="clear" w:color="auto" w:fill="F4F4F4"/>
          </w:tcPr>
          <w:p>
            <w:pPr>
              <w:spacing w:after="0" w:line="20" w:lineRule="exact"/>
              <w:rPr>
                <w:sz w:val="1"/>
                <w:szCs w:val="1"/>
                <w:color w:val="auto"/>
              </w:rPr>
            </w:pPr>
          </w:p>
        </w:tc>
        <w:tc>
          <w:tcPr>
            <w:tcW w:w="900" w:type="dxa"/>
            <w:vAlign w:val="bottom"/>
            <w:tcBorders>
              <w:top w:val="single" w:sz="8" w:color="F4F4F4"/>
            </w:tcBorders>
            <w:shd w:val="clear" w:color="auto" w:fill="F4F4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gridSpan w:val="2"/>
          </w:tcPr>
          <w:p>
            <w:pPr>
              <w:jc w:val="right"/>
              <w:spacing w:after="0" w:line="189" w:lineRule="exact"/>
              <w:rPr>
                <w:rFonts w:ascii="Arial" w:cs="Arial" w:eastAsia="Arial" w:hAnsi="Arial"/>
                <w:sz w:val="18"/>
                <w:szCs w:val="18"/>
                <w:color w:val="0000FF"/>
              </w:rPr>
            </w:pPr>
            <w:hyperlink r:id="rId405">
              <w:r>
                <w:rPr>
                  <w:rFonts w:ascii="Arial" w:cs="Arial" w:eastAsia="Arial" w:hAnsi="Arial"/>
                  <w:sz w:val="18"/>
                  <w:szCs w:val="18"/>
                  <w:color w:val="0000FF"/>
                </w:rPr>
                <w:t>10.</w:t>
              </w:r>
            </w:hyperlink>
            <w:r>
              <w:rPr>
                <w:rFonts w:ascii="Arial" w:cs="Arial" w:eastAsia="Arial" w:hAnsi="Arial"/>
                <w:sz w:val="18"/>
                <w:szCs w:val="18"/>
                <w:u w:val="single" w:color="auto"/>
                <w:color w:val="0000FF"/>
              </w:rPr>
              <w:t>21</w:t>
            </w:r>
          </w:p>
        </w:tc>
        <w:tc>
          <w:tcPr>
            <w:tcW w:w="680" w:type="dxa"/>
            <w:vAlign w:val="bottom"/>
          </w:tcPr>
          <w:p>
            <w:pPr>
              <w:spacing w:after="0"/>
              <w:rPr>
                <w:sz w:val="16"/>
                <w:szCs w:val="16"/>
                <w:color w:val="auto"/>
              </w:rPr>
            </w:pPr>
          </w:p>
        </w:tc>
        <w:tc>
          <w:tcPr>
            <w:tcW w:w="4780" w:type="dxa"/>
            <w:vAlign w:val="bottom"/>
            <w:gridSpan w:val="34"/>
          </w:tcPr>
          <w:p>
            <w:pPr>
              <w:spacing w:after="0" w:line="189" w:lineRule="exact"/>
              <w:rPr>
                <w:rFonts w:ascii="Arial" w:cs="Arial" w:eastAsia="Arial" w:hAnsi="Arial"/>
                <w:sz w:val="18"/>
                <w:szCs w:val="18"/>
                <w:color w:val="0000FF"/>
              </w:rPr>
            </w:pPr>
            <w:hyperlink r:id="rId405">
              <w:r>
                <w:rPr>
                  <w:rFonts w:ascii="Arial" w:cs="Arial" w:eastAsia="Arial" w:hAnsi="Arial"/>
                  <w:sz w:val="18"/>
                  <w:szCs w:val="18"/>
                  <w:color w:val="0000FF"/>
                </w:rPr>
                <w:t>Second Amendment to Lease Agreement, dated as of</w:t>
              </w:r>
            </w:hyperlink>
          </w:p>
        </w:tc>
        <w:tc>
          <w:tcPr>
            <w:tcW w:w="1260" w:type="dxa"/>
            <w:vAlign w:val="bottom"/>
          </w:tcPr>
          <w:p>
            <w:pPr>
              <w:jc w:val="center"/>
              <w:ind w:right="72"/>
              <w:spacing w:after="0" w:line="189" w:lineRule="exact"/>
              <w:rPr>
                <w:sz w:val="20"/>
                <w:szCs w:val="20"/>
                <w:color w:val="auto"/>
              </w:rPr>
            </w:pPr>
            <w:r>
              <w:rPr>
                <w:rFonts w:ascii="Arial" w:cs="Arial" w:eastAsia="Arial" w:hAnsi="Arial"/>
                <w:sz w:val="18"/>
                <w:szCs w:val="18"/>
                <w:color w:val="auto"/>
                <w:w w:val="99"/>
              </w:rPr>
              <w:t>10-K</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2/20/2018</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10.93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280" w:type="dxa"/>
            <w:vAlign w:val="bottom"/>
            <w:tcBorders>
              <w:top w:val="single" w:sz="8" w:color="0000FF"/>
            </w:tcBorders>
            <w:gridSpan w:val="16"/>
          </w:tcPr>
          <w:p>
            <w:pPr>
              <w:spacing w:after="0" w:line="197" w:lineRule="exact"/>
              <w:rPr>
                <w:rFonts w:ascii="Arial" w:cs="Arial" w:eastAsia="Arial" w:hAnsi="Arial"/>
                <w:sz w:val="18"/>
                <w:szCs w:val="18"/>
                <w:u w:val="single" w:color="auto"/>
                <w:color w:val="0000FF"/>
              </w:rPr>
            </w:pPr>
            <w:hyperlink r:id="rId405">
              <w:r>
                <w:rPr>
                  <w:rFonts w:ascii="Arial" w:cs="Arial" w:eastAsia="Arial" w:hAnsi="Arial"/>
                  <w:sz w:val="18"/>
                  <w:szCs w:val="18"/>
                  <w:u w:val="single" w:color="auto"/>
                  <w:color w:val="0000FF"/>
                </w:rPr>
                <w:t>May 18, 2017, between HPBB1, LLC and Blackbaud,</w:t>
              </w:r>
            </w:hyperlink>
          </w:p>
        </w:tc>
        <w:tc>
          <w:tcPr>
            <w:tcW w:w="500" w:type="dxa"/>
            <w:vAlign w:val="bottom"/>
            <w:gridSpan w:val="18"/>
          </w:tcPr>
          <w:p>
            <w:pPr>
              <w:spacing w:after="0" w:line="197" w:lineRule="exact"/>
              <w:rPr>
                <w:rFonts w:ascii="Arial" w:cs="Arial" w:eastAsia="Arial" w:hAnsi="Arial"/>
                <w:sz w:val="18"/>
                <w:szCs w:val="18"/>
                <w:u w:val="single" w:color="auto"/>
                <w:color w:val="0000FF"/>
              </w:rPr>
            </w:pPr>
            <w:hyperlink r:id="rId405">
              <w:r>
                <w:rPr>
                  <w:rFonts w:ascii="Arial" w:cs="Arial" w:eastAsia="Arial" w:hAnsi="Arial"/>
                  <w:sz w:val="18"/>
                  <w:szCs w:val="18"/>
                  <w:u w:val="single" w:color="auto"/>
                  <w:color w:val="0000FF"/>
                </w:rPr>
                <w:t>Inc.</w:t>
              </w:r>
            </w:hyperlink>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shd w:val="clear" w:color="auto" w:fill="F4F4F4"/>
          </w:tcPr>
          <w:p>
            <w:pPr>
              <w:jc w:val="right"/>
              <w:spacing w:after="0" w:line="189" w:lineRule="exact"/>
              <w:rPr>
                <w:rFonts w:ascii="Arial" w:cs="Arial" w:eastAsia="Arial" w:hAnsi="Arial"/>
                <w:sz w:val="18"/>
                <w:szCs w:val="18"/>
                <w:color w:val="0000FF"/>
              </w:rPr>
            </w:pPr>
            <w:hyperlink r:id="rId406">
              <w:r>
                <w:rPr>
                  <w:rFonts w:ascii="Arial" w:cs="Arial" w:eastAsia="Arial" w:hAnsi="Arial"/>
                  <w:sz w:val="18"/>
                  <w:szCs w:val="18"/>
                  <w:color w:val="0000FF"/>
                </w:rPr>
                <w:t>10.</w:t>
              </w:r>
            </w:hyperlink>
            <w:r>
              <w:rPr>
                <w:rFonts w:ascii="Arial" w:cs="Arial" w:eastAsia="Arial" w:hAnsi="Arial"/>
                <w:sz w:val="18"/>
                <w:szCs w:val="18"/>
                <w:u w:val="single" w:color="auto"/>
                <w:color w:val="0000FF"/>
              </w:rPr>
              <w:t>22</w:t>
            </w:r>
          </w:p>
        </w:tc>
        <w:tc>
          <w:tcPr>
            <w:tcW w:w="680" w:type="dxa"/>
            <w:vAlign w:val="bottom"/>
            <w:tcBorders>
              <w:left w:val="single" w:sz="8" w:color="F4F4F4"/>
            </w:tcBorders>
            <w:shd w:val="clear" w:color="auto" w:fill="F4F4F4"/>
          </w:tcPr>
          <w:p>
            <w:pPr>
              <w:spacing w:after="0"/>
              <w:rPr>
                <w:sz w:val="16"/>
                <w:szCs w:val="16"/>
                <w:color w:val="auto"/>
              </w:rPr>
            </w:pPr>
          </w:p>
        </w:tc>
        <w:tc>
          <w:tcPr>
            <w:tcW w:w="4780" w:type="dxa"/>
            <w:vAlign w:val="bottom"/>
            <w:gridSpan w:val="34"/>
            <w:shd w:val="clear" w:color="auto" w:fill="F4F4F4"/>
          </w:tcPr>
          <w:p>
            <w:pPr>
              <w:spacing w:after="0" w:line="189" w:lineRule="exact"/>
              <w:rPr>
                <w:rFonts w:ascii="Arial" w:cs="Arial" w:eastAsia="Arial" w:hAnsi="Arial"/>
                <w:sz w:val="18"/>
                <w:szCs w:val="18"/>
                <w:color w:val="0000FF"/>
              </w:rPr>
            </w:pPr>
            <w:hyperlink r:id="rId406">
              <w:r>
                <w:rPr>
                  <w:rFonts w:ascii="Arial" w:cs="Arial" w:eastAsia="Arial" w:hAnsi="Arial"/>
                  <w:sz w:val="18"/>
                  <w:szCs w:val="18"/>
                  <w:color w:val="0000FF"/>
                </w:rPr>
                <w:t>Third Amendment to Lease Agreement, dated as of</w:t>
              </w:r>
            </w:hyperlink>
          </w:p>
        </w:tc>
        <w:tc>
          <w:tcPr>
            <w:tcW w:w="1260" w:type="dxa"/>
            <w:vAlign w:val="bottom"/>
            <w:shd w:val="clear" w:color="auto" w:fill="F4F4F4"/>
          </w:tcPr>
          <w:p>
            <w:pPr>
              <w:jc w:val="center"/>
              <w:ind w:right="72"/>
              <w:spacing w:after="0" w:line="189" w:lineRule="exact"/>
              <w:rPr>
                <w:sz w:val="20"/>
                <w:szCs w:val="20"/>
                <w:color w:val="auto"/>
              </w:rPr>
            </w:pPr>
            <w:r>
              <w:rPr>
                <w:rFonts w:ascii="Arial" w:cs="Arial" w:eastAsia="Arial" w:hAnsi="Arial"/>
                <w:sz w:val="18"/>
                <w:szCs w:val="18"/>
                <w:color w:val="auto"/>
                <w:w w:val="99"/>
              </w:rPr>
              <w:t>10-K</w:t>
            </w:r>
          </w:p>
        </w:tc>
        <w:tc>
          <w:tcPr>
            <w:tcW w:w="1520" w:type="dxa"/>
            <w:vAlign w:val="bottom"/>
            <w:shd w:val="clear" w:color="auto" w:fill="F4F4F4"/>
          </w:tcPr>
          <w:p>
            <w:pPr>
              <w:jc w:val="right"/>
              <w:ind w:right="252"/>
              <w:spacing w:after="0" w:line="189" w:lineRule="exact"/>
              <w:rPr>
                <w:sz w:val="20"/>
                <w:szCs w:val="20"/>
                <w:color w:val="auto"/>
              </w:rPr>
            </w:pPr>
            <w:r>
              <w:rPr>
                <w:rFonts w:ascii="Arial" w:cs="Arial" w:eastAsia="Arial" w:hAnsi="Arial"/>
                <w:sz w:val="18"/>
                <w:szCs w:val="18"/>
                <w:color w:val="auto"/>
              </w:rPr>
              <w:t>2/20/2018</w:t>
            </w:r>
          </w:p>
        </w:tc>
        <w:tc>
          <w:tcPr>
            <w:tcW w:w="1160" w:type="dxa"/>
            <w:vAlign w:val="bottom"/>
            <w:shd w:val="clear" w:color="auto" w:fill="F4F4F4"/>
          </w:tcPr>
          <w:p>
            <w:pPr>
              <w:jc w:val="right"/>
              <w:ind w:right="52"/>
              <w:spacing w:after="0" w:line="189" w:lineRule="exact"/>
              <w:rPr>
                <w:sz w:val="20"/>
                <w:szCs w:val="20"/>
                <w:color w:val="auto"/>
              </w:rPr>
            </w:pPr>
            <w:r>
              <w:rPr>
                <w:rFonts w:ascii="Arial" w:cs="Arial" w:eastAsia="Arial" w:hAnsi="Arial"/>
                <w:sz w:val="18"/>
                <w:szCs w:val="18"/>
                <w:color w:val="auto"/>
              </w:rPr>
              <w:t>10.94</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tcBorders>
            <w:shd w:val="clear" w:color="auto" w:fill="F4F4F4"/>
          </w:tcPr>
          <w:p>
            <w:pPr>
              <w:spacing w:after="0"/>
              <w:rPr>
                <w:sz w:val="13"/>
                <w:szCs w:val="13"/>
                <w:color w:val="auto"/>
              </w:rPr>
            </w:pPr>
          </w:p>
        </w:tc>
        <w:tc>
          <w:tcPr>
            <w:tcW w:w="440" w:type="dxa"/>
            <w:vAlign w:val="bottom"/>
            <w:tcBorders>
              <w:top w:val="single" w:sz="8" w:color="0000FF"/>
            </w:tcBorders>
            <w:shd w:val="clear" w:color="auto" w:fill="F4F4F4"/>
          </w:tcPr>
          <w:p>
            <w:pPr>
              <w:spacing w:after="0"/>
              <w:rPr>
                <w:sz w:val="13"/>
                <w:szCs w:val="13"/>
                <w:color w:val="auto"/>
              </w:rPr>
            </w:pPr>
          </w:p>
        </w:tc>
        <w:tc>
          <w:tcPr>
            <w:tcW w:w="680" w:type="dxa"/>
            <w:vAlign w:val="bottom"/>
            <w:tcBorders>
              <w:top w:val="single" w:sz="8" w:color="F4F4F4"/>
              <w:left w:val="single" w:sz="8" w:color="F4F4F4"/>
            </w:tcBorders>
            <w:shd w:val="clear" w:color="auto" w:fill="F4F4F4"/>
          </w:tcPr>
          <w:p>
            <w:pPr>
              <w:spacing w:after="0"/>
              <w:rPr>
                <w:sz w:val="13"/>
                <w:szCs w:val="13"/>
                <w:color w:val="auto"/>
              </w:rPr>
            </w:pPr>
          </w:p>
        </w:tc>
        <w:tc>
          <w:tcPr>
            <w:tcW w:w="4080" w:type="dxa"/>
            <w:vAlign w:val="bottom"/>
            <w:tcBorders>
              <w:top w:val="single" w:sz="8" w:color="0000FF"/>
            </w:tcBorders>
            <w:gridSpan w:val="13"/>
            <w:shd w:val="clear" w:color="auto" w:fill="F4F4F4"/>
          </w:tcPr>
          <w:p>
            <w:pPr>
              <w:spacing w:after="0" w:line="156" w:lineRule="exact"/>
              <w:rPr>
                <w:rFonts w:ascii="Arial" w:cs="Arial" w:eastAsia="Arial" w:hAnsi="Arial"/>
                <w:sz w:val="18"/>
                <w:szCs w:val="18"/>
                <w:color w:val="0000FF"/>
              </w:rPr>
            </w:pPr>
            <w:hyperlink r:id="rId406">
              <w:r>
                <w:rPr>
                  <w:rFonts w:ascii="Arial" w:cs="Arial" w:eastAsia="Arial" w:hAnsi="Arial"/>
                  <w:sz w:val="18"/>
                  <w:szCs w:val="18"/>
                  <w:color w:val="0000FF"/>
                </w:rPr>
                <w:t>December 11, 2017, between HPBB1, LLC and</w:t>
              </w:r>
            </w:hyperlink>
          </w:p>
        </w:tc>
        <w:tc>
          <w:tcPr>
            <w:tcW w:w="120" w:type="dxa"/>
            <w:vAlign w:val="bottom"/>
            <w:tcBorders>
              <w:top w:val="single" w:sz="8" w:color="F4F4F4"/>
            </w:tcBorders>
            <w:shd w:val="clear" w:color="auto" w:fill="F4F4F4"/>
          </w:tcPr>
          <w:p>
            <w:pPr>
              <w:spacing w:after="0"/>
              <w:rPr>
                <w:sz w:val="13"/>
                <w:szCs w:val="13"/>
                <w:color w:val="auto"/>
              </w:rPr>
            </w:pPr>
          </w:p>
        </w:tc>
        <w:tc>
          <w:tcPr>
            <w:tcW w:w="40" w:type="dxa"/>
            <w:vAlign w:val="bottom"/>
            <w:tcBorders>
              <w:top w:val="single" w:sz="8" w:color="F4F4F4"/>
              <w:right w:val="single" w:sz="8" w:color="F4F4F4"/>
            </w:tcBorders>
            <w:shd w:val="clear" w:color="auto" w:fill="F4F4F4"/>
          </w:tcPr>
          <w:p>
            <w:pPr>
              <w:spacing w:after="0"/>
              <w:rPr>
                <w:sz w:val="13"/>
                <w:szCs w:val="13"/>
                <w:color w:val="auto"/>
              </w:rPr>
            </w:pPr>
          </w:p>
        </w:tc>
        <w:tc>
          <w:tcPr>
            <w:tcW w:w="100" w:type="dxa"/>
            <w:vAlign w:val="bottom"/>
            <w:tcBorders>
              <w:top w:val="single" w:sz="8" w:color="F4F4F4"/>
            </w:tcBorders>
            <w:gridSpan w:val="2"/>
            <w:shd w:val="clear" w:color="auto" w:fill="F4F4F4"/>
          </w:tcPr>
          <w:p>
            <w:pPr>
              <w:spacing w:after="0"/>
              <w:rPr>
                <w:sz w:val="13"/>
                <w:szCs w:val="13"/>
                <w:color w:val="auto"/>
              </w:rPr>
            </w:pPr>
          </w:p>
        </w:tc>
        <w:tc>
          <w:tcPr>
            <w:tcW w:w="80" w:type="dxa"/>
            <w:vAlign w:val="bottom"/>
            <w:tcBorders>
              <w:top w:val="single" w:sz="8" w:color="F4F4F4"/>
            </w:tcBorders>
            <w:gridSpan w:val="3"/>
            <w:shd w:val="clear" w:color="auto" w:fill="F4F4F4"/>
          </w:tcPr>
          <w:p>
            <w:pPr>
              <w:spacing w:after="0"/>
              <w:rPr>
                <w:sz w:val="13"/>
                <w:szCs w:val="13"/>
                <w:color w:val="auto"/>
              </w:rPr>
            </w:pPr>
          </w:p>
        </w:tc>
        <w:tc>
          <w:tcPr>
            <w:tcW w:w="10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40" w:type="dxa"/>
            <w:vAlign w:val="bottom"/>
            <w:tcBorders>
              <w:top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60" w:type="dxa"/>
            <w:vAlign w:val="bottom"/>
            <w:tcBorders>
              <w:top w:val="single" w:sz="8" w:color="F4F4F4"/>
            </w:tcBorders>
            <w:shd w:val="clear" w:color="auto" w:fill="F4F4F4"/>
          </w:tcPr>
          <w:p>
            <w:pPr>
              <w:spacing w:after="0"/>
              <w:rPr>
                <w:sz w:val="13"/>
                <w:szCs w:val="13"/>
                <w:color w:val="auto"/>
              </w:rPr>
            </w:pPr>
          </w:p>
        </w:tc>
        <w:tc>
          <w:tcPr>
            <w:tcW w:w="1520" w:type="dxa"/>
            <w:vAlign w:val="bottom"/>
            <w:tcBorders>
              <w:top w:val="single" w:sz="8" w:color="F4F4F4"/>
            </w:tcBorders>
            <w:shd w:val="clear" w:color="auto" w:fill="F4F4F4"/>
          </w:tcPr>
          <w:p>
            <w:pPr>
              <w:spacing w:after="0"/>
              <w:rPr>
                <w:sz w:val="13"/>
                <w:szCs w:val="13"/>
                <w:color w:val="auto"/>
              </w:rPr>
            </w:pPr>
          </w:p>
        </w:tc>
        <w:tc>
          <w:tcPr>
            <w:tcW w:w="11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tcBorders>
            <w:shd w:val="clear" w:color="auto" w:fill="F4F4F4"/>
          </w:tcPr>
          <w:p>
            <w:pPr>
              <w:spacing w:after="0"/>
              <w:rPr>
                <w:sz w:val="13"/>
                <w:szCs w:val="13"/>
                <w:color w:val="auto"/>
              </w:rPr>
            </w:pPr>
          </w:p>
        </w:tc>
        <w:tc>
          <w:tcPr>
            <w:tcW w:w="440" w:type="dxa"/>
            <w:vAlign w:val="bottom"/>
            <w:tcBorders>
              <w:top w:val="single" w:sz="8" w:color="F4F4F4"/>
            </w:tcBorders>
            <w:shd w:val="clear" w:color="auto" w:fill="F4F4F4"/>
          </w:tcPr>
          <w:p>
            <w:pPr>
              <w:spacing w:after="0"/>
              <w:rPr>
                <w:sz w:val="13"/>
                <w:szCs w:val="13"/>
                <w:color w:val="auto"/>
              </w:rPr>
            </w:pPr>
          </w:p>
        </w:tc>
        <w:tc>
          <w:tcPr>
            <w:tcW w:w="680" w:type="dxa"/>
            <w:vAlign w:val="bottom"/>
            <w:tcBorders>
              <w:top w:val="single" w:sz="8" w:color="F4F4F4"/>
              <w:left w:val="single" w:sz="8" w:color="F4F4F4"/>
            </w:tcBorders>
            <w:shd w:val="clear" w:color="auto" w:fill="F4F4F4"/>
          </w:tcPr>
          <w:p>
            <w:pPr>
              <w:spacing w:after="0"/>
              <w:rPr>
                <w:sz w:val="13"/>
                <w:szCs w:val="13"/>
                <w:color w:val="auto"/>
              </w:rPr>
            </w:pPr>
          </w:p>
        </w:tc>
        <w:tc>
          <w:tcPr>
            <w:tcW w:w="3780" w:type="dxa"/>
            <w:vAlign w:val="bottom"/>
            <w:tcBorders>
              <w:top w:val="single" w:sz="8" w:color="0000FF"/>
            </w:tcBorders>
            <w:gridSpan w:val="11"/>
            <w:shd w:val="clear" w:color="auto" w:fill="F4F4F4"/>
          </w:tcPr>
          <w:p>
            <w:pPr>
              <w:spacing w:after="0" w:line="156" w:lineRule="exact"/>
              <w:rPr>
                <w:rFonts w:ascii="Arial" w:cs="Arial" w:eastAsia="Arial" w:hAnsi="Arial"/>
                <w:sz w:val="18"/>
                <w:szCs w:val="18"/>
                <w:color w:val="0000FF"/>
              </w:rPr>
            </w:pPr>
            <w:hyperlink r:id="rId406">
              <w:r>
                <w:rPr>
                  <w:rFonts w:ascii="Arial" w:cs="Arial" w:eastAsia="Arial" w:hAnsi="Arial"/>
                  <w:sz w:val="18"/>
                  <w:szCs w:val="18"/>
                  <w:color w:val="0000FF"/>
                </w:rPr>
                <w:t>Blackbaud, Inc.</w:t>
              </w:r>
            </w:hyperlink>
          </w:p>
        </w:tc>
        <w:tc>
          <w:tcPr>
            <w:tcW w:w="240" w:type="dxa"/>
            <w:vAlign w:val="bottom"/>
            <w:tcBorders>
              <w:top w:val="single" w:sz="8" w:color="F4F4F4"/>
            </w:tcBorders>
            <w:shd w:val="clear" w:color="auto" w:fill="F4F4F4"/>
          </w:tcPr>
          <w:p>
            <w:pPr>
              <w:spacing w:after="0"/>
              <w:rPr>
                <w:sz w:val="13"/>
                <w:szCs w:val="13"/>
                <w:color w:val="auto"/>
              </w:rPr>
            </w:pPr>
          </w:p>
        </w:tc>
        <w:tc>
          <w:tcPr>
            <w:tcW w:w="180" w:type="dxa"/>
            <w:vAlign w:val="bottom"/>
            <w:tcBorders>
              <w:top w:val="single" w:sz="8" w:color="F4F4F4"/>
            </w:tcBorders>
            <w:gridSpan w:val="2"/>
            <w:shd w:val="clear" w:color="auto" w:fill="F4F4F4"/>
          </w:tcPr>
          <w:p>
            <w:pPr>
              <w:spacing w:after="0"/>
              <w:rPr>
                <w:sz w:val="13"/>
                <w:szCs w:val="13"/>
                <w:color w:val="auto"/>
              </w:rPr>
            </w:pPr>
          </w:p>
        </w:tc>
        <w:tc>
          <w:tcPr>
            <w:tcW w:w="40" w:type="dxa"/>
            <w:vAlign w:val="bottom"/>
            <w:tcBorders>
              <w:top w:val="single" w:sz="8" w:color="F4F4F4"/>
              <w:right w:val="single" w:sz="8" w:color="F4F4F4"/>
            </w:tcBorders>
            <w:shd w:val="clear" w:color="auto" w:fill="F4F4F4"/>
          </w:tcPr>
          <w:p>
            <w:pPr>
              <w:spacing w:after="0"/>
              <w:rPr>
                <w:sz w:val="13"/>
                <w:szCs w:val="13"/>
                <w:color w:val="auto"/>
              </w:rPr>
            </w:pPr>
          </w:p>
        </w:tc>
        <w:tc>
          <w:tcPr>
            <w:tcW w:w="100" w:type="dxa"/>
            <w:vAlign w:val="bottom"/>
            <w:tcBorders>
              <w:top w:val="single" w:sz="8" w:color="F4F4F4"/>
            </w:tcBorders>
            <w:gridSpan w:val="2"/>
            <w:shd w:val="clear" w:color="auto" w:fill="F4F4F4"/>
          </w:tcPr>
          <w:p>
            <w:pPr>
              <w:spacing w:after="0"/>
              <w:rPr>
                <w:sz w:val="13"/>
                <w:szCs w:val="13"/>
                <w:color w:val="auto"/>
              </w:rPr>
            </w:pPr>
          </w:p>
        </w:tc>
        <w:tc>
          <w:tcPr>
            <w:tcW w:w="80" w:type="dxa"/>
            <w:vAlign w:val="bottom"/>
            <w:tcBorders>
              <w:top w:val="single" w:sz="8" w:color="F4F4F4"/>
            </w:tcBorders>
            <w:gridSpan w:val="3"/>
            <w:shd w:val="clear" w:color="auto" w:fill="F4F4F4"/>
          </w:tcPr>
          <w:p>
            <w:pPr>
              <w:spacing w:after="0"/>
              <w:rPr>
                <w:sz w:val="13"/>
                <w:szCs w:val="13"/>
                <w:color w:val="auto"/>
              </w:rPr>
            </w:pPr>
          </w:p>
        </w:tc>
        <w:tc>
          <w:tcPr>
            <w:tcW w:w="10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40" w:type="dxa"/>
            <w:vAlign w:val="bottom"/>
            <w:tcBorders>
              <w:top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60" w:type="dxa"/>
            <w:vAlign w:val="bottom"/>
            <w:tcBorders>
              <w:top w:val="single" w:sz="8" w:color="F4F4F4"/>
            </w:tcBorders>
            <w:shd w:val="clear" w:color="auto" w:fill="F4F4F4"/>
          </w:tcPr>
          <w:p>
            <w:pPr>
              <w:spacing w:after="0"/>
              <w:rPr>
                <w:sz w:val="13"/>
                <w:szCs w:val="13"/>
                <w:color w:val="auto"/>
              </w:rPr>
            </w:pPr>
          </w:p>
        </w:tc>
        <w:tc>
          <w:tcPr>
            <w:tcW w:w="1520" w:type="dxa"/>
            <w:vAlign w:val="bottom"/>
            <w:tcBorders>
              <w:top w:val="single" w:sz="8" w:color="F4F4F4"/>
            </w:tcBorders>
            <w:shd w:val="clear" w:color="auto" w:fill="F4F4F4"/>
          </w:tcPr>
          <w:p>
            <w:pPr>
              <w:spacing w:after="0"/>
              <w:rPr>
                <w:sz w:val="13"/>
                <w:szCs w:val="13"/>
                <w:color w:val="auto"/>
              </w:rPr>
            </w:pPr>
          </w:p>
        </w:tc>
        <w:tc>
          <w:tcPr>
            <w:tcW w:w="11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F4F4F4"/>
            </w:tcBorders>
            <w:shd w:val="clear" w:color="auto" w:fill="F4F4F4"/>
          </w:tcPr>
          <w:p>
            <w:pPr>
              <w:spacing w:after="0" w:line="20" w:lineRule="exact"/>
              <w:rPr>
                <w:sz w:val="1"/>
                <w:szCs w:val="1"/>
                <w:color w:val="auto"/>
              </w:rPr>
            </w:pPr>
          </w:p>
        </w:tc>
        <w:tc>
          <w:tcPr>
            <w:tcW w:w="440" w:type="dxa"/>
            <w:vAlign w:val="bottom"/>
            <w:tcBorders>
              <w:top w:val="single" w:sz="8" w:color="F4F4F4"/>
            </w:tcBorders>
            <w:shd w:val="clear" w:color="auto" w:fill="F4F4F4"/>
          </w:tcPr>
          <w:p>
            <w:pPr>
              <w:spacing w:after="0" w:line="20" w:lineRule="exact"/>
              <w:rPr>
                <w:sz w:val="1"/>
                <w:szCs w:val="1"/>
                <w:color w:val="auto"/>
              </w:rPr>
            </w:pPr>
          </w:p>
        </w:tc>
        <w:tc>
          <w:tcPr>
            <w:tcW w:w="680" w:type="dxa"/>
            <w:vAlign w:val="bottom"/>
            <w:tcBorders>
              <w:top w:val="single" w:sz="8" w:color="F4F4F4"/>
              <w:left w:val="single" w:sz="8" w:color="F4F4F4"/>
            </w:tcBorders>
            <w:shd w:val="clear" w:color="auto" w:fill="F4F4F4"/>
          </w:tcPr>
          <w:p>
            <w:pPr>
              <w:spacing w:after="0" w:line="20" w:lineRule="exact"/>
              <w:rPr>
                <w:sz w:val="1"/>
                <w:szCs w:val="1"/>
                <w:color w:val="auto"/>
              </w:rPr>
            </w:pPr>
          </w:p>
        </w:tc>
        <w:tc>
          <w:tcPr>
            <w:tcW w:w="280" w:type="dxa"/>
            <w:vAlign w:val="bottom"/>
            <w:tcBorders>
              <w:top w:val="single" w:sz="8" w:color="0000FF"/>
            </w:tcBorders>
            <w:shd w:val="clear" w:color="auto" w:fill="F4F4F4"/>
          </w:tcPr>
          <w:p>
            <w:pPr>
              <w:spacing w:after="0" w:line="20" w:lineRule="exact"/>
              <w:rPr>
                <w:sz w:val="1"/>
                <w:szCs w:val="1"/>
                <w:color w:val="auto"/>
              </w:rPr>
            </w:pPr>
          </w:p>
        </w:tc>
        <w:tc>
          <w:tcPr>
            <w:tcW w:w="100" w:type="dxa"/>
            <w:vAlign w:val="bottom"/>
            <w:tcBorders>
              <w:top w:val="single" w:sz="8" w:color="0000FF"/>
            </w:tcBorders>
            <w:shd w:val="clear" w:color="auto" w:fill="F4F4F4"/>
          </w:tcPr>
          <w:p>
            <w:pPr>
              <w:spacing w:after="0" w:line="20" w:lineRule="exact"/>
              <w:rPr>
                <w:sz w:val="1"/>
                <w:szCs w:val="1"/>
                <w:color w:val="auto"/>
              </w:rPr>
            </w:pPr>
          </w:p>
        </w:tc>
        <w:tc>
          <w:tcPr>
            <w:tcW w:w="840" w:type="dxa"/>
            <w:vAlign w:val="bottom"/>
            <w:tcBorders>
              <w:top w:val="single" w:sz="8" w:color="0000FF"/>
            </w:tcBorders>
            <w:shd w:val="clear" w:color="auto" w:fill="F4F4F4"/>
          </w:tcPr>
          <w:p>
            <w:pPr>
              <w:spacing w:after="0" w:line="20" w:lineRule="exact"/>
              <w:rPr>
                <w:sz w:val="1"/>
                <w:szCs w:val="1"/>
                <w:color w:val="auto"/>
              </w:rPr>
            </w:pPr>
          </w:p>
        </w:tc>
        <w:tc>
          <w:tcPr>
            <w:tcW w:w="180" w:type="dxa"/>
            <w:vAlign w:val="bottom"/>
            <w:tcBorders>
              <w:top w:val="single" w:sz="8" w:color="F4F4F4"/>
            </w:tcBorders>
            <w:shd w:val="clear" w:color="auto" w:fill="F4F4F4"/>
          </w:tcPr>
          <w:p>
            <w:pPr>
              <w:spacing w:after="0" w:line="20" w:lineRule="exact"/>
              <w:rPr>
                <w:sz w:val="1"/>
                <w:szCs w:val="1"/>
                <w:color w:val="auto"/>
              </w:rPr>
            </w:pPr>
          </w:p>
        </w:tc>
        <w:tc>
          <w:tcPr>
            <w:tcW w:w="340" w:type="dxa"/>
            <w:vAlign w:val="bottom"/>
            <w:tcBorders>
              <w:top w:val="single" w:sz="8" w:color="F4F4F4"/>
            </w:tcBorders>
            <w:shd w:val="clear" w:color="auto" w:fill="F4F4F4"/>
          </w:tcPr>
          <w:p>
            <w:pPr>
              <w:spacing w:after="0" w:line="20" w:lineRule="exact"/>
              <w:rPr>
                <w:sz w:val="1"/>
                <w:szCs w:val="1"/>
                <w:color w:val="auto"/>
              </w:rPr>
            </w:pPr>
          </w:p>
        </w:tc>
        <w:tc>
          <w:tcPr>
            <w:tcW w:w="600" w:type="dxa"/>
            <w:vAlign w:val="bottom"/>
            <w:tcBorders>
              <w:top w:val="single" w:sz="8" w:color="F4F4F4"/>
            </w:tcBorders>
            <w:shd w:val="clear" w:color="auto" w:fill="F4F4F4"/>
          </w:tcPr>
          <w:p>
            <w:pPr>
              <w:spacing w:after="0" w:line="20" w:lineRule="exact"/>
              <w:rPr>
                <w:sz w:val="1"/>
                <w:szCs w:val="1"/>
                <w:color w:val="auto"/>
              </w:rPr>
            </w:pPr>
          </w:p>
        </w:tc>
        <w:tc>
          <w:tcPr>
            <w:tcW w:w="58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F4F4F4"/>
            </w:tcBorders>
            <w:shd w:val="clear" w:color="auto" w:fill="F4F4F4"/>
          </w:tcPr>
          <w:p>
            <w:pPr>
              <w:spacing w:after="0" w:line="20" w:lineRule="exact"/>
              <w:rPr>
                <w:sz w:val="1"/>
                <w:szCs w:val="1"/>
                <w:color w:val="auto"/>
              </w:rPr>
            </w:pPr>
          </w:p>
        </w:tc>
        <w:tc>
          <w:tcPr>
            <w:tcW w:w="260" w:type="dxa"/>
            <w:vAlign w:val="bottom"/>
            <w:tcBorders>
              <w:top w:val="single" w:sz="8" w:color="F4F4F4"/>
            </w:tcBorders>
            <w:shd w:val="clear" w:color="auto" w:fill="F4F4F4"/>
          </w:tcPr>
          <w:p>
            <w:pPr>
              <w:spacing w:after="0" w:line="20" w:lineRule="exact"/>
              <w:rPr>
                <w:sz w:val="1"/>
                <w:szCs w:val="1"/>
                <w:color w:val="auto"/>
              </w:rPr>
            </w:pPr>
          </w:p>
        </w:tc>
        <w:tc>
          <w:tcPr>
            <w:tcW w:w="3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right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0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60" w:type="dxa"/>
            <w:vAlign w:val="bottom"/>
            <w:tcBorders>
              <w:top w:val="single" w:sz="8" w:color="F4F4F4"/>
            </w:tcBorders>
            <w:shd w:val="clear" w:color="auto" w:fill="F4F4F4"/>
          </w:tcPr>
          <w:p>
            <w:pPr>
              <w:spacing w:after="0" w:line="20" w:lineRule="exact"/>
              <w:rPr>
                <w:sz w:val="1"/>
                <w:szCs w:val="1"/>
                <w:color w:val="auto"/>
              </w:rPr>
            </w:pPr>
          </w:p>
        </w:tc>
        <w:tc>
          <w:tcPr>
            <w:tcW w:w="1520" w:type="dxa"/>
            <w:vAlign w:val="bottom"/>
            <w:tcBorders>
              <w:top w:val="single" w:sz="8" w:color="F4F4F4"/>
            </w:tcBorders>
            <w:shd w:val="clear" w:color="auto" w:fill="F4F4F4"/>
          </w:tcPr>
          <w:p>
            <w:pPr>
              <w:spacing w:after="0" w:line="20" w:lineRule="exact"/>
              <w:rPr>
                <w:sz w:val="1"/>
                <w:szCs w:val="1"/>
                <w:color w:val="auto"/>
              </w:rPr>
            </w:pPr>
          </w:p>
        </w:tc>
        <w:tc>
          <w:tcPr>
            <w:tcW w:w="1160" w:type="dxa"/>
            <w:vAlign w:val="bottom"/>
            <w:tcBorders>
              <w:top w:val="single" w:sz="8" w:color="F4F4F4"/>
            </w:tcBorders>
            <w:shd w:val="clear" w:color="auto" w:fill="F4F4F4"/>
          </w:tcPr>
          <w:p>
            <w:pPr>
              <w:spacing w:after="0" w:line="20" w:lineRule="exact"/>
              <w:rPr>
                <w:sz w:val="1"/>
                <w:szCs w:val="1"/>
                <w:color w:val="auto"/>
              </w:rPr>
            </w:pPr>
          </w:p>
        </w:tc>
        <w:tc>
          <w:tcPr>
            <w:tcW w:w="900" w:type="dxa"/>
            <w:vAlign w:val="bottom"/>
            <w:tcBorders>
              <w:top w:val="single" w:sz="8" w:color="F4F4F4"/>
            </w:tcBorders>
            <w:shd w:val="clear" w:color="auto" w:fill="F4F4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gridSpan w:val="2"/>
          </w:tcPr>
          <w:p>
            <w:pPr>
              <w:jc w:val="right"/>
              <w:spacing w:after="0" w:line="189" w:lineRule="exact"/>
              <w:rPr>
                <w:rFonts w:ascii="Arial" w:cs="Arial" w:eastAsia="Arial" w:hAnsi="Arial"/>
                <w:sz w:val="18"/>
                <w:szCs w:val="18"/>
                <w:color w:val="0000FF"/>
              </w:rPr>
            </w:pPr>
            <w:hyperlink r:id="rId407">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680" w:type="dxa"/>
            <w:vAlign w:val="bottom"/>
          </w:tcPr>
          <w:p>
            <w:pPr>
              <w:spacing w:after="0"/>
              <w:rPr>
                <w:sz w:val="16"/>
                <w:szCs w:val="16"/>
                <w:color w:val="auto"/>
              </w:rPr>
            </w:pPr>
          </w:p>
        </w:tc>
        <w:tc>
          <w:tcPr>
            <w:tcW w:w="4780" w:type="dxa"/>
            <w:vAlign w:val="bottom"/>
            <w:gridSpan w:val="34"/>
          </w:tcPr>
          <w:p>
            <w:pPr>
              <w:spacing w:after="0" w:line="189" w:lineRule="exact"/>
              <w:rPr>
                <w:rFonts w:ascii="Arial" w:cs="Arial" w:eastAsia="Arial" w:hAnsi="Arial"/>
                <w:sz w:val="18"/>
                <w:szCs w:val="18"/>
                <w:color w:val="0000FF"/>
              </w:rPr>
            </w:pPr>
            <w:hyperlink r:id="rId407">
              <w:r>
                <w:rPr>
                  <w:rFonts w:ascii="Arial" w:cs="Arial" w:eastAsia="Arial" w:hAnsi="Arial"/>
                  <w:sz w:val="18"/>
                  <w:szCs w:val="18"/>
                  <w:color w:val="0000FF"/>
                </w:rPr>
                <w:t>Fourth Amendment to Lease Agreement, dated as of</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5/4/2018</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10.95</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780" w:type="dxa"/>
            <w:vAlign w:val="bottom"/>
            <w:gridSpan w:val="34"/>
          </w:tcPr>
          <w:p>
            <w:pPr>
              <w:spacing w:after="0" w:line="156" w:lineRule="exact"/>
              <w:rPr>
                <w:rFonts w:ascii="Arial" w:cs="Arial" w:eastAsia="Arial" w:hAnsi="Arial"/>
                <w:sz w:val="18"/>
                <w:szCs w:val="18"/>
                <w:color w:val="0000FF"/>
              </w:rPr>
            </w:pPr>
            <w:hyperlink r:id="rId407">
              <w:r>
                <w:rPr>
                  <w:rFonts w:ascii="Arial" w:cs="Arial" w:eastAsia="Arial" w:hAnsi="Arial"/>
                  <w:sz w:val="18"/>
                  <w:szCs w:val="18"/>
                  <w:color w:val="0000FF"/>
                </w:rPr>
                <w:t>February 28, 2018, between HPBB1, LLC and Blackbaud,</w:t>
              </w:r>
            </w:hyperlink>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407">
              <w:r>
                <w:rPr>
                  <w:rFonts w:ascii="Arial" w:cs="Arial" w:eastAsia="Arial" w:hAnsi="Arial"/>
                  <w:sz w:val="18"/>
                  <w:szCs w:val="18"/>
                  <w:color w:val="0000FF"/>
                </w:rPr>
                <w:t>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gridSpan w:val="2"/>
            <w:shd w:val="clear" w:color="auto" w:fill="F4F4F4"/>
          </w:tcPr>
          <w:p>
            <w:pPr>
              <w:jc w:val="right"/>
              <w:spacing w:after="0" w:line="189" w:lineRule="exact"/>
              <w:rPr>
                <w:rFonts w:ascii="Arial" w:cs="Arial" w:eastAsia="Arial" w:hAnsi="Arial"/>
                <w:sz w:val="18"/>
                <w:szCs w:val="18"/>
                <w:color w:val="0000FF"/>
              </w:rPr>
            </w:pPr>
            <w:hyperlink r:id="rId408">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680" w:type="dxa"/>
            <w:vAlign w:val="bottom"/>
            <w:tcBorders>
              <w:left w:val="single" w:sz="8" w:color="F4F4F4"/>
            </w:tcBorders>
            <w:shd w:val="clear" w:color="auto" w:fill="F4F4F4"/>
          </w:tcPr>
          <w:p>
            <w:pPr>
              <w:ind w:left="40"/>
              <w:spacing w:after="0" w:line="189" w:lineRule="exact"/>
              <w:rPr>
                <w:sz w:val="20"/>
                <w:szCs w:val="20"/>
                <w:color w:val="auto"/>
              </w:rPr>
            </w:pPr>
            <w:r>
              <w:rPr>
                <w:rFonts w:ascii="Arial" w:cs="Arial" w:eastAsia="Arial" w:hAnsi="Arial"/>
                <w:sz w:val="18"/>
                <w:szCs w:val="18"/>
                <w:color w:val="auto"/>
              </w:rPr>
              <w:t>†</w:t>
            </w:r>
          </w:p>
        </w:tc>
        <w:tc>
          <w:tcPr>
            <w:tcW w:w="4780" w:type="dxa"/>
            <w:vAlign w:val="bottom"/>
            <w:gridSpan w:val="34"/>
            <w:shd w:val="clear" w:color="auto" w:fill="F4F4F4"/>
          </w:tcPr>
          <w:p>
            <w:pPr>
              <w:spacing w:after="0" w:line="189" w:lineRule="exact"/>
              <w:rPr>
                <w:rFonts w:ascii="Arial" w:cs="Arial" w:eastAsia="Arial" w:hAnsi="Arial"/>
                <w:sz w:val="18"/>
                <w:szCs w:val="18"/>
                <w:color w:val="0000FF"/>
              </w:rPr>
            </w:pPr>
            <w:hyperlink r:id="rId408">
              <w:r>
                <w:rPr>
                  <w:rFonts w:ascii="Arial" w:cs="Arial" w:eastAsia="Arial" w:hAnsi="Arial"/>
                  <w:sz w:val="18"/>
                  <w:szCs w:val="18"/>
                  <w:color w:val="0000FF"/>
                </w:rPr>
                <w:t>Amended and Restated Blackbaud, Inc. 2016 Equity and</w:t>
              </w:r>
            </w:hyperlink>
          </w:p>
        </w:tc>
        <w:tc>
          <w:tcPr>
            <w:tcW w:w="1260" w:type="dxa"/>
            <w:vAlign w:val="bottom"/>
            <w:shd w:val="clear" w:color="auto" w:fill="F4F4F4"/>
          </w:tcPr>
          <w:p>
            <w:pPr>
              <w:jc w:val="center"/>
              <w:ind w:right="72"/>
              <w:spacing w:after="0" w:line="189" w:lineRule="exact"/>
              <w:rPr>
                <w:sz w:val="20"/>
                <w:szCs w:val="20"/>
                <w:color w:val="auto"/>
              </w:rPr>
            </w:pPr>
            <w:r>
              <w:rPr>
                <w:rFonts w:ascii="Arial" w:cs="Arial" w:eastAsia="Arial" w:hAnsi="Arial"/>
                <w:sz w:val="18"/>
                <w:szCs w:val="18"/>
                <w:color w:val="auto"/>
              </w:rPr>
              <w:t>DEF 14A</w:t>
            </w:r>
          </w:p>
        </w:tc>
        <w:tc>
          <w:tcPr>
            <w:tcW w:w="1520" w:type="dxa"/>
            <w:vAlign w:val="bottom"/>
            <w:shd w:val="clear" w:color="auto" w:fill="F4F4F4"/>
          </w:tcPr>
          <w:p>
            <w:pPr>
              <w:jc w:val="right"/>
              <w:ind w:right="252"/>
              <w:spacing w:after="0" w:line="189" w:lineRule="exact"/>
              <w:rPr>
                <w:sz w:val="20"/>
                <w:szCs w:val="20"/>
                <w:color w:val="auto"/>
              </w:rPr>
            </w:pPr>
            <w:r>
              <w:rPr>
                <w:rFonts w:ascii="Arial" w:cs="Arial" w:eastAsia="Arial" w:hAnsi="Arial"/>
                <w:sz w:val="18"/>
                <w:szCs w:val="18"/>
                <w:color w:val="auto"/>
              </w:rPr>
              <w:t>4/24/2019</w:t>
            </w:r>
          </w:p>
        </w:tc>
        <w:tc>
          <w:tcPr>
            <w:tcW w:w="1160" w:type="dxa"/>
            <w:vAlign w:val="bottom"/>
            <w:shd w:val="clear" w:color="auto" w:fill="F4F4F4"/>
          </w:tcPr>
          <w:p>
            <w:pPr>
              <w:jc w:val="right"/>
              <w:ind w:right="52"/>
              <w:spacing w:after="0" w:line="189" w:lineRule="exact"/>
              <w:rPr>
                <w:sz w:val="20"/>
                <w:szCs w:val="20"/>
                <w:color w:val="auto"/>
              </w:rPr>
            </w:pPr>
            <w:r>
              <w:rPr>
                <w:rFonts w:ascii="Arial" w:cs="Arial" w:eastAsia="Arial" w:hAnsi="Arial"/>
                <w:sz w:val="18"/>
                <w:szCs w:val="18"/>
                <w:color w:val="auto"/>
              </w:rPr>
              <w:t>Appendix B</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top w:val="single" w:sz="8" w:color="F4F4F4"/>
              <w:bottom w:val="single" w:sz="8" w:color="F4F4F4"/>
            </w:tcBorders>
            <w:shd w:val="clear" w:color="auto" w:fill="F4F4F4"/>
          </w:tcPr>
          <w:p>
            <w:pPr>
              <w:spacing w:after="0"/>
              <w:rPr>
                <w:sz w:val="15"/>
                <w:szCs w:val="15"/>
                <w:color w:val="auto"/>
              </w:rPr>
            </w:pPr>
          </w:p>
        </w:tc>
        <w:tc>
          <w:tcPr>
            <w:tcW w:w="440" w:type="dxa"/>
            <w:vAlign w:val="bottom"/>
            <w:tcBorders>
              <w:top w:val="single" w:sz="8" w:color="0000FF"/>
              <w:bottom w:val="single" w:sz="8" w:color="F4F4F4"/>
            </w:tcBorders>
            <w:shd w:val="clear" w:color="auto" w:fill="F4F4F4"/>
          </w:tcPr>
          <w:p>
            <w:pPr>
              <w:spacing w:after="0"/>
              <w:rPr>
                <w:sz w:val="15"/>
                <w:szCs w:val="15"/>
                <w:color w:val="auto"/>
              </w:rPr>
            </w:pPr>
          </w:p>
        </w:tc>
        <w:tc>
          <w:tcPr>
            <w:tcW w:w="680" w:type="dxa"/>
            <w:vAlign w:val="bottom"/>
            <w:tcBorders>
              <w:top w:val="single" w:sz="8" w:color="F4F4F4"/>
              <w:left w:val="single" w:sz="8" w:color="F4F4F4"/>
              <w:bottom w:val="single" w:sz="8" w:color="F4F4F4"/>
            </w:tcBorders>
            <w:shd w:val="clear" w:color="auto" w:fill="F4F4F4"/>
          </w:tcPr>
          <w:p>
            <w:pPr>
              <w:spacing w:after="0"/>
              <w:rPr>
                <w:sz w:val="15"/>
                <w:szCs w:val="15"/>
                <w:color w:val="auto"/>
              </w:rPr>
            </w:pPr>
          </w:p>
        </w:tc>
        <w:tc>
          <w:tcPr>
            <w:tcW w:w="2340" w:type="dxa"/>
            <w:vAlign w:val="bottom"/>
            <w:tcBorders>
              <w:top w:val="single" w:sz="8" w:color="0000FF"/>
              <w:bottom w:val="single" w:sz="8" w:color="0000FF"/>
            </w:tcBorders>
            <w:gridSpan w:val="6"/>
            <w:shd w:val="clear" w:color="auto" w:fill="F4F4F4"/>
          </w:tcPr>
          <w:p>
            <w:pPr>
              <w:spacing w:after="0" w:line="156" w:lineRule="exact"/>
              <w:rPr>
                <w:rFonts w:ascii="Arial" w:cs="Arial" w:eastAsia="Arial" w:hAnsi="Arial"/>
                <w:sz w:val="18"/>
                <w:szCs w:val="18"/>
                <w:color w:val="0000FF"/>
                <w:w w:val="99"/>
              </w:rPr>
            </w:pPr>
            <w:hyperlink r:id="rId408">
              <w:r>
                <w:rPr>
                  <w:rFonts w:ascii="Arial" w:cs="Arial" w:eastAsia="Arial" w:hAnsi="Arial"/>
                  <w:sz w:val="18"/>
                  <w:szCs w:val="18"/>
                  <w:color w:val="0000FF"/>
                  <w:w w:val="99"/>
                </w:rPr>
                <w:t>Incentive Compensation Plan</w:t>
              </w:r>
            </w:hyperlink>
          </w:p>
        </w:tc>
        <w:tc>
          <w:tcPr>
            <w:tcW w:w="2180" w:type="dxa"/>
            <w:vAlign w:val="bottom"/>
            <w:tcBorders>
              <w:top w:val="single" w:sz="8" w:color="0000FF"/>
              <w:bottom w:val="single" w:sz="8" w:color="F4F4F4"/>
            </w:tcBorders>
            <w:gridSpan w:val="15"/>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40" w:type="dxa"/>
            <w:vAlign w:val="bottom"/>
            <w:tcBorders>
              <w:top w:val="single" w:sz="8" w:color="F4F4F4"/>
              <w:bottom w:val="single" w:sz="8" w:color="F4F4F4"/>
            </w:tcBorders>
            <w:gridSpan w:val="2"/>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40" w:type="dxa"/>
            <w:vAlign w:val="bottom"/>
            <w:tcBorders>
              <w:top w:val="single" w:sz="8" w:color="F4F4F4"/>
              <w:bottom w:val="single" w:sz="8" w:color="F4F4F4"/>
            </w:tcBorders>
            <w:gridSpan w:val="2"/>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20" w:type="dxa"/>
            <w:vAlign w:val="bottom"/>
            <w:tcBorders>
              <w:top w:val="single" w:sz="8" w:color="F4F4F4"/>
              <w:bottom w:val="single" w:sz="8" w:color="F4F4F4"/>
            </w:tcBorders>
            <w:shd w:val="clear" w:color="auto" w:fill="F4F4F4"/>
          </w:tcPr>
          <w:p>
            <w:pPr>
              <w:spacing w:after="0"/>
              <w:rPr>
                <w:sz w:val="15"/>
                <w:szCs w:val="15"/>
                <w:color w:val="auto"/>
              </w:rPr>
            </w:pPr>
          </w:p>
        </w:tc>
        <w:tc>
          <w:tcPr>
            <w:tcW w:w="1260" w:type="dxa"/>
            <w:vAlign w:val="bottom"/>
            <w:tcBorders>
              <w:top w:val="single" w:sz="8" w:color="F4F4F4"/>
              <w:bottom w:val="single" w:sz="8" w:color="F4F4F4"/>
            </w:tcBorders>
            <w:shd w:val="clear" w:color="auto" w:fill="F4F4F4"/>
          </w:tcPr>
          <w:p>
            <w:pPr>
              <w:spacing w:after="0"/>
              <w:rPr>
                <w:sz w:val="15"/>
                <w:szCs w:val="15"/>
                <w:color w:val="auto"/>
              </w:rPr>
            </w:pPr>
          </w:p>
        </w:tc>
        <w:tc>
          <w:tcPr>
            <w:tcW w:w="1520" w:type="dxa"/>
            <w:vAlign w:val="bottom"/>
            <w:tcBorders>
              <w:top w:val="single" w:sz="8" w:color="F4F4F4"/>
              <w:bottom w:val="single" w:sz="8" w:color="F4F4F4"/>
            </w:tcBorders>
            <w:shd w:val="clear" w:color="auto" w:fill="F4F4F4"/>
          </w:tcPr>
          <w:p>
            <w:pPr>
              <w:spacing w:after="0"/>
              <w:rPr>
                <w:sz w:val="15"/>
                <w:szCs w:val="15"/>
                <w:color w:val="auto"/>
              </w:rPr>
            </w:pPr>
          </w:p>
        </w:tc>
        <w:tc>
          <w:tcPr>
            <w:tcW w:w="1160" w:type="dxa"/>
            <w:vAlign w:val="bottom"/>
            <w:tcBorders>
              <w:top w:val="single" w:sz="8" w:color="F4F4F4"/>
              <w:bottom w:val="single" w:sz="8" w:color="F4F4F4"/>
            </w:tcBorders>
            <w:shd w:val="clear" w:color="auto" w:fill="F4F4F4"/>
          </w:tcPr>
          <w:p>
            <w:pPr>
              <w:spacing w:after="0"/>
              <w:rPr>
                <w:sz w:val="15"/>
                <w:szCs w:val="15"/>
                <w:color w:val="auto"/>
              </w:rPr>
            </w:pPr>
          </w:p>
        </w:tc>
        <w:tc>
          <w:tcPr>
            <w:tcW w:w="900" w:type="dxa"/>
            <w:vAlign w:val="bottom"/>
            <w:tcBorders>
              <w:top w:val="single" w:sz="8" w:color="F4F4F4"/>
              <w:bottom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gridSpan w:val="2"/>
          </w:tcPr>
          <w:p>
            <w:pPr>
              <w:jc w:val="right"/>
              <w:spacing w:after="0" w:line="189" w:lineRule="exact"/>
              <w:rPr>
                <w:rFonts w:ascii="Arial" w:cs="Arial" w:eastAsia="Arial" w:hAnsi="Arial"/>
                <w:sz w:val="18"/>
                <w:szCs w:val="18"/>
                <w:color w:val="0000FF"/>
              </w:rPr>
            </w:pPr>
            <w:hyperlink r:id="rId409">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68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4780" w:type="dxa"/>
            <w:vAlign w:val="bottom"/>
            <w:gridSpan w:val="34"/>
          </w:tcPr>
          <w:p>
            <w:pPr>
              <w:spacing w:after="0" w:line="189" w:lineRule="exact"/>
              <w:rPr>
                <w:rFonts w:ascii="Arial" w:cs="Arial" w:eastAsia="Arial" w:hAnsi="Arial"/>
                <w:sz w:val="18"/>
                <w:szCs w:val="18"/>
                <w:color w:val="0000FF"/>
              </w:rPr>
            </w:pPr>
            <w:hyperlink r:id="rId409">
              <w:r>
                <w:rPr>
                  <w:rFonts w:ascii="Arial" w:cs="Arial" w:eastAsia="Arial" w:hAnsi="Arial"/>
                  <w:sz w:val="18"/>
                  <w:szCs w:val="18"/>
                  <w:color w:val="0000FF"/>
                </w:rPr>
                <w:t>Offer Letter Agreement between Blackbaud, Inc. and</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5/3/2019</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10.96</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42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409">
              <w:r>
                <w:rPr>
                  <w:rFonts w:ascii="Arial" w:cs="Arial" w:eastAsia="Arial" w:hAnsi="Arial"/>
                  <w:sz w:val="18"/>
                  <w:szCs w:val="18"/>
                  <w:color w:val="0000FF"/>
                </w:rPr>
                <w:t>Kevin P. Gregoire</w:t>
              </w:r>
            </w:hyperlink>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gridSpan w:val="2"/>
            <w:shd w:val="clear" w:color="auto" w:fill="F4F4F4"/>
          </w:tcPr>
          <w:p>
            <w:pPr>
              <w:jc w:val="right"/>
              <w:spacing w:after="0" w:line="189" w:lineRule="exact"/>
              <w:rPr>
                <w:rFonts w:ascii="Arial" w:cs="Arial" w:eastAsia="Arial" w:hAnsi="Arial"/>
                <w:sz w:val="18"/>
                <w:szCs w:val="18"/>
                <w:color w:val="0000FF"/>
              </w:rPr>
            </w:pPr>
            <w:hyperlink r:id="rId410">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680" w:type="dxa"/>
            <w:vAlign w:val="bottom"/>
            <w:tcBorders>
              <w:left w:val="single" w:sz="8" w:color="F4F4F4"/>
            </w:tcBorders>
            <w:shd w:val="clear" w:color="auto" w:fill="F4F4F4"/>
          </w:tcPr>
          <w:p>
            <w:pPr>
              <w:ind w:left="40"/>
              <w:spacing w:after="0" w:line="189" w:lineRule="exact"/>
              <w:rPr>
                <w:sz w:val="20"/>
                <w:szCs w:val="20"/>
                <w:color w:val="auto"/>
              </w:rPr>
            </w:pPr>
            <w:r>
              <w:rPr>
                <w:rFonts w:ascii="Arial" w:cs="Arial" w:eastAsia="Arial" w:hAnsi="Arial"/>
                <w:sz w:val="18"/>
                <w:szCs w:val="18"/>
                <w:color w:val="auto"/>
              </w:rPr>
              <w:t>†</w:t>
            </w:r>
          </w:p>
        </w:tc>
        <w:tc>
          <w:tcPr>
            <w:tcW w:w="4780" w:type="dxa"/>
            <w:vAlign w:val="bottom"/>
            <w:gridSpan w:val="34"/>
            <w:shd w:val="clear" w:color="auto" w:fill="F4F4F4"/>
          </w:tcPr>
          <w:p>
            <w:pPr>
              <w:spacing w:after="0" w:line="189" w:lineRule="exact"/>
              <w:rPr>
                <w:rFonts w:ascii="Arial" w:cs="Arial" w:eastAsia="Arial" w:hAnsi="Arial"/>
                <w:sz w:val="18"/>
                <w:szCs w:val="18"/>
                <w:color w:val="0000FF"/>
              </w:rPr>
            </w:pPr>
            <w:hyperlink r:id="rId410">
              <w:r>
                <w:rPr>
                  <w:rFonts w:ascii="Arial" w:cs="Arial" w:eastAsia="Arial" w:hAnsi="Arial"/>
                  <w:sz w:val="18"/>
                  <w:szCs w:val="18"/>
                  <w:color w:val="0000FF"/>
                </w:rPr>
                <w:t>Form of Employee Agreement between Blackbaud, Inc.</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shd w:val="clear" w:color="auto" w:fill="F4F4F4"/>
          </w:tcPr>
          <w:p>
            <w:pPr>
              <w:jc w:val="right"/>
              <w:ind w:right="252"/>
              <w:spacing w:after="0" w:line="189" w:lineRule="exact"/>
              <w:rPr>
                <w:sz w:val="20"/>
                <w:szCs w:val="20"/>
                <w:color w:val="auto"/>
              </w:rPr>
            </w:pPr>
            <w:r>
              <w:rPr>
                <w:rFonts w:ascii="Arial" w:cs="Arial" w:eastAsia="Arial" w:hAnsi="Arial"/>
                <w:sz w:val="18"/>
                <w:szCs w:val="18"/>
                <w:color w:val="auto"/>
              </w:rPr>
              <w:t>5/3/2019</w:t>
            </w:r>
          </w:p>
        </w:tc>
        <w:tc>
          <w:tcPr>
            <w:tcW w:w="1160" w:type="dxa"/>
            <w:vAlign w:val="bottom"/>
            <w:shd w:val="clear" w:color="auto" w:fill="F4F4F4"/>
          </w:tcPr>
          <w:p>
            <w:pPr>
              <w:jc w:val="right"/>
              <w:ind w:right="52"/>
              <w:spacing w:after="0" w:line="189" w:lineRule="exact"/>
              <w:rPr>
                <w:sz w:val="20"/>
                <w:szCs w:val="20"/>
                <w:color w:val="auto"/>
              </w:rPr>
            </w:pPr>
            <w:r>
              <w:rPr>
                <w:rFonts w:ascii="Arial" w:cs="Arial" w:eastAsia="Arial" w:hAnsi="Arial"/>
                <w:sz w:val="18"/>
                <w:szCs w:val="18"/>
                <w:color w:val="auto"/>
              </w:rPr>
              <w:t>10.97</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tcBorders>
            <w:shd w:val="clear" w:color="auto" w:fill="F4F4F4"/>
          </w:tcPr>
          <w:p>
            <w:pPr>
              <w:spacing w:after="0"/>
              <w:rPr>
                <w:sz w:val="13"/>
                <w:szCs w:val="13"/>
                <w:color w:val="auto"/>
              </w:rPr>
            </w:pPr>
          </w:p>
        </w:tc>
        <w:tc>
          <w:tcPr>
            <w:tcW w:w="440" w:type="dxa"/>
            <w:vAlign w:val="bottom"/>
            <w:tcBorders>
              <w:top w:val="single" w:sz="8" w:color="0000FF"/>
            </w:tcBorders>
            <w:shd w:val="clear" w:color="auto" w:fill="F4F4F4"/>
          </w:tcPr>
          <w:p>
            <w:pPr>
              <w:spacing w:after="0"/>
              <w:rPr>
                <w:sz w:val="13"/>
                <w:szCs w:val="13"/>
                <w:color w:val="auto"/>
              </w:rPr>
            </w:pPr>
          </w:p>
        </w:tc>
        <w:tc>
          <w:tcPr>
            <w:tcW w:w="680" w:type="dxa"/>
            <w:vAlign w:val="bottom"/>
            <w:tcBorders>
              <w:top w:val="single" w:sz="8" w:color="F4F4F4"/>
              <w:left w:val="single" w:sz="8" w:color="F4F4F4"/>
            </w:tcBorders>
            <w:shd w:val="clear" w:color="auto" w:fill="F4F4F4"/>
          </w:tcPr>
          <w:p>
            <w:pPr>
              <w:spacing w:after="0"/>
              <w:rPr>
                <w:sz w:val="13"/>
                <w:szCs w:val="13"/>
                <w:color w:val="auto"/>
              </w:rPr>
            </w:pPr>
          </w:p>
        </w:tc>
        <w:tc>
          <w:tcPr>
            <w:tcW w:w="4420" w:type="dxa"/>
            <w:vAlign w:val="bottom"/>
            <w:tcBorders>
              <w:top w:val="single" w:sz="8" w:color="0000FF"/>
            </w:tcBorders>
            <w:gridSpan w:val="20"/>
            <w:shd w:val="clear" w:color="auto" w:fill="F4F4F4"/>
          </w:tcPr>
          <w:p>
            <w:pPr>
              <w:spacing w:after="0" w:line="156" w:lineRule="exact"/>
              <w:rPr>
                <w:rFonts w:ascii="Arial" w:cs="Arial" w:eastAsia="Arial" w:hAnsi="Arial"/>
                <w:sz w:val="18"/>
                <w:szCs w:val="18"/>
                <w:color w:val="0000FF"/>
              </w:rPr>
            </w:pPr>
            <w:hyperlink r:id="rId410">
              <w:r>
                <w:rPr>
                  <w:rFonts w:ascii="Arial" w:cs="Arial" w:eastAsia="Arial" w:hAnsi="Arial"/>
                  <w:sz w:val="18"/>
                  <w:szCs w:val="18"/>
                  <w:color w:val="0000FF"/>
                </w:rPr>
                <w:t>and Kevin P. Gregoire</w:t>
              </w:r>
            </w:hyperlink>
          </w:p>
        </w:tc>
        <w:tc>
          <w:tcPr>
            <w:tcW w:w="120" w:type="dxa"/>
            <w:vAlign w:val="bottom"/>
            <w:tcBorders>
              <w:top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40" w:type="dxa"/>
            <w:vAlign w:val="bottom"/>
            <w:tcBorders>
              <w:top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40" w:type="dxa"/>
            <w:vAlign w:val="bottom"/>
            <w:tcBorders>
              <w:top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60" w:type="dxa"/>
            <w:vAlign w:val="bottom"/>
            <w:tcBorders>
              <w:top w:val="single" w:sz="8" w:color="F4F4F4"/>
            </w:tcBorders>
            <w:shd w:val="clear" w:color="auto" w:fill="F4F4F4"/>
          </w:tcPr>
          <w:p>
            <w:pPr>
              <w:spacing w:after="0"/>
              <w:rPr>
                <w:sz w:val="13"/>
                <w:szCs w:val="13"/>
                <w:color w:val="auto"/>
              </w:rPr>
            </w:pPr>
          </w:p>
        </w:tc>
        <w:tc>
          <w:tcPr>
            <w:tcW w:w="1520" w:type="dxa"/>
            <w:vAlign w:val="bottom"/>
            <w:tcBorders>
              <w:top w:val="single" w:sz="8" w:color="F4F4F4"/>
            </w:tcBorders>
            <w:shd w:val="clear" w:color="auto" w:fill="F4F4F4"/>
          </w:tcPr>
          <w:p>
            <w:pPr>
              <w:spacing w:after="0"/>
              <w:rPr>
                <w:sz w:val="13"/>
                <w:szCs w:val="13"/>
                <w:color w:val="auto"/>
              </w:rPr>
            </w:pPr>
          </w:p>
        </w:tc>
        <w:tc>
          <w:tcPr>
            <w:tcW w:w="11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F4F4F4"/>
            </w:tcBorders>
            <w:shd w:val="clear" w:color="auto" w:fill="F4F4F4"/>
          </w:tcPr>
          <w:p>
            <w:pPr>
              <w:spacing w:after="0" w:line="20" w:lineRule="exact"/>
              <w:rPr>
                <w:sz w:val="1"/>
                <w:szCs w:val="1"/>
                <w:color w:val="auto"/>
              </w:rPr>
            </w:pPr>
          </w:p>
        </w:tc>
        <w:tc>
          <w:tcPr>
            <w:tcW w:w="440" w:type="dxa"/>
            <w:vAlign w:val="bottom"/>
            <w:tcBorders>
              <w:top w:val="single" w:sz="8" w:color="F4F4F4"/>
            </w:tcBorders>
            <w:shd w:val="clear" w:color="auto" w:fill="F4F4F4"/>
          </w:tcPr>
          <w:p>
            <w:pPr>
              <w:spacing w:after="0" w:line="20" w:lineRule="exact"/>
              <w:rPr>
                <w:sz w:val="1"/>
                <w:szCs w:val="1"/>
                <w:color w:val="auto"/>
              </w:rPr>
            </w:pPr>
          </w:p>
        </w:tc>
        <w:tc>
          <w:tcPr>
            <w:tcW w:w="680" w:type="dxa"/>
            <w:vAlign w:val="bottom"/>
            <w:tcBorders>
              <w:top w:val="single" w:sz="8" w:color="F4F4F4"/>
              <w:left w:val="single" w:sz="8" w:color="F4F4F4"/>
            </w:tcBorders>
            <w:shd w:val="clear" w:color="auto" w:fill="F4F4F4"/>
          </w:tcPr>
          <w:p>
            <w:pPr>
              <w:spacing w:after="0" w:line="20" w:lineRule="exact"/>
              <w:rPr>
                <w:sz w:val="1"/>
                <w:szCs w:val="1"/>
                <w:color w:val="auto"/>
              </w:rPr>
            </w:pPr>
          </w:p>
        </w:tc>
        <w:tc>
          <w:tcPr>
            <w:tcW w:w="280" w:type="dxa"/>
            <w:vAlign w:val="bottom"/>
            <w:tcBorders>
              <w:top w:val="single" w:sz="8" w:color="0000FF"/>
            </w:tcBorders>
            <w:shd w:val="clear" w:color="auto" w:fill="F4F4F4"/>
          </w:tcPr>
          <w:p>
            <w:pPr>
              <w:spacing w:after="0" w:line="20" w:lineRule="exact"/>
              <w:rPr>
                <w:sz w:val="1"/>
                <w:szCs w:val="1"/>
                <w:color w:val="auto"/>
              </w:rPr>
            </w:pPr>
          </w:p>
        </w:tc>
        <w:tc>
          <w:tcPr>
            <w:tcW w:w="100" w:type="dxa"/>
            <w:vAlign w:val="bottom"/>
            <w:tcBorders>
              <w:top w:val="single" w:sz="8" w:color="0000FF"/>
            </w:tcBorders>
            <w:shd w:val="clear" w:color="auto" w:fill="F4F4F4"/>
          </w:tcPr>
          <w:p>
            <w:pPr>
              <w:spacing w:after="0" w:line="20" w:lineRule="exact"/>
              <w:rPr>
                <w:sz w:val="1"/>
                <w:szCs w:val="1"/>
                <w:color w:val="auto"/>
              </w:rPr>
            </w:pPr>
          </w:p>
        </w:tc>
        <w:tc>
          <w:tcPr>
            <w:tcW w:w="840" w:type="dxa"/>
            <w:vAlign w:val="bottom"/>
            <w:tcBorders>
              <w:top w:val="single" w:sz="8" w:color="0000FF"/>
            </w:tcBorders>
            <w:shd w:val="clear" w:color="auto" w:fill="F4F4F4"/>
          </w:tcPr>
          <w:p>
            <w:pPr>
              <w:spacing w:after="0" w:line="20" w:lineRule="exact"/>
              <w:rPr>
                <w:sz w:val="1"/>
                <w:szCs w:val="1"/>
                <w:color w:val="auto"/>
              </w:rPr>
            </w:pPr>
          </w:p>
        </w:tc>
        <w:tc>
          <w:tcPr>
            <w:tcW w:w="180" w:type="dxa"/>
            <w:vAlign w:val="bottom"/>
            <w:tcBorders>
              <w:top w:val="single" w:sz="8" w:color="0000FF"/>
            </w:tcBorders>
            <w:shd w:val="clear" w:color="auto" w:fill="F4F4F4"/>
          </w:tcPr>
          <w:p>
            <w:pPr>
              <w:spacing w:after="0" w:line="20" w:lineRule="exact"/>
              <w:rPr>
                <w:sz w:val="1"/>
                <w:szCs w:val="1"/>
                <w:color w:val="auto"/>
              </w:rPr>
            </w:pPr>
          </w:p>
        </w:tc>
        <w:tc>
          <w:tcPr>
            <w:tcW w:w="340" w:type="dxa"/>
            <w:vAlign w:val="bottom"/>
            <w:tcBorders>
              <w:top w:val="single" w:sz="8" w:color="0000FF"/>
            </w:tcBorders>
            <w:shd w:val="clear" w:color="auto" w:fill="F4F4F4"/>
          </w:tcPr>
          <w:p>
            <w:pPr>
              <w:spacing w:after="0" w:line="20" w:lineRule="exact"/>
              <w:rPr>
                <w:sz w:val="1"/>
                <w:szCs w:val="1"/>
                <w:color w:val="auto"/>
              </w:rPr>
            </w:pPr>
          </w:p>
        </w:tc>
        <w:tc>
          <w:tcPr>
            <w:tcW w:w="600" w:type="dxa"/>
            <w:vAlign w:val="bottom"/>
            <w:tcBorders>
              <w:top w:val="single" w:sz="8" w:color="F4F4F4"/>
            </w:tcBorders>
            <w:shd w:val="clear" w:color="auto" w:fill="F4F4F4"/>
          </w:tcPr>
          <w:p>
            <w:pPr>
              <w:spacing w:after="0" w:line="20" w:lineRule="exact"/>
              <w:rPr>
                <w:sz w:val="1"/>
                <w:szCs w:val="1"/>
                <w:color w:val="auto"/>
              </w:rPr>
            </w:pPr>
          </w:p>
        </w:tc>
        <w:tc>
          <w:tcPr>
            <w:tcW w:w="58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F4F4F4"/>
            </w:tcBorders>
            <w:shd w:val="clear" w:color="auto" w:fill="F4F4F4"/>
          </w:tcPr>
          <w:p>
            <w:pPr>
              <w:spacing w:after="0" w:line="20" w:lineRule="exact"/>
              <w:rPr>
                <w:sz w:val="1"/>
                <w:szCs w:val="1"/>
                <w:color w:val="auto"/>
              </w:rPr>
            </w:pPr>
          </w:p>
        </w:tc>
        <w:tc>
          <w:tcPr>
            <w:tcW w:w="260" w:type="dxa"/>
            <w:vAlign w:val="bottom"/>
            <w:tcBorders>
              <w:top w:val="single" w:sz="8" w:color="F4F4F4"/>
            </w:tcBorders>
            <w:shd w:val="clear" w:color="auto" w:fill="F4F4F4"/>
          </w:tcPr>
          <w:p>
            <w:pPr>
              <w:spacing w:after="0" w:line="20" w:lineRule="exact"/>
              <w:rPr>
                <w:sz w:val="1"/>
                <w:szCs w:val="1"/>
                <w:color w:val="auto"/>
              </w:rPr>
            </w:pPr>
          </w:p>
        </w:tc>
        <w:tc>
          <w:tcPr>
            <w:tcW w:w="3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right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0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60" w:type="dxa"/>
            <w:vAlign w:val="bottom"/>
            <w:tcBorders>
              <w:top w:val="single" w:sz="8" w:color="F4F4F4"/>
            </w:tcBorders>
            <w:shd w:val="clear" w:color="auto" w:fill="F4F4F4"/>
          </w:tcPr>
          <w:p>
            <w:pPr>
              <w:spacing w:after="0" w:line="20" w:lineRule="exact"/>
              <w:rPr>
                <w:sz w:val="1"/>
                <w:szCs w:val="1"/>
                <w:color w:val="auto"/>
              </w:rPr>
            </w:pPr>
          </w:p>
        </w:tc>
        <w:tc>
          <w:tcPr>
            <w:tcW w:w="1520" w:type="dxa"/>
            <w:vAlign w:val="bottom"/>
            <w:tcBorders>
              <w:top w:val="single" w:sz="8" w:color="F4F4F4"/>
            </w:tcBorders>
            <w:shd w:val="clear" w:color="auto" w:fill="F4F4F4"/>
          </w:tcPr>
          <w:p>
            <w:pPr>
              <w:spacing w:after="0" w:line="20" w:lineRule="exact"/>
              <w:rPr>
                <w:sz w:val="1"/>
                <w:szCs w:val="1"/>
                <w:color w:val="auto"/>
              </w:rPr>
            </w:pPr>
          </w:p>
        </w:tc>
        <w:tc>
          <w:tcPr>
            <w:tcW w:w="1160" w:type="dxa"/>
            <w:vAlign w:val="bottom"/>
            <w:tcBorders>
              <w:top w:val="single" w:sz="8" w:color="F4F4F4"/>
            </w:tcBorders>
            <w:shd w:val="clear" w:color="auto" w:fill="F4F4F4"/>
          </w:tcPr>
          <w:p>
            <w:pPr>
              <w:spacing w:after="0" w:line="20" w:lineRule="exact"/>
              <w:rPr>
                <w:sz w:val="1"/>
                <w:szCs w:val="1"/>
                <w:color w:val="auto"/>
              </w:rPr>
            </w:pPr>
          </w:p>
        </w:tc>
        <w:tc>
          <w:tcPr>
            <w:tcW w:w="900" w:type="dxa"/>
            <w:vAlign w:val="bottom"/>
            <w:tcBorders>
              <w:top w:val="single" w:sz="8" w:color="F4F4F4"/>
            </w:tcBorders>
            <w:shd w:val="clear" w:color="auto" w:fill="F4F4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gridSpan w:val="2"/>
          </w:tcPr>
          <w:p>
            <w:pPr>
              <w:jc w:val="right"/>
              <w:spacing w:after="0" w:line="189" w:lineRule="exact"/>
              <w:rPr>
                <w:rFonts w:ascii="Arial" w:cs="Arial" w:eastAsia="Arial" w:hAnsi="Arial"/>
                <w:sz w:val="18"/>
                <w:szCs w:val="18"/>
                <w:color w:val="0000FF"/>
              </w:rPr>
            </w:pPr>
            <w:hyperlink r:id="rId411">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680" w:type="dxa"/>
            <w:vAlign w:val="bottom"/>
          </w:tcPr>
          <w:p>
            <w:pPr>
              <w:ind w:left="40"/>
              <w:spacing w:after="0" w:line="189" w:lineRule="exact"/>
              <w:rPr>
                <w:sz w:val="20"/>
                <w:szCs w:val="20"/>
                <w:color w:val="auto"/>
              </w:rPr>
            </w:pPr>
            <w:r>
              <w:rPr>
                <w:rFonts w:ascii="Arial" w:cs="Arial" w:eastAsia="Arial" w:hAnsi="Arial"/>
                <w:sz w:val="18"/>
                <w:szCs w:val="18"/>
                <w:color w:val="auto"/>
              </w:rPr>
              <w:t>†</w:t>
            </w:r>
          </w:p>
        </w:tc>
        <w:tc>
          <w:tcPr>
            <w:tcW w:w="4780" w:type="dxa"/>
            <w:vAlign w:val="bottom"/>
            <w:gridSpan w:val="34"/>
          </w:tcPr>
          <w:p>
            <w:pPr>
              <w:spacing w:after="0" w:line="189" w:lineRule="exact"/>
              <w:rPr>
                <w:rFonts w:ascii="Arial" w:cs="Arial" w:eastAsia="Arial" w:hAnsi="Arial"/>
                <w:sz w:val="18"/>
                <w:szCs w:val="18"/>
                <w:color w:val="0000FF"/>
              </w:rPr>
            </w:pPr>
            <w:hyperlink r:id="rId411">
              <w:r>
                <w:rPr>
                  <w:rFonts w:ascii="Arial" w:cs="Arial" w:eastAsia="Arial" w:hAnsi="Arial"/>
                  <w:sz w:val="18"/>
                  <w:szCs w:val="18"/>
                  <w:color w:val="0000FF"/>
                </w:rPr>
                <w:t>Amended and Restated Employment and Noncompetition</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8-K</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12/13/2019</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10.99</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46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11">
              <w:r>
                <w:rPr>
                  <w:rFonts w:ascii="Arial" w:cs="Arial" w:eastAsia="Arial" w:hAnsi="Arial"/>
                  <w:sz w:val="18"/>
                  <w:szCs w:val="18"/>
                  <w:color w:val="0000FF"/>
                </w:rPr>
                <w:t>Agreement dated December 11, 2019 between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7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11">
              <w:r>
                <w:rPr>
                  <w:rFonts w:ascii="Arial" w:cs="Arial" w:eastAsia="Arial" w:hAnsi="Arial"/>
                  <w:sz w:val="18"/>
                  <w:szCs w:val="18"/>
                  <w:color w:val="0000FF"/>
                </w:rPr>
                <w:t>Blackbaud, Inc. and Michael P. Gianoni</w:t>
              </w:r>
            </w:hyperlink>
          </w:p>
        </w:tc>
        <w:tc>
          <w:tcPr>
            <w:tcW w:w="28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gridSpan w:val="2"/>
            <w:shd w:val="clear" w:color="auto" w:fill="F4F4F4"/>
          </w:tcPr>
          <w:p>
            <w:pPr>
              <w:jc w:val="right"/>
              <w:spacing w:after="0" w:line="189" w:lineRule="exact"/>
              <w:rPr>
                <w:rFonts w:ascii="Arial" w:cs="Arial" w:eastAsia="Arial" w:hAnsi="Arial"/>
                <w:sz w:val="18"/>
                <w:szCs w:val="18"/>
                <w:color w:val="0000FF"/>
              </w:rPr>
            </w:pPr>
            <w:hyperlink r:id="rId412">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680" w:type="dxa"/>
            <w:vAlign w:val="bottom"/>
            <w:tcBorders>
              <w:left w:val="single" w:sz="8" w:color="F4F4F4"/>
            </w:tcBorders>
            <w:shd w:val="clear" w:color="auto" w:fill="F4F4F4"/>
          </w:tcPr>
          <w:p>
            <w:pPr>
              <w:spacing w:after="0"/>
              <w:rPr>
                <w:sz w:val="16"/>
                <w:szCs w:val="16"/>
                <w:color w:val="auto"/>
              </w:rPr>
            </w:pPr>
          </w:p>
        </w:tc>
        <w:tc>
          <w:tcPr>
            <w:tcW w:w="4780" w:type="dxa"/>
            <w:vAlign w:val="bottom"/>
            <w:gridSpan w:val="34"/>
            <w:shd w:val="clear" w:color="auto" w:fill="F4F4F4"/>
          </w:tcPr>
          <w:p>
            <w:pPr>
              <w:spacing w:after="0" w:line="189" w:lineRule="exact"/>
              <w:rPr>
                <w:rFonts w:ascii="Arial" w:cs="Arial" w:eastAsia="Arial" w:hAnsi="Arial"/>
                <w:sz w:val="18"/>
                <w:szCs w:val="18"/>
                <w:color w:val="0000FF"/>
              </w:rPr>
            </w:pPr>
            <w:hyperlink r:id="rId412">
              <w:r>
                <w:rPr>
                  <w:rFonts w:ascii="Arial" w:cs="Arial" w:eastAsia="Arial" w:hAnsi="Arial"/>
                  <w:sz w:val="18"/>
                  <w:szCs w:val="18"/>
                  <w:color w:val="0000FF"/>
                </w:rPr>
                <w:t>Fifth Amendment to Lease Agreement, dated as of</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shd w:val="clear" w:color="auto" w:fill="F4F4F4"/>
          </w:tcPr>
          <w:p>
            <w:pPr>
              <w:jc w:val="right"/>
              <w:ind w:right="252"/>
              <w:spacing w:after="0" w:line="189" w:lineRule="exact"/>
              <w:rPr>
                <w:sz w:val="20"/>
                <w:szCs w:val="20"/>
                <w:color w:val="auto"/>
              </w:rPr>
            </w:pPr>
            <w:r>
              <w:rPr>
                <w:rFonts w:ascii="Arial" w:cs="Arial" w:eastAsia="Arial" w:hAnsi="Arial"/>
                <w:sz w:val="18"/>
                <w:szCs w:val="18"/>
                <w:color w:val="auto"/>
              </w:rPr>
              <w:t>8/4/2020</w:t>
            </w:r>
          </w:p>
        </w:tc>
        <w:tc>
          <w:tcPr>
            <w:tcW w:w="1160" w:type="dxa"/>
            <w:vAlign w:val="bottom"/>
            <w:shd w:val="clear" w:color="auto" w:fill="F4F4F4"/>
          </w:tcPr>
          <w:p>
            <w:pPr>
              <w:jc w:val="right"/>
              <w:ind w:right="52"/>
              <w:spacing w:after="0" w:line="189" w:lineRule="exact"/>
              <w:rPr>
                <w:sz w:val="20"/>
                <w:szCs w:val="20"/>
                <w:color w:val="auto"/>
              </w:rPr>
            </w:pPr>
            <w:r>
              <w:rPr>
                <w:rFonts w:ascii="Arial" w:cs="Arial" w:eastAsia="Arial" w:hAnsi="Arial"/>
                <w:sz w:val="18"/>
                <w:szCs w:val="18"/>
                <w:color w:val="auto"/>
              </w:rPr>
              <w:t>10.1</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F4F4F4"/>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tcBorders>
              <w:left w:val="single" w:sz="8" w:color="F4F4F4"/>
            </w:tcBorders>
            <w:shd w:val="clear" w:color="auto" w:fill="F4F4F4"/>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F4F4F4"/>
          </w:tcPr>
          <w:p>
            <w:pPr>
              <w:spacing w:after="0" w:line="20" w:lineRule="exact"/>
              <w:rPr>
                <w:sz w:val="1"/>
                <w:szCs w:val="1"/>
                <w:color w:val="auto"/>
              </w:rPr>
            </w:pPr>
          </w:p>
        </w:tc>
        <w:tc>
          <w:tcPr>
            <w:tcW w:w="140" w:type="dxa"/>
            <w:vAlign w:val="bottom"/>
            <w:gridSpan w:val="3"/>
            <w:shd w:val="clear" w:color="auto" w:fill="F4F4F4"/>
          </w:tcPr>
          <w:p>
            <w:pPr>
              <w:spacing w:after="0" w:line="20" w:lineRule="exact"/>
              <w:rPr>
                <w:sz w:val="1"/>
                <w:szCs w:val="1"/>
                <w:color w:val="auto"/>
              </w:rPr>
            </w:pPr>
          </w:p>
        </w:tc>
        <w:tc>
          <w:tcPr>
            <w:tcW w:w="200" w:type="dxa"/>
            <w:vAlign w:val="bottom"/>
            <w:gridSpan w:val="5"/>
            <w:shd w:val="clear" w:color="auto" w:fill="F4F4F4"/>
          </w:tcPr>
          <w:p>
            <w:pPr>
              <w:spacing w:after="0" w:line="20" w:lineRule="exact"/>
              <w:rPr>
                <w:sz w:val="1"/>
                <w:szCs w:val="1"/>
                <w:color w:val="auto"/>
              </w:rPr>
            </w:pPr>
          </w:p>
        </w:tc>
        <w:tc>
          <w:tcPr>
            <w:tcW w:w="20" w:type="dxa"/>
            <w:vAlign w:val="bottom"/>
            <w:shd w:val="clear" w:color="auto" w:fill="F4F4F4"/>
          </w:tcPr>
          <w:p>
            <w:pPr>
              <w:spacing w:after="0" w:line="20" w:lineRule="exact"/>
              <w:rPr>
                <w:sz w:val="1"/>
                <w:szCs w:val="1"/>
                <w:color w:val="auto"/>
              </w:rPr>
            </w:pPr>
          </w:p>
        </w:tc>
        <w:tc>
          <w:tcPr>
            <w:tcW w:w="40" w:type="dxa"/>
            <w:vAlign w:val="bottom"/>
            <w:gridSpan w:val="2"/>
            <w:shd w:val="clear" w:color="auto" w:fill="F4F4F4"/>
          </w:tcPr>
          <w:p>
            <w:pPr>
              <w:spacing w:after="0" w:line="20" w:lineRule="exact"/>
              <w:rPr>
                <w:sz w:val="1"/>
                <w:szCs w:val="1"/>
                <w:color w:val="auto"/>
              </w:rPr>
            </w:pPr>
          </w:p>
        </w:tc>
        <w:tc>
          <w:tcPr>
            <w:tcW w:w="60" w:type="dxa"/>
            <w:vAlign w:val="bottom"/>
            <w:gridSpan w:val="3"/>
            <w:shd w:val="clear" w:color="auto" w:fill="F4F4F4"/>
          </w:tcPr>
          <w:p>
            <w:pPr>
              <w:spacing w:after="0" w:line="20" w:lineRule="exact"/>
              <w:rPr>
                <w:sz w:val="1"/>
                <w:szCs w:val="1"/>
                <w:color w:val="auto"/>
              </w:rPr>
            </w:pPr>
          </w:p>
        </w:tc>
        <w:tc>
          <w:tcPr>
            <w:tcW w:w="20" w:type="dxa"/>
            <w:vAlign w:val="bottom"/>
            <w:shd w:val="clear" w:color="auto" w:fill="F4F4F4"/>
          </w:tcPr>
          <w:p>
            <w:pPr>
              <w:spacing w:after="0" w:line="20" w:lineRule="exact"/>
              <w:rPr>
                <w:sz w:val="1"/>
                <w:szCs w:val="1"/>
                <w:color w:val="auto"/>
              </w:rPr>
            </w:pPr>
          </w:p>
        </w:tc>
        <w:tc>
          <w:tcPr>
            <w:tcW w:w="20" w:type="dxa"/>
            <w:vAlign w:val="bottom"/>
            <w:shd w:val="clear" w:color="auto" w:fill="F4F4F4"/>
          </w:tcPr>
          <w:p>
            <w:pPr>
              <w:spacing w:after="0" w:line="20" w:lineRule="exact"/>
              <w:rPr>
                <w:sz w:val="1"/>
                <w:szCs w:val="1"/>
                <w:color w:val="auto"/>
              </w:rPr>
            </w:pPr>
          </w:p>
        </w:tc>
        <w:tc>
          <w:tcPr>
            <w:tcW w:w="20" w:type="dxa"/>
            <w:vAlign w:val="bottom"/>
            <w:shd w:val="clear" w:color="auto" w:fill="F4F4F4"/>
          </w:tcPr>
          <w:p>
            <w:pPr>
              <w:spacing w:after="0" w:line="20" w:lineRule="exact"/>
              <w:rPr>
                <w:sz w:val="1"/>
                <w:szCs w:val="1"/>
                <w:color w:val="auto"/>
              </w:rPr>
            </w:pPr>
          </w:p>
        </w:tc>
        <w:tc>
          <w:tcPr>
            <w:tcW w:w="20" w:type="dxa"/>
            <w:vAlign w:val="bottom"/>
            <w:shd w:val="clear" w:color="auto" w:fill="F4F4F4"/>
          </w:tcPr>
          <w:p>
            <w:pPr>
              <w:spacing w:after="0" w:line="20" w:lineRule="exact"/>
              <w:rPr>
                <w:sz w:val="1"/>
                <w:szCs w:val="1"/>
                <w:color w:val="auto"/>
              </w:rPr>
            </w:pPr>
          </w:p>
        </w:tc>
        <w:tc>
          <w:tcPr>
            <w:tcW w:w="20" w:type="dxa"/>
            <w:vAlign w:val="bottom"/>
            <w:shd w:val="clear" w:color="auto" w:fill="F4F4F4"/>
          </w:tcPr>
          <w:p>
            <w:pPr>
              <w:spacing w:after="0" w:line="20" w:lineRule="exact"/>
              <w:rPr>
                <w:sz w:val="1"/>
                <w:szCs w:val="1"/>
                <w:color w:val="auto"/>
              </w:rPr>
            </w:pPr>
          </w:p>
        </w:tc>
        <w:tc>
          <w:tcPr>
            <w:tcW w:w="20" w:type="dxa"/>
            <w:vAlign w:val="bottom"/>
            <w:shd w:val="clear" w:color="auto" w:fill="F4F4F4"/>
          </w:tcPr>
          <w:p>
            <w:pPr>
              <w:spacing w:after="0" w:line="20" w:lineRule="exact"/>
              <w:rPr>
                <w:sz w:val="1"/>
                <w:szCs w:val="1"/>
                <w:color w:val="auto"/>
              </w:rPr>
            </w:pPr>
          </w:p>
        </w:tc>
        <w:tc>
          <w:tcPr>
            <w:tcW w:w="1260" w:type="dxa"/>
            <w:vAlign w:val="bottom"/>
            <w:shd w:val="clear" w:color="auto" w:fill="F4F4F4"/>
          </w:tcPr>
          <w:p>
            <w:pPr>
              <w:spacing w:after="0" w:line="20" w:lineRule="exact"/>
              <w:rPr>
                <w:sz w:val="1"/>
                <w:szCs w:val="1"/>
                <w:color w:val="auto"/>
              </w:rPr>
            </w:pPr>
          </w:p>
        </w:tc>
        <w:tc>
          <w:tcPr>
            <w:tcW w:w="1520" w:type="dxa"/>
            <w:vAlign w:val="bottom"/>
            <w:shd w:val="clear" w:color="auto" w:fill="F4F4F4"/>
          </w:tcPr>
          <w:p>
            <w:pPr>
              <w:spacing w:after="0" w:line="20" w:lineRule="exact"/>
              <w:rPr>
                <w:sz w:val="1"/>
                <w:szCs w:val="1"/>
                <w:color w:val="auto"/>
              </w:rPr>
            </w:pPr>
          </w:p>
        </w:tc>
        <w:tc>
          <w:tcPr>
            <w:tcW w:w="1160" w:type="dxa"/>
            <w:vAlign w:val="bottom"/>
            <w:shd w:val="clear" w:color="auto" w:fill="F4F4F4"/>
          </w:tcPr>
          <w:p>
            <w:pPr>
              <w:spacing w:after="0" w:line="20" w:lineRule="exact"/>
              <w:rPr>
                <w:sz w:val="1"/>
                <w:szCs w:val="1"/>
                <w:color w:val="auto"/>
              </w:rPr>
            </w:pPr>
          </w:p>
        </w:tc>
        <w:tc>
          <w:tcPr>
            <w:tcW w:w="900" w:type="dxa"/>
            <w:vAlign w:val="bottom"/>
            <w:shd w:val="clear" w:color="auto" w:fill="F4F4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 w:type="dxa"/>
            <w:vAlign w:val="bottom"/>
            <w:shd w:val="clear" w:color="auto" w:fill="F4F4F4"/>
          </w:tcPr>
          <w:p>
            <w:pPr>
              <w:spacing w:after="0"/>
              <w:rPr>
                <w:sz w:val="13"/>
                <w:szCs w:val="13"/>
                <w:color w:val="auto"/>
              </w:rPr>
            </w:pPr>
          </w:p>
        </w:tc>
        <w:tc>
          <w:tcPr>
            <w:tcW w:w="440" w:type="dxa"/>
            <w:vAlign w:val="bottom"/>
            <w:shd w:val="clear" w:color="auto" w:fill="F4F4F4"/>
          </w:tcPr>
          <w:p>
            <w:pPr>
              <w:spacing w:after="0"/>
              <w:rPr>
                <w:sz w:val="13"/>
                <w:szCs w:val="13"/>
                <w:color w:val="auto"/>
              </w:rPr>
            </w:pPr>
          </w:p>
        </w:tc>
        <w:tc>
          <w:tcPr>
            <w:tcW w:w="680" w:type="dxa"/>
            <w:vAlign w:val="bottom"/>
            <w:tcBorders>
              <w:left w:val="single" w:sz="8" w:color="F4F4F4"/>
            </w:tcBorders>
            <w:shd w:val="clear" w:color="auto" w:fill="F4F4F4"/>
          </w:tcPr>
          <w:p>
            <w:pPr>
              <w:spacing w:after="0"/>
              <w:rPr>
                <w:sz w:val="13"/>
                <w:szCs w:val="13"/>
                <w:color w:val="auto"/>
              </w:rPr>
            </w:pPr>
          </w:p>
        </w:tc>
        <w:tc>
          <w:tcPr>
            <w:tcW w:w="4780" w:type="dxa"/>
            <w:vAlign w:val="bottom"/>
            <w:gridSpan w:val="34"/>
            <w:shd w:val="clear" w:color="auto" w:fill="F4F4F4"/>
          </w:tcPr>
          <w:p>
            <w:pPr>
              <w:spacing w:after="0" w:line="156" w:lineRule="exact"/>
              <w:rPr>
                <w:rFonts w:ascii="Arial" w:cs="Arial" w:eastAsia="Arial" w:hAnsi="Arial"/>
                <w:sz w:val="18"/>
                <w:szCs w:val="18"/>
                <w:color w:val="0000FF"/>
              </w:rPr>
            </w:pPr>
            <w:hyperlink r:id="rId412">
              <w:r>
                <w:rPr>
                  <w:rFonts w:ascii="Arial" w:cs="Arial" w:eastAsia="Arial" w:hAnsi="Arial"/>
                  <w:sz w:val="18"/>
                  <w:szCs w:val="18"/>
                  <w:color w:val="0000FF"/>
                </w:rPr>
                <w:t>February 18, 2020, between HPBB1, LLC and Blackbaud,</w:t>
              </w:r>
            </w:hyperlink>
          </w:p>
        </w:tc>
        <w:tc>
          <w:tcPr>
            <w:tcW w:w="1260" w:type="dxa"/>
            <w:vAlign w:val="bottom"/>
            <w:shd w:val="clear" w:color="auto" w:fill="F4F4F4"/>
          </w:tcPr>
          <w:p>
            <w:pPr>
              <w:spacing w:after="0"/>
              <w:rPr>
                <w:sz w:val="13"/>
                <w:szCs w:val="13"/>
                <w:color w:val="auto"/>
              </w:rPr>
            </w:pPr>
          </w:p>
        </w:tc>
        <w:tc>
          <w:tcPr>
            <w:tcW w:w="1520" w:type="dxa"/>
            <w:vAlign w:val="bottom"/>
            <w:shd w:val="clear" w:color="auto" w:fill="F4F4F4"/>
          </w:tcPr>
          <w:p>
            <w:pPr>
              <w:spacing w:after="0"/>
              <w:rPr>
                <w:sz w:val="13"/>
                <w:szCs w:val="13"/>
                <w:color w:val="auto"/>
              </w:rPr>
            </w:pPr>
          </w:p>
        </w:tc>
        <w:tc>
          <w:tcPr>
            <w:tcW w:w="11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Borders>
              <w:top w:val="single" w:sz="8" w:color="F4F4F4"/>
            </w:tcBorders>
            <w:shd w:val="clear" w:color="auto" w:fill="F4F4F4"/>
          </w:tcPr>
          <w:p>
            <w:pPr>
              <w:spacing w:after="0"/>
              <w:rPr>
                <w:sz w:val="13"/>
                <w:szCs w:val="13"/>
                <w:color w:val="auto"/>
              </w:rPr>
            </w:pPr>
          </w:p>
        </w:tc>
        <w:tc>
          <w:tcPr>
            <w:tcW w:w="440" w:type="dxa"/>
            <w:vAlign w:val="bottom"/>
            <w:tcBorders>
              <w:top w:val="single" w:sz="8" w:color="F4F4F4"/>
            </w:tcBorders>
            <w:shd w:val="clear" w:color="auto" w:fill="F4F4F4"/>
          </w:tcPr>
          <w:p>
            <w:pPr>
              <w:spacing w:after="0"/>
              <w:rPr>
                <w:sz w:val="13"/>
                <w:szCs w:val="13"/>
                <w:color w:val="auto"/>
              </w:rPr>
            </w:pPr>
          </w:p>
        </w:tc>
        <w:tc>
          <w:tcPr>
            <w:tcW w:w="680" w:type="dxa"/>
            <w:vAlign w:val="bottom"/>
            <w:tcBorders>
              <w:top w:val="single" w:sz="8" w:color="F4F4F4"/>
              <w:left w:val="single" w:sz="8" w:color="F4F4F4"/>
            </w:tcBorders>
            <w:shd w:val="clear" w:color="auto" w:fill="F4F4F4"/>
          </w:tcPr>
          <w:p>
            <w:pPr>
              <w:spacing w:after="0"/>
              <w:rPr>
                <w:sz w:val="13"/>
                <w:szCs w:val="13"/>
                <w:color w:val="auto"/>
              </w:rPr>
            </w:pPr>
          </w:p>
        </w:tc>
        <w:tc>
          <w:tcPr>
            <w:tcW w:w="4640" w:type="dxa"/>
            <w:vAlign w:val="bottom"/>
            <w:tcBorders>
              <w:top w:val="single" w:sz="8" w:color="0000FF"/>
            </w:tcBorders>
            <w:gridSpan w:val="27"/>
            <w:shd w:val="clear" w:color="auto" w:fill="F4F4F4"/>
          </w:tcPr>
          <w:p>
            <w:pPr>
              <w:spacing w:after="0" w:line="156" w:lineRule="exact"/>
              <w:rPr>
                <w:rFonts w:ascii="Arial" w:cs="Arial" w:eastAsia="Arial" w:hAnsi="Arial"/>
                <w:sz w:val="18"/>
                <w:szCs w:val="18"/>
                <w:color w:val="0000FF"/>
              </w:rPr>
            </w:pPr>
            <w:hyperlink r:id="rId412">
              <w:r>
                <w:rPr>
                  <w:rFonts w:ascii="Arial" w:cs="Arial" w:eastAsia="Arial" w:hAnsi="Arial"/>
                  <w:sz w:val="18"/>
                  <w:szCs w:val="18"/>
                  <w:color w:val="0000FF"/>
                </w:rPr>
                <w:t>Inc.</w:t>
              </w:r>
            </w:hyperlink>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60" w:type="dxa"/>
            <w:vAlign w:val="bottom"/>
            <w:tcBorders>
              <w:top w:val="single" w:sz="8" w:color="F4F4F4"/>
            </w:tcBorders>
            <w:shd w:val="clear" w:color="auto" w:fill="F4F4F4"/>
          </w:tcPr>
          <w:p>
            <w:pPr>
              <w:spacing w:after="0"/>
              <w:rPr>
                <w:sz w:val="13"/>
                <w:szCs w:val="13"/>
                <w:color w:val="auto"/>
              </w:rPr>
            </w:pPr>
          </w:p>
        </w:tc>
        <w:tc>
          <w:tcPr>
            <w:tcW w:w="1520" w:type="dxa"/>
            <w:vAlign w:val="bottom"/>
            <w:tcBorders>
              <w:top w:val="single" w:sz="8" w:color="F4F4F4"/>
            </w:tcBorders>
            <w:shd w:val="clear" w:color="auto" w:fill="F4F4F4"/>
          </w:tcPr>
          <w:p>
            <w:pPr>
              <w:spacing w:after="0"/>
              <w:rPr>
                <w:sz w:val="13"/>
                <w:szCs w:val="13"/>
                <w:color w:val="auto"/>
              </w:rPr>
            </w:pPr>
          </w:p>
        </w:tc>
        <w:tc>
          <w:tcPr>
            <w:tcW w:w="11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F4F4F4"/>
            </w:tcBorders>
            <w:shd w:val="clear" w:color="auto" w:fill="F4F4F4"/>
          </w:tcPr>
          <w:p>
            <w:pPr>
              <w:spacing w:after="0" w:line="20" w:lineRule="exact"/>
              <w:rPr>
                <w:sz w:val="1"/>
                <w:szCs w:val="1"/>
                <w:color w:val="auto"/>
              </w:rPr>
            </w:pPr>
          </w:p>
        </w:tc>
        <w:tc>
          <w:tcPr>
            <w:tcW w:w="440" w:type="dxa"/>
            <w:vAlign w:val="bottom"/>
            <w:tcBorders>
              <w:top w:val="single" w:sz="8" w:color="F4F4F4"/>
            </w:tcBorders>
            <w:shd w:val="clear" w:color="auto" w:fill="F4F4F4"/>
          </w:tcPr>
          <w:p>
            <w:pPr>
              <w:spacing w:after="0" w:line="20" w:lineRule="exact"/>
              <w:rPr>
                <w:sz w:val="1"/>
                <w:szCs w:val="1"/>
                <w:color w:val="auto"/>
              </w:rPr>
            </w:pPr>
          </w:p>
        </w:tc>
        <w:tc>
          <w:tcPr>
            <w:tcW w:w="680" w:type="dxa"/>
            <w:vAlign w:val="bottom"/>
            <w:tcBorders>
              <w:top w:val="single" w:sz="8" w:color="F4F4F4"/>
              <w:left w:val="single" w:sz="8" w:color="F4F4F4"/>
            </w:tcBorders>
            <w:shd w:val="clear" w:color="auto" w:fill="F4F4F4"/>
          </w:tcPr>
          <w:p>
            <w:pPr>
              <w:spacing w:after="0" w:line="20" w:lineRule="exact"/>
              <w:rPr>
                <w:sz w:val="1"/>
                <w:szCs w:val="1"/>
                <w:color w:val="auto"/>
              </w:rPr>
            </w:pPr>
          </w:p>
        </w:tc>
        <w:tc>
          <w:tcPr>
            <w:tcW w:w="280" w:type="dxa"/>
            <w:vAlign w:val="bottom"/>
            <w:tcBorders>
              <w:top w:val="single" w:sz="8" w:color="0000FF"/>
            </w:tcBorders>
            <w:shd w:val="clear" w:color="auto" w:fill="F4F4F4"/>
          </w:tcPr>
          <w:p>
            <w:pPr>
              <w:spacing w:after="0" w:line="20" w:lineRule="exact"/>
              <w:rPr>
                <w:sz w:val="1"/>
                <w:szCs w:val="1"/>
                <w:color w:val="auto"/>
              </w:rPr>
            </w:pPr>
          </w:p>
        </w:tc>
        <w:tc>
          <w:tcPr>
            <w:tcW w:w="100" w:type="dxa"/>
            <w:vAlign w:val="bottom"/>
            <w:tcBorders>
              <w:top w:val="single" w:sz="8" w:color="F4F4F4"/>
            </w:tcBorders>
            <w:shd w:val="clear" w:color="auto" w:fill="F4F4F4"/>
          </w:tcPr>
          <w:p>
            <w:pPr>
              <w:spacing w:after="0" w:line="20" w:lineRule="exact"/>
              <w:rPr>
                <w:sz w:val="1"/>
                <w:szCs w:val="1"/>
                <w:color w:val="auto"/>
              </w:rPr>
            </w:pPr>
          </w:p>
        </w:tc>
        <w:tc>
          <w:tcPr>
            <w:tcW w:w="840" w:type="dxa"/>
            <w:vAlign w:val="bottom"/>
            <w:tcBorders>
              <w:top w:val="single" w:sz="8" w:color="F4F4F4"/>
            </w:tcBorders>
            <w:shd w:val="clear" w:color="auto" w:fill="F4F4F4"/>
          </w:tcPr>
          <w:p>
            <w:pPr>
              <w:spacing w:after="0" w:line="20" w:lineRule="exact"/>
              <w:rPr>
                <w:sz w:val="1"/>
                <w:szCs w:val="1"/>
                <w:color w:val="auto"/>
              </w:rPr>
            </w:pPr>
          </w:p>
        </w:tc>
        <w:tc>
          <w:tcPr>
            <w:tcW w:w="180" w:type="dxa"/>
            <w:vAlign w:val="bottom"/>
            <w:tcBorders>
              <w:top w:val="single" w:sz="8" w:color="F4F4F4"/>
            </w:tcBorders>
            <w:shd w:val="clear" w:color="auto" w:fill="F4F4F4"/>
          </w:tcPr>
          <w:p>
            <w:pPr>
              <w:spacing w:after="0" w:line="20" w:lineRule="exact"/>
              <w:rPr>
                <w:sz w:val="1"/>
                <w:szCs w:val="1"/>
                <w:color w:val="auto"/>
              </w:rPr>
            </w:pPr>
          </w:p>
        </w:tc>
        <w:tc>
          <w:tcPr>
            <w:tcW w:w="340" w:type="dxa"/>
            <w:vAlign w:val="bottom"/>
            <w:tcBorders>
              <w:top w:val="single" w:sz="8" w:color="F4F4F4"/>
            </w:tcBorders>
            <w:shd w:val="clear" w:color="auto" w:fill="F4F4F4"/>
          </w:tcPr>
          <w:p>
            <w:pPr>
              <w:spacing w:after="0" w:line="20" w:lineRule="exact"/>
              <w:rPr>
                <w:sz w:val="1"/>
                <w:szCs w:val="1"/>
                <w:color w:val="auto"/>
              </w:rPr>
            </w:pPr>
          </w:p>
        </w:tc>
        <w:tc>
          <w:tcPr>
            <w:tcW w:w="600" w:type="dxa"/>
            <w:vAlign w:val="bottom"/>
            <w:tcBorders>
              <w:top w:val="single" w:sz="8" w:color="F4F4F4"/>
            </w:tcBorders>
            <w:shd w:val="clear" w:color="auto" w:fill="F4F4F4"/>
          </w:tcPr>
          <w:p>
            <w:pPr>
              <w:spacing w:after="0" w:line="20" w:lineRule="exact"/>
              <w:rPr>
                <w:sz w:val="1"/>
                <w:szCs w:val="1"/>
                <w:color w:val="auto"/>
              </w:rPr>
            </w:pPr>
          </w:p>
        </w:tc>
        <w:tc>
          <w:tcPr>
            <w:tcW w:w="58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F4F4F4"/>
            </w:tcBorders>
            <w:shd w:val="clear" w:color="auto" w:fill="F4F4F4"/>
          </w:tcPr>
          <w:p>
            <w:pPr>
              <w:spacing w:after="0" w:line="20" w:lineRule="exact"/>
              <w:rPr>
                <w:sz w:val="1"/>
                <w:szCs w:val="1"/>
                <w:color w:val="auto"/>
              </w:rPr>
            </w:pPr>
          </w:p>
        </w:tc>
        <w:tc>
          <w:tcPr>
            <w:tcW w:w="260" w:type="dxa"/>
            <w:vAlign w:val="bottom"/>
            <w:tcBorders>
              <w:top w:val="single" w:sz="8" w:color="F4F4F4"/>
            </w:tcBorders>
            <w:shd w:val="clear" w:color="auto" w:fill="F4F4F4"/>
          </w:tcPr>
          <w:p>
            <w:pPr>
              <w:spacing w:after="0" w:line="20" w:lineRule="exact"/>
              <w:rPr>
                <w:sz w:val="1"/>
                <w:szCs w:val="1"/>
                <w:color w:val="auto"/>
              </w:rPr>
            </w:pPr>
          </w:p>
        </w:tc>
        <w:tc>
          <w:tcPr>
            <w:tcW w:w="3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right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0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60" w:type="dxa"/>
            <w:vAlign w:val="bottom"/>
            <w:tcBorders>
              <w:top w:val="single" w:sz="8" w:color="F4F4F4"/>
            </w:tcBorders>
            <w:shd w:val="clear" w:color="auto" w:fill="F4F4F4"/>
          </w:tcPr>
          <w:p>
            <w:pPr>
              <w:spacing w:after="0" w:line="20" w:lineRule="exact"/>
              <w:rPr>
                <w:sz w:val="1"/>
                <w:szCs w:val="1"/>
                <w:color w:val="auto"/>
              </w:rPr>
            </w:pPr>
          </w:p>
        </w:tc>
        <w:tc>
          <w:tcPr>
            <w:tcW w:w="1520" w:type="dxa"/>
            <w:vAlign w:val="bottom"/>
            <w:tcBorders>
              <w:top w:val="single" w:sz="8" w:color="F4F4F4"/>
            </w:tcBorders>
            <w:shd w:val="clear" w:color="auto" w:fill="F4F4F4"/>
          </w:tcPr>
          <w:p>
            <w:pPr>
              <w:spacing w:after="0" w:line="20" w:lineRule="exact"/>
              <w:rPr>
                <w:sz w:val="1"/>
                <w:szCs w:val="1"/>
                <w:color w:val="auto"/>
              </w:rPr>
            </w:pPr>
          </w:p>
        </w:tc>
        <w:tc>
          <w:tcPr>
            <w:tcW w:w="1160" w:type="dxa"/>
            <w:vAlign w:val="bottom"/>
            <w:tcBorders>
              <w:top w:val="single" w:sz="8" w:color="F4F4F4"/>
            </w:tcBorders>
            <w:shd w:val="clear" w:color="auto" w:fill="F4F4F4"/>
          </w:tcPr>
          <w:p>
            <w:pPr>
              <w:spacing w:after="0" w:line="20" w:lineRule="exact"/>
              <w:rPr>
                <w:sz w:val="1"/>
                <w:szCs w:val="1"/>
                <w:color w:val="auto"/>
              </w:rPr>
            </w:pPr>
          </w:p>
        </w:tc>
        <w:tc>
          <w:tcPr>
            <w:tcW w:w="900" w:type="dxa"/>
            <w:vAlign w:val="bottom"/>
            <w:tcBorders>
              <w:top w:val="single" w:sz="8" w:color="F4F4F4"/>
            </w:tcBorders>
            <w:shd w:val="clear" w:color="auto" w:fill="F4F4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gridSpan w:val="2"/>
          </w:tcPr>
          <w:p>
            <w:pPr>
              <w:jc w:val="right"/>
              <w:spacing w:after="0" w:line="189" w:lineRule="exact"/>
              <w:rPr>
                <w:rFonts w:ascii="Arial" w:cs="Arial" w:eastAsia="Arial" w:hAnsi="Arial"/>
                <w:sz w:val="18"/>
                <w:szCs w:val="18"/>
                <w:color w:val="0000FF"/>
              </w:rPr>
            </w:pPr>
            <w:hyperlink r:id="rId413">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680" w:type="dxa"/>
            <w:vAlign w:val="bottom"/>
          </w:tcPr>
          <w:p>
            <w:pPr>
              <w:spacing w:after="0"/>
              <w:rPr>
                <w:sz w:val="16"/>
                <w:szCs w:val="16"/>
                <w:color w:val="auto"/>
              </w:rPr>
            </w:pPr>
          </w:p>
        </w:tc>
        <w:tc>
          <w:tcPr>
            <w:tcW w:w="4780" w:type="dxa"/>
            <w:vAlign w:val="bottom"/>
            <w:gridSpan w:val="34"/>
          </w:tcPr>
          <w:p>
            <w:pPr>
              <w:spacing w:after="0" w:line="189" w:lineRule="exact"/>
              <w:rPr>
                <w:rFonts w:ascii="Arial" w:cs="Arial" w:eastAsia="Arial" w:hAnsi="Arial"/>
                <w:sz w:val="18"/>
                <w:szCs w:val="18"/>
                <w:color w:val="0000FF"/>
              </w:rPr>
            </w:pPr>
            <w:hyperlink r:id="rId413">
              <w:r>
                <w:rPr>
                  <w:rFonts w:ascii="Arial" w:cs="Arial" w:eastAsia="Arial" w:hAnsi="Arial"/>
                  <w:sz w:val="18"/>
                  <w:szCs w:val="18"/>
                  <w:color w:val="0000FF"/>
                </w:rPr>
                <w:t>Sixth Amendment to Lease Agreement, dated as of March</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8/4/2020</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10.2</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660" w:type="dxa"/>
            <w:vAlign w:val="bottom"/>
            <w:tcBorders>
              <w:top w:val="single" w:sz="8" w:color="0000FF"/>
            </w:tcBorders>
            <w:gridSpan w:val="28"/>
          </w:tcPr>
          <w:p>
            <w:pPr>
              <w:spacing w:after="0" w:line="196" w:lineRule="exact"/>
              <w:rPr>
                <w:rFonts w:ascii="Arial" w:cs="Arial" w:eastAsia="Arial" w:hAnsi="Arial"/>
                <w:sz w:val="18"/>
                <w:szCs w:val="18"/>
                <w:u w:val="single" w:color="auto"/>
                <w:color w:val="0000FF"/>
              </w:rPr>
            </w:pPr>
            <w:hyperlink r:id="rId413">
              <w:r>
                <w:rPr>
                  <w:rFonts w:ascii="Arial" w:cs="Arial" w:eastAsia="Arial" w:hAnsi="Arial"/>
                  <w:sz w:val="18"/>
                  <w:szCs w:val="18"/>
                  <w:u w:val="single" w:color="auto"/>
                  <w:color w:val="0000FF"/>
                </w:rPr>
                <w:t>17, 2020, between HPBB1, LLC and Blackbaud, Inc.</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940" w:type="dxa"/>
            <w:vAlign w:val="bottom"/>
            <w:gridSpan w:val="2"/>
            <w:shd w:val="clear" w:color="auto" w:fill="F4F4F4"/>
          </w:tcPr>
          <w:p>
            <w:pPr>
              <w:jc w:val="right"/>
              <w:spacing w:after="0" w:line="189" w:lineRule="exact"/>
              <w:rPr>
                <w:rFonts w:ascii="Arial" w:cs="Arial" w:eastAsia="Arial" w:hAnsi="Arial"/>
                <w:sz w:val="18"/>
                <w:szCs w:val="18"/>
                <w:color w:val="0000FF"/>
              </w:rPr>
            </w:pPr>
            <w:hyperlink r:id="rId414">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680" w:type="dxa"/>
            <w:vAlign w:val="bottom"/>
            <w:tcBorders>
              <w:left w:val="single" w:sz="8" w:color="F4F4F4"/>
            </w:tcBorders>
            <w:shd w:val="clear" w:color="auto" w:fill="F4F4F4"/>
          </w:tcPr>
          <w:p>
            <w:pPr>
              <w:spacing w:after="0"/>
              <w:rPr>
                <w:sz w:val="16"/>
                <w:szCs w:val="16"/>
                <w:color w:val="auto"/>
              </w:rPr>
            </w:pPr>
          </w:p>
        </w:tc>
        <w:tc>
          <w:tcPr>
            <w:tcW w:w="4780" w:type="dxa"/>
            <w:vAlign w:val="bottom"/>
            <w:gridSpan w:val="34"/>
            <w:shd w:val="clear" w:color="auto" w:fill="F4F4F4"/>
          </w:tcPr>
          <w:p>
            <w:pPr>
              <w:spacing w:after="0" w:line="189" w:lineRule="exact"/>
              <w:rPr>
                <w:rFonts w:ascii="Arial" w:cs="Arial" w:eastAsia="Arial" w:hAnsi="Arial"/>
                <w:sz w:val="18"/>
                <w:szCs w:val="18"/>
                <w:color w:val="0000FF"/>
              </w:rPr>
            </w:pPr>
            <w:hyperlink r:id="rId414">
              <w:r>
                <w:rPr>
                  <w:rFonts w:ascii="Arial" w:cs="Arial" w:eastAsia="Arial" w:hAnsi="Arial"/>
                  <w:sz w:val="18"/>
                  <w:szCs w:val="18"/>
                  <w:color w:val="0000FF"/>
                </w:rPr>
                <w:t>Seventh Amendment to Lease Agreement, dated as of</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shd w:val="clear" w:color="auto" w:fill="F4F4F4"/>
          </w:tcPr>
          <w:p>
            <w:pPr>
              <w:jc w:val="right"/>
              <w:ind w:right="252"/>
              <w:spacing w:after="0" w:line="189" w:lineRule="exact"/>
              <w:rPr>
                <w:sz w:val="20"/>
                <w:szCs w:val="20"/>
                <w:color w:val="auto"/>
              </w:rPr>
            </w:pPr>
            <w:r>
              <w:rPr>
                <w:rFonts w:ascii="Arial" w:cs="Arial" w:eastAsia="Arial" w:hAnsi="Arial"/>
                <w:sz w:val="18"/>
                <w:szCs w:val="18"/>
                <w:color w:val="auto"/>
              </w:rPr>
              <w:t>8/4/2020</w:t>
            </w:r>
          </w:p>
        </w:tc>
        <w:tc>
          <w:tcPr>
            <w:tcW w:w="1160" w:type="dxa"/>
            <w:vAlign w:val="bottom"/>
            <w:shd w:val="clear" w:color="auto" w:fill="F4F4F4"/>
          </w:tcPr>
          <w:p>
            <w:pPr>
              <w:jc w:val="right"/>
              <w:ind w:right="52"/>
              <w:spacing w:after="0" w:line="189" w:lineRule="exact"/>
              <w:rPr>
                <w:sz w:val="20"/>
                <w:szCs w:val="20"/>
                <w:color w:val="auto"/>
              </w:rPr>
            </w:pPr>
            <w:r>
              <w:rPr>
                <w:rFonts w:ascii="Arial" w:cs="Arial" w:eastAsia="Arial" w:hAnsi="Arial"/>
                <w:sz w:val="18"/>
                <w:szCs w:val="18"/>
                <w:color w:val="auto"/>
              </w:rPr>
              <w:t>10.3</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0" w:type="dxa"/>
            <w:vAlign w:val="bottom"/>
            <w:tcBorders>
              <w:top w:val="single" w:sz="8" w:color="F4F4F4"/>
            </w:tcBorders>
            <w:shd w:val="clear" w:color="auto" w:fill="F4F4F4"/>
          </w:tcPr>
          <w:p>
            <w:pPr>
              <w:spacing w:after="0"/>
              <w:rPr>
                <w:sz w:val="17"/>
                <w:szCs w:val="17"/>
                <w:color w:val="auto"/>
              </w:rPr>
            </w:pPr>
          </w:p>
        </w:tc>
        <w:tc>
          <w:tcPr>
            <w:tcW w:w="440" w:type="dxa"/>
            <w:vAlign w:val="bottom"/>
            <w:tcBorders>
              <w:top w:val="single" w:sz="8" w:color="0000FF"/>
            </w:tcBorders>
            <w:shd w:val="clear" w:color="auto" w:fill="F4F4F4"/>
          </w:tcPr>
          <w:p>
            <w:pPr>
              <w:spacing w:after="0"/>
              <w:rPr>
                <w:sz w:val="17"/>
                <w:szCs w:val="17"/>
                <w:color w:val="auto"/>
              </w:rPr>
            </w:pPr>
          </w:p>
        </w:tc>
        <w:tc>
          <w:tcPr>
            <w:tcW w:w="680" w:type="dxa"/>
            <w:vAlign w:val="bottom"/>
            <w:tcBorders>
              <w:top w:val="single" w:sz="8" w:color="F4F4F4"/>
              <w:left w:val="single" w:sz="8" w:color="F4F4F4"/>
            </w:tcBorders>
            <w:shd w:val="clear" w:color="auto" w:fill="F4F4F4"/>
          </w:tcPr>
          <w:p>
            <w:pPr>
              <w:spacing w:after="0"/>
              <w:rPr>
                <w:sz w:val="17"/>
                <w:szCs w:val="17"/>
                <w:color w:val="auto"/>
              </w:rPr>
            </w:pPr>
          </w:p>
        </w:tc>
        <w:tc>
          <w:tcPr>
            <w:tcW w:w="4340" w:type="dxa"/>
            <w:vAlign w:val="bottom"/>
            <w:tcBorders>
              <w:top w:val="single" w:sz="8" w:color="0000FF"/>
            </w:tcBorders>
            <w:gridSpan w:val="17"/>
            <w:shd w:val="clear" w:color="auto" w:fill="F4F4F4"/>
          </w:tcPr>
          <w:p>
            <w:pPr>
              <w:spacing w:after="0" w:line="197" w:lineRule="exact"/>
              <w:rPr>
                <w:rFonts w:ascii="Arial" w:cs="Arial" w:eastAsia="Arial" w:hAnsi="Arial"/>
                <w:sz w:val="18"/>
                <w:szCs w:val="18"/>
                <w:u w:val="single" w:color="auto"/>
                <w:color w:val="0000FF"/>
              </w:rPr>
            </w:pPr>
            <w:hyperlink r:id="rId414">
              <w:r>
                <w:rPr>
                  <w:rFonts w:ascii="Arial" w:cs="Arial" w:eastAsia="Arial" w:hAnsi="Arial"/>
                  <w:sz w:val="18"/>
                  <w:szCs w:val="18"/>
                  <w:u w:val="single" w:color="auto"/>
                  <w:color w:val="0000FF"/>
                </w:rPr>
                <w:t>April 14, 2020, between HPBB1, LLC and Blackbaud,</w:t>
              </w:r>
            </w:hyperlink>
          </w:p>
        </w:tc>
        <w:tc>
          <w:tcPr>
            <w:tcW w:w="440" w:type="dxa"/>
            <w:vAlign w:val="bottom"/>
            <w:tcBorders>
              <w:top w:val="single" w:sz="8" w:color="F4F4F4"/>
            </w:tcBorders>
            <w:gridSpan w:val="17"/>
            <w:shd w:val="clear" w:color="auto" w:fill="F4F4F4"/>
          </w:tcPr>
          <w:p>
            <w:pPr>
              <w:spacing w:after="0" w:line="197" w:lineRule="exact"/>
              <w:rPr>
                <w:rFonts w:ascii="Arial" w:cs="Arial" w:eastAsia="Arial" w:hAnsi="Arial"/>
                <w:sz w:val="18"/>
                <w:szCs w:val="18"/>
                <w:color w:val="0000FF"/>
              </w:rPr>
            </w:pPr>
            <w:hyperlink r:id="rId414">
              <w:r>
                <w:rPr>
                  <w:rFonts w:ascii="Arial" w:cs="Arial" w:eastAsia="Arial" w:hAnsi="Arial"/>
                  <w:sz w:val="18"/>
                  <w:szCs w:val="18"/>
                  <w:u w:val="single" w:color="auto"/>
                  <w:color w:val="0000FF"/>
                </w:rPr>
                <w:t>Inc</w:t>
              </w:r>
              <w:r>
                <w:rPr>
                  <w:rFonts w:ascii="Arial" w:cs="Arial" w:eastAsia="Arial" w:hAnsi="Arial"/>
                  <w:sz w:val="18"/>
                  <w:szCs w:val="18"/>
                  <w:color w:val="0000FF"/>
                </w:rPr>
                <w:t>.</w:t>
              </w:r>
            </w:hyperlink>
          </w:p>
        </w:tc>
        <w:tc>
          <w:tcPr>
            <w:tcW w:w="1260" w:type="dxa"/>
            <w:vAlign w:val="bottom"/>
            <w:tcBorders>
              <w:top w:val="single" w:sz="8" w:color="F4F4F4"/>
            </w:tcBorders>
            <w:shd w:val="clear" w:color="auto" w:fill="F4F4F4"/>
          </w:tcPr>
          <w:p>
            <w:pPr>
              <w:spacing w:after="0"/>
              <w:rPr>
                <w:sz w:val="17"/>
                <w:szCs w:val="17"/>
                <w:color w:val="auto"/>
              </w:rPr>
            </w:pPr>
          </w:p>
        </w:tc>
        <w:tc>
          <w:tcPr>
            <w:tcW w:w="1520" w:type="dxa"/>
            <w:vAlign w:val="bottom"/>
            <w:tcBorders>
              <w:top w:val="single" w:sz="8" w:color="F4F4F4"/>
            </w:tcBorders>
            <w:shd w:val="clear" w:color="auto" w:fill="F4F4F4"/>
          </w:tcPr>
          <w:p>
            <w:pPr>
              <w:spacing w:after="0"/>
              <w:rPr>
                <w:sz w:val="17"/>
                <w:szCs w:val="17"/>
                <w:color w:val="auto"/>
              </w:rPr>
            </w:pPr>
          </w:p>
        </w:tc>
        <w:tc>
          <w:tcPr>
            <w:tcW w:w="1160" w:type="dxa"/>
            <w:vAlign w:val="bottom"/>
            <w:tcBorders>
              <w:top w:val="single" w:sz="8" w:color="F4F4F4"/>
            </w:tcBorders>
            <w:shd w:val="clear" w:color="auto" w:fill="F4F4F4"/>
          </w:tcPr>
          <w:p>
            <w:pPr>
              <w:spacing w:after="0"/>
              <w:rPr>
                <w:sz w:val="17"/>
                <w:szCs w:val="17"/>
                <w:color w:val="auto"/>
              </w:rPr>
            </w:pPr>
          </w:p>
        </w:tc>
        <w:tc>
          <w:tcPr>
            <w:tcW w:w="900" w:type="dxa"/>
            <w:vAlign w:val="bottom"/>
            <w:tcBorders>
              <w:top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tcPr>
          <w:p>
            <w:pPr>
              <w:jc w:val="right"/>
              <w:spacing w:after="0" w:line="189" w:lineRule="exact"/>
              <w:rPr>
                <w:rFonts w:ascii="Arial" w:cs="Arial" w:eastAsia="Arial" w:hAnsi="Arial"/>
                <w:sz w:val="18"/>
                <w:szCs w:val="18"/>
                <w:color w:val="0000FF"/>
              </w:rPr>
            </w:pPr>
            <w:hyperlink r:id="rId415">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680" w:type="dxa"/>
            <w:vAlign w:val="bottom"/>
          </w:tcPr>
          <w:p>
            <w:pPr>
              <w:spacing w:after="0"/>
              <w:rPr>
                <w:sz w:val="16"/>
                <w:szCs w:val="16"/>
                <w:color w:val="auto"/>
              </w:rPr>
            </w:pPr>
          </w:p>
        </w:tc>
        <w:tc>
          <w:tcPr>
            <w:tcW w:w="4780" w:type="dxa"/>
            <w:vAlign w:val="bottom"/>
            <w:gridSpan w:val="34"/>
          </w:tcPr>
          <w:p>
            <w:pPr>
              <w:spacing w:after="0" w:line="189" w:lineRule="exact"/>
              <w:rPr>
                <w:rFonts w:ascii="Arial" w:cs="Arial" w:eastAsia="Arial" w:hAnsi="Arial"/>
                <w:sz w:val="18"/>
                <w:szCs w:val="18"/>
                <w:color w:val="0000FF"/>
              </w:rPr>
            </w:pPr>
            <w:hyperlink r:id="rId415">
              <w:r>
                <w:rPr>
                  <w:rFonts w:ascii="Arial" w:cs="Arial" w:eastAsia="Arial" w:hAnsi="Arial"/>
                  <w:sz w:val="18"/>
                  <w:szCs w:val="18"/>
                  <w:color w:val="0000FF"/>
                </w:rPr>
                <w:t>Eighth Amendment to Lease Agreement, dated as of May</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8/4/2020</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10.4</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600" w:type="dxa"/>
            <w:vAlign w:val="bottom"/>
            <w:tcBorders>
              <w:top w:val="single" w:sz="8" w:color="0000FF"/>
            </w:tcBorders>
            <w:gridSpan w:val="25"/>
          </w:tcPr>
          <w:p>
            <w:pPr>
              <w:spacing w:after="0" w:line="196" w:lineRule="exact"/>
              <w:rPr>
                <w:rFonts w:ascii="Arial" w:cs="Arial" w:eastAsia="Arial" w:hAnsi="Arial"/>
                <w:sz w:val="18"/>
                <w:szCs w:val="18"/>
                <w:u w:val="single" w:color="auto"/>
                <w:color w:val="0000FF"/>
              </w:rPr>
            </w:pPr>
            <w:hyperlink r:id="rId415">
              <w:r>
                <w:rPr>
                  <w:rFonts w:ascii="Arial" w:cs="Arial" w:eastAsia="Arial" w:hAnsi="Arial"/>
                  <w:sz w:val="18"/>
                  <w:szCs w:val="18"/>
                  <w:u w:val="single" w:color="auto"/>
                  <w:color w:val="0000FF"/>
                </w:rPr>
                <w:t>26, 2020, between HPBB1, LLC and Blackbaud, Inc.</w:t>
              </w:r>
            </w:hyperlink>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shd w:val="clear" w:color="auto" w:fill="F4F4F4"/>
          </w:tcPr>
          <w:p>
            <w:pPr>
              <w:jc w:val="right"/>
              <w:spacing w:after="0" w:line="189" w:lineRule="exact"/>
              <w:rPr>
                <w:rFonts w:ascii="Arial" w:cs="Arial" w:eastAsia="Arial" w:hAnsi="Arial"/>
                <w:sz w:val="18"/>
                <w:szCs w:val="18"/>
                <w:color w:val="0000FF"/>
              </w:rPr>
            </w:pPr>
            <w:hyperlink r:id="rId416">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680" w:type="dxa"/>
            <w:vAlign w:val="bottom"/>
            <w:tcBorders>
              <w:left w:val="single" w:sz="8" w:color="F4F4F4"/>
            </w:tcBorders>
            <w:shd w:val="clear" w:color="auto" w:fill="F4F4F4"/>
          </w:tcPr>
          <w:p>
            <w:pPr>
              <w:spacing w:after="0"/>
              <w:rPr>
                <w:sz w:val="16"/>
                <w:szCs w:val="16"/>
                <w:color w:val="auto"/>
              </w:rPr>
            </w:pPr>
          </w:p>
        </w:tc>
        <w:tc>
          <w:tcPr>
            <w:tcW w:w="4780" w:type="dxa"/>
            <w:vAlign w:val="bottom"/>
            <w:gridSpan w:val="34"/>
            <w:shd w:val="clear" w:color="auto" w:fill="F4F4F4"/>
          </w:tcPr>
          <w:p>
            <w:pPr>
              <w:spacing w:after="0" w:line="189" w:lineRule="exact"/>
              <w:rPr>
                <w:rFonts w:ascii="Arial" w:cs="Arial" w:eastAsia="Arial" w:hAnsi="Arial"/>
                <w:sz w:val="18"/>
                <w:szCs w:val="18"/>
                <w:color w:val="0000FF"/>
              </w:rPr>
            </w:pPr>
            <w:hyperlink r:id="rId416">
              <w:r>
                <w:rPr>
                  <w:rFonts w:ascii="Arial" w:cs="Arial" w:eastAsia="Arial" w:hAnsi="Arial"/>
                  <w:sz w:val="18"/>
                  <w:szCs w:val="18"/>
                  <w:color w:val="0000FF"/>
                </w:rPr>
                <w:t>Ninth Amendment to Lease Agreement, dated as of June</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shd w:val="clear" w:color="auto" w:fill="F4F4F4"/>
          </w:tcPr>
          <w:p>
            <w:pPr>
              <w:jc w:val="right"/>
              <w:ind w:right="252"/>
              <w:spacing w:after="0" w:line="189" w:lineRule="exact"/>
              <w:rPr>
                <w:sz w:val="20"/>
                <w:szCs w:val="20"/>
                <w:color w:val="auto"/>
              </w:rPr>
            </w:pPr>
            <w:r>
              <w:rPr>
                <w:rFonts w:ascii="Arial" w:cs="Arial" w:eastAsia="Arial" w:hAnsi="Arial"/>
                <w:sz w:val="18"/>
                <w:szCs w:val="18"/>
                <w:color w:val="auto"/>
              </w:rPr>
              <w:t>8/4/2020</w:t>
            </w:r>
          </w:p>
        </w:tc>
        <w:tc>
          <w:tcPr>
            <w:tcW w:w="1160" w:type="dxa"/>
            <w:vAlign w:val="bottom"/>
            <w:shd w:val="clear" w:color="auto" w:fill="F4F4F4"/>
          </w:tcPr>
          <w:p>
            <w:pPr>
              <w:jc w:val="right"/>
              <w:ind w:right="52"/>
              <w:spacing w:after="0" w:line="189" w:lineRule="exact"/>
              <w:rPr>
                <w:sz w:val="20"/>
                <w:szCs w:val="20"/>
                <w:color w:val="auto"/>
              </w:rPr>
            </w:pPr>
            <w:r>
              <w:rPr>
                <w:rFonts w:ascii="Arial" w:cs="Arial" w:eastAsia="Arial" w:hAnsi="Arial"/>
                <w:sz w:val="18"/>
                <w:szCs w:val="18"/>
                <w:color w:val="auto"/>
              </w:rPr>
              <w:t>10.5</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F4F4F4"/>
            </w:tcBorders>
            <w:shd w:val="clear" w:color="auto" w:fill="F4F4F4"/>
          </w:tcPr>
          <w:p>
            <w:pPr>
              <w:spacing w:after="0"/>
              <w:rPr>
                <w:sz w:val="17"/>
                <w:szCs w:val="17"/>
                <w:color w:val="auto"/>
              </w:rPr>
            </w:pPr>
          </w:p>
        </w:tc>
        <w:tc>
          <w:tcPr>
            <w:tcW w:w="440" w:type="dxa"/>
            <w:vAlign w:val="bottom"/>
            <w:tcBorders>
              <w:top w:val="single" w:sz="8" w:color="0000FF"/>
            </w:tcBorders>
            <w:shd w:val="clear" w:color="auto" w:fill="F4F4F4"/>
          </w:tcPr>
          <w:p>
            <w:pPr>
              <w:spacing w:after="0"/>
              <w:rPr>
                <w:sz w:val="17"/>
                <w:szCs w:val="17"/>
                <w:color w:val="auto"/>
              </w:rPr>
            </w:pPr>
          </w:p>
        </w:tc>
        <w:tc>
          <w:tcPr>
            <w:tcW w:w="680" w:type="dxa"/>
            <w:vAlign w:val="bottom"/>
            <w:tcBorders>
              <w:top w:val="single" w:sz="8" w:color="F4F4F4"/>
              <w:left w:val="single" w:sz="8" w:color="F4F4F4"/>
            </w:tcBorders>
            <w:shd w:val="clear" w:color="auto" w:fill="F4F4F4"/>
          </w:tcPr>
          <w:p>
            <w:pPr>
              <w:spacing w:after="0"/>
              <w:rPr>
                <w:sz w:val="17"/>
                <w:szCs w:val="17"/>
                <w:color w:val="auto"/>
              </w:rPr>
            </w:pPr>
          </w:p>
        </w:tc>
        <w:tc>
          <w:tcPr>
            <w:tcW w:w="4540" w:type="dxa"/>
            <w:vAlign w:val="bottom"/>
            <w:tcBorders>
              <w:top w:val="single" w:sz="8" w:color="0000FF"/>
            </w:tcBorders>
            <w:gridSpan w:val="22"/>
            <w:shd w:val="clear" w:color="auto" w:fill="F4F4F4"/>
          </w:tcPr>
          <w:p>
            <w:pPr>
              <w:spacing w:after="0" w:line="196" w:lineRule="exact"/>
              <w:rPr>
                <w:rFonts w:ascii="Arial" w:cs="Arial" w:eastAsia="Arial" w:hAnsi="Arial"/>
                <w:sz w:val="18"/>
                <w:szCs w:val="18"/>
                <w:u w:val="single" w:color="auto"/>
                <w:color w:val="0000FF"/>
              </w:rPr>
            </w:pPr>
            <w:hyperlink r:id="rId416">
              <w:r>
                <w:rPr>
                  <w:rFonts w:ascii="Arial" w:cs="Arial" w:eastAsia="Arial" w:hAnsi="Arial"/>
                  <w:sz w:val="18"/>
                  <w:szCs w:val="18"/>
                  <w:u w:val="single" w:color="auto"/>
                  <w:color w:val="0000FF"/>
                </w:rPr>
                <w:t>8, 2020, between HPBB1, LLC and Blackbaud, Inc.</w:t>
              </w:r>
            </w:hyperlink>
          </w:p>
        </w:tc>
        <w:tc>
          <w:tcPr>
            <w:tcW w:w="20" w:type="dxa"/>
            <w:vAlign w:val="bottom"/>
            <w:tcBorders>
              <w:top w:val="single" w:sz="8" w:color="F4F4F4"/>
            </w:tcBorders>
            <w:shd w:val="clear" w:color="auto" w:fill="F4F4F4"/>
          </w:tcPr>
          <w:p>
            <w:pPr>
              <w:spacing w:after="0"/>
              <w:rPr>
                <w:sz w:val="17"/>
                <w:szCs w:val="17"/>
                <w:color w:val="auto"/>
              </w:rPr>
            </w:pPr>
          </w:p>
        </w:tc>
        <w:tc>
          <w:tcPr>
            <w:tcW w:w="120" w:type="dxa"/>
            <w:vAlign w:val="bottom"/>
            <w:tcBorders>
              <w:top w:val="single" w:sz="8" w:color="F4F4F4"/>
            </w:tcBorders>
            <w:gridSpan w:val="6"/>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1260" w:type="dxa"/>
            <w:vAlign w:val="bottom"/>
            <w:tcBorders>
              <w:top w:val="single" w:sz="8" w:color="F4F4F4"/>
            </w:tcBorders>
            <w:shd w:val="clear" w:color="auto" w:fill="F4F4F4"/>
          </w:tcPr>
          <w:p>
            <w:pPr>
              <w:spacing w:after="0"/>
              <w:rPr>
                <w:sz w:val="17"/>
                <w:szCs w:val="17"/>
                <w:color w:val="auto"/>
              </w:rPr>
            </w:pPr>
          </w:p>
        </w:tc>
        <w:tc>
          <w:tcPr>
            <w:tcW w:w="1520" w:type="dxa"/>
            <w:vAlign w:val="bottom"/>
            <w:tcBorders>
              <w:top w:val="single" w:sz="8" w:color="F4F4F4"/>
            </w:tcBorders>
            <w:shd w:val="clear" w:color="auto" w:fill="F4F4F4"/>
          </w:tcPr>
          <w:p>
            <w:pPr>
              <w:spacing w:after="0"/>
              <w:rPr>
                <w:sz w:val="17"/>
                <w:szCs w:val="17"/>
                <w:color w:val="auto"/>
              </w:rPr>
            </w:pPr>
          </w:p>
        </w:tc>
        <w:tc>
          <w:tcPr>
            <w:tcW w:w="1160" w:type="dxa"/>
            <w:vAlign w:val="bottom"/>
            <w:tcBorders>
              <w:top w:val="single" w:sz="8" w:color="F4F4F4"/>
            </w:tcBorders>
            <w:shd w:val="clear" w:color="auto" w:fill="F4F4F4"/>
          </w:tcPr>
          <w:p>
            <w:pPr>
              <w:spacing w:after="0"/>
              <w:rPr>
                <w:sz w:val="17"/>
                <w:szCs w:val="17"/>
                <w:color w:val="auto"/>
              </w:rPr>
            </w:pPr>
          </w:p>
        </w:tc>
        <w:tc>
          <w:tcPr>
            <w:tcW w:w="900" w:type="dxa"/>
            <w:vAlign w:val="bottom"/>
            <w:tcBorders>
              <w:top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tcPr>
          <w:p>
            <w:pPr>
              <w:jc w:val="right"/>
              <w:spacing w:after="0" w:line="189" w:lineRule="exact"/>
              <w:rPr>
                <w:rFonts w:ascii="Arial" w:cs="Arial" w:eastAsia="Arial" w:hAnsi="Arial"/>
                <w:sz w:val="18"/>
                <w:szCs w:val="18"/>
                <w:color w:val="0000FF"/>
              </w:rPr>
            </w:pPr>
            <w:hyperlink r:id="rId417">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680" w:type="dxa"/>
            <w:vAlign w:val="bottom"/>
          </w:tcPr>
          <w:p>
            <w:pPr>
              <w:spacing w:after="0"/>
              <w:rPr>
                <w:sz w:val="16"/>
                <w:szCs w:val="16"/>
                <w:color w:val="auto"/>
              </w:rPr>
            </w:pPr>
          </w:p>
        </w:tc>
        <w:tc>
          <w:tcPr>
            <w:tcW w:w="4780" w:type="dxa"/>
            <w:vAlign w:val="bottom"/>
            <w:gridSpan w:val="34"/>
          </w:tcPr>
          <w:p>
            <w:pPr>
              <w:spacing w:after="0" w:line="189" w:lineRule="exact"/>
              <w:rPr>
                <w:rFonts w:ascii="Arial" w:cs="Arial" w:eastAsia="Arial" w:hAnsi="Arial"/>
                <w:sz w:val="18"/>
                <w:szCs w:val="18"/>
                <w:color w:val="0000FF"/>
              </w:rPr>
            </w:pPr>
            <w:hyperlink r:id="rId417">
              <w:r>
                <w:rPr>
                  <w:rFonts w:ascii="Arial" w:cs="Arial" w:eastAsia="Arial" w:hAnsi="Arial"/>
                  <w:sz w:val="18"/>
                  <w:szCs w:val="18"/>
                  <w:color w:val="0000FF"/>
                </w:rPr>
                <w:t>Purchase and Sale Agreement dated June 17, 2020,</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8/4/2020</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10.6</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42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417">
              <w:r>
                <w:rPr>
                  <w:rFonts w:ascii="Arial" w:cs="Arial" w:eastAsia="Arial" w:hAnsi="Arial"/>
                  <w:sz w:val="18"/>
                  <w:szCs w:val="18"/>
                  <w:color w:val="0000FF"/>
                </w:rPr>
                <w:t>between HPBB1, LLC and Blackbaud, Inc.</w:t>
              </w:r>
            </w:hyperlink>
          </w:p>
        </w:tc>
        <w:tc>
          <w:tcPr>
            <w:tcW w:w="360" w:type="dxa"/>
            <w:vAlign w:val="bottom"/>
            <w:gridSpan w:val="9"/>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0" w:type="dxa"/>
            <w:vAlign w:val="bottom"/>
            <w:gridSpan w:val="2"/>
            <w:shd w:val="clear" w:color="auto" w:fill="F4F4F4"/>
          </w:tcPr>
          <w:p>
            <w:pPr>
              <w:jc w:val="right"/>
              <w:spacing w:after="0" w:line="189" w:lineRule="exact"/>
              <w:rPr>
                <w:rFonts w:ascii="Arial" w:cs="Arial" w:eastAsia="Arial" w:hAnsi="Arial"/>
                <w:sz w:val="18"/>
                <w:szCs w:val="18"/>
                <w:color w:val="0000FF"/>
              </w:rPr>
            </w:pPr>
            <w:hyperlink r:id="rId418">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680" w:type="dxa"/>
            <w:vAlign w:val="bottom"/>
            <w:tcBorders>
              <w:left w:val="single" w:sz="8" w:color="F4F4F4"/>
            </w:tcBorders>
            <w:shd w:val="clear" w:color="auto" w:fill="F4F4F4"/>
          </w:tcPr>
          <w:p>
            <w:pPr>
              <w:spacing w:after="0"/>
              <w:rPr>
                <w:sz w:val="16"/>
                <w:szCs w:val="16"/>
                <w:color w:val="auto"/>
              </w:rPr>
            </w:pPr>
          </w:p>
        </w:tc>
        <w:tc>
          <w:tcPr>
            <w:tcW w:w="4780" w:type="dxa"/>
            <w:vAlign w:val="bottom"/>
            <w:gridSpan w:val="34"/>
            <w:shd w:val="clear" w:color="auto" w:fill="F4F4F4"/>
          </w:tcPr>
          <w:p>
            <w:pPr>
              <w:spacing w:after="0" w:line="189" w:lineRule="exact"/>
              <w:rPr>
                <w:rFonts w:ascii="Arial" w:cs="Arial" w:eastAsia="Arial" w:hAnsi="Arial"/>
                <w:sz w:val="18"/>
                <w:szCs w:val="18"/>
                <w:color w:val="0000FF"/>
              </w:rPr>
            </w:pPr>
            <w:hyperlink r:id="rId418">
              <w:r>
                <w:rPr>
                  <w:rFonts w:ascii="Arial" w:cs="Arial" w:eastAsia="Arial" w:hAnsi="Arial"/>
                  <w:sz w:val="18"/>
                  <w:szCs w:val="18"/>
                  <w:color w:val="0000FF"/>
                </w:rPr>
                <w:t>Tenth Amendment to Lease Agreement, dated as of June</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shd w:val="clear" w:color="auto" w:fill="F4F4F4"/>
          </w:tcPr>
          <w:p>
            <w:pPr>
              <w:jc w:val="right"/>
              <w:ind w:right="252"/>
              <w:spacing w:after="0" w:line="189" w:lineRule="exact"/>
              <w:rPr>
                <w:sz w:val="20"/>
                <w:szCs w:val="20"/>
                <w:color w:val="auto"/>
              </w:rPr>
            </w:pPr>
            <w:r>
              <w:rPr>
                <w:rFonts w:ascii="Arial" w:cs="Arial" w:eastAsia="Arial" w:hAnsi="Arial"/>
                <w:sz w:val="18"/>
                <w:szCs w:val="18"/>
                <w:color w:val="auto"/>
              </w:rPr>
              <w:t>8/4/2020</w:t>
            </w:r>
          </w:p>
        </w:tc>
        <w:tc>
          <w:tcPr>
            <w:tcW w:w="1160" w:type="dxa"/>
            <w:vAlign w:val="bottom"/>
            <w:shd w:val="clear" w:color="auto" w:fill="F4F4F4"/>
          </w:tcPr>
          <w:p>
            <w:pPr>
              <w:jc w:val="right"/>
              <w:ind w:right="52"/>
              <w:spacing w:after="0" w:line="189" w:lineRule="exact"/>
              <w:rPr>
                <w:sz w:val="20"/>
                <w:szCs w:val="20"/>
                <w:color w:val="auto"/>
              </w:rPr>
            </w:pPr>
            <w:r>
              <w:rPr>
                <w:rFonts w:ascii="Arial" w:cs="Arial" w:eastAsia="Arial" w:hAnsi="Arial"/>
                <w:sz w:val="18"/>
                <w:szCs w:val="18"/>
                <w:color w:val="auto"/>
              </w:rPr>
              <w:t>10.7</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F4F4F4"/>
            </w:tcBorders>
            <w:shd w:val="clear" w:color="auto" w:fill="F4F4F4"/>
          </w:tcPr>
          <w:p>
            <w:pPr>
              <w:spacing w:after="0"/>
              <w:rPr>
                <w:sz w:val="17"/>
                <w:szCs w:val="17"/>
                <w:color w:val="auto"/>
              </w:rPr>
            </w:pPr>
          </w:p>
        </w:tc>
        <w:tc>
          <w:tcPr>
            <w:tcW w:w="440" w:type="dxa"/>
            <w:vAlign w:val="bottom"/>
            <w:tcBorders>
              <w:top w:val="single" w:sz="8" w:color="0000FF"/>
            </w:tcBorders>
            <w:shd w:val="clear" w:color="auto" w:fill="F4F4F4"/>
          </w:tcPr>
          <w:p>
            <w:pPr>
              <w:spacing w:after="0"/>
              <w:rPr>
                <w:sz w:val="17"/>
                <w:szCs w:val="17"/>
                <w:color w:val="auto"/>
              </w:rPr>
            </w:pPr>
          </w:p>
        </w:tc>
        <w:tc>
          <w:tcPr>
            <w:tcW w:w="680" w:type="dxa"/>
            <w:vAlign w:val="bottom"/>
            <w:tcBorders>
              <w:top w:val="single" w:sz="8" w:color="F4F4F4"/>
              <w:left w:val="single" w:sz="8" w:color="F4F4F4"/>
            </w:tcBorders>
            <w:shd w:val="clear" w:color="auto" w:fill="F4F4F4"/>
          </w:tcPr>
          <w:p>
            <w:pPr>
              <w:spacing w:after="0"/>
              <w:rPr>
                <w:sz w:val="17"/>
                <w:szCs w:val="17"/>
                <w:color w:val="auto"/>
              </w:rPr>
            </w:pPr>
          </w:p>
        </w:tc>
        <w:tc>
          <w:tcPr>
            <w:tcW w:w="4560" w:type="dxa"/>
            <w:vAlign w:val="bottom"/>
            <w:tcBorders>
              <w:top w:val="single" w:sz="8" w:color="0000FF"/>
            </w:tcBorders>
            <w:gridSpan w:val="23"/>
            <w:shd w:val="clear" w:color="auto" w:fill="F4F4F4"/>
          </w:tcPr>
          <w:p>
            <w:pPr>
              <w:spacing w:after="0" w:line="196" w:lineRule="exact"/>
              <w:rPr>
                <w:rFonts w:ascii="Arial" w:cs="Arial" w:eastAsia="Arial" w:hAnsi="Arial"/>
                <w:sz w:val="18"/>
                <w:szCs w:val="18"/>
                <w:u w:val="single" w:color="auto"/>
                <w:color w:val="0000FF"/>
              </w:rPr>
            </w:pPr>
            <w:hyperlink r:id="rId418">
              <w:r>
                <w:rPr>
                  <w:rFonts w:ascii="Arial" w:cs="Arial" w:eastAsia="Arial" w:hAnsi="Arial"/>
                  <w:sz w:val="18"/>
                  <w:szCs w:val="18"/>
                  <w:u w:val="single" w:color="auto"/>
                  <w:color w:val="0000FF"/>
                </w:rPr>
                <w:t>26, 2020, between HPBB1, LLC and Blackbaud, Inc.</w:t>
              </w:r>
            </w:hyperlink>
          </w:p>
        </w:tc>
        <w:tc>
          <w:tcPr>
            <w:tcW w:w="120" w:type="dxa"/>
            <w:vAlign w:val="bottom"/>
            <w:tcBorders>
              <w:top w:val="single" w:sz="8" w:color="F4F4F4"/>
            </w:tcBorders>
            <w:gridSpan w:val="6"/>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20" w:type="dxa"/>
            <w:vAlign w:val="bottom"/>
            <w:tcBorders>
              <w:top w:val="single" w:sz="8" w:color="F4F4F4"/>
            </w:tcBorders>
            <w:shd w:val="clear" w:color="auto" w:fill="F4F4F4"/>
          </w:tcPr>
          <w:p>
            <w:pPr>
              <w:spacing w:after="0"/>
              <w:rPr>
                <w:sz w:val="17"/>
                <w:szCs w:val="17"/>
                <w:color w:val="auto"/>
              </w:rPr>
            </w:pPr>
          </w:p>
        </w:tc>
        <w:tc>
          <w:tcPr>
            <w:tcW w:w="1260" w:type="dxa"/>
            <w:vAlign w:val="bottom"/>
            <w:tcBorders>
              <w:top w:val="single" w:sz="8" w:color="F4F4F4"/>
            </w:tcBorders>
            <w:shd w:val="clear" w:color="auto" w:fill="F4F4F4"/>
          </w:tcPr>
          <w:p>
            <w:pPr>
              <w:spacing w:after="0"/>
              <w:rPr>
                <w:sz w:val="17"/>
                <w:szCs w:val="17"/>
                <w:color w:val="auto"/>
              </w:rPr>
            </w:pPr>
          </w:p>
        </w:tc>
        <w:tc>
          <w:tcPr>
            <w:tcW w:w="1520" w:type="dxa"/>
            <w:vAlign w:val="bottom"/>
            <w:tcBorders>
              <w:top w:val="single" w:sz="8" w:color="F4F4F4"/>
            </w:tcBorders>
            <w:shd w:val="clear" w:color="auto" w:fill="F4F4F4"/>
          </w:tcPr>
          <w:p>
            <w:pPr>
              <w:spacing w:after="0"/>
              <w:rPr>
                <w:sz w:val="17"/>
                <w:szCs w:val="17"/>
                <w:color w:val="auto"/>
              </w:rPr>
            </w:pPr>
          </w:p>
        </w:tc>
        <w:tc>
          <w:tcPr>
            <w:tcW w:w="1160" w:type="dxa"/>
            <w:vAlign w:val="bottom"/>
            <w:tcBorders>
              <w:top w:val="single" w:sz="8" w:color="F4F4F4"/>
            </w:tcBorders>
            <w:shd w:val="clear" w:color="auto" w:fill="F4F4F4"/>
          </w:tcPr>
          <w:p>
            <w:pPr>
              <w:spacing w:after="0"/>
              <w:rPr>
                <w:sz w:val="17"/>
                <w:szCs w:val="17"/>
                <w:color w:val="auto"/>
              </w:rPr>
            </w:pPr>
          </w:p>
        </w:tc>
        <w:tc>
          <w:tcPr>
            <w:tcW w:w="900" w:type="dxa"/>
            <w:vAlign w:val="bottom"/>
            <w:tcBorders>
              <w:top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tcPr>
          <w:p>
            <w:pPr>
              <w:jc w:val="right"/>
              <w:spacing w:after="0" w:line="189" w:lineRule="exact"/>
              <w:rPr>
                <w:rFonts w:ascii="Arial" w:cs="Arial" w:eastAsia="Arial" w:hAnsi="Arial"/>
                <w:sz w:val="18"/>
                <w:szCs w:val="18"/>
                <w:color w:val="0000FF"/>
              </w:rPr>
            </w:pPr>
            <w:hyperlink r:id="rId419">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680" w:type="dxa"/>
            <w:vAlign w:val="bottom"/>
          </w:tcPr>
          <w:p>
            <w:pPr>
              <w:spacing w:after="0"/>
              <w:rPr>
                <w:sz w:val="16"/>
                <w:szCs w:val="16"/>
                <w:color w:val="auto"/>
              </w:rPr>
            </w:pPr>
          </w:p>
        </w:tc>
        <w:tc>
          <w:tcPr>
            <w:tcW w:w="4780" w:type="dxa"/>
            <w:vAlign w:val="bottom"/>
            <w:gridSpan w:val="34"/>
          </w:tcPr>
          <w:p>
            <w:pPr>
              <w:spacing w:after="0" w:line="189" w:lineRule="exact"/>
              <w:rPr>
                <w:rFonts w:ascii="Arial" w:cs="Arial" w:eastAsia="Arial" w:hAnsi="Arial"/>
                <w:sz w:val="18"/>
                <w:szCs w:val="18"/>
                <w:color w:val="0000FF"/>
              </w:rPr>
            </w:pPr>
            <w:hyperlink r:id="rId419">
              <w:r>
                <w:rPr>
                  <w:rFonts w:ascii="Arial" w:cs="Arial" w:eastAsia="Arial" w:hAnsi="Arial"/>
                  <w:sz w:val="18"/>
                  <w:szCs w:val="18"/>
                  <w:color w:val="0000FF"/>
                </w:rPr>
                <w:t>First Amendment to Purchase and Sale Agreement, dated</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11/3/2020</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4760" w:type="dxa"/>
            <w:vAlign w:val="bottom"/>
            <w:tcBorders>
              <w:top w:val="single" w:sz="8" w:color="0000FF"/>
            </w:tcBorders>
            <w:gridSpan w:val="33"/>
          </w:tcPr>
          <w:p>
            <w:pPr>
              <w:spacing w:after="0" w:line="196" w:lineRule="exact"/>
              <w:rPr>
                <w:rFonts w:ascii="Arial" w:cs="Arial" w:eastAsia="Arial" w:hAnsi="Arial"/>
                <w:sz w:val="18"/>
                <w:szCs w:val="18"/>
                <w:u w:val="single" w:color="auto"/>
                <w:color w:val="0000FF"/>
              </w:rPr>
            </w:pPr>
            <w:hyperlink r:id="rId419">
              <w:r>
                <w:rPr>
                  <w:rFonts w:ascii="Arial" w:cs="Arial" w:eastAsia="Arial" w:hAnsi="Arial"/>
                  <w:sz w:val="18"/>
                  <w:szCs w:val="18"/>
                  <w:u w:val="single" w:color="auto"/>
                  <w:color w:val="0000FF"/>
                </w:rPr>
                <w:t>July 8, 2020, between HPBB1, LLC and BBHQ1, LLC.</w:t>
              </w:r>
            </w:hyperlink>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0" w:type="dxa"/>
            <w:vAlign w:val="bottom"/>
            <w:gridSpan w:val="2"/>
            <w:shd w:val="clear" w:color="auto" w:fill="F4F4F4"/>
          </w:tcPr>
          <w:p>
            <w:pPr>
              <w:jc w:val="right"/>
              <w:spacing w:after="0" w:line="189" w:lineRule="exact"/>
              <w:rPr>
                <w:rFonts w:ascii="Arial" w:cs="Arial" w:eastAsia="Arial" w:hAnsi="Arial"/>
                <w:sz w:val="18"/>
                <w:szCs w:val="18"/>
                <w:color w:val="0000FF"/>
              </w:rPr>
            </w:pPr>
            <w:hyperlink r:id="rId420">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680" w:type="dxa"/>
            <w:vAlign w:val="bottom"/>
            <w:tcBorders>
              <w:left w:val="single" w:sz="8" w:color="F4F4F4"/>
            </w:tcBorders>
            <w:shd w:val="clear" w:color="auto" w:fill="F4F4F4"/>
          </w:tcPr>
          <w:p>
            <w:pPr>
              <w:spacing w:after="0"/>
              <w:rPr>
                <w:sz w:val="16"/>
                <w:szCs w:val="16"/>
                <w:color w:val="auto"/>
              </w:rPr>
            </w:pPr>
          </w:p>
        </w:tc>
        <w:tc>
          <w:tcPr>
            <w:tcW w:w="4780" w:type="dxa"/>
            <w:vAlign w:val="bottom"/>
            <w:gridSpan w:val="34"/>
            <w:shd w:val="clear" w:color="auto" w:fill="F4F4F4"/>
          </w:tcPr>
          <w:p>
            <w:pPr>
              <w:spacing w:after="0" w:line="189" w:lineRule="exact"/>
              <w:rPr>
                <w:rFonts w:ascii="Arial" w:cs="Arial" w:eastAsia="Arial" w:hAnsi="Arial"/>
                <w:sz w:val="18"/>
                <w:szCs w:val="18"/>
                <w:color w:val="0000FF"/>
              </w:rPr>
            </w:pPr>
            <w:hyperlink r:id="rId420">
              <w:r>
                <w:rPr>
                  <w:rFonts w:ascii="Arial" w:cs="Arial" w:eastAsia="Arial" w:hAnsi="Arial"/>
                  <w:sz w:val="18"/>
                  <w:szCs w:val="18"/>
                  <w:color w:val="0000FF"/>
                </w:rPr>
                <w:t>Second Amendment to Purchase and Sale Agreement,</w:t>
              </w:r>
            </w:hyperlink>
          </w:p>
        </w:tc>
        <w:tc>
          <w:tcPr>
            <w:tcW w:w="1260" w:type="dxa"/>
            <w:vAlign w:val="bottom"/>
            <w:shd w:val="clear" w:color="auto" w:fill="F4F4F4"/>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shd w:val="clear" w:color="auto" w:fill="F4F4F4"/>
          </w:tcPr>
          <w:p>
            <w:pPr>
              <w:jc w:val="right"/>
              <w:ind w:right="252"/>
              <w:spacing w:after="0" w:line="189" w:lineRule="exact"/>
              <w:rPr>
                <w:sz w:val="20"/>
                <w:szCs w:val="20"/>
                <w:color w:val="auto"/>
              </w:rPr>
            </w:pPr>
            <w:r>
              <w:rPr>
                <w:rFonts w:ascii="Arial" w:cs="Arial" w:eastAsia="Arial" w:hAnsi="Arial"/>
                <w:sz w:val="18"/>
                <w:szCs w:val="18"/>
                <w:color w:val="auto"/>
              </w:rPr>
              <w:t>11/3/2020</w:t>
            </w:r>
          </w:p>
        </w:tc>
        <w:tc>
          <w:tcPr>
            <w:tcW w:w="1160" w:type="dxa"/>
            <w:vAlign w:val="bottom"/>
            <w:shd w:val="clear" w:color="auto" w:fill="F4F4F4"/>
          </w:tcPr>
          <w:p>
            <w:pPr>
              <w:jc w:val="right"/>
              <w:ind w:right="52"/>
              <w:spacing w:after="0" w:line="189" w:lineRule="exact"/>
              <w:rPr>
                <w:sz w:val="20"/>
                <w:szCs w:val="20"/>
                <w:color w:val="auto"/>
              </w:rPr>
            </w:pPr>
            <w:r>
              <w:rPr>
                <w:rFonts w:ascii="Arial" w:cs="Arial" w:eastAsia="Arial" w:hAnsi="Arial"/>
                <w:sz w:val="18"/>
                <w:szCs w:val="18"/>
                <w:color w:val="auto"/>
              </w:rPr>
              <w:t>10.2</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0" w:type="dxa"/>
            <w:vAlign w:val="bottom"/>
            <w:tcBorders>
              <w:top w:val="single" w:sz="8" w:color="F4F4F4"/>
              <w:bottom w:val="single" w:sz="8" w:color="F4F4F4"/>
            </w:tcBorders>
            <w:shd w:val="clear" w:color="auto" w:fill="F4F4F4"/>
          </w:tcPr>
          <w:p>
            <w:pPr>
              <w:spacing w:after="0"/>
              <w:rPr>
                <w:sz w:val="13"/>
                <w:szCs w:val="13"/>
                <w:color w:val="auto"/>
              </w:rPr>
            </w:pPr>
          </w:p>
        </w:tc>
        <w:tc>
          <w:tcPr>
            <w:tcW w:w="440" w:type="dxa"/>
            <w:vAlign w:val="bottom"/>
            <w:tcBorders>
              <w:top w:val="single" w:sz="8" w:color="0000FF"/>
              <w:bottom w:val="single" w:sz="8" w:color="F4F4F4"/>
            </w:tcBorders>
            <w:shd w:val="clear" w:color="auto" w:fill="F4F4F4"/>
          </w:tcPr>
          <w:p>
            <w:pPr>
              <w:spacing w:after="0"/>
              <w:rPr>
                <w:sz w:val="13"/>
                <w:szCs w:val="13"/>
                <w:color w:val="auto"/>
              </w:rPr>
            </w:pPr>
          </w:p>
        </w:tc>
        <w:tc>
          <w:tcPr>
            <w:tcW w:w="680" w:type="dxa"/>
            <w:vAlign w:val="bottom"/>
            <w:tcBorders>
              <w:top w:val="single" w:sz="8" w:color="F4F4F4"/>
              <w:left w:val="single" w:sz="8" w:color="F4F4F4"/>
              <w:bottom w:val="single" w:sz="8" w:color="F4F4F4"/>
            </w:tcBorders>
            <w:shd w:val="clear" w:color="auto" w:fill="F4F4F4"/>
          </w:tcPr>
          <w:p>
            <w:pPr>
              <w:spacing w:after="0"/>
              <w:rPr>
                <w:sz w:val="13"/>
                <w:szCs w:val="13"/>
                <w:color w:val="auto"/>
              </w:rPr>
            </w:pPr>
          </w:p>
        </w:tc>
        <w:tc>
          <w:tcPr>
            <w:tcW w:w="4680" w:type="dxa"/>
            <w:vAlign w:val="bottom"/>
            <w:tcBorders>
              <w:top w:val="single" w:sz="8" w:color="0000FF"/>
              <w:bottom w:val="single" w:sz="8" w:color="0000FF"/>
            </w:tcBorders>
            <w:gridSpan w:val="29"/>
            <w:shd w:val="clear" w:color="auto" w:fill="F4F4F4"/>
          </w:tcPr>
          <w:p>
            <w:pPr>
              <w:spacing w:after="0" w:line="156" w:lineRule="exact"/>
              <w:rPr>
                <w:rFonts w:ascii="Arial" w:cs="Arial" w:eastAsia="Arial" w:hAnsi="Arial"/>
                <w:sz w:val="18"/>
                <w:szCs w:val="18"/>
                <w:color w:val="0000FF"/>
              </w:rPr>
            </w:pPr>
            <w:hyperlink r:id="rId420">
              <w:r>
                <w:rPr>
                  <w:rFonts w:ascii="Arial" w:cs="Arial" w:eastAsia="Arial" w:hAnsi="Arial"/>
                  <w:sz w:val="18"/>
                  <w:szCs w:val="18"/>
                  <w:color w:val="0000FF"/>
                </w:rPr>
                <w:t>dated July 21, 2020, between HPBB1, LLC and BBHQ1,</w:t>
              </w:r>
            </w:hyperlink>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40" w:type="dxa"/>
            <w:vAlign w:val="bottom"/>
            <w:tcBorders>
              <w:top w:val="single" w:sz="8" w:color="F4F4F4"/>
              <w:bottom w:val="single" w:sz="8" w:color="F4F4F4"/>
            </w:tcBorders>
            <w:gridSpan w:val="2"/>
            <w:shd w:val="clear" w:color="auto" w:fill="F4F4F4"/>
          </w:tcPr>
          <w:p>
            <w:pPr>
              <w:spacing w:after="0"/>
              <w:rPr>
                <w:sz w:val="13"/>
                <w:szCs w:val="13"/>
                <w:color w:val="auto"/>
              </w:rPr>
            </w:pPr>
          </w:p>
        </w:tc>
        <w:tc>
          <w:tcPr>
            <w:tcW w:w="1260" w:type="dxa"/>
            <w:vAlign w:val="bottom"/>
            <w:tcBorders>
              <w:top w:val="single" w:sz="8" w:color="F4F4F4"/>
              <w:bottom w:val="single" w:sz="8" w:color="F4F4F4"/>
            </w:tcBorders>
            <w:shd w:val="clear" w:color="auto" w:fill="F4F4F4"/>
          </w:tcPr>
          <w:p>
            <w:pPr>
              <w:spacing w:after="0"/>
              <w:rPr>
                <w:sz w:val="13"/>
                <w:szCs w:val="13"/>
                <w:color w:val="auto"/>
              </w:rPr>
            </w:pPr>
          </w:p>
        </w:tc>
        <w:tc>
          <w:tcPr>
            <w:tcW w:w="1520" w:type="dxa"/>
            <w:vAlign w:val="bottom"/>
            <w:tcBorders>
              <w:top w:val="single" w:sz="8" w:color="F4F4F4"/>
              <w:bottom w:val="single" w:sz="8" w:color="F4F4F4"/>
            </w:tcBorders>
            <w:shd w:val="clear" w:color="auto" w:fill="F4F4F4"/>
          </w:tcPr>
          <w:p>
            <w:pPr>
              <w:spacing w:after="0"/>
              <w:rPr>
                <w:sz w:val="13"/>
                <w:szCs w:val="13"/>
                <w:color w:val="auto"/>
              </w:rPr>
            </w:pPr>
          </w:p>
        </w:tc>
        <w:tc>
          <w:tcPr>
            <w:tcW w:w="1160" w:type="dxa"/>
            <w:vAlign w:val="bottom"/>
            <w:tcBorders>
              <w:top w:val="single" w:sz="8" w:color="F4F4F4"/>
              <w:bottom w:val="single" w:sz="8" w:color="F4F4F4"/>
            </w:tcBorders>
            <w:shd w:val="clear" w:color="auto" w:fill="F4F4F4"/>
          </w:tcPr>
          <w:p>
            <w:pPr>
              <w:spacing w:after="0"/>
              <w:rPr>
                <w:sz w:val="13"/>
                <w:szCs w:val="13"/>
                <w:color w:val="auto"/>
              </w:rPr>
            </w:pPr>
          </w:p>
        </w:tc>
        <w:tc>
          <w:tcPr>
            <w:tcW w:w="900" w:type="dxa"/>
            <w:vAlign w:val="bottom"/>
            <w:tcBorders>
              <w:top w:val="single" w:sz="8" w:color="F4F4F4"/>
              <w:bottom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0" w:type="dxa"/>
            <w:vAlign w:val="bottom"/>
            <w:tcBorders>
              <w:bottom w:val="single" w:sz="8" w:color="F4F4F4"/>
            </w:tcBorders>
            <w:shd w:val="clear" w:color="auto" w:fill="F4F4F4"/>
          </w:tcPr>
          <w:p>
            <w:pPr>
              <w:spacing w:after="0"/>
              <w:rPr>
                <w:sz w:val="15"/>
                <w:szCs w:val="15"/>
                <w:color w:val="auto"/>
              </w:rPr>
            </w:pPr>
          </w:p>
        </w:tc>
        <w:tc>
          <w:tcPr>
            <w:tcW w:w="440" w:type="dxa"/>
            <w:vAlign w:val="bottom"/>
            <w:tcBorders>
              <w:bottom w:val="single" w:sz="8" w:color="F4F4F4"/>
            </w:tcBorders>
            <w:shd w:val="clear" w:color="auto" w:fill="F4F4F4"/>
          </w:tcPr>
          <w:p>
            <w:pPr>
              <w:spacing w:after="0"/>
              <w:rPr>
                <w:sz w:val="15"/>
                <w:szCs w:val="15"/>
                <w:color w:val="auto"/>
              </w:rPr>
            </w:pPr>
          </w:p>
        </w:tc>
        <w:tc>
          <w:tcPr>
            <w:tcW w:w="680" w:type="dxa"/>
            <w:vAlign w:val="bottom"/>
            <w:tcBorders>
              <w:left w:val="single" w:sz="8" w:color="F4F4F4"/>
              <w:bottom w:val="single" w:sz="8" w:color="F4F4F4"/>
            </w:tcBorders>
            <w:shd w:val="clear" w:color="auto" w:fill="F4F4F4"/>
          </w:tcPr>
          <w:p>
            <w:pPr>
              <w:spacing w:after="0"/>
              <w:rPr>
                <w:sz w:val="15"/>
                <w:szCs w:val="15"/>
                <w:color w:val="auto"/>
              </w:rPr>
            </w:pPr>
          </w:p>
        </w:tc>
        <w:tc>
          <w:tcPr>
            <w:tcW w:w="380" w:type="dxa"/>
            <w:vAlign w:val="bottom"/>
            <w:tcBorders>
              <w:bottom w:val="single" w:sz="8" w:color="0000FF"/>
            </w:tcBorders>
            <w:gridSpan w:val="2"/>
            <w:shd w:val="clear" w:color="auto" w:fill="F4F4F4"/>
          </w:tcPr>
          <w:p>
            <w:pPr>
              <w:spacing w:after="0" w:line="156" w:lineRule="exact"/>
              <w:rPr>
                <w:rFonts w:ascii="Arial" w:cs="Arial" w:eastAsia="Arial" w:hAnsi="Arial"/>
                <w:sz w:val="18"/>
                <w:szCs w:val="18"/>
                <w:color w:val="0000FF"/>
                <w:w w:val="94"/>
              </w:rPr>
            </w:pPr>
            <w:hyperlink r:id="rId420">
              <w:r>
                <w:rPr>
                  <w:rFonts w:ascii="Arial" w:cs="Arial" w:eastAsia="Arial" w:hAnsi="Arial"/>
                  <w:sz w:val="18"/>
                  <w:szCs w:val="18"/>
                  <w:color w:val="0000FF"/>
                  <w:w w:val="94"/>
                </w:rPr>
                <w:t>LLC.</w:t>
              </w:r>
            </w:hyperlink>
          </w:p>
        </w:tc>
        <w:tc>
          <w:tcPr>
            <w:tcW w:w="4340" w:type="dxa"/>
            <w:vAlign w:val="bottom"/>
            <w:tcBorders>
              <w:bottom w:val="single" w:sz="8" w:color="F4F4F4"/>
            </w:tcBorders>
            <w:gridSpan w:val="29"/>
            <w:shd w:val="clear" w:color="auto" w:fill="F4F4F4"/>
          </w:tcPr>
          <w:p>
            <w:pPr>
              <w:spacing w:after="0"/>
              <w:rPr>
                <w:sz w:val="15"/>
                <w:szCs w:val="15"/>
                <w:color w:val="auto"/>
              </w:rPr>
            </w:pPr>
          </w:p>
        </w:tc>
        <w:tc>
          <w:tcPr>
            <w:tcW w:w="20" w:type="dxa"/>
            <w:vAlign w:val="bottom"/>
            <w:tcBorders>
              <w:bottom w:val="single" w:sz="8" w:color="F4F4F4"/>
            </w:tcBorders>
            <w:shd w:val="clear" w:color="auto" w:fill="F4F4F4"/>
          </w:tcPr>
          <w:p>
            <w:pPr>
              <w:spacing w:after="0"/>
              <w:rPr>
                <w:sz w:val="15"/>
                <w:szCs w:val="15"/>
                <w:color w:val="auto"/>
              </w:rPr>
            </w:pPr>
          </w:p>
        </w:tc>
        <w:tc>
          <w:tcPr>
            <w:tcW w:w="40" w:type="dxa"/>
            <w:vAlign w:val="bottom"/>
            <w:tcBorders>
              <w:bottom w:val="single" w:sz="8" w:color="F4F4F4"/>
            </w:tcBorders>
            <w:gridSpan w:val="2"/>
            <w:shd w:val="clear" w:color="auto" w:fill="F4F4F4"/>
          </w:tcPr>
          <w:p>
            <w:pPr>
              <w:spacing w:after="0"/>
              <w:rPr>
                <w:sz w:val="15"/>
                <w:szCs w:val="15"/>
                <w:color w:val="auto"/>
              </w:rPr>
            </w:pPr>
          </w:p>
        </w:tc>
        <w:tc>
          <w:tcPr>
            <w:tcW w:w="1260" w:type="dxa"/>
            <w:vAlign w:val="bottom"/>
            <w:tcBorders>
              <w:bottom w:val="single" w:sz="8" w:color="F4F4F4"/>
            </w:tcBorders>
            <w:shd w:val="clear" w:color="auto" w:fill="F4F4F4"/>
          </w:tcPr>
          <w:p>
            <w:pPr>
              <w:spacing w:after="0"/>
              <w:rPr>
                <w:sz w:val="15"/>
                <w:szCs w:val="15"/>
                <w:color w:val="auto"/>
              </w:rPr>
            </w:pPr>
          </w:p>
        </w:tc>
        <w:tc>
          <w:tcPr>
            <w:tcW w:w="1520" w:type="dxa"/>
            <w:vAlign w:val="bottom"/>
            <w:tcBorders>
              <w:bottom w:val="single" w:sz="8" w:color="F4F4F4"/>
            </w:tcBorders>
            <w:shd w:val="clear" w:color="auto" w:fill="F4F4F4"/>
          </w:tcPr>
          <w:p>
            <w:pPr>
              <w:spacing w:after="0"/>
              <w:rPr>
                <w:sz w:val="15"/>
                <w:szCs w:val="15"/>
                <w:color w:val="auto"/>
              </w:rPr>
            </w:pPr>
          </w:p>
        </w:tc>
        <w:tc>
          <w:tcPr>
            <w:tcW w:w="1160" w:type="dxa"/>
            <w:vAlign w:val="bottom"/>
            <w:tcBorders>
              <w:bottom w:val="single" w:sz="8" w:color="F4F4F4"/>
            </w:tcBorders>
            <w:shd w:val="clear" w:color="auto" w:fill="F4F4F4"/>
          </w:tcPr>
          <w:p>
            <w:pPr>
              <w:spacing w:after="0"/>
              <w:rPr>
                <w:sz w:val="15"/>
                <w:szCs w:val="15"/>
                <w:color w:val="auto"/>
              </w:rPr>
            </w:pPr>
          </w:p>
        </w:tc>
        <w:tc>
          <w:tcPr>
            <w:tcW w:w="900" w:type="dxa"/>
            <w:vAlign w:val="bottom"/>
            <w:tcBorders>
              <w:bottom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gridSpan w:val="2"/>
          </w:tcPr>
          <w:p>
            <w:pPr>
              <w:jc w:val="right"/>
              <w:spacing w:after="0" w:line="189" w:lineRule="exact"/>
              <w:rPr>
                <w:rFonts w:ascii="Arial" w:cs="Arial" w:eastAsia="Arial" w:hAnsi="Arial"/>
                <w:sz w:val="18"/>
                <w:szCs w:val="18"/>
                <w:color w:val="0000FF"/>
              </w:rPr>
            </w:pPr>
            <w:hyperlink r:id="rId421">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680" w:type="dxa"/>
            <w:vAlign w:val="bottom"/>
          </w:tcPr>
          <w:p>
            <w:pPr>
              <w:spacing w:after="0"/>
              <w:rPr>
                <w:sz w:val="16"/>
                <w:szCs w:val="16"/>
                <w:color w:val="auto"/>
              </w:rPr>
            </w:pPr>
          </w:p>
        </w:tc>
        <w:tc>
          <w:tcPr>
            <w:tcW w:w="4780" w:type="dxa"/>
            <w:vAlign w:val="bottom"/>
            <w:gridSpan w:val="34"/>
          </w:tcPr>
          <w:p>
            <w:pPr>
              <w:spacing w:after="0" w:line="189" w:lineRule="exact"/>
              <w:rPr>
                <w:rFonts w:ascii="Arial" w:cs="Arial" w:eastAsia="Arial" w:hAnsi="Arial"/>
                <w:sz w:val="18"/>
                <w:szCs w:val="18"/>
                <w:color w:val="0000FF"/>
              </w:rPr>
            </w:pPr>
            <w:hyperlink r:id="rId421">
              <w:r>
                <w:rPr>
                  <w:rFonts w:ascii="Arial" w:cs="Arial" w:eastAsia="Arial" w:hAnsi="Arial"/>
                  <w:sz w:val="18"/>
                  <w:szCs w:val="18"/>
                  <w:color w:val="0000FF"/>
                </w:rPr>
                <w:t>Eleventh Amendment to Lease Agreement, dated as of</w:t>
              </w:r>
            </w:hyperlink>
          </w:p>
        </w:tc>
        <w:tc>
          <w:tcPr>
            <w:tcW w:w="1260" w:type="dxa"/>
            <w:vAlign w:val="bottom"/>
          </w:tcPr>
          <w:p>
            <w:pPr>
              <w:jc w:val="center"/>
              <w:ind w:right="92"/>
              <w:spacing w:after="0" w:line="189" w:lineRule="exact"/>
              <w:rPr>
                <w:sz w:val="20"/>
                <w:szCs w:val="20"/>
                <w:color w:val="auto"/>
              </w:rPr>
            </w:pPr>
            <w:r>
              <w:rPr>
                <w:rFonts w:ascii="Arial" w:cs="Arial" w:eastAsia="Arial" w:hAnsi="Arial"/>
                <w:sz w:val="18"/>
                <w:szCs w:val="18"/>
                <w:color w:val="auto"/>
                <w:w w:val="99"/>
              </w:rPr>
              <w:t>10-Q</w:t>
            </w:r>
          </w:p>
        </w:tc>
        <w:tc>
          <w:tcPr>
            <w:tcW w:w="1520" w:type="dxa"/>
            <w:vAlign w:val="bottom"/>
          </w:tcPr>
          <w:p>
            <w:pPr>
              <w:jc w:val="right"/>
              <w:ind w:right="252"/>
              <w:spacing w:after="0" w:line="189" w:lineRule="exact"/>
              <w:rPr>
                <w:sz w:val="20"/>
                <w:szCs w:val="20"/>
                <w:color w:val="auto"/>
              </w:rPr>
            </w:pPr>
            <w:r>
              <w:rPr>
                <w:rFonts w:ascii="Arial" w:cs="Arial" w:eastAsia="Arial" w:hAnsi="Arial"/>
                <w:sz w:val="18"/>
                <w:szCs w:val="18"/>
                <w:color w:val="auto"/>
              </w:rPr>
              <w:t>11/3/2020</w:t>
            </w:r>
          </w:p>
        </w:tc>
        <w:tc>
          <w:tcPr>
            <w:tcW w:w="1160" w:type="dxa"/>
            <w:vAlign w:val="bottom"/>
          </w:tcPr>
          <w:p>
            <w:pPr>
              <w:jc w:val="right"/>
              <w:ind w:right="52"/>
              <w:spacing w:after="0" w:line="189" w:lineRule="exact"/>
              <w:rPr>
                <w:sz w:val="20"/>
                <w:szCs w:val="20"/>
                <w:color w:val="auto"/>
              </w:rPr>
            </w:pPr>
            <w:r>
              <w:rPr>
                <w:rFonts w:ascii="Arial" w:cs="Arial" w:eastAsia="Arial" w:hAnsi="Arial"/>
                <w:sz w:val="18"/>
                <w:szCs w:val="18"/>
                <w:color w:val="auto"/>
              </w:rPr>
              <w:t>10.3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rPr>
            </w:pPr>
            <w:hyperlink r:id="rId421">
              <w:r>
                <w:rPr>
                  <w:rFonts w:ascii="Arial" w:cs="Arial" w:eastAsia="Arial" w:hAnsi="Arial"/>
                  <w:sz w:val="18"/>
                  <w:szCs w:val="18"/>
                  <w:color w:val="0000FF"/>
                </w:rPr>
                <w:t>August 13, 2020, between BBHQ1, LLC and Blackbaud,</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740" w:type="dxa"/>
            <w:vAlign w:val="bottom"/>
            <w:gridSpan w:val="32"/>
          </w:tcPr>
          <w:p>
            <w:pPr>
              <w:spacing w:after="0" w:line="156" w:lineRule="exact"/>
              <w:rPr>
                <w:rFonts w:ascii="Arial" w:cs="Arial" w:eastAsia="Arial" w:hAnsi="Arial"/>
                <w:sz w:val="18"/>
                <w:szCs w:val="18"/>
                <w:color w:val="0000FF"/>
              </w:rPr>
            </w:pPr>
            <w:hyperlink r:id="rId421">
              <w:r>
                <w:rPr>
                  <w:rFonts w:ascii="Arial" w:cs="Arial" w:eastAsia="Arial" w:hAnsi="Arial"/>
                  <w:sz w:val="18"/>
                  <w:szCs w:val="18"/>
                  <w:color w:val="0000FF"/>
                </w:rPr>
                <w:t>Inc.</w:t>
              </w:r>
            </w:hyperlink>
          </w:p>
        </w:tc>
        <w:tc>
          <w:tcPr>
            <w:tcW w:w="4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71BF43"/>
            </w:tcBorders>
          </w:tcPr>
          <w:p>
            <w:pPr>
              <w:spacing w:after="0" w:line="20" w:lineRule="exact"/>
              <w:rPr>
                <w:sz w:val="1"/>
                <w:szCs w:val="1"/>
                <w:color w:val="auto"/>
              </w:rPr>
            </w:pPr>
          </w:p>
        </w:tc>
        <w:tc>
          <w:tcPr>
            <w:tcW w:w="440" w:type="dxa"/>
            <w:vAlign w:val="bottom"/>
            <w:tcBorders>
              <w:bottom w:val="single" w:sz="8" w:color="71BF43"/>
            </w:tcBorders>
          </w:tcPr>
          <w:p>
            <w:pPr>
              <w:spacing w:after="0" w:line="20" w:lineRule="exact"/>
              <w:rPr>
                <w:sz w:val="1"/>
                <w:szCs w:val="1"/>
                <w:color w:val="auto"/>
              </w:rPr>
            </w:pPr>
          </w:p>
        </w:tc>
        <w:tc>
          <w:tcPr>
            <w:tcW w:w="680" w:type="dxa"/>
            <w:vAlign w:val="bottom"/>
            <w:tcBorders>
              <w:bottom w:val="single" w:sz="8" w:color="71BF43"/>
            </w:tcBorders>
          </w:tcPr>
          <w:p>
            <w:pPr>
              <w:spacing w:after="0" w:line="20" w:lineRule="exact"/>
              <w:rPr>
                <w:sz w:val="1"/>
                <w:szCs w:val="1"/>
                <w:color w:val="auto"/>
              </w:rPr>
            </w:pPr>
          </w:p>
        </w:tc>
        <w:tc>
          <w:tcPr>
            <w:tcW w:w="280" w:type="dxa"/>
            <w:vAlign w:val="bottom"/>
            <w:tcBorders>
              <w:top w:val="single" w:sz="8" w:color="0000FF"/>
              <w:bottom w:val="single" w:sz="8" w:color="71BF43"/>
            </w:tcBorders>
          </w:tcPr>
          <w:p>
            <w:pPr>
              <w:spacing w:after="0" w:line="20" w:lineRule="exact"/>
              <w:rPr>
                <w:sz w:val="1"/>
                <w:szCs w:val="1"/>
                <w:color w:val="auto"/>
              </w:rPr>
            </w:pPr>
          </w:p>
        </w:tc>
        <w:tc>
          <w:tcPr>
            <w:tcW w:w="100" w:type="dxa"/>
            <w:vAlign w:val="bottom"/>
            <w:tcBorders>
              <w:bottom w:val="single" w:sz="8" w:color="71BF43"/>
            </w:tcBorders>
          </w:tcPr>
          <w:p>
            <w:pPr>
              <w:spacing w:after="0" w:line="20" w:lineRule="exact"/>
              <w:rPr>
                <w:sz w:val="1"/>
                <w:szCs w:val="1"/>
                <w:color w:val="auto"/>
              </w:rPr>
            </w:pPr>
          </w:p>
        </w:tc>
        <w:tc>
          <w:tcPr>
            <w:tcW w:w="840" w:type="dxa"/>
            <w:vAlign w:val="bottom"/>
            <w:tcBorders>
              <w:bottom w:val="single" w:sz="8" w:color="71BF43"/>
            </w:tcBorders>
          </w:tcPr>
          <w:p>
            <w:pPr>
              <w:spacing w:after="0" w:line="20" w:lineRule="exact"/>
              <w:rPr>
                <w:sz w:val="1"/>
                <w:szCs w:val="1"/>
                <w:color w:val="auto"/>
              </w:rPr>
            </w:pPr>
          </w:p>
        </w:tc>
        <w:tc>
          <w:tcPr>
            <w:tcW w:w="180" w:type="dxa"/>
            <w:vAlign w:val="bottom"/>
            <w:tcBorders>
              <w:bottom w:val="single" w:sz="8" w:color="71BF43"/>
            </w:tcBorders>
          </w:tcPr>
          <w:p>
            <w:pPr>
              <w:spacing w:after="0" w:line="20" w:lineRule="exact"/>
              <w:rPr>
                <w:sz w:val="1"/>
                <w:szCs w:val="1"/>
                <w:color w:val="auto"/>
              </w:rPr>
            </w:pPr>
          </w:p>
        </w:tc>
        <w:tc>
          <w:tcPr>
            <w:tcW w:w="340" w:type="dxa"/>
            <w:vAlign w:val="bottom"/>
            <w:tcBorders>
              <w:bottom w:val="single" w:sz="8" w:color="71BF43"/>
            </w:tcBorders>
          </w:tcPr>
          <w:p>
            <w:pPr>
              <w:spacing w:after="0" w:line="20" w:lineRule="exact"/>
              <w:rPr>
                <w:sz w:val="1"/>
                <w:szCs w:val="1"/>
                <w:color w:val="auto"/>
              </w:rPr>
            </w:pPr>
          </w:p>
        </w:tc>
        <w:tc>
          <w:tcPr>
            <w:tcW w:w="600" w:type="dxa"/>
            <w:vAlign w:val="bottom"/>
            <w:tcBorders>
              <w:bottom w:val="single" w:sz="8" w:color="71BF43"/>
            </w:tcBorders>
          </w:tcPr>
          <w:p>
            <w:pPr>
              <w:spacing w:after="0" w:line="20" w:lineRule="exact"/>
              <w:rPr>
                <w:sz w:val="1"/>
                <w:szCs w:val="1"/>
                <w:color w:val="auto"/>
              </w:rPr>
            </w:pPr>
          </w:p>
        </w:tc>
        <w:tc>
          <w:tcPr>
            <w:tcW w:w="580" w:type="dxa"/>
            <w:vAlign w:val="bottom"/>
            <w:tcBorders>
              <w:bottom w:val="single" w:sz="8" w:color="71BF43"/>
            </w:tcBorders>
          </w:tcPr>
          <w:p>
            <w:pPr>
              <w:spacing w:after="0" w:line="20" w:lineRule="exact"/>
              <w:rPr>
                <w:sz w:val="1"/>
                <w:szCs w:val="1"/>
                <w:color w:val="auto"/>
              </w:rPr>
            </w:pPr>
          </w:p>
        </w:tc>
        <w:tc>
          <w:tcPr>
            <w:tcW w:w="200" w:type="dxa"/>
            <w:vAlign w:val="bottom"/>
            <w:tcBorders>
              <w:bottom w:val="single" w:sz="8" w:color="71BF43"/>
            </w:tcBorders>
          </w:tcPr>
          <w:p>
            <w:pPr>
              <w:spacing w:after="0" w:line="20" w:lineRule="exact"/>
              <w:rPr>
                <w:sz w:val="1"/>
                <w:szCs w:val="1"/>
                <w:color w:val="auto"/>
              </w:rPr>
            </w:pPr>
          </w:p>
        </w:tc>
        <w:tc>
          <w:tcPr>
            <w:tcW w:w="260" w:type="dxa"/>
            <w:vAlign w:val="bottom"/>
            <w:tcBorders>
              <w:bottom w:val="single" w:sz="8" w:color="71BF43"/>
            </w:tcBorders>
          </w:tcPr>
          <w:p>
            <w:pPr>
              <w:spacing w:after="0" w:line="20" w:lineRule="exact"/>
              <w:rPr>
                <w:sz w:val="1"/>
                <w:szCs w:val="1"/>
                <w:color w:val="auto"/>
              </w:rPr>
            </w:pPr>
          </w:p>
        </w:tc>
        <w:tc>
          <w:tcPr>
            <w:tcW w:w="360" w:type="dxa"/>
            <w:vAlign w:val="bottom"/>
            <w:tcBorders>
              <w:bottom w:val="single" w:sz="8" w:color="71BF43"/>
            </w:tcBorders>
          </w:tcPr>
          <w:p>
            <w:pPr>
              <w:spacing w:after="0" w:line="20" w:lineRule="exact"/>
              <w:rPr>
                <w:sz w:val="1"/>
                <w:szCs w:val="1"/>
                <w:color w:val="auto"/>
              </w:rPr>
            </w:pPr>
          </w:p>
        </w:tc>
        <w:tc>
          <w:tcPr>
            <w:tcW w:w="40" w:type="dxa"/>
            <w:vAlign w:val="bottom"/>
            <w:tcBorders>
              <w:bottom w:val="single" w:sz="8" w:color="71BF43"/>
            </w:tcBorders>
          </w:tcPr>
          <w:p>
            <w:pPr>
              <w:spacing w:after="0" w:line="20" w:lineRule="exact"/>
              <w:rPr>
                <w:sz w:val="1"/>
                <w:szCs w:val="1"/>
                <w:color w:val="auto"/>
              </w:rPr>
            </w:pPr>
          </w:p>
        </w:tc>
        <w:tc>
          <w:tcPr>
            <w:tcW w:w="240" w:type="dxa"/>
            <w:vAlign w:val="bottom"/>
            <w:tcBorders>
              <w:bottom w:val="single" w:sz="8" w:color="71BF43"/>
            </w:tcBorders>
          </w:tcPr>
          <w:p>
            <w:pPr>
              <w:spacing w:after="0" w:line="20" w:lineRule="exact"/>
              <w:rPr>
                <w:sz w:val="1"/>
                <w:szCs w:val="1"/>
                <w:color w:val="auto"/>
              </w:rPr>
            </w:pPr>
          </w:p>
        </w:tc>
        <w:tc>
          <w:tcPr>
            <w:tcW w:w="60" w:type="dxa"/>
            <w:vAlign w:val="bottom"/>
            <w:tcBorders>
              <w:bottom w:val="single" w:sz="8" w:color="71BF43"/>
            </w:tcBorders>
          </w:tcPr>
          <w:p>
            <w:pPr>
              <w:spacing w:after="0" w:line="20" w:lineRule="exact"/>
              <w:rPr>
                <w:sz w:val="1"/>
                <w:szCs w:val="1"/>
                <w:color w:val="auto"/>
              </w:rPr>
            </w:pPr>
          </w:p>
        </w:tc>
        <w:tc>
          <w:tcPr>
            <w:tcW w:w="120" w:type="dxa"/>
            <w:vAlign w:val="bottom"/>
            <w:tcBorders>
              <w:bottom w:val="single" w:sz="8" w:color="71BF43"/>
            </w:tcBorders>
          </w:tcPr>
          <w:p>
            <w:pPr>
              <w:spacing w:after="0" w:line="20" w:lineRule="exact"/>
              <w:rPr>
                <w:sz w:val="1"/>
                <w:szCs w:val="1"/>
                <w:color w:val="auto"/>
              </w:rPr>
            </w:pPr>
          </w:p>
        </w:tc>
        <w:tc>
          <w:tcPr>
            <w:tcW w:w="40" w:type="dxa"/>
            <w:vAlign w:val="bottom"/>
            <w:tcBorders>
              <w:bottom w:val="single" w:sz="8" w:color="71BF43"/>
            </w:tcBorders>
          </w:tcPr>
          <w:p>
            <w:pPr>
              <w:spacing w:after="0" w:line="20" w:lineRule="exact"/>
              <w:rPr>
                <w:sz w:val="1"/>
                <w:szCs w:val="1"/>
                <w:color w:val="auto"/>
              </w:rPr>
            </w:pPr>
          </w:p>
        </w:tc>
        <w:tc>
          <w:tcPr>
            <w:tcW w:w="40" w:type="dxa"/>
            <w:vAlign w:val="bottom"/>
            <w:tcBorders>
              <w:bottom w:val="single" w:sz="8" w:color="71BF43"/>
            </w:tcBorders>
          </w:tcPr>
          <w:p>
            <w:pPr>
              <w:spacing w:after="0" w:line="20" w:lineRule="exact"/>
              <w:rPr>
                <w:sz w:val="1"/>
                <w:szCs w:val="1"/>
                <w:color w:val="auto"/>
              </w:rPr>
            </w:pPr>
          </w:p>
        </w:tc>
        <w:tc>
          <w:tcPr>
            <w:tcW w:w="60" w:type="dxa"/>
            <w:vAlign w:val="bottom"/>
            <w:tcBorders>
              <w:bottom w:val="single" w:sz="8" w:color="71BF43"/>
            </w:tcBorders>
          </w:tcPr>
          <w:p>
            <w:pPr>
              <w:spacing w:after="0" w:line="20" w:lineRule="exact"/>
              <w:rPr>
                <w:sz w:val="1"/>
                <w:szCs w:val="1"/>
                <w:color w:val="auto"/>
              </w:rPr>
            </w:pPr>
          </w:p>
        </w:tc>
        <w:tc>
          <w:tcPr>
            <w:tcW w:w="4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10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20" w:type="dxa"/>
            <w:vAlign w:val="bottom"/>
            <w:tcBorders>
              <w:bottom w:val="single" w:sz="8" w:color="71BF43"/>
            </w:tcBorders>
          </w:tcPr>
          <w:p>
            <w:pPr>
              <w:spacing w:after="0" w:line="20" w:lineRule="exact"/>
              <w:rPr>
                <w:sz w:val="1"/>
                <w:szCs w:val="1"/>
                <w:color w:val="auto"/>
              </w:rPr>
            </w:pPr>
          </w:p>
        </w:tc>
        <w:tc>
          <w:tcPr>
            <w:tcW w:w="1260" w:type="dxa"/>
            <w:vAlign w:val="bottom"/>
            <w:tcBorders>
              <w:bottom w:val="single" w:sz="8" w:color="71BF43"/>
            </w:tcBorders>
          </w:tcPr>
          <w:p>
            <w:pPr>
              <w:spacing w:after="0" w:line="20" w:lineRule="exact"/>
              <w:rPr>
                <w:sz w:val="1"/>
                <w:szCs w:val="1"/>
                <w:color w:val="auto"/>
              </w:rPr>
            </w:pPr>
          </w:p>
        </w:tc>
        <w:tc>
          <w:tcPr>
            <w:tcW w:w="1520" w:type="dxa"/>
            <w:vAlign w:val="bottom"/>
            <w:tcBorders>
              <w:bottom w:val="single" w:sz="8" w:color="71BF43"/>
            </w:tcBorders>
          </w:tcPr>
          <w:p>
            <w:pPr>
              <w:spacing w:after="0" w:line="20" w:lineRule="exact"/>
              <w:rPr>
                <w:sz w:val="1"/>
                <w:szCs w:val="1"/>
                <w:color w:val="auto"/>
              </w:rPr>
            </w:pPr>
          </w:p>
        </w:tc>
        <w:tc>
          <w:tcPr>
            <w:tcW w:w="1160" w:type="dxa"/>
            <w:vAlign w:val="bottom"/>
            <w:tcBorders>
              <w:bottom w:val="single" w:sz="8" w:color="71BF43"/>
            </w:tcBorders>
          </w:tcPr>
          <w:p>
            <w:pPr>
              <w:spacing w:after="0" w:line="20" w:lineRule="exact"/>
              <w:rPr>
                <w:sz w:val="1"/>
                <w:szCs w:val="1"/>
                <w:color w:val="auto"/>
              </w:rPr>
            </w:pPr>
          </w:p>
        </w:tc>
        <w:tc>
          <w:tcPr>
            <w:tcW w:w="900" w:type="dxa"/>
            <w:vAlign w:val="bottom"/>
            <w:tcBorders>
              <w:bottom w:val="single" w:sz="8" w:color="71BF4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4"/>
        </w:trPr>
        <w:tc>
          <w:tcPr>
            <w:tcW w:w="500" w:type="dxa"/>
            <w:vAlign w:val="bottom"/>
          </w:tcPr>
          <w:p>
            <w:pPr>
              <w:jc w:val="right"/>
              <w:ind w:right="12"/>
              <w:spacing w:after="0"/>
              <w:rPr>
                <w:sz w:val="20"/>
                <w:szCs w:val="20"/>
                <w:color w:val="auto"/>
              </w:rPr>
            </w:pPr>
            <w:r>
              <w:rPr>
                <w:rFonts w:ascii="Arial" w:cs="Arial" w:eastAsia="Arial" w:hAnsi="Arial"/>
                <w:sz w:val="14"/>
                <w:szCs w:val="14"/>
                <w:color w:val="auto"/>
              </w:rPr>
              <w:t>110</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80" w:type="dxa"/>
            <w:vAlign w:val="bottom"/>
            <w:gridSpan w:val="34"/>
          </w:tcPr>
          <w:p>
            <w:pPr>
              <w:ind w:left="140"/>
              <w:spacing w:after="0"/>
              <w:rPr>
                <w:sz w:val="20"/>
                <w:szCs w:val="20"/>
                <w:color w:val="auto"/>
              </w:rPr>
            </w:pPr>
            <w:r>
              <w:rPr>
                <w:rFonts w:ascii="Arial" w:cs="Arial" w:eastAsia="Arial" w:hAnsi="Arial"/>
                <w:sz w:val="14"/>
                <w:szCs w:val="14"/>
                <w:color w:val="auto"/>
              </w:rPr>
              <w:t>2020 Form 10-K</w:t>
            </w: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-6728460</wp:posOffset>
            </wp:positionV>
            <wp:extent cx="307721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4">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-385445</wp:posOffset>
            </wp:positionV>
            <wp:extent cx="728345" cy="1885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5">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188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28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4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1220" w:type="dxa"/>
            <w:vAlign w:val="bottom"/>
            <w:shd w:val="clear" w:color="auto" w:fill="ACACAC"/>
          </w:tcPr>
          <w:p>
            <w:pPr>
              <w:spacing w:after="0"/>
              <w:rPr>
                <w:sz w:val="16"/>
                <w:szCs w:val="16"/>
                <w:color w:val="auto"/>
              </w:rPr>
            </w:pPr>
          </w:p>
        </w:tc>
        <w:tc>
          <w:tcPr>
            <w:tcW w:w="1660" w:type="dxa"/>
            <w:vAlign w:val="bottom"/>
            <w:shd w:val="clear" w:color="auto" w:fill="ACACAC"/>
          </w:tcPr>
          <w:p>
            <w:pPr>
              <w:jc w:val="right"/>
              <w:ind w:right="219"/>
              <w:spacing w:after="0"/>
              <w:rPr>
                <w:sz w:val="20"/>
                <w:szCs w:val="20"/>
                <w:color w:val="auto"/>
              </w:rPr>
            </w:pPr>
            <w:r>
              <w:rPr>
                <w:rFonts w:ascii="Arial" w:cs="Arial" w:eastAsia="Arial" w:hAnsi="Arial"/>
                <w:sz w:val="14"/>
                <w:szCs w:val="14"/>
                <w:b w:val="1"/>
                <w:bCs w:val="1"/>
                <w:color w:val="FFFFFF"/>
              </w:rPr>
              <w:t>Filed In</w:t>
            </w:r>
          </w:p>
        </w:tc>
        <w:tc>
          <w:tcPr>
            <w:tcW w:w="9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20" w:type="dxa"/>
            <w:vAlign w:val="bottom"/>
            <w:gridSpan w:val="3"/>
            <w:shd w:val="clear" w:color="auto" w:fill="ACACAC"/>
          </w:tcPr>
          <w:p>
            <w:pPr>
              <w:jc w:val="right"/>
              <w:ind w:right="680"/>
              <w:spacing w:after="0"/>
              <w:rPr>
                <w:sz w:val="20"/>
                <w:szCs w:val="20"/>
                <w:color w:val="auto"/>
              </w:rPr>
            </w:pPr>
            <w:r>
              <w:rPr>
                <w:rFonts w:ascii="Arial" w:cs="Arial" w:eastAsia="Arial" w:hAnsi="Arial"/>
                <w:sz w:val="14"/>
                <w:szCs w:val="14"/>
                <w:b w:val="1"/>
                <w:bCs w:val="1"/>
                <w:color w:val="FFFFFF"/>
              </w:rPr>
              <w:t>Exhibit</w:t>
            </w:r>
          </w:p>
        </w:tc>
        <w:tc>
          <w:tcPr>
            <w:tcW w:w="360" w:type="dxa"/>
            <w:vAlign w:val="bottom"/>
            <w:shd w:val="clear" w:color="auto" w:fill="ACACAC"/>
          </w:tcPr>
          <w:p>
            <w:pPr>
              <w:spacing w:after="0"/>
              <w:rPr>
                <w:sz w:val="14"/>
                <w:szCs w:val="14"/>
                <w:color w:val="auto"/>
              </w:rPr>
            </w:pPr>
          </w:p>
        </w:tc>
        <w:tc>
          <w:tcPr>
            <w:tcW w:w="4520" w:type="dxa"/>
            <w:vAlign w:val="bottom"/>
            <w:gridSpan w:val="21"/>
            <w:vMerge w:val="restart"/>
            <w:shd w:val="clear" w:color="auto" w:fill="ACACAC"/>
          </w:tcPr>
          <w:p>
            <w:pPr>
              <w:ind w:left="1120"/>
              <w:spacing w:after="0"/>
              <w:rPr>
                <w:sz w:val="20"/>
                <w:szCs w:val="20"/>
                <w:color w:val="auto"/>
              </w:rPr>
            </w:pPr>
            <w:r>
              <w:rPr>
                <w:rFonts w:ascii="Arial" w:cs="Arial" w:eastAsia="Arial" w:hAnsi="Arial"/>
                <w:sz w:val="14"/>
                <w:szCs w:val="14"/>
                <w:b w:val="1"/>
                <w:bCs w:val="1"/>
                <w:color w:val="FFFFFF"/>
              </w:rPr>
              <w:t>Description of Document</w:t>
            </w:r>
          </w:p>
        </w:tc>
        <w:tc>
          <w:tcPr>
            <w:tcW w:w="1220" w:type="dxa"/>
            <w:vAlign w:val="bottom"/>
            <w:shd w:val="clear" w:color="auto" w:fill="ACACAC"/>
          </w:tcPr>
          <w:p>
            <w:pPr>
              <w:jc w:val="center"/>
              <w:ind w:right="219"/>
              <w:spacing w:after="0"/>
              <w:rPr>
                <w:sz w:val="20"/>
                <w:szCs w:val="20"/>
                <w:color w:val="auto"/>
              </w:rPr>
            </w:pPr>
            <w:r>
              <w:rPr>
                <w:rFonts w:ascii="Arial" w:cs="Arial" w:eastAsia="Arial" w:hAnsi="Arial"/>
                <w:sz w:val="14"/>
                <w:szCs w:val="14"/>
                <w:b w:val="1"/>
                <w:bCs w:val="1"/>
                <w:color w:val="FFFFFF"/>
              </w:rPr>
              <w:t>Registrant’s</w:t>
            </w:r>
          </w:p>
        </w:tc>
        <w:tc>
          <w:tcPr>
            <w:tcW w:w="1660" w:type="dxa"/>
            <w:vAlign w:val="bottom"/>
            <w:vMerge w:val="restart"/>
            <w:shd w:val="clear" w:color="auto" w:fill="ACACAC"/>
          </w:tcPr>
          <w:p>
            <w:pPr>
              <w:jc w:val="right"/>
              <w:ind w:right="439"/>
              <w:spacing w:after="0"/>
              <w:rPr>
                <w:sz w:val="20"/>
                <w:szCs w:val="20"/>
                <w:color w:val="auto"/>
              </w:rPr>
            </w:pPr>
            <w:r>
              <w:rPr>
                <w:rFonts w:ascii="Arial" w:cs="Arial" w:eastAsia="Arial" w:hAnsi="Arial"/>
                <w:sz w:val="14"/>
                <w:szCs w:val="14"/>
                <w:b w:val="1"/>
                <w:bCs w:val="1"/>
                <w:color w:val="FFFFFF"/>
              </w:rPr>
              <w:t>Dated</w:t>
            </w:r>
          </w:p>
        </w:tc>
        <w:tc>
          <w:tcPr>
            <w:tcW w:w="960" w:type="dxa"/>
            <w:vAlign w:val="bottom"/>
            <w:shd w:val="clear" w:color="auto" w:fill="ACACAC"/>
          </w:tcPr>
          <w:p>
            <w:pPr>
              <w:jc w:val="right"/>
              <w:ind w:right="59"/>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Filed</w:t>
            </w:r>
          </w:p>
        </w:tc>
        <w:tc>
          <w:tcPr>
            <w:tcW w:w="0" w:type="dxa"/>
            <w:vAlign w:val="bottom"/>
          </w:tcPr>
          <w:p>
            <w:pPr>
              <w:spacing w:after="0"/>
              <w:rPr>
                <w:sz w:val="1"/>
                <w:szCs w:val="1"/>
                <w:color w:val="auto"/>
              </w:rPr>
            </w:pPr>
          </w:p>
        </w:tc>
      </w:tr>
      <w:tr>
        <w:trPr>
          <w:trHeight w:val="175"/>
        </w:trPr>
        <w:tc>
          <w:tcPr>
            <w:tcW w:w="1620" w:type="dxa"/>
            <w:vAlign w:val="bottom"/>
            <w:gridSpan w:val="3"/>
            <w:shd w:val="clear" w:color="auto" w:fill="ACACAC"/>
          </w:tcPr>
          <w:p>
            <w:pPr>
              <w:jc w:val="right"/>
              <w:ind w:right="680"/>
              <w:spacing w:after="0"/>
              <w:rPr>
                <w:sz w:val="20"/>
                <w:szCs w:val="20"/>
                <w:color w:val="auto"/>
              </w:rPr>
            </w:pPr>
            <w:r>
              <w:rPr>
                <w:rFonts w:ascii="Arial" w:cs="Arial" w:eastAsia="Arial" w:hAnsi="Arial"/>
                <w:sz w:val="14"/>
                <w:szCs w:val="14"/>
                <w:b w:val="1"/>
                <w:bCs w:val="1"/>
                <w:color w:val="FFFFFF"/>
              </w:rPr>
              <w:t>Number</w:t>
            </w:r>
          </w:p>
        </w:tc>
        <w:tc>
          <w:tcPr>
            <w:tcW w:w="360" w:type="dxa"/>
            <w:vAlign w:val="bottom"/>
            <w:shd w:val="clear" w:color="auto" w:fill="ACACAC"/>
          </w:tcPr>
          <w:p>
            <w:pPr>
              <w:spacing w:after="0"/>
              <w:rPr>
                <w:sz w:val="15"/>
                <w:szCs w:val="15"/>
                <w:color w:val="auto"/>
              </w:rPr>
            </w:pPr>
          </w:p>
        </w:tc>
        <w:tc>
          <w:tcPr>
            <w:tcW w:w="4520" w:type="dxa"/>
            <w:vAlign w:val="bottom"/>
            <w:gridSpan w:val="21"/>
            <w:vMerge w:val="continue"/>
            <w:shd w:val="clear" w:color="auto" w:fill="ACACAC"/>
          </w:tcPr>
          <w:p>
            <w:pPr>
              <w:spacing w:after="0"/>
              <w:rPr>
                <w:sz w:val="15"/>
                <w:szCs w:val="15"/>
                <w:color w:val="auto"/>
              </w:rPr>
            </w:pPr>
          </w:p>
        </w:tc>
        <w:tc>
          <w:tcPr>
            <w:tcW w:w="1220" w:type="dxa"/>
            <w:vAlign w:val="bottom"/>
            <w:shd w:val="clear" w:color="auto" w:fill="ACACAC"/>
          </w:tcPr>
          <w:p>
            <w:pPr>
              <w:jc w:val="center"/>
              <w:ind w:right="219"/>
              <w:spacing w:after="0"/>
              <w:rPr>
                <w:sz w:val="20"/>
                <w:szCs w:val="20"/>
                <w:color w:val="auto"/>
              </w:rPr>
            </w:pPr>
            <w:r>
              <w:rPr>
                <w:rFonts w:ascii="Arial" w:cs="Arial" w:eastAsia="Arial" w:hAnsi="Arial"/>
                <w:sz w:val="14"/>
                <w:szCs w:val="14"/>
                <w:b w:val="1"/>
                <w:bCs w:val="1"/>
                <w:color w:val="FFFFFF"/>
              </w:rPr>
              <w:t>Form</w:t>
            </w:r>
          </w:p>
        </w:tc>
        <w:tc>
          <w:tcPr>
            <w:tcW w:w="1660" w:type="dxa"/>
            <w:vAlign w:val="bottom"/>
            <w:vMerge w:val="continue"/>
            <w:shd w:val="clear" w:color="auto" w:fill="ACACAC"/>
          </w:tcPr>
          <w:p>
            <w:pPr>
              <w:spacing w:after="0"/>
              <w:rPr>
                <w:sz w:val="15"/>
                <w:szCs w:val="15"/>
                <w:color w:val="auto"/>
              </w:rPr>
            </w:pPr>
          </w:p>
        </w:tc>
        <w:tc>
          <w:tcPr>
            <w:tcW w:w="960" w:type="dxa"/>
            <w:vAlign w:val="bottom"/>
            <w:shd w:val="clear" w:color="auto" w:fill="ACACAC"/>
          </w:tcPr>
          <w:p>
            <w:pPr>
              <w:jc w:val="right"/>
              <w:ind w:right="59"/>
              <w:spacing w:after="0"/>
              <w:rPr>
                <w:sz w:val="20"/>
                <w:szCs w:val="20"/>
                <w:color w:val="auto"/>
              </w:rPr>
            </w:pPr>
            <w:r>
              <w:rPr>
                <w:rFonts w:ascii="Arial" w:cs="Arial" w:eastAsia="Arial" w:hAnsi="Arial"/>
                <w:sz w:val="14"/>
                <w:szCs w:val="14"/>
                <w:b w:val="1"/>
                <w:bCs w:val="1"/>
                <w:color w:val="FFFFFF"/>
              </w:rPr>
              <w:t>Number</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Herewith</w:t>
            </w:r>
          </w:p>
        </w:tc>
        <w:tc>
          <w:tcPr>
            <w:tcW w:w="0" w:type="dxa"/>
            <w:vAlign w:val="bottom"/>
          </w:tcPr>
          <w:p>
            <w:pPr>
              <w:spacing w:after="0"/>
              <w:rPr>
                <w:sz w:val="1"/>
                <w:szCs w:val="1"/>
                <w:color w:val="auto"/>
              </w:rPr>
            </w:pPr>
          </w:p>
        </w:tc>
      </w:tr>
      <w:tr>
        <w:trPr>
          <w:trHeight w:val="189"/>
        </w:trPr>
        <w:tc>
          <w:tcPr>
            <w:tcW w:w="1620" w:type="dxa"/>
            <w:vAlign w:val="bottom"/>
            <w:gridSpan w:val="3"/>
            <w:shd w:val="clear" w:color="auto" w:fill="F4F4F4"/>
          </w:tcPr>
          <w:p>
            <w:pPr>
              <w:jc w:val="right"/>
              <w:ind w:right="680"/>
              <w:spacing w:after="0" w:line="189" w:lineRule="exact"/>
              <w:rPr>
                <w:rFonts w:ascii="Arial" w:cs="Arial" w:eastAsia="Arial" w:hAnsi="Arial"/>
                <w:sz w:val="18"/>
                <w:szCs w:val="18"/>
                <w:color w:val="0000FF"/>
              </w:rPr>
            </w:pPr>
            <w:hyperlink r:id="rId426">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4880" w:type="dxa"/>
            <w:vAlign w:val="bottom"/>
            <w:gridSpan w:val="22"/>
            <w:shd w:val="clear" w:color="auto" w:fill="F4F4F4"/>
          </w:tcPr>
          <w:p>
            <w:pPr>
              <w:spacing w:after="0" w:line="189" w:lineRule="exact"/>
              <w:rPr>
                <w:rFonts w:ascii="Arial" w:cs="Arial" w:eastAsia="Arial" w:hAnsi="Arial"/>
                <w:sz w:val="18"/>
                <w:szCs w:val="18"/>
                <w:color w:val="0000FF"/>
              </w:rPr>
            </w:pPr>
            <w:hyperlink r:id="rId426">
              <w:r>
                <w:rPr>
                  <w:rFonts w:ascii="Arial" w:cs="Arial" w:eastAsia="Arial" w:hAnsi="Arial"/>
                  <w:sz w:val="18"/>
                  <w:szCs w:val="18"/>
                  <w:color w:val="0000FF"/>
                </w:rPr>
                <w:t>Amended and Restated Credit Agreement, dated as of</w:t>
              </w:r>
            </w:hyperlink>
          </w:p>
        </w:tc>
        <w:tc>
          <w:tcPr>
            <w:tcW w:w="1220" w:type="dxa"/>
            <w:vAlign w:val="bottom"/>
            <w:shd w:val="clear" w:color="auto" w:fill="F4F4F4"/>
          </w:tcPr>
          <w:p>
            <w:pPr>
              <w:jc w:val="center"/>
              <w:ind w:right="219"/>
              <w:spacing w:after="0" w:line="189" w:lineRule="exact"/>
              <w:rPr>
                <w:sz w:val="20"/>
                <w:szCs w:val="20"/>
                <w:color w:val="auto"/>
              </w:rPr>
            </w:pPr>
            <w:r>
              <w:rPr>
                <w:rFonts w:ascii="Arial" w:cs="Arial" w:eastAsia="Arial" w:hAnsi="Arial"/>
                <w:sz w:val="18"/>
                <w:szCs w:val="18"/>
                <w:color w:val="auto"/>
                <w:w w:val="99"/>
              </w:rPr>
              <w:t>10-Q</w:t>
            </w:r>
          </w:p>
        </w:tc>
        <w:tc>
          <w:tcPr>
            <w:tcW w:w="1660" w:type="dxa"/>
            <w:vAlign w:val="bottom"/>
            <w:shd w:val="clear" w:color="auto" w:fill="F4F4F4"/>
          </w:tcPr>
          <w:p>
            <w:pPr>
              <w:jc w:val="right"/>
              <w:ind w:right="439"/>
              <w:spacing w:after="0" w:line="189" w:lineRule="exact"/>
              <w:rPr>
                <w:sz w:val="20"/>
                <w:szCs w:val="20"/>
                <w:color w:val="auto"/>
              </w:rPr>
            </w:pPr>
            <w:r>
              <w:rPr>
                <w:rFonts w:ascii="Arial" w:cs="Arial" w:eastAsia="Arial" w:hAnsi="Arial"/>
                <w:sz w:val="18"/>
                <w:szCs w:val="18"/>
                <w:color w:val="auto"/>
              </w:rPr>
              <w:t>11/3/2020</w:t>
            </w:r>
          </w:p>
        </w:tc>
        <w:tc>
          <w:tcPr>
            <w:tcW w:w="960" w:type="dxa"/>
            <w:vAlign w:val="bottom"/>
            <w:shd w:val="clear" w:color="auto" w:fill="F4F4F4"/>
          </w:tcPr>
          <w:p>
            <w:pPr>
              <w:jc w:val="right"/>
              <w:ind w:right="59"/>
              <w:spacing w:after="0" w:line="189" w:lineRule="exact"/>
              <w:rPr>
                <w:sz w:val="20"/>
                <w:szCs w:val="20"/>
                <w:color w:val="auto"/>
              </w:rPr>
            </w:pPr>
            <w:r>
              <w:rPr>
                <w:rFonts w:ascii="Arial" w:cs="Arial" w:eastAsia="Arial" w:hAnsi="Arial"/>
                <w:sz w:val="18"/>
                <w:szCs w:val="18"/>
                <w:color w:val="auto"/>
              </w:rPr>
              <w:t>10.4</w:t>
            </w:r>
          </w:p>
        </w:tc>
        <w:tc>
          <w:tcPr>
            <w:tcW w:w="900" w:type="dxa"/>
            <w:vAlign w:val="bottom"/>
            <w:shd w:val="clear" w:color="auto" w:fill="F4F4F4"/>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bottom w:val="single" w:sz="8" w:color="F4F4F4"/>
            </w:tcBorders>
            <w:shd w:val="clear" w:color="auto" w:fill="F4F4F4"/>
          </w:tcPr>
          <w:p>
            <w:pPr>
              <w:spacing w:after="0"/>
              <w:rPr>
                <w:sz w:val="13"/>
                <w:szCs w:val="13"/>
                <w:color w:val="auto"/>
              </w:rPr>
            </w:pPr>
          </w:p>
        </w:tc>
        <w:tc>
          <w:tcPr>
            <w:tcW w:w="440" w:type="dxa"/>
            <w:vAlign w:val="bottom"/>
            <w:tcBorders>
              <w:top w:val="single" w:sz="8" w:color="0000FF"/>
              <w:bottom w:val="single" w:sz="8" w:color="F4F4F4"/>
            </w:tcBorders>
            <w:shd w:val="clear" w:color="auto" w:fill="F4F4F4"/>
          </w:tcPr>
          <w:p>
            <w:pPr>
              <w:spacing w:after="0"/>
              <w:rPr>
                <w:sz w:val="13"/>
                <w:szCs w:val="13"/>
                <w:color w:val="auto"/>
              </w:rPr>
            </w:pPr>
          </w:p>
        </w:tc>
        <w:tc>
          <w:tcPr>
            <w:tcW w:w="680" w:type="dxa"/>
            <w:vAlign w:val="bottom"/>
            <w:tcBorders>
              <w:top w:val="single" w:sz="8" w:color="F4F4F4"/>
              <w:bottom w:val="single" w:sz="8" w:color="F4F4F4"/>
            </w:tcBorders>
            <w:shd w:val="clear" w:color="auto" w:fill="F4F4F4"/>
          </w:tcPr>
          <w:p>
            <w:pPr>
              <w:spacing w:after="0"/>
              <w:rPr>
                <w:sz w:val="13"/>
                <w:szCs w:val="13"/>
                <w:color w:val="auto"/>
              </w:rPr>
            </w:pPr>
          </w:p>
        </w:tc>
        <w:tc>
          <w:tcPr>
            <w:tcW w:w="4680" w:type="dxa"/>
            <w:vAlign w:val="bottom"/>
            <w:tcBorders>
              <w:top w:val="single" w:sz="8" w:color="0000FF"/>
              <w:bottom w:val="single" w:sz="8" w:color="0000FF"/>
            </w:tcBorders>
            <w:gridSpan w:val="12"/>
            <w:shd w:val="clear" w:color="auto" w:fill="F4F4F4"/>
          </w:tcPr>
          <w:p>
            <w:pPr>
              <w:spacing w:after="0" w:line="156" w:lineRule="exact"/>
              <w:rPr>
                <w:rFonts w:ascii="Arial" w:cs="Arial" w:eastAsia="Arial" w:hAnsi="Arial"/>
                <w:sz w:val="18"/>
                <w:szCs w:val="18"/>
                <w:color w:val="0000FF"/>
              </w:rPr>
            </w:pPr>
            <w:hyperlink r:id="rId426">
              <w:r>
                <w:rPr>
                  <w:rFonts w:ascii="Arial" w:cs="Arial" w:eastAsia="Arial" w:hAnsi="Arial"/>
                  <w:sz w:val="18"/>
                  <w:szCs w:val="18"/>
                  <w:color w:val="0000FF"/>
                </w:rPr>
                <w:t>October 30, 2020, by and among Blackbaud, Inc., and</w:t>
              </w:r>
            </w:hyperlink>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1220" w:type="dxa"/>
            <w:vAlign w:val="bottom"/>
            <w:tcBorders>
              <w:top w:val="single" w:sz="8" w:color="F4F4F4"/>
              <w:bottom w:val="single" w:sz="8" w:color="F4F4F4"/>
            </w:tcBorders>
            <w:shd w:val="clear" w:color="auto" w:fill="F4F4F4"/>
          </w:tcPr>
          <w:p>
            <w:pPr>
              <w:spacing w:after="0"/>
              <w:rPr>
                <w:sz w:val="13"/>
                <w:szCs w:val="13"/>
                <w:color w:val="auto"/>
              </w:rPr>
            </w:pPr>
          </w:p>
        </w:tc>
        <w:tc>
          <w:tcPr>
            <w:tcW w:w="1660" w:type="dxa"/>
            <w:vAlign w:val="bottom"/>
            <w:tcBorders>
              <w:top w:val="single" w:sz="8" w:color="F4F4F4"/>
              <w:bottom w:val="single" w:sz="8" w:color="F4F4F4"/>
            </w:tcBorders>
            <w:shd w:val="clear" w:color="auto" w:fill="F4F4F4"/>
          </w:tcPr>
          <w:p>
            <w:pPr>
              <w:spacing w:after="0"/>
              <w:rPr>
                <w:sz w:val="13"/>
                <w:szCs w:val="13"/>
                <w:color w:val="auto"/>
              </w:rPr>
            </w:pPr>
          </w:p>
        </w:tc>
        <w:tc>
          <w:tcPr>
            <w:tcW w:w="960" w:type="dxa"/>
            <w:vAlign w:val="bottom"/>
            <w:tcBorders>
              <w:top w:val="single" w:sz="8" w:color="F4F4F4"/>
              <w:bottom w:val="single" w:sz="8" w:color="F4F4F4"/>
            </w:tcBorders>
            <w:shd w:val="clear" w:color="auto" w:fill="F4F4F4"/>
          </w:tcPr>
          <w:p>
            <w:pPr>
              <w:spacing w:after="0"/>
              <w:rPr>
                <w:sz w:val="13"/>
                <w:szCs w:val="13"/>
                <w:color w:val="auto"/>
              </w:rPr>
            </w:pPr>
          </w:p>
        </w:tc>
        <w:tc>
          <w:tcPr>
            <w:tcW w:w="900" w:type="dxa"/>
            <w:vAlign w:val="bottom"/>
            <w:tcBorders>
              <w:top w:val="single" w:sz="8" w:color="F4F4F4"/>
              <w:bottom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shd w:val="clear" w:color="auto" w:fill="F4F4F4"/>
          </w:tcPr>
          <w:p>
            <w:pPr>
              <w:spacing w:after="0"/>
              <w:rPr>
                <w:sz w:val="13"/>
                <w:szCs w:val="13"/>
                <w:color w:val="auto"/>
              </w:rPr>
            </w:pPr>
          </w:p>
        </w:tc>
        <w:tc>
          <w:tcPr>
            <w:tcW w:w="44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4880" w:type="dxa"/>
            <w:vAlign w:val="bottom"/>
            <w:gridSpan w:val="22"/>
            <w:shd w:val="clear" w:color="auto" w:fill="F4F4F4"/>
          </w:tcPr>
          <w:p>
            <w:pPr>
              <w:spacing w:after="0" w:line="156" w:lineRule="exact"/>
              <w:rPr>
                <w:rFonts w:ascii="Arial" w:cs="Arial" w:eastAsia="Arial" w:hAnsi="Arial"/>
                <w:sz w:val="18"/>
                <w:szCs w:val="18"/>
                <w:color w:val="0000FF"/>
              </w:rPr>
            </w:pPr>
            <w:hyperlink r:id="rId426">
              <w:r>
                <w:rPr>
                  <w:rFonts w:ascii="Arial" w:cs="Arial" w:eastAsia="Arial" w:hAnsi="Arial"/>
                  <w:sz w:val="18"/>
                  <w:szCs w:val="18"/>
                  <w:color w:val="0000FF"/>
                </w:rPr>
                <w:t>certain  of  its  subsidiaries,  as  Borrowers,  the  lenders</w:t>
              </w:r>
            </w:hyperlink>
          </w:p>
        </w:tc>
        <w:tc>
          <w:tcPr>
            <w:tcW w:w="1220" w:type="dxa"/>
            <w:vAlign w:val="bottom"/>
            <w:shd w:val="clear" w:color="auto" w:fill="F4F4F4"/>
          </w:tcPr>
          <w:p>
            <w:pPr>
              <w:spacing w:after="0"/>
              <w:rPr>
                <w:sz w:val="13"/>
                <w:szCs w:val="13"/>
                <w:color w:val="auto"/>
              </w:rPr>
            </w:pPr>
          </w:p>
        </w:tc>
        <w:tc>
          <w:tcPr>
            <w:tcW w:w="1660" w:type="dxa"/>
            <w:vAlign w:val="bottom"/>
            <w:shd w:val="clear" w:color="auto" w:fill="F4F4F4"/>
          </w:tcPr>
          <w:p>
            <w:pPr>
              <w:spacing w:after="0"/>
              <w:rPr>
                <w:sz w:val="13"/>
                <w:szCs w:val="13"/>
                <w:color w:val="auto"/>
              </w:rPr>
            </w:pPr>
          </w:p>
        </w:tc>
        <w:tc>
          <w:tcPr>
            <w:tcW w:w="9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tcBorders>
            <w:shd w:val="clear" w:color="auto" w:fill="F4F4F4"/>
          </w:tcPr>
          <w:p>
            <w:pPr>
              <w:spacing w:after="0"/>
              <w:rPr>
                <w:sz w:val="13"/>
                <w:szCs w:val="13"/>
                <w:color w:val="auto"/>
              </w:rPr>
            </w:pPr>
          </w:p>
        </w:tc>
        <w:tc>
          <w:tcPr>
            <w:tcW w:w="440" w:type="dxa"/>
            <w:vAlign w:val="bottom"/>
            <w:tcBorders>
              <w:top w:val="single" w:sz="8" w:color="F4F4F4"/>
            </w:tcBorders>
            <w:shd w:val="clear" w:color="auto" w:fill="F4F4F4"/>
          </w:tcPr>
          <w:p>
            <w:pPr>
              <w:spacing w:after="0"/>
              <w:rPr>
                <w:sz w:val="13"/>
                <w:szCs w:val="13"/>
                <w:color w:val="auto"/>
              </w:rPr>
            </w:pPr>
          </w:p>
        </w:tc>
        <w:tc>
          <w:tcPr>
            <w:tcW w:w="680" w:type="dxa"/>
            <w:vAlign w:val="bottom"/>
            <w:tcBorders>
              <w:top w:val="single" w:sz="8" w:color="F4F4F4"/>
            </w:tcBorders>
            <w:shd w:val="clear" w:color="auto" w:fill="F4F4F4"/>
          </w:tcPr>
          <w:p>
            <w:pPr>
              <w:spacing w:after="0"/>
              <w:rPr>
                <w:sz w:val="13"/>
                <w:szCs w:val="13"/>
                <w:color w:val="auto"/>
              </w:rPr>
            </w:pPr>
          </w:p>
        </w:tc>
        <w:tc>
          <w:tcPr>
            <w:tcW w:w="4840" w:type="dxa"/>
            <w:vAlign w:val="bottom"/>
            <w:tcBorders>
              <w:top w:val="single" w:sz="8" w:color="0000FF"/>
            </w:tcBorders>
            <w:gridSpan w:val="20"/>
            <w:shd w:val="clear" w:color="auto" w:fill="F4F4F4"/>
          </w:tcPr>
          <w:p>
            <w:pPr>
              <w:spacing w:after="0" w:line="156" w:lineRule="exact"/>
              <w:rPr>
                <w:rFonts w:ascii="Arial" w:cs="Arial" w:eastAsia="Arial" w:hAnsi="Arial"/>
                <w:sz w:val="18"/>
                <w:szCs w:val="18"/>
                <w:color w:val="0000FF"/>
              </w:rPr>
            </w:pPr>
            <w:hyperlink r:id="rId426">
              <w:r>
                <w:rPr>
                  <w:rFonts w:ascii="Arial" w:cs="Arial" w:eastAsia="Arial" w:hAnsi="Arial"/>
                  <w:sz w:val="18"/>
                  <w:szCs w:val="18"/>
                  <w:color w:val="0000FF"/>
                </w:rPr>
                <w:t>referred  to  therein,  Bank  of  America,  N.A.,  as</w:t>
              </w:r>
            </w:hyperlink>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20" w:type="dxa"/>
            <w:vAlign w:val="bottom"/>
            <w:tcBorders>
              <w:top w:val="single" w:sz="8" w:color="F4F4F4"/>
            </w:tcBorders>
            <w:shd w:val="clear" w:color="auto" w:fill="F4F4F4"/>
          </w:tcPr>
          <w:p>
            <w:pPr>
              <w:spacing w:after="0"/>
              <w:rPr>
                <w:sz w:val="13"/>
                <w:szCs w:val="13"/>
                <w:color w:val="auto"/>
              </w:rPr>
            </w:pPr>
          </w:p>
        </w:tc>
        <w:tc>
          <w:tcPr>
            <w:tcW w:w="1660" w:type="dxa"/>
            <w:vAlign w:val="bottom"/>
            <w:tcBorders>
              <w:top w:val="single" w:sz="8" w:color="F4F4F4"/>
            </w:tcBorders>
            <w:shd w:val="clear" w:color="auto" w:fill="F4F4F4"/>
          </w:tcPr>
          <w:p>
            <w:pPr>
              <w:spacing w:after="0"/>
              <w:rPr>
                <w:sz w:val="13"/>
                <w:szCs w:val="13"/>
                <w:color w:val="auto"/>
              </w:rPr>
            </w:pPr>
          </w:p>
        </w:tc>
        <w:tc>
          <w:tcPr>
            <w:tcW w:w="9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tcBorders>
            <w:shd w:val="clear" w:color="auto" w:fill="F4F4F4"/>
          </w:tcPr>
          <w:p>
            <w:pPr>
              <w:spacing w:after="0"/>
              <w:rPr>
                <w:sz w:val="13"/>
                <w:szCs w:val="13"/>
                <w:color w:val="auto"/>
              </w:rPr>
            </w:pPr>
          </w:p>
        </w:tc>
        <w:tc>
          <w:tcPr>
            <w:tcW w:w="440" w:type="dxa"/>
            <w:vAlign w:val="bottom"/>
            <w:tcBorders>
              <w:top w:val="single" w:sz="8" w:color="F4F4F4"/>
            </w:tcBorders>
            <w:shd w:val="clear" w:color="auto" w:fill="F4F4F4"/>
          </w:tcPr>
          <w:p>
            <w:pPr>
              <w:spacing w:after="0"/>
              <w:rPr>
                <w:sz w:val="13"/>
                <w:szCs w:val="13"/>
                <w:color w:val="auto"/>
              </w:rPr>
            </w:pPr>
          </w:p>
        </w:tc>
        <w:tc>
          <w:tcPr>
            <w:tcW w:w="680" w:type="dxa"/>
            <w:vAlign w:val="bottom"/>
            <w:tcBorders>
              <w:top w:val="single" w:sz="8" w:color="F4F4F4"/>
            </w:tcBorders>
            <w:shd w:val="clear" w:color="auto" w:fill="F4F4F4"/>
          </w:tcPr>
          <w:p>
            <w:pPr>
              <w:spacing w:after="0"/>
              <w:rPr>
                <w:sz w:val="13"/>
                <w:szCs w:val="13"/>
                <w:color w:val="auto"/>
              </w:rPr>
            </w:pPr>
          </w:p>
        </w:tc>
        <w:tc>
          <w:tcPr>
            <w:tcW w:w="4800" w:type="dxa"/>
            <w:vAlign w:val="bottom"/>
            <w:tcBorders>
              <w:top w:val="single" w:sz="8" w:color="0000FF"/>
            </w:tcBorders>
            <w:gridSpan w:val="18"/>
            <w:shd w:val="clear" w:color="auto" w:fill="F4F4F4"/>
          </w:tcPr>
          <w:p>
            <w:pPr>
              <w:spacing w:after="0" w:line="156" w:lineRule="exact"/>
              <w:rPr>
                <w:rFonts w:ascii="Arial" w:cs="Arial" w:eastAsia="Arial" w:hAnsi="Arial"/>
                <w:sz w:val="18"/>
                <w:szCs w:val="18"/>
                <w:color w:val="0000FF"/>
              </w:rPr>
            </w:pPr>
            <w:hyperlink r:id="rId426">
              <w:r>
                <w:rPr>
                  <w:rFonts w:ascii="Arial" w:cs="Arial" w:eastAsia="Arial" w:hAnsi="Arial"/>
                  <w:sz w:val="18"/>
                  <w:szCs w:val="18"/>
                  <w:color w:val="0000FF"/>
                </w:rPr>
                <w:t>Administrative  Agent,  Swingline  Lender  and  Issuing</w:t>
              </w:r>
            </w:hyperlink>
          </w:p>
        </w:tc>
        <w:tc>
          <w:tcPr>
            <w:tcW w:w="20" w:type="dxa"/>
            <w:vAlign w:val="bottom"/>
            <w:tcBorders>
              <w:top w:val="single" w:sz="8" w:color="F4F4F4"/>
            </w:tcBorders>
            <w:shd w:val="clear" w:color="auto" w:fill="F4F4F4"/>
          </w:tcPr>
          <w:p>
            <w:pPr>
              <w:spacing w:after="0"/>
              <w:rPr>
                <w:sz w:val="13"/>
                <w:szCs w:val="13"/>
                <w:color w:val="auto"/>
              </w:rPr>
            </w:pPr>
          </w:p>
        </w:tc>
        <w:tc>
          <w:tcPr>
            <w:tcW w:w="40" w:type="dxa"/>
            <w:vAlign w:val="bottom"/>
            <w:tcBorders>
              <w:top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20" w:type="dxa"/>
            <w:vAlign w:val="bottom"/>
            <w:tcBorders>
              <w:top w:val="single" w:sz="8" w:color="F4F4F4"/>
            </w:tcBorders>
            <w:shd w:val="clear" w:color="auto" w:fill="F4F4F4"/>
          </w:tcPr>
          <w:p>
            <w:pPr>
              <w:spacing w:after="0"/>
              <w:rPr>
                <w:sz w:val="13"/>
                <w:szCs w:val="13"/>
                <w:color w:val="auto"/>
              </w:rPr>
            </w:pPr>
          </w:p>
        </w:tc>
        <w:tc>
          <w:tcPr>
            <w:tcW w:w="1660" w:type="dxa"/>
            <w:vAlign w:val="bottom"/>
            <w:tcBorders>
              <w:top w:val="single" w:sz="8" w:color="F4F4F4"/>
            </w:tcBorders>
            <w:shd w:val="clear" w:color="auto" w:fill="F4F4F4"/>
          </w:tcPr>
          <w:p>
            <w:pPr>
              <w:spacing w:after="0"/>
              <w:rPr>
                <w:sz w:val="13"/>
                <w:szCs w:val="13"/>
                <w:color w:val="auto"/>
              </w:rPr>
            </w:pPr>
          </w:p>
        </w:tc>
        <w:tc>
          <w:tcPr>
            <w:tcW w:w="9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tcBorders>
            <w:shd w:val="clear" w:color="auto" w:fill="F4F4F4"/>
          </w:tcPr>
          <w:p>
            <w:pPr>
              <w:spacing w:after="0"/>
              <w:rPr>
                <w:sz w:val="13"/>
                <w:szCs w:val="13"/>
                <w:color w:val="auto"/>
              </w:rPr>
            </w:pPr>
          </w:p>
        </w:tc>
        <w:tc>
          <w:tcPr>
            <w:tcW w:w="440" w:type="dxa"/>
            <w:vAlign w:val="bottom"/>
            <w:tcBorders>
              <w:top w:val="single" w:sz="8" w:color="F4F4F4"/>
            </w:tcBorders>
            <w:shd w:val="clear" w:color="auto" w:fill="F4F4F4"/>
          </w:tcPr>
          <w:p>
            <w:pPr>
              <w:spacing w:after="0"/>
              <w:rPr>
                <w:sz w:val="13"/>
                <w:szCs w:val="13"/>
                <w:color w:val="auto"/>
              </w:rPr>
            </w:pPr>
          </w:p>
        </w:tc>
        <w:tc>
          <w:tcPr>
            <w:tcW w:w="680" w:type="dxa"/>
            <w:vAlign w:val="bottom"/>
            <w:tcBorders>
              <w:top w:val="single" w:sz="8" w:color="F4F4F4"/>
            </w:tcBorders>
            <w:shd w:val="clear" w:color="auto" w:fill="F4F4F4"/>
          </w:tcPr>
          <w:p>
            <w:pPr>
              <w:spacing w:after="0"/>
              <w:rPr>
                <w:sz w:val="13"/>
                <w:szCs w:val="13"/>
                <w:color w:val="auto"/>
              </w:rPr>
            </w:pPr>
          </w:p>
        </w:tc>
        <w:tc>
          <w:tcPr>
            <w:tcW w:w="4740" w:type="dxa"/>
            <w:vAlign w:val="bottom"/>
            <w:tcBorders>
              <w:top w:val="single" w:sz="8" w:color="0000FF"/>
            </w:tcBorders>
            <w:gridSpan w:val="15"/>
            <w:shd w:val="clear" w:color="auto" w:fill="F4F4F4"/>
          </w:tcPr>
          <w:p>
            <w:pPr>
              <w:spacing w:after="0" w:line="156" w:lineRule="exact"/>
              <w:rPr>
                <w:rFonts w:ascii="Arial" w:cs="Arial" w:eastAsia="Arial" w:hAnsi="Arial"/>
                <w:sz w:val="18"/>
                <w:szCs w:val="18"/>
                <w:color w:val="0000FF"/>
              </w:rPr>
            </w:pPr>
            <w:hyperlink r:id="rId426">
              <w:r>
                <w:rPr>
                  <w:rFonts w:ascii="Arial" w:cs="Arial" w:eastAsia="Arial" w:hAnsi="Arial"/>
                  <w:sz w:val="18"/>
                  <w:szCs w:val="18"/>
                  <w:color w:val="0000FF"/>
                </w:rPr>
                <w:t>Lender, PNC Bank, National Association, as Syndication</w:t>
              </w:r>
            </w:hyperlink>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40" w:type="dxa"/>
            <w:vAlign w:val="bottom"/>
            <w:tcBorders>
              <w:top w:val="single" w:sz="8" w:color="F4F4F4"/>
            </w:tcBorders>
            <w:gridSpan w:val="2"/>
            <w:shd w:val="clear" w:color="auto" w:fill="F4F4F4"/>
          </w:tcPr>
          <w:p>
            <w:pPr>
              <w:spacing w:after="0"/>
              <w:rPr>
                <w:sz w:val="13"/>
                <w:szCs w:val="13"/>
                <w:color w:val="auto"/>
              </w:rPr>
            </w:pPr>
          </w:p>
        </w:tc>
        <w:tc>
          <w:tcPr>
            <w:tcW w:w="40" w:type="dxa"/>
            <w:vAlign w:val="bottom"/>
            <w:tcBorders>
              <w:top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20" w:type="dxa"/>
            <w:vAlign w:val="bottom"/>
            <w:tcBorders>
              <w:top w:val="single" w:sz="8" w:color="F4F4F4"/>
            </w:tcBorders>
            <w:shd w:val="clear" w:color="auto" w:fill="F4F4F4"/>
          </w:tcPr>
          <w:p>
            <w:pPr>
              <w:spacing w:after="0"/>
              <w:rPr>
                <w:sz w:val="13"/>
                <w:szCs w:val="13"/>
                <w:color w:val="auto"/>
              </w:rPr>
            </w:pPr>
          </w:p>
        </w:tc>
        <w:tc>
          <w:tcPr>
            <w:tcW w:w="1660" w:type="dxa"/>
            <w:vAlign w:val="bottom"/>
            <w:tcBorders>
              <w:top w:val="single" w:sz="8" w:color="F4F4F4"/>
            </w:tcBorders>
            <w:shd w:val="clear" w:color="auto" w:fill="F4F4F4"/>
          </w:tcPr>
          <w:p>
            <w:pPr>
              <w:spacing w:after="0"/>
              <w:rPr>
                <w:sz w:val="13"/>
                <w:szCs w:val="13"/>
                <w:color w:val="auto"/>
              </w:rPr>
            </w:pPr>
          </w:p>
        </w:tc>
        <w:tc>
          <w:tcPr>
            <w:tcW w:w="9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bottom w:val="single" w:sz="8" w:color="F4F4F4"/>
            </w:tcBorders>
            <w:shd w:val="clear" w:color="auto" w:fill="F4F4F4"/>
          </w:tcPr>
          <w:p>
            <w:pPr>
              <w:spacing w:after="0"/>
              <w:rPr>
                <w:sz w:val="13"/>
                <w:szCs w:val="13"/>
                <w:color w:val="auto"/>
              </w:rPr>
            </w:pPr>
          </w:p>
        </w:tc>
        <w:tc>
          <w:tcPr>
            <w:tcW w:w="440" w:type="dxa"/>
            <w:vAlign w:val="bottom"/>
            <w:tcBorders>
              <w:top w:val="single" w:sz="8" w:color="F4F4F4"/>
              <w:bottom w:val="single" w:sz="8" w:color="F4F4F4"/>
            </w:tcBorders>
            <w:shd w:val="clear" w:color="auto" w:fill="F4F4F4"/>
          </w:tcPr>
          <w:p>
            <w:pPr>
              <w:spacing w:after="0"/>
              <w:rPr>
                <w:sz w:val="13"/>
                <w:szCs w:val="13"/>
                <w:color w:val="auto"/>
              </w:rPr>
            </w:pPr>
          </w:p>
        </w:tc>
        <w:tc>
          <w:tcPr>
            <w:tcW w:w="680" w:type="dxa"/>
            <w:vAlign w:val="bottom"/>
            <w:tcBorders>
              <w:top w:val="single" w:sz="8" w:color="F4F4F4"/>
              <w:bottom w:val="single" w:sz="8" w:color="F4F4F4"/>
            </w:tcBorders>
            <w:shd w:val="clear" w:color="auto" w:fill="F4F4F4"/>
          </w:tcPr>
          <w:p>
            <w:pPr>
              <w:spacing w:after="0"/>
              <w:rPr>
                <w:sz w:val="13"/>
                <w:szCs w:val="13"/>
                <w:color w:val="auto"/>
              </w:rPr>
            </w:pPr>
          </w:p>
        </w:tc>
        <w:tc>
          <w:tcPr>
            <w:tcW w:w="4700" w:type="dxa"/>
            <w:vAlign w:val="bottom"/>
            <w:tcBorders>
              <w:top w:val="single" w:sz="8" w:color="0000FF"/>
              <w:bottom w:val="single" w:sz="8" w:color="0000FF"/>
            </w:tcBorders>
            <w:gridSpan w:val="13"/>
            <w:shd w:val="clear" w:color="auto" w:fill="F4F4F4"/>
          </w:tcPr>
          <w:p>
            <w:pPr>
              <w:spacing w:after="0" w:line="156" w:lineRule="exact"/>
              <w:rPr>
                <w:rFonts w:ascii="Arial" w:cs="Arial" w:eastAsia="Arial" w:hAnsi="Arial"/>
                <w:sz w:val="18"/>
                <w:szCs w:val="18"/>
                <w:color w:val="0000FF"/>
              </w:rPr>
            </w:pPr>
            <w:hyperlink r:id="rId426">
              <w:r>
                <w:rPr>
                  <w:rFonts w:ascii="Arial" w:cs="Arial" w:eastAsia="Arial" w:hAnsi="Arial"/>
                  <w:sz w:val="18"/>
                  <w:szCs w:val="18"/>
                  <w:color w:val="0000FF"/>
                </w:rPr>
                <w:t>Agent, and Regions Bank, BBVA USA and Fifth Third</w:t>
              </w:r>
            </w:hyperlink>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40" w:type="dxa"/>
            <w:vAlign w:val="bottom"/>
            <w:tcBorders>
              <w:top w:val="single" w:sz="8" w:color="F4F4F4"/>
              <w:bottom w:val="single" w:sz="8" w:color="0000FF"/>
            </w:tcBorders>
            <w:gridSpan w:val="2"/>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40" w:type="dxa"/>
            <w:vAlign w:val="bottom"/>
            <w:tcBorders>
              <w:top w:val="single" w:sz="8" w:color="F4F4F4"/>
              <w:bottom w:val="single" w:sz="8" w:color="F4F4F4"/>
            </w:tcBorders>
            <w:gridSpan w:val="2"/>
            <w:shd w:val="clear" w:color="auto" w:fill="F4F4F4"/>
          </w:tcPr>
          <w:p>
            <w:pPr>
              <w:spacing w:after="0"/>
              <w:rPr>
                <w:sz w:val="13"/>
                <w:szCs w:val="13"/>
                <w:color w:val="auto"/>
              </w:rPr>
            </w:pPr>
          </w:p>
        </w:tc>
        <w:tc>
          <w:tcPr>
            <w:tcW w:w="40" w:type="dxa"/>
            <w:vAlign w:val="bottom"/>
            <w:tcBorders>
              <w:top w:val="single" w:sz="8" w:color="F4F4F4"/>
              <w:bottom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1220" w:type="dxa"/>
            <w:vAlign w:val="bottom"/>
            <w:tcBorders>
              <w:top w:val="single" w:sz="8" w:color="F4F4F4"/>
              <w:bottom w:val="single" w:sz="8" w:color="F4F4F4"/>
            </w:tcBorders>
            <w:shd w:val="clear" w:color="auto" w:fill="F4F4F4"/>
          </w:tcPr>
          <w:p>
            <w:pPr>
              <w:spacing w:after="0"/>
              <w:rPr>
                <w:sz w:val="13"/>
                <w:szCs w:val="13"/>
                <w:color w:val="auto"/>
              </w:rPr>
            </w:pPr>
          </w:p>
        </w:tc>
        <w:tc>
          <w:tcPr>
            <w:tcW w:w="1660" w:type="dxa"/>
            <w:vAlign w:val="bottom"/>
            <w:tcBorders>
              <w:top w:val="single" w:sz="8" w:color="F4F4F4"/>
              <w:bottom w:val="single" w:sz="8" w:color="F4F4F4"/>
            </w:tcBorders>
            <w:shd w:val="clear" w:color="auto" w:fill="F4F4F4"/>
          </w:tcPr>
          <w:p>
            <w:pPr>
              <w:spacing w:after="0"/>
              <w:rPr>
                <w:sz w:val="13"/>
                <w:szCs w:val="13"/>
                <w:color w:val="auto"/>
              </w:rPr>
            </w:pPr>
          </w:p>
        </w:tc>
        <w:tc>
          <w:tcPr>
            <w:tcW w:w="960" w:type="dxa"/>
            <w:vAlign w:val="bottom"/>
            <w:tcBorders>
              <w:top w:val="single" w:sz="8" w:color="F4F4F4"/>
              <w:bottom w:val="single" w:sz="8" w:color="F4F4F4"/>
            </w:tcBorders>
            <w:shd w:val="clear" w:color="auto" w:fill="F4F4F4"/>
          </w:tcPr>
          <w:p>
            <w:pPr>
              <w:spacing w:after="0"/>
              <w:rPr>
                <w:sz w:val="13"/>
                <w:szCs w:val="13"/>
                <w:color w:val="auto"/>
              </w:rPr>
            </w:pPr>
          </w:p>
        </w:tc>
        <w:tc>
          <w:tcPr>
            <w:tcW w:w="900" w:type="dxa"/>
            <w:vAlign w:val="bottom"/>
            <w:tcBorders>
              <w:top w:val="single" w:sz="8" w:color="F4F4F4"/>
              <w:bottom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shd w:val="clear" w:color="auto" w:fill="F4F4F4"/>
          </w:tcPr>
          <w:p>
            <w:pPr>
              <w:spacing w:after="0"/>
              <w:rPr>
                <w:sz w:val="13"/>
                <w:szCs w:val="13"/>
                <w:color w:val="auto"/>
              </w:rPr>
            </w:pPr>
          </w:p>
        </w:tc>
        <w:tc>
          <w:tcPr>
            <w:tcW w:w="44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4780" w:type="dxa"/>
            <w:vAlign w:val="bottom"/>
            <w:gridSpan w:val="17"/>
            <w:shd w:val="clear" w:color="auto" w:fill="F4F4F4"/>
          </w:tcPr>
          <w:p>
            <w:pPr>
              <w:spacing w:after="0" w:line="156" w:lineRule="exact"/>
              <w:rPr>
                <w:rFonts w:ascii="Arial" w:cs="Arial" w:eastAsia="Arial" w:hAnsi="Arial"/>
                <w:sz w:val="18"/>
                <w:szCs w:val="18"/>
                <w:color w:val="0000FF"/>
              </w:rPr>
            </w:pPr>
            <w:hyperlink r:id="rId426">
              <w:r>
                <w:rPr>
                  <w:rFonts w:ascii="Arial" w:cs="Arial" w:eastAsia="Arial" w:hAnsi="Arial"/>
                  <w:sz w:val="18"/>
                  <w:szCs w:val="18"/>
                  <w:color w:val="0000FF"/>
                </w:rPr>
                <w:t>Bank, National Association, as Co-Documentation Agents,</w:t>
              </w:r>
            </w:hyperlink>
          </w:p>
        </w:tc>
        <w:tc>
          <w:tcPr>
            <w:tcW w:w="40" w:type="dxa"/>
            <w:vAlign w:val="bottom"/>
            <w:gridSpan w:val="2"/>
            <w:shd w:val="clear" w:color="auto" w:fill="F4F4F4"/>
          </w:tcPr>
          <w:p>
            <w:pPr>
              <w:spacing w:after="0"/>
              <w:rPr>
                <w:sz w:val="13"/>
                <w:szCs w:val="13"/>
                <w:color w:val="auto"/>
              </w:rPr>
            </w:pPr>
          </w:p>
        </w:tc>
        <w:tc>
          <w:tcPr>
            <w:tcW w:w="40" w:type="dxa"/>
            <w:vAlign w:val="bottom"/>
            <w:gridSpan w:val="2"/>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1220" w:type="dxa"/>
            <w:vAlign w:val="bottom"/>
            <w:shd w:val="clear" w:color="auto" w:fill="F4F4F4"/>
          </w:tcPr>
          <w:p>
            <w:pPr>
              <w:spacing w:after="0"/>
              <w:rPr>
                <w:sz w:val="13"/>
                <w:szCs w:val="13"/>
                <w:color w:val="auto"/>
              </w:rPr>
            </w:pPr>
          </w:p>
        </w:tc>
        <w:tc>
          <w:tcPr>
            <w:tcW w:w="1660" w:type="dxa"/>
            <w:vAlign w:val="bottom"/>
            <w:shd w:val="clear" w:color="auto" w:fill="F4F4F4"/>
          </w:tcPr>
          <w:p>
            <w:pPr>
              <w:spacing w:after="0"/>
              <w:rPr>
                <w:sz w:val="13"/>
                <w:szCs w:val="13"/>
                <w:color w:val="auto"/>
              </w:rPr>
            </w:pPr>
          </w:p>
        </w:tc>
        <w:tc>
          <w:tcPr>
            <w:tcW w:w="9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bottom w:val="single" w:sz="8" w:color="F4F4F4"/>
            </w:tcBorders>
            <w:shd w:val="clear" w:color="auto" w:fill="F4F4F4"/>
          </w:tcPr>
          <w:p>
            <w:pPr>
              <w:spacing w:after="0"/>
              <w:rPr>
                <w:sz w:val="13"/>
                <w:szCs w:val="13"/>
                <w:color w:val="auto"/>
              </w:rPr>
            </w:pPr>
          </w:p>
        </w:tc>
        <w:tc>
          <w:tcPr>
            <w:tcW w:w="440" w:type="dxa"/>
            <w:vAlign w:val="bottom"/>
            <w:tcBorders>
              <w:top w:val="single" w:sz="8" w:color="F4F4F4"/>
              <w:bottom w:val="single" w:sz="8" w:color="F4F4F4"/>
            </w:tcBorders>
            <w:shd w:val="clear" w:color="auto" w:fill="F4F4F4"/>
          </w:tcPr>
          <w:p>
            <w:pPr>
              <w:spacing w:after="0"/>
              <w:rPr>
                <w:sz w:val="13"/>
                <w:szCs w:val="13"/>
                <w:color w:val="auto"/>
              </w:rPr>
            </w:pPr>
          </w:p>
        </w:tc>
        <w:tc>
          <w:tcPr>
            <w:tcW w:w="680" w:type="dxa"/>
            <w:vAlign w:val="bottom"/>
            <w:tcBorders>
              <w:top w:val="single" w:sz="8" w:color="F4F4F4"/>
              <w:bottom w:val="single" w:sz="8" w:color="F4F4F4"/>
            </w:tcBorders>
            <w:shd w:val="clear" w:color="auto" w:fill="F4F4F4"/>
          </w:tcPr>
          <w:p>
            <w:pPr>
              <w:spacing w:after="0"/>
              <w:rPr>
                <w:sz w:val="13"/>
                <w:szCs w:val="13"/>
                <w:color w:val="auto"/>
              </w:rPr>
            </w:pPr>
          </w:p>
        </w:tc>
        <w:tc>
          <w:tcPr>
            <w:tcW w:w="4760" w:type="dxa"/>
            <w:vAlign w:val="bottom"/>
            <w:tcBorders>
              <w:top w:val="single" w:sz="8" w:color="0000FF"/>
              <w:bottom w:val="single" w:sz="8" w:color="0000FF"/>
            </w:tcBorders>
            <w:gridSpan w:val="16"/>
            <w:shd w:val="clear" w:color="auto" w:fill="F4F4F4"/>
          </w:tcPr>
          <w:p>
            <w:pPr>
              <w:spacing w:after="0" w:line="156" w:lineRule="exact"/>
              <w:rPr>
                <w:rFonts w:ascii="Arial" w:cs="Arial" w:eastAsia="Arial" w:hAnsi="Arial"/>
                <w:sz w:val="18"/>
                <w:szCs w:val="18"/>
                <w:color w:val="0000FF"/>
              </w:rPr>
            </w:pPr>
            <w:hyperlink r:id="rId426">
              <w:r>
                <w:rPr>
                  <w:rFonts w:ascii="Arial" w:cs="Arial" w:eastAsia="Arial" w:hAnsi="Arial"/>
                  <w:sz w:val="18"/>
                  <w:szCs w:val="18"/>
                  <w:color w:val="0000FF"/>
                </w:rPr>
                <w:t>with  BofA  Securities,  Inc.,  PNC  Bank,  National</w:t>
              </w:r>
            </w:hyperlink>
          </w:p>
        </w:tc>
        <w:tc>
          <w:tcPr>
            <w:tcW w:w="60" w:type="dxa"/>
            <w:vAlign w:val="bottom"/>
            <w:tcBorders>
              <w:top w:val="single" w:sz="8" w:color="F4F4F4"/>
              <w:bottom w:val="single" w:sz="8" w:color="0000FF"/>
            </w:tcBorders>
            <w:gridSpan w:val="3"/>
            <w:shd w:val="clear" w:color="auto" w:fill="F4F4F4"/>
          </w:tcPr>
          <w:p>
            <w:pPr>
              <w:spacing w:after="0"/>
              <w:rPr>
                <w:sz w:val="13"/>
                <w:szCs w:val="13"/>
                <w:color w:val="auto"/>
              </w:rPr>
            </w:pPr>
          </w:p>
        </w:tc>
        <w:tc>
          <w:tcPr>
            <w:tcW w:w="40" w:type="dxa"/>
            <w:vAlign w:val="bottom"/>
            <w:tcBorders>
              <w:top w:val="single" w:sz="8" w:color="F4F4F4"/>
              <w:bottom w:val="single" w:sz="8" w:color="0000FF"/>
            </w:tcBorders>
            <w:gridSpan w:val="2"/>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1220" w:type="dxa"/>
            <w:vAlign w:val="bottom"/>
            <w:tcBorders>
              <w:top w:val="single" w:sz="8" w:color="F4F4F4"/>
              <w:bottom w:val="single" w:sz="8" w:color="F4F4F4"/>
            </w:tcBorders>
            <w:shd w:val="clear" w:color="auto" w:fill="F4F4F4"/>
          </w:tcPr>
          <w:p>
            <w:pPr>
              <w:spacing w:after="0"/>
              <w:rPr>
                <w:sz w:val="13"/>
                <w:szCs w:val="13"/>
                <w:color w:val="auto"/>
              </w:rPr>
            </w:pPr>
          </w:p>
        </w:tc>
        <w:tc>
          <w:tcPr>
            <w:tcW w:w="1660" w:type="dxa"/>
            <w:vAlign w:val="bottom"/>
            <w:tcBorders>
              <w:top w:val="single" w:sz="8" w:color="F4F4F4"/>
              <w:bottom w:val="single" w:sz="8" w:color="F4F4F4"/>
            </w:tcBorders>
            <w:shd w:val="clear" w:color="auto" w:fill="F4F4F4"/>
          </w:tcPr>
          <w:p>
            <w:pPr>
              <w:spacing w:after="0"/>
              <w:rPr>
                <w:sz w:val="13"/>
                <w:szCs w:val="13"/>
                <w:color w:val="auto"/>
              </w:rPr>
            </w:pPr>
          </w:p>
        </w:tc>
        <w:tc>
          <w:tcPr>
            <w:tcW w:w="960" w:type="dxa"/>
            <w:vAlign w:val="bottom"/>
            <w:tcBorders>
              <w:top w:val="single" w:sz="8" w:color="F4F4F4"/>
              <w:bottom w:val="single" w:sz="8" w:color="F4F4F4"/>
            </w:tcBorders>
            <w:shd w:val="clear" w:color="auto" w:fill="F4F4F4"/>
          </w:tcPr>
          <w:p>
            <w:pPr>
              <w:spacing w:after="0"/>
              <w:rPr>
                <w:sz w:val="13"/>
                <w:szCs w:val="13"/>
                <w:color w:val="auto"/>
              </w:rPr>
            </w:pPr>
          </w:p>
        </w:tc>
        <w:tc>
          <w:tcPr>
            <w:tcW w:w="900" w:type="dxa"/>
            <w:vAlign w:val="bottom"/>
            <w:tcBorders>
              <w:top w:val="single" w:sz="8" w:color="F4F4F4"/>
              <w:bottom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shd w:val="clear" w:color="auto" w:fill="F4F4F4"/>
          </w:tcPr>
          <w:p>
            <w:pPr>
              <w:spacing w:after="0"/>
              <w:rPr>
                <w:sz w:val="13"/>
                <w:szCs w:val="13"/>
                <w:color w:val="auto"/>
              </w:rPr>
            </w:pPr>
          </w:p>
        </w:tc>
        <w:tc>
          <w:tcPr>
            <w:tcW w:w="44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4880" w:type="dxa"/>
            <w:vAlign w:val="bottom"/>
            <w:gridSpan w:val="22"/>
            <w:shd w:val="clear" w:color="auto" w:fill="F4F4F4"/>
          </w:tcPr>
          <w:p>
            <w:pPr>
              <w:spacing w:after="0" w:line="154" w:lineRule="exact"/>
              <w:rPr>
                <w:rFonts w:ascii="Arial" w:cs="Arial" w:eastAsia="Arial" w:hAnsi="Arial"/>
                <w:sz w:val="17"/>
                <w:szCs w:val="17"/>
                <w:u w:val="single" w:color="auto"/>
                <w:color w:val="0000FF"/>
              </w:rPr>
            </w:pPr>
            <w:hyperlink r:id="rId426">
              <w:r>
                <w:rPr>
                  <w:rFonts w:ascii="Arial" w:cs="Arial" w:eastAsia="Arial" w:hAnsi="Arial"/>
                  <w:sz w:val="17"/>
                  <w:szCs w:val="17"/>
                  <w:u w:val="single" w:color="auto"/>
                  <w:color w:val="0000FF"/>
                </w:rPr>
                <w:t>Association, Regions Capital Markets, BBVA USA and</w:t>
              </w:r>
            </w:hyperlink>
          </w:p>
        </w:tc>
        <w:tc>
          <w:tcPr>
            <w:tcW w:w="1220" w:type="dxa"/>
            <w:vAlign w:val="bottom"/>
            <w:shd w:val="clear" w:color="auto" w:fill="F4F4F4"/>
          </w:tcPr>
          <w:p>
            <w:pPr>
              <w:spacing w:after="0"/>
              <w:rPr>
                <w:sz w:val="13"/>
                <w:szCs w:val="13"/>
                <w:color w:val="auto"/>
              </w:rPr>
            </w:pPr>
          </w:p>
        </w:tc>
        <w:tc>
          <w:tcPr>
            <w:tcW w:w="1660" w:type="dxa"/>
            <w:vAlign w:val="bottom"/>
            <w:shd w:val="clear" w:color="auto" w:fill="F4F4F4"/>
          </w:tcPr>
          <w:p>
            <w:pPr>
              <w:spacing w:after="0"/>
              <w:rPr>
                <w:sz w:val="13"/>
                <w:szCs w:val="13"/>
                <w:color w:val="auto"/>
              </w:rPr>
            </w:pPr>
          </w:p>
        </w:tc>
        <w:tc>
          <w:tcPr>
            <w:tcW w:w="9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0" w:type="dxa"/>
            <w:vAlign w:val="bottom"/>
            <w:shd w:val="clear" w:color="auto" w:fill="F4F4F4"/>
          </w:tcPr>
          <w:p>
            <w:pPr>
              <w:spacing w:after="0"/>
              <w:rPr>
                <w:sz w:val="15"/>
                <w:szCs w:val="15"/>
                <w:color w:val="auto"/>
              </w:rPr>
            </w:pPr>
          </w:p>
        </w:tc>
        <w:tc>
          <w:tcPr>
            <w:tcW w:w="440" w:type="dxa"/>
            <w:vAlign w:val="bottom"/>
            <w:shd w:val="clear" w:color="auto" w:fill="F4F4F4"/>
          </w:tcPr>
          <w:p>
            <w:pPr>
              <w:spacing w:after="0"/>
              <w:rPr>
                <w:sz w:val="15"/>
                <w:szCs w:val="15"/>
                <w:color w:val="auto"/>
              </w:rPr>
            </w:pPr>
          </w:p>
        </w:tc>
        <w:tc>
          <w:tcPr>
            <w:tcW w:w="680" w:type="dxa"/>
            <w:vAlign w:val="bottom"/>
            <w:shd w:val="clear" w:color="auto" w:fill="F4F4F4"/>
          </w:tcPr>
          <w:p>
            <w:pPr>
              <w:spacing w:after="0"/>
              <w:rPr>
                <w:sz w:val="15"/>
                <w:szCs w:val="15"/>
                <w:color w:val="auto"/>
              </w:rPr>
            </w:pPr>
          </w:p>
        </w:tc>
        <w:tc>
          <w:tcPr>
            <w:tcW w:w="4880" w:type="dxa"/>
            <w:vAlign w:val="bottom"/>
            <w:gridSpan w:val="22"/>
            <w:shd w:val="clear" w:color="auto" w:fill="F4F4F4"/>
          </w:tcPr>
          <w:p>
            <w:pPr>
              <w:spacing w:after="0" w:line="176" w:lineRule="exact"/>
              <w:rPr>
                <w:rFonts w:ascii="Arial" w:cs="Arial" w:eastAsia="Arial" w:hAnsi="Arial"/>
                <w:sz w:val="18"/>
                <w:szCs w:val="18"/>
                <w:u w:val="single" w:color="auto"/>
                <w:color w:val="0000FF"/>
              </w:rPr>
            </w:pPr>
            <w:hyperlink r:id="rId426">
              <w:r>
                <w:rPr>
                  <w:rFonts w:ascii="Arial" w:cs="Arial" w:eastAsia="Arial" w:hAnsi="Arial"/>
                  <w:sz w:val="18"/>
                  <w:szCs w:val="18"/>
                  <w:u w:val="single" w:color="auto"/>
                  <w:color w:val="0000FF"/>
                </w:rPr>
                <w:t>Fifth  Third  Bank,  National  Association  as  Joint  Lead</w:t>
              </w:r>
            </w:hyperlink>
          </w:p>
        </w:tc>
        <w:tc>
          <w:tcPr>
            <w:tcW w:w="1220" w:type="dxa"/>
            <w:vAlign w:val="bottom"/>
            <w:shd w:val="clear" w:color="auto" w:fill="F4F4F4"/>
          </w:tcPr>
          <w:p>
            <w:pPr>
              <w:spacing w:after="0"/>
              <w:rPr>
                <w:sz w:val="15"/>
                <w:szCs w:val="15"/>
                <w:color w:val="auto"/>
              </w:rPr>
            </w:pPr>
          </w:p>
        </w:tc>
        <w:tc>
          <w:tcPr>
            <w:tcW w:w="1660" w:type="dxa"/>
            <w:vAlign w:val="bottom"/>
            <w:shd w:val="clear" w:color="auto" w:fill="F4F4F4"/>
          </w:tcPr>
          <w:p>
            <w:pPr>
              <w:spacing w:after="0"/>
              <w:rPr>
                <w:sz w:val="15"/>
                <w:szCs w:val="15"/>
                <w:color w:val="auto"/>
              </w:rPr>
            </w:pPr>
          </w:p>
        </w:tc>
        <w:tc>
          <w:tcPr>
            <w:tcW w:w="960" w:type="dxa"/>
            <w:vAlign w:val="bottom"/>
            <w:shd w:val="clear" w:color="auto" w:fill="F4F4F4"/>
          </w:tcPr>
          <w:p>
            <w:pPr>
              <w:spacing w:after="0"/>
              <w:rPr>
                <w:sz w:val="15"/>
                <w:szCs w:val="15"/>
                <w:color w:val="auto"/>
              </w:rPr>
            </w:pPr>
          </w:p>
        </w:tc>
        <w:tc>
          <w:tcPr>
            <w:tcW w:w="900" w:type="dxa"/>
            <w:vAlign w:val="bottom"/>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shd w:val="clear" w:color="auto" w:fill="F4F4F4"/>
          </w:tcPr>
          <w:p>
            <w:pPr>
              <w:spacing w:after="0"/>
              <w:rPr>
                <w:sz w:val="18"/>
                <w:szCs w:val="18"/>
                <w:color w:val="auto"/>
              </w:rPr>
            </w:pPr>
          </w:p>
        </w:tc>
        <w:tc>
          <w:tcPr>
            <w:tcW w:w="440" w:type="dxa"/>
            <w:vAlign w:val="bottom"/>
            <w:shd w:val="clear" w:color="auto" w:fill="F4F4F4"/>
          </w:tcPr>
          <w:p>
            <w:pPr>
              <w:spacing w:after="0"/>
              <w:rPr>
                <w:sz w:val="18"/>
                <w:szCs w:val="18"/>
                <w:color w:val="auto"/>
              </w:rPr>
            </w:pPr>
          </w:p>
        </w:tc>
        <w:tc>
          <w:tcPr>
            <w:tcW w:w="680" w:type="dxa"/>
            <w:vAlign w:val="bottom"/>
            <w:shd w:val="clear" w:color="auto" w:fill="F4F4F4"/>
          </w:tcPr>
          <w:p>
            <w:pPr>
              <w:spacing w:after="0"/>
              <w:rPr>
                <w:sz w:val="18"/>
                <w:szCs w:val="18"/>
                <w:color w:val="auto"/>
              </w:rPr>
            </w:pPr>
          </w:p>
        </w:tc>
        <w:tc>
          <w:tcPr>
            <w:tcW w:w="4880" w:type="dxa"/>
            <w:vAlign w:val="bottom"/>
            <w:gridSpan w:val="22"/>
            <w:shd w:val="clear" w:color="auto" w:fill="F4F4F4"/>
          </w:tcPr>
          <w:p>
            <w:pPr>
              <w:spacing w:after="0"/>
              <w:rPr>
                <w:rFonts w:ascii="Arial" w:cs="Arial" w:eastAsia="Arial" w:hAnsi="Arial"/>
                <w:sz w:val="18"/>
                <w:szCs w:val="18"/>
                <w:u w:val="single" w:color="auto"/>
                <w:color w:val="0000FF"/>
              </w:rPr>
            </w:pPr>
            <w:hyperlink r:id="rId426">
              <w:r>
                <w:rPr>
                  <w:rFonts w:ascii="Arial" w:cs="Arial" w:eastAsia="Arial" w:hAnsi="Arial"/>
                  <w:sz w:val="18"/>
                  <w:szCs w:val="18"/>
                  <w:u w:val="single" w:color="auto"/>
                  <w:color w:val="0000FF"/>
                </w:rPr>
                <w:t>Arrangers and Joint Bookrunners.</w:t>
              </w:r>
            </w:hyperlink>
          </w:p>
        </w:tc>
        <w:tc>
          <w:tcPr>
            <w:tcW w:w="1220" w:type="dxa"/>
            <w:vAlign w:val="bottom"/>
            <w:shd w:val="clear" w:color="auto" w:fill="F4F4F4"/>
          </w:tcPr>
          <w:p>
            <w:pPr>
              <w:spacing w:after="0"/>
              <w:rPr>
                <w:sz w:val="18"/>
                <w:szCs w:val="18"/>
                <w:color w:val="auto"/>
              </w:rPr>
            </w:pPr>
          </w:p>
        </w:tc>
        <w:tc>
          <w:tcPr>
            <w:tcW w:w="1660" w:type="dxa"/>
            <w:vAlign w:val="bottom"/>
            <w:shd w:val="clear" w:color="auto" w:fill="F4F4F4"/>
          </w:tcPr>
          <w:p>
            <w:pPr>
              <w:spacing w:after="0"/>
              <w:rPr>
                <w:sz w:val="18"/>
                <w:szCs w:val="18"/>
                <w:color w:val="auto"/>
              </w:rPr>
            </w:pPr>
          </w:p>
        </w:tc>
        <w:tc>
          <w:tcPr>
            <w:tcW w:w="960" w:type="dxa"/>
            <w:vAlign w:val="bottom"/>
            <w:shd w:val="clear" w:color="auto" w:fill="F4F4F4"/>
          </w:tcPr>
          <w:p>
            <w:pPr>
              <w:spacing w:after="0"/>
              <w:rPr>
                <w:sz w:val="18"/>
                <w:szCs w:val="18"/>
                <w:color w:val="auto"/>
              </w:rPr>
            </w:pPr>
          </w:p>
        </w:tc>
        <w:tc>
          <w:tcPr>
            <w:tcW w:w="900" w:type="dxa"/>
            <w:vAlign w:val="bottom"/>
            <w:shd w:val="clear" w:color="auto" w:fill="F4F4F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20" w:type="dxa"/>
            <w:vAlign w:val="bottom"/>
            <w:gridSpan w:val="3"/>
          </w:tcPr>
          <w:p>
            <w:pPr>
              <w:jc w:val="right"/>
              <w:ind w:right="680"/>
              <w:spacing w:after="0" w:line="189" w:lineRule="exact"/>
              <w:rPr>
                <w:rFonts w:ascii="Arial" w:cs="Arial" w:eastAsia="Arial" w:hAnsi="Arial"/>
                <w:sz w:val="18"/>
                <w:szCs w:val="18"/>
                <w:color w:val="0000FF"/>
              </w:rPr>
            </w:pPr>
            <w:hyperlink r:id="rId427">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4880" w:type="dxa"/>
            <w:vAlign w:val="bottom"/>
            <w:gridSpan w:val="22"/>
          </w:tcPr>
          <w:p>
            <w:pPr>
              <w:spacing w:after="0" w:line="189" w:lineRule="exact"/>
              <w:rPr>
                <w:rFonts w:ascii="Arial" w:cs="Arial" w:eastAsia="Arial" w:hAnsi="Arial"/>
                <w:sz w:val="18"/>
                <w:szCs w:val="18"/>
                <w:color w:val="0000FF"/>
              </w:rPr>
            </w:pPr>
            <w:hyperlink r:id="rId427">
              <w:r>
                <w:rPr>
                  <w:rFonts w:ascii="Arial" w:cs="Arial" w:eastAsia="Arial" w:hAnsi="Arial"/>
                  <w:sz w:val="18"/>
                  <w:szCs w:val="18"/>
                  <w:color w:val="0000FF"/>
                </w:rPr>
                <w:t>Amended and Restated Pledge Agreement, dated as of</w:t>
              </w:r>
            </w:hyperlink>
          </w:p>
        </w:tc>
        <w:tc>
          <w:tcPr>
            <w:tcW w:w="1220" w:type="dxa"/>
            <w:vAlign w:val="bottom"/>
          </w:tcPr>
          <w:p>
            <w:pPr>
              <w:jc w:val="center"/>
              <w:ind w:right="219"/>
              <w:spacing w:after="0" w:line="189" w:lineRule="exact"/>
              <w:rPr>
                <w:sz w:val="20"/>
                <w:szCs w:val="20"/>
                <w:color w:val="auto"/>
              </w:rPr>
            </w:pPr>
            <w:r>
              <w:rPr>
                <w:rFonts w:ascii="Arial" w:cs="Arial" w:eastAsia="Arial" w:hAnsi="Arial"/>
                <w:sz w:val="18"/>
                <w:szCs w:val="18"/>
                <w:color w:val="auto"/>
                <w:w w:val="99"/>
              </w:rPr>
              <w:t>10-Q</w:t>
            </w:r>
          </w:p>
        </w:tc>
        <w:tc>
          <w:tcPr>
            <w:tcW w:w="1660" w:type="dxa"/>
            <w:vAlign w:val="bottom"/>
          </w:tcPr>
          <w:p>
            <w:pPr>
              <w:jc w:val="right"/>
              <w:ind w:right="439"/>
              <w:spacing w:after="0" w:line="189" w:lineRule="exact"/>
              <w:rPr>
                <w:sz w:val="20"/>
                <w:szCs w:val="20"/>
                <w:color w:val="auto"/>
              </w:rPr>
            </w:pPr>
            <w:r>
              <w:rPr>
                <w:rFonts w:ascii="Arial" w:cs="Arial" w:eastAsia="Arial" w:hAnsi="Arial"/>
                <w:sz w:val="18"/>
                <w:szCs w:val="18"/>
                <w:color w:val="auto"/>
              </w:rPr>
              <w:t>11/3/2020</w:t>
            </w:r>
          </w:p>
        </w:tc>
        <w:tc>
          <w:tcPr>
            <w:tcW w:w="960" w:type="dxa"/>
            <w:vAlign w:val="bottom"/>
          </w:tcPr>
          <w:p>
            <w:pPr>
              <w:jc w:val="right"/>
              <w:ind w:right="59"/>
              <w:spacing w:after="0" w:line="189" w:lineRule="exact"/>
              <w:rPr>
                <w:sz w:val="20"/>
                <w:szCs w:val="20"/>
                <w:color w:val="auto"/>
              </w:rPr>
            </w:pPr>
            <w:r>
              <w:rPr>
                <w:rFonts w:ascii="Arial" w:cs="Arial" w:eastAsia="Arial" w:hAnsi="Arial"/>
                <w:sz w:val="18"/>
                <w:szCs w:val="18"/>
                <w:color w:val="auto"/>
              </w:rPr>
              <w:t>10.5</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46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427">
              <w:r>
                <w:rPr>
                  <w:rFonts w:ascii="Arial" w:cs="Arial" w:eastAsia="Arial" w:hAnsi="Arial"/>
                  <w:sz w:val="18"/>
                  <w:szCs w:val="18"/>
                  <w:color w:val="0000FF"/>
                </w:rPr>
                <w:t>October 30, 2020, by Blackbaud, Inc. in favor of Bank of</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rPr>
            </w:pPr>
            <w:hyperlink r:id="rId427">
              <w:r>
                <w:rPr>
                  <w:rFonts w:ascii="Arial" w:cs="Arial" w:eastAsia="Arial" w:hAnsi="Arial"/>
                  <w:sz w:val="18"/>
                  <w:szCs w:val="18"/>
                  <w:color w:val="0000FF"/>
                </w:rPr>
                <w:t>America, N.A., as Administrative Agent, for the ratable</w:t>
              </w:r>
            </w:hyperlink>
          </w:p>
        </w:tc>
        <w:tc>
          <w:tcPr>
            <w:tcW w:w="80" w:type="dxa"/>
            <w:vAlign w:val="bottom"/>
            <w:tcBorders>
              <w:bottom w:val="single" w:sz="8" w:color="0000FF"/>
            </w:tcBorders>
            <w:gridSpan w:val="4"/>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60" w:type="dxa"/>
            <w:vAlign w:val="bottom"/>
            <w:gridSpan w:val="21"/>
          </w:tcPr>
          <w:p>
            <w:pPr>
              <w:spacing w:after="0" w:line="196" w:lineRule="exact"/>
              <w:rPr>
                <w:rFonts w:ascii="Arial" w:cs="Arial" w:eastAsia="Arial" w:hAnsi="Arial"/>
                <w:sz w:val="18"/>
                <w:szCs w:val="18"/>
                <w:u w:val="single" w:color="auto"/>
                <w:color w:val="0000FF"/>
              </w:rPr>
            </w:pPr>
            <w:hyperlink r:id="rId427">
              <w:r>
                <w:rPr>
                  <w:rFonts w:ascii="Arial" w:cs="Arial" w:eastAsia="Arial" w:hAnsi="Arial"/>
                  <w:sz w:val="18"/>
                  <w:szCs w:val="18"/>
                  <w:u w:val="single" w:color="auto"/>
                  <w:color w:val="0000FF"/>
                </w:rPr>
                <w:t>benefit of itself and the secured parties referred to therein.</w:t>
              </w:r>
            </w:hyperlink>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gridSpan w:val="3"/>
            <w:shd w:val="clear" w:color="auto" w:fill="F4F4F4"/>
          </w:tcPr>
          <w:p>
            <w:pPr>
              <w:jc w:val="right"/>
              <w:ind w:right="680"/>
              <w:spacing w:after="0" w:line="189" w:lineRule="exact"/>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10.40</w:t>
              </w:r>
            </w:hyperlink>
          </w:p>
        </w:tc>
        <w:tc>
          <w:tcPr>
            <w:tcW w:w="4880" w:type="dxa"/>
            <w:vAlign w:val="bottom"/>
            <w:gridSpan w:val="22"/>
            <w:shd w:val="clear" w:color="auto" w:fill="F4F4F4"/>
          </w:tcPr>
          <w:p>
            <w:pPr>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Termination  of  Triple  Net  Lease  and  Mutual  Release</w:t>
              </w:r>
            </w:hyperlink>
          </w:p>
        </w:tc>
        <w:tc>
          <w:tcPr>
            <w:tcW w:w="1220" w:type="dxa"/>
            <w:vAlign w:val="bottom"/>
            <w:shd w:val="clear" w:color="auto" w:fill="F4F4F4"/>
          </w:tcPr>
          <w:p>
            <w:pPr>
              <w:spacing w:after="0"/>
              <w:rPr>
                <w:sz w:val="16"/>
                <w:szCs w:val="16"/>
                <w:color w:val="auto"/>
              </w:rPr>
            </w:pPr>
          </w:p>
        </w:tc>
        <w:tc>
          <w:tcPr>
            <w:tcW w:w="1660" w:type="dxa"/>
            <w:vAlign w:val="bottom"/>
            <w:shd w:val="clear" w:color="auto" w:fill="F4F4F4"/>
          </w:tcPr>
          <w:p>
            <w:pPr>
              <w:spacing w:after="0"/>
              <w:rPr>
                <w:sz w:val="16"/>
                <w:szCs w:val="16"/>
                <w:color w:val="auto"/>
              </w:rPr>
            </w:pPr>
          </w:p>
        </w:tc>
        <w:tc>
          <w:tcPr>
            <w:tcW w:w="960" w:type="dxa"/>
            <w:vAlign w:val="bottom"/>
            <w:shd w:val="clear" w:color="auto" w:fill="F4F4F4"/>
          </w:tcPr>
          <w:p>
            <w:pPr>
              <w:spacing w:after="0"/>
              <w:rPr>
                <w:sz w:val="16"/>
                <w:szCs w:val="16"/>
                <w:color w:val="auto"/>
              </w:rPr>
            </w:pPr>
          </w:p>
        </w:tc>
        <w:tc>
          <w:tcPr>
            <w:tcW w:w="900" w:type="dxa"/>
            <w:vAlign w:val="bottom"/>
            <w:shd w:val="clear" w:color="auto" w:fill="F4F4F4"/>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500" w:type="dxa"/>
            <w:vAlign w:val="bottom"/>
            <w:tcBorders>
              <w:top w:val="single" w:sz="8" w:color="F4F4F4"/>
            </w:tcBorders>
            <w:shd w:val="clear" w:color="auto" w:fill="F4F4F4"/>
          </w:tcPr>
          <w:p>
            <w:pPr>
              <w:spacing w:after="0"/>
              <w:rPr>
                <w:sz w:val="13"/>
                <w:szCs w:val="13"/>
                <w:color w:val="auto"/>
              </w:rPr>
            </w:pPr>
          </w:p>
        </w:tc>
        <w:tc>
          <w:tcPr>
            <w:tcW w:w="440" w:type="dxa"/>
            <w:vAlign w:val="bottom"/>
            <w:tcBorders>
              <w:top w:val="single" w:sz="8" w:color="F4F4F4"/>
            </w:tcBorders>
            <w:shd w:val="clear" w:color="auto" w:fill="F4F4F4"/>
          </w:tcPr>
          <w:p>
            <w:pPr>
              <w:spacing w:after="0"/>
              <w:rPr>
                <w:sz w:val="13"/>
                <w:szCs w:val="13"/>
                <w:color w:val="auto"/>
              </w:rPr>
            </w:pPr>
          </w:p>
        </w:tc>
        <w:tc>
          <w:tcPr>
            <w:tcW w:w="680" w:type="dxa"/>
            <w:vAlign w:val="bottom"/>
            <w:tcBorders>
              <w:top w:val="single" w:sz="8" w:color="F4F4F4"/>
            </w:tcBorders>
            <w:shd w:val="clear" w:color="auto" w:fill="F4F4F4"/>
          </w:tcPr>
          <w:p>
            <w:pPr>
              <w:spacing w:after="0"/>
              <w:rPr>
                <w:sz w:val="13"/>
                <w:szCs w:val="13"/>
                <w:color w:val="auto"/>
              </w:rPr>
            </w:pPr>
          </w:p>
        </w:tc>
        <w:tc>
          <w:tcPr>
            <w:tcW w:w="4820" w:type="dxa"/>
            <w:vAlign w:val="bottom"/>
            <w:tcBorders>
              <w:top w:val="single" w:sz="8" w:color="0000FF"/>
            </w:tcBorders>
            <w:gridSpan w:val="19"/>
            <w:shd w:val="clear" w:color="auto" w:fill="F4F4F4"/>
          </w:tcPr>
          <w:p>
            <w:pPr>
              <w:spacing w:after="0" w:line="156" w:lineRule="exact"/>
              <w:rPr>
                <w:rFonts w:ascii="Arial" w:cs="Arial" w:eastAsia="Arial" w:hAnsi="Arial"/>
                <w:sz w:val="18"/>
                <w:szCs w:val="18"/>
                <w:color w:val="0000FF"/>
              </w:rPr>
            </w:pPr>
            <w:hyperlink w:anchor="page116">
              <w:r>
                <w:rPr>
                  <w:rFonts w:ascii="Arial" w:cs="Arial" w:eastAsia="Arial" w:hAnsi="Arial"/>
                  <w:sz w:val="18"/>
                  <w:szCs w:val="18"/>
                  <w:color w:val="0000FF"/>
                </w:rPr>
                <w:t>Agreement, dated as of November 4, 2020, between</w:t>
              </w:r>
            </w:hyperlink>
          </w:p>
        </w:tc>
        <w:tc>
          <w:tcPr>
            <w:tcW w:w="60" w:type="dxa"/>
            <w:vAlign w:val="bottom"/>
            <w:tcBorders>
              <w:top w:val="single" w:sz="8" w:color="F4F4F4"/>
            </w:tcBorders>
            <w:gridSpan w:val="3"/>
            <w:shd w:val="clear" w:color="auto" w:fill="F4F4F4"/>
          </w:tcPr>
          <w:p>
            <w:pPr>
              <w:spacing w:after="0"/>
              <w:rPr>
                <w:sz w:val="13"/>
                <w:szCs w:val="13"/>
                <w:color w:val="auto"/>
              </w:rPr>
            </w:pPr>
          </w:p>
        </w:tc>
        <w:tc>
          <w:tcPr>
            <w:tcW w:w="1220" w:type="dxa"/>
            <w:vAlign w:val="bottom"/>
            <w:tcBorders>
              <w:top w:val="single" w:sz="8" w:color="F4F4F4"/>
            </w:tcBorders>
            <w:shd w:val="clear" w:color="auto" w:fill="F4F4F4"/>
          </w:tcPr>
          <w:p>
            <w:pPr>
              <w:spacing w:after="0"/>
              <w:rPr>
                <w:sz w:val="13"/>
                <w:szCs w:val="13"/>
                <w:color w:val="auto"/>
              </w:rPr>
            </w:pPr>
          </w:p>
        </w:tc>
        <w:tc>
          <w:tcPr>
            <w:tcW w:w="1660" w:type="dxa"/>
            <w:vAlign w:val="bottom"/>
            <w:tcBorders>
              <w:top w:val="single" w:sz="8" w:color="F4F4F4"/>
            </w:tcBorders>
            <w:shd w:val="clear" w:color="auto" w:fill="F4F4F4"/>
          </w:tcPr>
          <w:p>
            <w:pPr>
              <w:spacing w:after="0"/>
              <w:rPr>
                <w:sz w:val="13"/>
                <w:szCs w:val="13"/>
                <w:color w:val="auto"/>
              </w:rPr>
            </w:pPr>
          </w:p>
        </w:tc>
        <w:tc>
          <w:tcPr>
            <w:tcW w:w="960" w:type="dxa"/>
            <w:vAlign w:val="bottom"/>
            <w:tcBorders>
              <w:top w:val="single" w:sz="8" w:color="F4F4F4"/>
            </w:tcBorders>
            <w:shd w:val="clear" w:color="auto" w:fill="F4F4F4"/>
          </w:tcPr>
          <w:p>
            <w:pPr>
              <w:spacing w:after="0"/>
              <w:rPr>
                <w:sz w:val="13"/>
                <w:szCs w:val="13"/>
                <w:color w:val="auto"/>
              </w:rPr>
            </w:pPr>
          </w:p>
        </w:tc>
        <w:tc>
          <w:tcPr>
            <w:tcW w:w="900" w:type="dxa"/>
            <w:vAlign w:val="bottom"/>
            <w:tcBorders>
              <w:top w:val="single" w:sz="8" w:color="F4F4F4"/>
            </w:tcBorders>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0" w:type="dxa"/>
            <w:vAlign w:val="bottom"/>
            <w:tcBorders>
              <w:top w:val="single" w:sz="8" w:color="F4F4F4"/>
            </w:tcBorders>
            <w:shd w:val="clear" w:color="auto" w:fill="F4F4F4"/>
          </w:tcPr>
          <w:p>
            <w:pPr>
              <w:spacing w:after="0"/>
              <w:rPr>
                <w:sz w:val="15"/>
                <w:szCs w:val="15"/>
                <w:color w:val="auto"/>
              </w:rPr>
            </w:pPr>
          </w:p>
        </w:tc>
        <w:tc>
          <w:tcPr>
            <w:tcW w:w="440" w:type="dxa"/>
            <w:vAlign w:val="bottom"/>
            <w:tcBorders>
              <w:top w:val="single" w:sz="8" w:color="F4F4F4"/>
            </w:tcBorders>
            <w:shd w:val="clear" w:color="auto" w:fill="F4F4F4"/>
          </w:tcPr>
          <w:p>
            <w:pPr>
              <w:spacing w:after="0"/>
              <w:rPr>
                <w:sz w:val="15"/>
                <w:szCs w:val="15"/>
                <w:color w:val="auto"/>
              </w:rPr>
            </w:pPr>
          </w:p>
        </w:tc>
        <w:tc>
          <w:tcPr>
            <w:tcW w:w="680" w:type="dxa"/>
            <w:vAlign w:val="bottom"/>
            <w:tcBorders>
              <w:top w:val="single" w:sz="8" w:color="F4F4F4"/>
            </w:tcBorders>
            <w:shd w:val="clear" w:color="auto" w:fill="F4F4F4"/>
          </w:tcPr>
          <w:p>
            <w:pPr>
              <w:spacing w:after="0"/>
              <w:rPr>
                <w:sz w:val="15"/>
                <w:szCs w:val="15"/>
                <w:color w:val="auto"/>
              </w:rPr>
            </w:pPr>
          </w:p>
        </w:tc>
        <w:tc>
          <w:tcPr>
            <w:tcW w:w="4720" w:type="dxa"/>
            <w:vAlign w:val="bottom"/>
            <w:tcBorders>
              <w:top w:val="single" w:sz="8" w:color="0000FF"/>
            </w:tcBorders>
            <w:gridSpan w:val="14"/>
            <w:shd w:val="clear" w:color="auto" w:fill="F4F4F4"/>
          </w:tcPr>
          <w:p>
            <w:pPr>
              <w:spacing w:after="0" w:line="156" w:lineRule="exact"/>
              <w:rPr>
                <w:rFonts w:ascii="Arial" w:cs="Arial" w:eastAsia="Arial" w:hAnsi="Arial"/>
                <w:sz w:val="18"/>
                <w:szCs w:val="18"/>
                <w:color w:val="0000FF"/>
              </w:rPr>
            </w:pPr>
            <w:hyperlink w:anchor="page116">
              <w:r>
                <w:rPr>
                  <w:rFonts w:ascii="Arial" w:cs="Arial" w:eastAsia="Arial" w:hAnsi="Arial"/>
                  <w:sz w:val="18"/>
                  <w:szCs w:val="18"/>
                  <w:color w:val="0000FF"/>
                </w:rPr>
                <w:t>Blackbaud, Inc. and HP 2000DI, LLC.</w:t>
              </w:r>
            </w:hyperlink>
          </w:p>
        </w:tc>
        <w:tc>
          <w:tcPr>
            <w:tcW w:w="160" w:type="dxa"/>
            <w:vAlign w:val="bottom"/>
            <w:tcBorders>
              <w:top w:val="single" w:sz="8" w:color="F4F4F4"/>
            </w:tcBorders>
            <w:gridSpan w:val="8"/>
            <w:shd w:val="clear" w:color="auto" w:fill="F4F4F4"/>
          </w:tcPr>
          <w:p>
            <w:pPr>
              <w:spacing w:after="0"/>
              <w:rPr>
                <w:sz w:val="15"/>
                <w:szCs w:val="15"/>
                <w:color w:val="auto"/>
              </w:rPr>
            </w:pPr>
          </w:p>
        </w:tc>
        <w:tc>
          <w:tcPr>
            <w:tcW w:w="1220" w:type="dxa"/>
            <w:vAlign w:val="bottom"/>
            <w:tcBorders>
              <w:top w:val="single" w:sz="8" w:color="F4F4F4"/>
            </w:tcBorders>
            <w:shd w:val="clear" w:color="auto" w:fill="F4F4F4"/>
          </w:tcPr>
          <w:p>
            <w:pPr>
              <w:spacing w:after="0"/>
              <w:rPr>
                <w:sz w:val="15"/>
                <w:szCs w:val="15"/>
                <w:color w:val="auto"/>
              </w:rPr>
            </w:pPr>
          </w:p>
        </w:tc>
        <w:tc>
          <w:tcPr>
            <w:tcW w:w="1660" w:type="dxa"/>
            <w:vAlign w:val="bottom"/>
            <w:tcBorders>
              <w:top w:val="single" w:sz="8" w:color="F4F4F4"/>
            </w:tcBorders>
            <w:shd w:val="clear" w:color="auto" w:fill="F4F4F4"/>
          </w:tcPr>
          <w:p>
            <w:pPr>
              <w:spacing w:after="0"/>
              <w:rPr>
                <w:sz w:val="15"/>
                <w:szCs w:val="15"/>
                <w:color w:val="auto"/>
              </w:rPr>
            </w:pPr>
          </w:p>
        </w:tc>
        <w:tc>
          <w:tcPr>
            <w:tcW w:w="960" w:type="dxa"/>
            <w:vAlign w:val="bottom"/>
            <w:tcBorders>
              <w:top w:val="single" w:sz="8" w:color="F4F4F4"/>
            </w:tcBorders>
            <w:shd w:val="clear" w:color="auto" w:fill="F4F4F4"/>
          </w:tcPr>
          <w:p>
            <w:pPr>
              <w:spacing w:after="0"/>
              <w:rPr>
                <w:sz w:val="15"/>
                <w:szCs w:val="15"/>
                <w:color w:val="auto"/>
              </w:rPr>
            </w:pPr>
          </w:p>
        </w:tc>
        <w:tc>
          <w:tcPr>
            <w:tcW w:w="900" w:type="dxa"/>
            <w:vAlign w:val="bottom"/>
            <w:tcBorders>
              <w:top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20" w:type="dxa"/>
            <w:vAlign w:val="bottom"/>
            <w:tcBorders>
              <w:top w:val="single" w:sz="8" w:color="F4F4F4"/>
            </w:tcBorders>
            <w:gridSpan w:val="3"/>
          </w:tcPr>
          <w:p>
            <w:pPr>
              <w:jc w:val="right"/>
              <w:ind w:right="68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21.1</w:t>
              </w:r>
            </w:hyperlink>
          </w:p>
        </w:tc>
        <w:tc>
          <w:tcPr>
            <w:tcW w:w="298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Subsidiaries of Blackbaud, Inc.</w:t>
              </w:r>
            </w:hyperlink>
          </w:p>
        </w:tc>
        <w:tc>
          <w:tcPr>
            <w:tcW w:w="1900" w:type="dxa"/>
            <w:vAlign w:val="bottom"/>
            <w:tcBorders>
              <w:top w:val="single" w:sz="8" w:color="F4F4F4"/>
            </w:tcBorders>
            <w:gridSpan w:val="19"/>
          </w:tcPr>
          <w:p>
            <w:pPr>
              <w:spacing w:after="0"/>
              <w:rPr>
                <w:sz w:val="19"/>
                <w:szCs w:val="19"/>
                <w:color w:val="auto"/>
              </w:rPr>
            </w:pPr>
          </w:p>
        </w:tc>
        <w:tc>
          <w:tcPr>
            <w:tcW w:w="1220" w:type="dxa"/>
            <w:vAlign w:val="bottom"/>
            <w:tcBorders>
              <w:top w:val="single" w:sz="8" w:color="F4F4F4"/>
            </w:tcBorders>
          </w:tcPr>
          <w:p>
            <w:pPr>
              <w:spacing w:after="0"/>
              <w:rPr>
                <w:sz w:val="19"/>
                <w:szCs w:val="19"/>
                <w:color w:val="auto"/>
              </w:rPr>
            </w:pPr>
          </w:p>
        </w:tc>
        <w:tc>
          <w:tcPr>
            <w:tcW w:w="1660" w:type="dxa"/>
            <w:vAlign w:val="bottom"/>
            <w:tcBorders>
              <w:top w:val="single" w:sz="8" w:color="F4F4F4"/>
            </w:tcBorders>
          </w:tcPr>
          <w:p>
            <w:pPr>
              <w:spacing w:after="0"/>
              <w:rPr>
                <w:sz w:val="19"/>
                <w:szCs w:val="19"/>
                <w:color w:val="auto"/>
              </w:rPr>
            </w:pPr>
          </w:p>
        </w:tc>
        <w:tc>
          <w:tcPr>
            <w:tcW w:w="960" w:type="dxa"/>
            <w:vAlign w:val="bottom"/>
            <w:tcBorders>
              <w:top w:val="single" w:sz="8" w:color="F4F4F4"/>
            </w:tcBorders>
          </w:tcPr>
          <w:p>
            <w:pPr>
              <w:spacing w:after="0"/>
              <w:rPr>
                <w:sz w:val="19"/>
                <w:szCs w:val="19"/>
                <w:color w:val="auto"/>
              </w:rPr>
            </w:pPr>
          </w:p>
        </w:tc>
        <w:tc>
          <w:tcPr>
            <w:tcW w:w="900" w:type="dxa"/>
            <w:vAlign w:val="bottom"/>
            <w:tcBorders>
              <w:top w:val="single" w:sz="8" w:color="F4F4F4"/>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1620" w:type="dxa"/>
            <w:vAlign w:val="bottom"/>
            <w:gridSpan w:val="3"/>
            <w:shd w:val="clear" w:color="auto" w:fill="F4F4F4"/>
          </w:tcPr>
          <w:p>
            <w:pPr>
              <w:jc w:val="right"/>
              <w:ind w:right="680"/>
              <w:spacing w:after="0" w:line="189" w:lineRule="exact"/>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23.1</w:t>
              </w:r>
            </w:hyperlink>
          </w:p>
        </w:tc>
        <w:tc>
          <w:tcPr>
            <w:tcW w:w="4880" w:type="dxa"/>
            <w:vAlign w:val="bottom"/>
            <w:gridSpan w:val="22"/>
            <w:shd w:val="clear" w:color="auto" w:fill="F4F4F4"/>
          </w:tcPr>
          <w:p>
            <w:pPr>
              <w:spacing w:after="0" w:line="189" w:lineRule="exact"/>
              <w:rPr>
                <w:rFonts w:ascii="Arial" w:cs="Arial" w:eastAsia="Arial" w:hAnsi="Arial"/>
                <w:sz w:val="18"/>
                <w:szCs w:val="18"/>
                <w:color w:val="0000FF"/>
              </w:rPr>
            </w:pPr>
            <w:hyperlink w:anchor="page134">
              <w:r>
                <w:rPr>
                  <w:rFonts w:ascii="Arial" w:cs="Arial" w:eastAsia="Arial" w:hAnsi="Arial"/>
                  <w:sz w:val="18"/>
                  <w:szCs w:val="18"/>
                  <w:color w:val="0000FF"/>
                </w:rPr>
                <w:t>Consent of Independent Registered Public Accounting</w:t>
              </w:r>
            </w:hyperlink>
          </w:p>
        </w:tc>
        <w:tc>
          <w:tcPr>
            <w:tcW w:w="1220" w:type="dxa"/>
            <w:vAlign w:val="bottom"/>
            <w:shd w:val="clear" w:color="auto" w:fill="F4F4F4"/>
          </w:tcPr>
          <w:p>
            <w:pPr>
              <w:spacing w:after="0"/>
              <w:rPr>
                <w:sz w:val="16"/>
                <w:szCs w:val="16"/>
                <w:color w:val="auto"/>
              </w:rPr>
            </w:pPr>
          </w:p>
        </w:tc>
        <w:tc>
          <w:tcPr>
            <w:tcW w:w="1660" w:type="dxa"/>
            <w:vAlign w:val="bottom"/>
            <w:shd w:val="clear" w:color="auto" w:fill="F4F4F4"/>
          </w:tcPr>
          <w:p>
            <w:pPr>
              <w:spacing w:after="0"/>
              <w:rPr>
                <w:sz w:val="16"/>
                <w:szCs w:val="16"/>
                <w:color w:val="auto"/>
              </w:rPr>
            </w:pPr>
          </w:p>
        </w:tc>
        <w:tc>
          <w:tcPr>
            <w:tcW w:w="960" w:type="dxa"/>
            <w:vAlign w:val="bottom"/>
            <w:shd w:val="clear" w:color="auto" w:fill="F4F4F4"/>
          </w:tcPr>
          <w:p>
            <w:pPr>
              <w:spacing w:after="0"/>
              <w:rPr>
                <w:sz w:val="16"/>
                <w:szCs w:val="16"/>
                <w:color w:val="auto"/>
              </w:rPr>
            </w:pPr>
          </w:p>
        </w:tc>
        <w:tc>
          <w:tcPr>
            <w:tcW w:w="900" w:type="dxa"/>
            <w:vAlign w:val="bottom"/>
            <w:shd w:val="clear" w:color="auto" w:fill="F4F4F4"/>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500" w:type="dxa"/>
            <w:vAlign w:val="bottom"/>
            <w:tcBorders>
              <w:top w:val="single" w:sz="8" w:color="F4F4F4"/>
              <w:bottom w:val="single" w:sz="8" w:color="F4F4F4"/>
            </w:tcBorders>
            <w:shd w:val="clear" w:color="auto" w:fill="F4F4F4"/>
          </w:tcPr>
          <w:p>
            <w:pPr>
              <w:spacing w:after="0"/>
              <w:rPr>
                <w:sz w:val="15"/>
                <w:szCs w:val="15"/>
                <w:color w:val="auto"/>
              </w:rPr>
            </w:pPr>
          </w:p>
        </w:tc>
        <w:tc>
          <w:tcPr>
            <w:tcW w:w="440" w:type="dxa"/>
            <w:vAlign w:val="bottom"/>
            <w:tcBorders>
              <w:top w:val="single" w:sz="8" w:color="F4F4F4"/>
              <w:bottom w:val="single" w:sz="8" w:color="F4F4F4"/>
            </w:tcBorders>
            <w:shd w:val="clear" w:color="auto" w:fill="F4F4F4"/>
          </w:tcPr>
          <w:p>
            <w:pPr>
              <w:spacing w:after="0"/>
              <w:rPr>
                <w:sz w:val="15"/>
                <w:szCs w:val="15"/>
                <w:color w:val="auto"/>
              </w:rPr>
            </w:pPr>
          </w:p>
        </w:tc>
        <w:tc>
          <w:tcPr>
            <w:tcW w:w="680" w:type="dxa"/>
            <w:vAlign w:val="bottom"/>
            <w:tcBorders>
              <w:top w:val="single" w:sz="8" w:color="F4F4F4"/>
              <w:bottom w:val="single" w:sz="8" w:color="F4F4F4"/>
            </w:tcBorders>
            <w:shd w:val="clear" w:color="auto" w:fill="F4F4F4"/>
          </w:tcPr>
          <w:p>
            <w:pPr>
              <w:spacing w:after="0"/>
              <w:rPr>
                <w:sz w:val="15"/>
                <w:szCs w:val="15"/>
                <w:color w:val="auto"/>
              </w:rPr>
            </w:pPr>
          </w:p>
        </w:tc>
        <w:tc>
          <w:tcPr>
            <w:tcW w:w="360" w:type="dxa"/>
            <w:vAlign w:val="bottom"/>
            <w:tcBorders>
              <w:top w:val="single" w:sz="8" w:color="0000FF"/>
              <w:bottom w:val="single" w:sz="8" w:color="0000FF"/>
            </w:tcBorders>
            <w:shd w:val="clear" w:color="auto" w:fill="F4F4F4"/>
          </w:tcPr>
          <w:p>
            <w:pPr>
              <w:spacing w:after="0" w:line="156" w:lineRule="exact"/>
              <w:rPr>
                <w:rFonts w:ascii="Arial" w:cs="Arial" w:eastAsia="Arial" w:hAnsi="Arial"/>
                <w:sz w:val="18"/>
                <w:szCs w:val="18"/>
                <w:color w:val="0000FF"/>
                <w:w w:val="94"/>
              </w:rPr>
            </w:pPr>
            <w:hyperlink w:anchor="page134">
              <w:r>
                <w:rPr>
                  <w:rFonts w:ascii="Arial" w:cs="Arial" w:eastAsia="Arial" w:hAnsi="Arial"/>
                  <w:sz w:val="18"/>
                  <w:szCs w:val="18"/>
                  <w:color w:val="0000FF"/>
                  <w:w w:val="94"/>
                </w:rPr>
                <w:t>Firm</w:t>
              </w:r>
            </w:hyperlink>
          </w:p>
        </w:tc>
        <w:tc>
          <w:tcPr>
            <w:tcW w:w="4000" w:type="dxa"/>
            <w:vAlign w:val="bottom"/>
            <w:tcBorders>
              <w:top w:val="single" w:sz="8" w:color="0000FF"/>
              <w:bottom w:val="single" w:sz="8" w:color="F4F4F4"/>
            </w:tcBorders>
            <w:gridSpan w:val="7"/>
            <w:shd w:val="clear" w:color="auto" w:fill="F4F4F4"/>
          </w:tcPr>
          <w:p>
            <w:pPr>
              <w:spacing w:after="0"/>
              <w:rPr>
                <w:sz w:val="15"/>
                <w:szCs w:val="15"/>
                <w:color w:val="auto"/>
              </w:rPr>
            </w:pPr>
          </w:p>
        </w:tc>
        <w:tc>
          <w:tcPr>
            <w:tcW w:w="260" w:type="dxa"/>
            <w:vAlign w:val="bottom"/>
            <w:tcBorders>
              <w:top w:val="single" w:sz="8" w:color="F4F4F4"/>
              <w:bottom w:val="single" w:sz="8" w:color="F4F4F4"/>
            </w:tcBorders>
            <w:shd w:val="clear" w:color="auto" w:fill="F4F4F4"/>
          </w:tcPr>
          <w:p>
            <w:pPr>
              <w:spacing w:after="0"/>
              <w:rPr>
                <w:sz w:val="15"/>
                <w:szCs w:val="15"/>
                <w:color w:val="auto"/>
              </w:rPr>
            </w:pPr>
          </w:p>
        </w:tc>
        <w:tc>
          <w:tcPr>
            <w:tcW w:w="260" w:type="dxa"/>
            <w:vAlign w:val="bottom"/>
            <w:tcBorders>
              <w:top w:val="single" w:sz="8" w:color="F4F4F4"/>
              <w:bottom w:val="single" w:sz="8" w:color="F4F4F4"/>
            </w:tcBorders>
            <w:gridSpan w:val="13"/>
            <w:shd w:val="clear" w:color="auto" w:fill="F4F4F4"/>
          </w:tcPr>
          <w:p>
            <w:pPr>
              <w:spacing w:after="0"/>
              <w:rPr>
                <w:sz w:val="15"/>
                <w:szCs w:val="15"/>
                <w:color w:val="auto"/>
              </w:rPr>
            </w:pPr>
          </w:p>
        </w:tc>
        <w:tc>
          <w:tcPr>
            <w:tcW w:w="1220" w:type="dxa"/>
            <w:vAlign w:val="bottom"/>
            <w:tcBorders>
              <w:top w:val="single" w:sz="8" w:color="F4F4F4"/>
              <w:bottom w:val="single" w:sz="8" w:color="F4F4F4"/>
            </w:tcBorders>
            <w:shd w:val="clear" w:color="auto" w:fill="F4F4F4"/>
          </w:tcPr>
          <w:p>
            <w:pPr>
              <w:spacing w:after="0"/>
              <w:rPr>
                <w:sz w:val="15"/>
                <w:szCs w:val="15"/>
                <w:color w:val="auto"/>
              </w:rPr>
            </w:pPr>
          </w:p>
        </w:tc>
        <w:tc>
          <w:tcPr>
            <w:tcW w:w="1660" w:type="dxa"/>
            <w:vAlign w:val="bottom"/>
            <w:tcBorders>
              <w:top w:val="single" w:sz="8" w:color="F4F4F4"/>
              <w:bottom w:val="single" w:sz="8" w:color="F4F4F4"/>
            </w:tcBorders>
            <w:shd w:val="clear" w:color="auto" w:fill="F4F4F4"/>
          </w:tcPr>
          <w:p>
            <w:pPr>
              <w:spacing w:after="0"/>
              <w:rPr>
                <w:sz w:val="15"/>
                <w:szCs w:val="15"/>
                <w:color w:val="auto"/>
              </w:rPr>
            </w:pPr>
          </w:p>
        </w:tc>
        <w:tc>
          <w:tcPr>
            <w:tcW w:w="960" w:type="dxa"/>
            <w:vAlign w:val="bottom"/>
            <w:tcBorders>
              <w:top w:val="single" w:sz="8" w:color="F4F4F4"/>
              <w:bottom w:val="single" w:sz="8" w:color="F4F4F4"/>
            </w:tcBorders>
            <w:shd w:val="clear" w:color="auto" w:fill="F4F4F4"/>
          </w:tcPr>
          <w:p>
            <w:pPr>
              <w:spacing w:after="0"/>
              <w:rPr>
                <w:sz w:val="15"/>
                <w:szCs w:val="15"/>
                <w:color w:val="auto"/>
              </w:rPr>
            </w:pPr>
          </w:p>
        </w:tc>
        <w:tc>
          <w:tcPr>
            <w:tcW w:w="900" w:type="dxa"/>
            <w:vAlign w:val="bottom"/>
            <w:tcBorders>
              <w:top w:val="single" w:sz="8" w:color="F4F4F4"/>
              <w:bottom w:val="single" w:sz="8" w:color="F4F4F4"/>
            </w:tcBorders>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20" w:type="dxa"/>
            <w:vAlign w:val="bottom"/>
            <w:gridSpan w:val="3"/>
          </w:tcPr>
          <w:p>
            <w:pPr>
              <w:jc w:val="right"/>
              <w:ind w:right="680"/>
              <w:spacing w:after="0" w:line="189" w:lineRule="exact"/>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31.1</w:t>
              </w:r>
            </w:hyperlink>
          </w:p>
        </w:tc>
        <w:tc>
          <w:tcPr>
            <w:tcW w:w="4880" w:type="dxa"/>
            <w:vAlign w:val="bottom"/>
            <w:gridSpan w:val="22"/>
          </w:tcPr>
          <w:p>
            <w:pPr>
              <w:spacing w:after="0" w:line="189" w:lineRule="exact"/>
              <w:rPr>
                <w:rFonts w:ascii="Arial" w:cs="Arial" w:eastAsia="Arial" w:hAnsi="Arial"/>
                <w:sz w:val="18"/>
                <w:szCs w:val="18"/>
                <w:color w:val="0000FF"/>
              </w:rPr>
            </w:pPr>
            <w:hyperlink w:anchor="page135">
              <w:r>
                <w:rPr>
                  <w:rFonts w:ascii="Arial" w:cs="Arial" w:eastAsia="Arial" w:hAnsi="Arial"/>
                  <w:sz w:val="18"/>
                  <w:szCs w:val="18"/>
                  <w:color w:val="0000FF"/>
                </w:rPr>
                <w:t>Certification by the Chief Executive Officer pursuant to</w:t>
              </w:r>
            </w:hyperlink>
          </w:p>
        </w:tc>
        <w:tc>
          <w:tcPr>
            <w:tcW w:w="1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20" w:type="dxa"/>
            <w:vAlign w:val="bottom"/>
            <w:tcBorders>
              <w:top w:val="single" w:sz="8" w:color="0000FF"/>
            </w:tcBorders>
            <w:gridSpan w:val="6"/>
          </w:tcPr>
          <w:p>
            <w:pPr>
              <w:spacing w:after="0" w:line="196" w:lineRule="exact"/>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Section 302 of the Sarbanes-Oxley Act of 2002</w:t>
              </w:r>
            </w:hyperlink>
          </w:p>
        </w:tc>
        <w:tc>
          <w:tcPr>
            <w:tcW w:w="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260" w:type="dxa"/>
            <w:vAlign w:val="bottom"/>
            <w:gridSpan w:val="13"/>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gridSpan w:val="3"/>
            <w:shd w:val="clear" w:color="auto" w:fill="F4F4F4"/>
          </w:tcPr>
          <w:p>
            <w:pPr>
              <w:jc w:val="right"/>
              <w:ind w:right="680"/>
              <w:spacing w:after="0" w:line="189" w:lineRule="exact"/>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31.2</w:t>
              </w:r>
            </w:hyperlink>
          </w:p>
        </w:tc>
        <w:tc>
          <w:tcPr>
            <w:tcW w:w="4880" w:type="dxa"/>
            <w:vAlign w:val="bottom"/>
            <w:gridSpan w:val="22"/>
            <w:shd w:val="clear" w:color="auto" w:fill="F4F4F4"/>
          </w:tcPr>
          <w:p>
            <w:pPr>
              <w:spacing w:after="0" w:line="189" w:lineRule="exact"/>
              <w:rPr>
                <w:rFonts w:ascii="Arial" w:cs="Arial" w:eastAsia="Arial" w:hAnsi="Arial"/>
                <w:sz w:val="18"/>
                <w:szCs w:val="18"/>
                <w:color w:val="0000FF"/>
              </w:rPr>
            </w:pPr>
            <w:hyperlink w:anchor="page136">
              <w:r>
                <w:rPr>
                  <w:rFonts w:ascii="Arial" w:cs="Arial" w:eastAsia="Arial" w:hAnsi="Arial"/>
                  <w:sz w:val="18"/>
                  <w:szCs w:val="18"/>
                  <w:color w:val="0000FF"/>
                </w:rPr>
                <w:t>Certification by the Chief Financial Officer pursuant to</w:t>
              </w:r>
            </w:hyperlink>
          </w:p>
        </w:tc>
        <w:tc>
          <w:tcPr>
            <w:tcW w:w="1220" w:type="dxa"/>
            <w:vAlign w:val="bottom"/>
            <w:shd w:val="clear" w:color="auto" w:fill="F4F4F4"/>
          </w:tcPr>
          <w:p>
            <w:pPr>
              <w:spacing w:after="0"/>
              <w:rPr>
                <w:sz w:val="16"/>
                <w:szCs w:val="16"/>
                <w:color w:val="auto"/>
              </w:rPr>
            </w:pPr>
          </w:p>
        </w:tc>
        <w:tc>
          <w:tcPr>
            <w:tcW w:w="1660" w:type="dxa"/>
            <w:vAlign w:val="bottom"/>
            <w:shd w:val="clear" w:color="auto" w:fill="F4F4F4"/>
          </w:tcPr>
          <w:p>
            <w:pPr>
              <w:spacing w:after="0"/>
              <w:rPr>
                <w:sz w:val="16"/>
                <w:szCs w:val="16"/>
                <w:color w:val="auto"/>
              </w:rPr>
            </w:pPr>
          </w:p>
        </w:tc>
        <w:tc>
          <w:tcPr>
            <w:tcW w:w="960" w:type="dxa"/>
            <w:vAlign w:val="bottom"/>
            <w:shd w:val="clear" w:color="auto" w:fill="F4F4F4"/>
          </w:tcPr>
          <w:p>
            <w:pPr>
              <w:spacing w:after="0"/>
              <w:rPr>
                <w:sz w:val="16"/>
                <w:szCs w:val="16"/>
                <w:color w:val="auto"/>
              </w:rPr>
            </w:pPr>
          </w:p>
        </w:tc>
        <w:tc>
          <w:tcPr>
            <w:tcW w:w="900" w:type="dxa"/>
            <w:vAlign w:val="bottom"/>
            <w:shd w:val="clear" w:color="auto" w:fill="F4F4F4"/>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500" w:type="dxa"/>
            <w:vAlign w:val="bottom"/>
            <w:tcBorders>
              <w:top w:val="single" w:sz="8" w:color="F4F4F4"/>
            </w:tcBorders>
            <w:shd w:val="clear" w:color="auto" w:fill="F4F4F4"/>
          </w:tcPr>
          <w:p>
            <w:pPr>
              <w:spacing w:after="0"/>
              <w:rPr>
                <w:sz w:val="17"/>
                <w:szCs w:val="17"/>
                <w:color w:val="auto"/>
              </w:rPr>
            </w:pPr>
          </w:p>
        </w:tc>
        <w:tc>
          <w:tcPr>
            <w:tcW w:w="440" w:type="dxa"/>
            <w:vAlign w:val="bottom"/>
            <w:tcBorders>
              <w:top w:val="single" w:sz="8" w:color="F4F4F4"/>
            </w:tcBorders>
            <w:shd w:val="clear" w:color="auto" w:fill="F4F4F4"/>
          </w:tcPr>
          <w:p>
            <w:pPr>
              <w:spacing w:after="0"/>
              <w:rPr>
                <w:sz w:val="17"/>
                <w:szCs w:val="17"/>
                <w:color w:val="auto"/>
              </w:rPr>
            </w:pPr>
          </w:p>
        </w:tc>
        <w:tc>
          <w:tcPr>
            <w:tcW w:w="680" w:type="dxa"/>
            <w:vAlign w:val="bottom"/>
            <w:tcBorders>
              <w:top w:val="single" w:sz="8" w:color="F4F4F4"/>
            </w:tcBorders>
            <w:shd w:val="clear" w:color="auto" w:fill="F4F4F4"/>
          </w:tcPr>
          <w:p>
            <w:pPr>
              <w:spacing w:after="0"/>
              <w:rPr>
                <w:sz w:val="17"/>
                <w:szCs w:val="17"/>
                <w:color w:val="auto"/>
              </w:rPr>
            </w:pPr>
          </w:p>
        </w:tc>
        <w:tc>
          <w:tcPr>
            <w:tcW w:w="4260" w:type="dxa"/>
            <w:vAlign w:val="bottom"/>
            <w:tcBorders>
              <w:top w:val="single" w:sz="8" w:color="0000FF"/>
            </w:tcBorders>
            <w:gridSpan w:val="4"/>
            <w:shd w:val="clear" w:color="auto" w:fill="F4F4F4"/>
          </w:tcPr>
          <w:p>
            <w:pPr>
              <w:spacing w:after="0" w:line="196" w:lineRule="exact"/>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Section 302 of the Sarbanes-Oxley Act of 2002</w:t>
              </w:r>
            </w:hyperlink>
          </w:p>
        </w:tc>
        <w:tc>
          <w:tcPr>
            <w:tcW w:w="20" w:type="dxa"/>
            <w:vAlign w:val="bottom"/>
            <w:tcBorders>
              <w:top w:val="single" w:sz="8" w:color="F4F4F4"/>
            </w:tcBorders>
            <w:shd w:val="clear" w:color="auto" w:fill="F4F4F4"/>
          </w:tcPr>
          <w:p>
            <w:pPr>
              <w:spacing w:after="0"/>
              <w:rPr>
                <w:sz w:val="17"/>
                <w:szCs w:val="17"/>
                <w:color w:val="auto"/>
              </w:rPr>
            </w:pPr>
          </w:p>
        </w:tc>
        <w:tc>
          <w:tcPr>
            <w:tcW w:w="60" w:type="dxa"/>
            <w:vAlign w:val="bottom"/>
            <w:tcBorders>
              <w:top w:val="single" w:sz="8" w:color="F4F4F4"/>
            </w:tcBorders>
            <w:gridSpan w:val="2"/>
            <w:shd w:val="clear" w:color="auto" w:fill="F4F4F4"/>
          </w:tcPr>
          <w:p>
            <w:pPr>
              <w:spacing w:after="0"/>
              <w:rPr>
                <w:sz w:val="17"/>
                <w:szCs w:val="17"/>
                <w:color w:val="auto"/>
              </w:rPr>
            </w:pPr>
          </w:p>
        </w:tc>
        <w:tc>
          <w:tcPr>
            <w:tcW w:w="280" w:type="dxa"/>
            <w:vAlign w:val="bottom"/>
            <w:tcBorders>
              <w:top w:val="single" w:sz="8" w:color="F4F4F4"/>
            </w:tcBorders>
            <w:gridSpan w:val="2"/>
            <w:shd w:val="clear" w:color="auto" w:fill="F4F4F4"/>
          </w:tcPr>
          <w:p>
            <w:pPr>
              <w:spacing w:after="0"/>
              <w:rPr>
                <w:sz w:val="17"/>
                <w:szCs w:val="17"/>
                <w:color w:val="auto"/>
              </w:rPr>
            </w:pPr>
          </w:p>
        </w:tc>
        <w:tc>
          <w:tcPr>
            <w:tcW w:w="260" w:type="dxa"/>
            <w:vAlign w:val="bottom"/>
            <w:tcBorders>
              <w:top w:val="single" w:sz="8" w:color="F4F4F4"/>
            </w:tcBorders>
            <w:gridSpan w:val="13"/>
            <w:shd w:val="clear" w:color="auto" w:fill="F4F4F4"/>
          </w:tcPr>
          <w:p>
            <w:pPr>
              <w:spacing w:after="0"/>
              <w:rPr>
                <w:sz w:val="17"/>
                <w:szCs w:val="17"/>
                <w:color w:val="auto"/>
              </w:rPr>
            </w:pPr>
          </w:p>
        </w:tc>
        <w:tc>
          <w:tcPr>
            <w:tcW w:w="1220" w:type="dxa"/>
            <w:vAlign w:val="bottom"/>
            <w:tcBorders>
              <w:top w:val="single" w:sz="8" w:color="F4F4F4"/>
            </w:tcBorders>
            <w:shd w:val="clear" w:color="auto" w:fill="F4F4F4"/>
          </w:tcPr>
          <w:p>
            <w:pPr>
              <w:spacing w:after="0"/>
              <w:rPr>
                <w:sz w:val="17"/>
                <w:szCs w:val="17"/>
                <w:color w:val="auto"/>
              </w:rPr>
            </w:pPr>
          </w:p>
        </w:tc>
        <w:tc>
          <w:tcPr>
            <w:tcW w:w="1660" w:type="dxa"/>
            <w:vAlign w:val="bottom"/>
            <w:tcBorders>
              <w:top w:val="single" w:sz="8" w:color="F4F4F4"/>
            </w:tcBorders>
            <w:shd w:val="clear" w:color="auto" w:fill="F4F4F4"/>
          </w:tcPr>
          <w:p>
            <w:pPr>
              <w:spacing w:after="0"/>
              <w:rPr>
                <w:sz w:val="17"/>
                <w:szCs w:val="17"/>
                <w:color w:val="auto"/>
              </w:rPr>
            </w:pPr>
          </w:p>
        </w:tc>
        <w:tc>
          <w:tcPr>
            <w:tcW w:w="960" w:type="dxa"/>
            <w:vAlign w:val="bottom"/>
            <w:tcBorders>
              <w:top w:val="single" w:sz="8" w:color="F4F4F4"/>
            </w:tcBorders>
            <w:shd w:val="clear" w:color="auto" w:fill="F4F4F4"/>
          </w:tcPr>
          <w:p>
            <w:pPr>
              <w:spacing w:after="0"/>
              <w:rPr>
                <w:sz w:val="17"/>
                <w:szCs w:val="17"/>
                <w:color w:val="auto"/>
              </w:rPr>
            </w:pPr>
          </w:p>
        </w:tc>
        <w:tc>
          <w:tcPr>
            <w:tcW w:w="900" w:type="dxa"/>
            <w:vAlign w:val="bottom"/>
            <w:tcBorders>
              <w:top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20" w:type="dxa"/>
            <w:vAlign w:val="bottom"/>
            <w:gridSpan w:val="3"/>
          </w:tcPr>
          <w:p>
            <w:pPr>
              <w:jc w:val="right"/>
              <w:ind w:right="680"/>
              <w:spacing w:after="0" w:line="189" w:lineRule="exact"/>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32.1</w:t>
              </w:r>
            </w:hyperlink>
          </w:p>
        </w:tc>
        <w:tc>
          <w:tcPr>
            <w:tcW w:w="4880" w:type="dxa"/>
            <w:vAlign w:val="bottom"/>
            <w:gridSpan w:val="22"/>
          </w:tcPr>
          <w:p>
            <w:pPr>
              <w:spacing w:after="0" w:line="189" w:lineRule="exact"/>
              <w:rPr>
                <w:rFonts w:ascii="Arial" w:cs="Arial" w:eastAsia="Arial" w:hAnsi="Arial"/>
                <w:sz w:val="18"/>
                <w:szCs w:val="18"/>
                <w:color w:val="0000FF"/>
              </w:rPr>
            </w:pPr>
            <w:hyperlink w:anchor="page137">
              <w:r>
                <w:rPr>
                  <w:rFonts w:ascii="Arial" w:cs="Arial" w:eastAsia="Arial" w:hAnsi="Arial"/>
                  <w:sz w:val="18"/>
                  <w:szCs w:val="18"/>
                  <w:color w:val="0000FF"/>
                </w:rPr>
                <w:t>Certification by the Chief Executive Officer pursuant to</w:t>
              </w:r>
            </w:hyperlink>
          </w:p>
        </w:tc>
        <w:tc>
          <w:tcPr>
            <w:tcW w:w="1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340" w:type="dxa"/>
            <w:vAlign w:val="bottom"/>
            <w:tcBorders>
              <w:top w:val="single" w:sz="8" w:color="0000FF"/>
            </w:tcBorders>
            <w:gridSpan w:val="7"/>
          </w:tcPr>
          <w:p>
            <w:pPr>
              <w:spacing w:after="0" w:line="157" w:lineRule="exact"/>
              <w:rPr>
                <w:rFonts w:ascii="Arial" w:cs="Arial" w:eastAsia="Arial" w:hAnsi="Arial"/>
                <w:sz w:val="18"/>
                <w:szCs w:val="18"/>
                <w:color w:val="0000FF"/>
                <w:w w:val="99"/>
              </w:rPr>
            </w:pPr>
            <w:hyperlink w:anchor="page137">
              <w:r>
                <w:rPr>
                  <w:rFonts w:ascii="Arial" w:cs="Arial" w:eastAsia="Arial" w:hAnsi="Arial"/>
                  <w:sz w:val="18"/>
                  <w:szCs w:val="18"/>
                  <w:color w:val="0000FF"/>
                  <w:w w:val="99"/>
                </w:rPr>
                <w:t>18 U.S.C. 1350 as adopted pursuant to Section 906 of</w:t>
              </w:r>
            </w:hyperlink>
          </w:p>
        </w:tc>
        <w:tc>
          <w:tcPr>
            <w:tcW w:w="540" w:type="dxa"/>
            <w:vAlign w:val="bottom"/>
            <w:gridSpan w:val="15"/>
          </w:tcPr>
          <w:p>
            <w:pPr>
              <w:ind w:left="40"/>
              <w:spacing w:after="0" w:line="157" w:lineRule="exact"/>
              <w:rPr>
                <w:rFonts w:ascii="Arial" w:cs="Arial" w:eastAsia="Arial" w:hAnsi="Arial"/>
                <w:sz w:val="18"/>
                <w:szCs w:val="18"/>
                <w:color w:val="0000FF"/>
              </w:rPr>
            </w:pPr>
            <w:hyperlink w:anchor="page137">
              <w:r>
                <w:rPr>
                  <w:rFonts w:ascii="Arial" w:cs="Arial" w:eastAsia="Arial" w:hAnsi="Arial"/>
                  <w:sz w:val="18"/>
                  <w:szCs w:val="18"/>
                  <w:color w:val="0000FF"/>
                </w:rPr>
                <w:t>the</w:t>
              </w:r>
            </w:hyperlink>
          </w:p>
        </w:tc>
        <w:tc>
          <w:tcPr>
            <w:tcW w:w="1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37">
              <w:r>
                <w:rPr>
                  <w:rFonts w:ascii="Arial" w:cs="Arial" w:eastAsia="Arial" w:hAnsi="Arial"/>
                  <w:sz w:val="18"/>
                  <w:szCs w:val="18"/>
                  <w:color w:val="0000FF"/>
                </w:rPr>
                <w:t>Sarbanes-Oxley Act of 2002</w:t>
              </w:r>
            </w:hyperlink>
          </w:p>
        </w:tc>
        <w:tc>
          <w:tcPr>
            <w:tcW w:w="260" w:type="dxa"/>
            <w:vAlign w:val="bottom"/>
            <w:gridSpan w:val="13"/>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20" w:type="dxa"/>
            <w:vAlign w:val="bottom"/>
            <w:tcBorders>
              <w:bottom w:val="single" w:sz="8" w:color="F4F4F4"/>
            </w:tcBorders>
            <w:gridSpan w:val="3"/>
            <w:shd w:val="clear" w:color="auto" w:fill="F4F4F4"/>
          </w:tcPr>
          <w:p>
            <w:pPr>
              <w:jc w:val="right"/>
              <w:ind w:right="680"/>
              <w:spacing w:after="0" w:line="189" w:lineRule="exact"/>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32.2</w:t>
              </w:r>
            </w:hyperlink>
          </w:p>
        </w:tc>
        <w:tc>
          <w:tcPr>
            <w:tcW w:w="4280" w:type="dxa"/>
            <w:vAlign w:val="bottom"/>
            <w:tcBorders>
              <w:bottom w:val="single" w:sz="8" w:color="0000FF"/>
            </w:tcBorders>
            <w:gridSpan w:val="5"/>
            <w:shd w:val="clear" w:color="auto" w:fill="F4F4F4"/>
          </w:tcPr>
          <w:p>
            <w:pPr>
              <w:spacing w:after="0" w:line="189" w:lineRule="exact"/>
              <w:rPr>
                <w:rFonts w:ascii="Arial" w:cs="Arial" w:eastAsia="Arial" w:hAnsi="Arial"/>
                <w:sz w:val="18"/>
                <w:szCs w:val="18"/>
                <w:color w:val="0000FF"/>
                <w:w w:val="99"/>
              </w:rPr>
            </w:pPr>
            <w:hyperlink w:anchor="page138">
              <w:r>
                <w:rPr>
                  <w:rFonts w:ascii="Arial" w:cs="Arial" w:eastAsia="Arial" w:hAnsi="Arial"/>
                  <w:sz w:val="18"/>
                  <w:szCs w:val="18"/>
                  <w:color w:val="0000FF"/>
                  <w:w w:val="99"/>
                </w:rPr>
                <w:t>Certification by the Chief Financial Officer pursuant to</w:t>
              </w:r>
            </w:hyperlink>
          </w:p>
        </w:tc>
        <w:tc>
          <w:tcPr>
            <w:tcW w:w="600" w:type="dxa"/>
            <w:vAlign w:val="bottom"/>
            <w:tcBorders>
              <w:bottom w:val="single" w:sz="8" w:color="F4F4F4"/>
            </w:tcBorders>
            <w:gridSpan w:val="17"/>
            <w:shd w:val="clear" w:color="auto" w:fill="F4F4F4"/>
          </w:tcPr>
          <w:p>
            <w:pPr>
              <w:spacing w:after="0"/>
              <w:rPr>
                <w:sz w:val="16"/>
                <w:szCs w:val="16"/>
                <w:color w:val="auto"/>
              </w:rPr>
            </w:pPr>
          </w:p>
        </w:tc>
        <w:tc>
          <w:tcPr>
            <w:tcW w:w="1220" w:type="dxa"/>
            <w:vAlign w:val="bottom"/>
            <w:tcBorders>
              <w:bottom w:val="single" w:sz="8" w:color="F4F4F4"/>
            </w:tcBorders>
            <w:shd w:val="clear" w:color="auto" w:fill="F4F4F4"/>
          </w:tcPr>
          <w:p>
            <w:pPr>
              <w:spacing w:after="0"/>
              <w:rPr>
                <w:sz w:val="16"/>
                <w:szCs w:val="16"/>
                <w:color w:val="auto"/>
              </w:rPr>
            </w:pPr>
          </w:p>
        </w:tc>
        <w:tc>
          <w:tcPr>
            <w:tcW w:w="1660" w:type="dxa"/>
            <w:vAlign w:val="bottom"/>
            <w:tcBorders>
              <w:bottom w:val="single" w:sz="8" w:color="F4F4F4"/>
            </w:tcBorders>
            <w:shd w:val="clear" w:color="auto" w:fill="F4F4F4"/>
          </w:tcPr>
          <w:p>
            <w:pPr>
              <w:spacing w:after="0"/>
              <w:rPr>
                <w:sz w:val="16"/>
                <w:szCs w:val="16"/>
                <w:color w:val="auto"/>
              </w:rPr>
            </w:pPr>
          </w:p>
        </w:tc>
        <w:tc>
          <w:tcPr>
            <w:tcW w:w="960" w:type="dxa"/>
            <w:vAlign w:val="bottom"/>
            <w:tcBorders>
              <w:bottom w:val="single" w:sz="8" w:color="F4F4F4"/>
            </w:tcBorders>
            <w:shd w:val="clear" w:color="auto" w:fill="F4F4F4"/>
          </w:tcPr>
          <w:p>
            <w:pPr>
              <w:spacing w:after="0"/>
              <w:rPr>
                <w:sz w:val="16"/>
                <w:szCs w:val="16"/>
                <w:color w:val="auto"/>
              </w:rPr>
            </w:pPr>
          </w:p>
        </w:tc>
        <w:tc>
          <w:tcPr>
            <w:tcW w:w="900" w:type="dxa"/>
            <w:vAlign w:val="bottom"/>
            <w:tcBorders>
              <w:bottom w:val="single" w:sz="8" w:color="F4F4F4"/>
            </w:tcBorders>
            <w:shd w:val="clear" w:color="auto" w:fill="F4F4F4"/>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500" w:type="dxa"/>
            <w:vAlign w:val="bottom"/>
            <w:shd w:val="clear" w:color="auto" w:fill="F4F4F4"/>
          </w:tcPr>
          <w:p>
            <w:pPr>
              <w:spacing w:after="0"/>
              <w:rPr>
                <w:sz w:val="13"/>
                <w:szCs w:val="13"/>
                <w:color w:val="auto"/>
              </w:rPr>
            </w:pPr>
          </w:p>
        </w:tc>
        <w:tc>
          <w:tcPr>
            <w:tcW w:w="44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4880" w:type="dxa"/>
            <w:vAlign w:val="bottom"/>
            <w:gridSpan w:val="22"/>
            <w:shd w:val="clear" w:color="auto" w:fill="F4F4F4"/>
          </w:tcPr>
          <w:p>
            <w:pPr>
              <w:spacing w:after="0" w:line="156" w:lineRule="exact"/>
              <w:rPr>
                <w:rFonts w:ascii="Arial" w:cs="Arial" w:eastAsia="Arial" w:hAnsi="Arial"/>
                <w:sz w:val="18"/>
                <w:szCs w:val="18"/>
                <w:color w:val="0000FF"/>
              </w:rPr>
            </w:pPr>
            <w:hyperlink w:anchor="page138">
              <w:r>
                <w:rPr>
                  <w:rFonts w:ascii="Arial" w:cs="Arial" w:eastAsia="Arial" w:hAnsi="Arial"/>
                  <w:sz w:val="18"/>
                  <w:szCs w:val="18"/>
                  <w:color w:val="0000FF"/>
                </w:rPr>
                <w:t>18 U.S.C. 1350 as adopted pursuant to Section 906 of the</w:t>
              </w:r>
            </w:hyperlink>
          </w:p>
        </w:tc>
        <w:tc>
          <w:tcPr>
            <w:tcW w:w="1220" w:type="dxa"/>
            <w:vAlign w:val="bottom"/>
            <w:shd w:val="clear" w:color="auto" w:fill="F4F4F4"/>
          </w:tcPr>
          <w:p>
            <w:pPr>
              <w:spacing w:after="0"/>
              <w:rPr>
                <w:sz w:val="13"/>
                <w:szCs w:val="13"/>
                <w:color w:val="auto"/>
              </w:rPr>
            </w:pPr>
          </w:p>
        </w:tc>
        <w:tc>
          <w:tcPr>
            <w:tcW w:w="1660" w:type="dxa"/>
            <w:vAlign w:val="bottom"/>
            <w:shd w:val="clear" w:color="auto" w:fill="F4F4F4"/>
          </w:tcPr>
          <w:p>
            <w:pPr>
              <w:spacing w:after="0"/>
              <w:rPr>
                <w:sz w:val="13"/>
                <w:szCs w:val="13"/>
                <w:color w:val="auto"/>
              </w:rPr>
            </w:pPr>
          </w:p>
        </w:tc>
        <w:tc>
          <w:tcPr>
            <w:tcW w:w="9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F4F4F4"/>
              <w:bottom w:val="single" w:sz="8" w:color="71BF43"/>
            </w:tcBorders>
            <w:shd w:val="clear" w:color="auto" w:fill="F4F4F4"/>
          </w:tcPr>
          <w:p>
            <w:pPr>
              <w:spacing w:after="0"/>
              <w:rPr>
                <w:sz w:val="17"/>
                <w:szCs w:val="17"/>
                <w:color w:val="auto"/>
              </w:rPr>
            </w:pPr>
          </w:p>
        </w:tc>
        <w:tc>
          <w:tcPr>
            <w:tcW w:w="440" w:type="dxa"/>
            <w:vAlign w:val="bottom"/>
            <w:tcBorders>
              <w:top w:val="single" w:sz="8" w:color="F4F4F4"/>
              <w:bottom w:val="single" w:sz="8" w:color="71BF43"/>
            </w:tcBorders>
            <w:shd w:val="clear" w:color="auto" w:fill="F4F4F4"/>
          </w:tcPr>
          <w:p>
            <w:pPr>
              <w:spacing w:after="0"/>
              <w:rPr>
                <w:sz w:val="17"/>
                <w:szCs w:val="17"/>
                <w:color w:val="auto"/>
              </w:rPr>
            </w:pPr>
          </w:p>
        </w:tc>
        <w:tc>
          <w:tcPr>
            <w:tcW w:w="680" w:type="dxa"/>
            <w:vAlign w:val="bottom"/>
            <w:tcBorders>
              <w:top w:val="single" w:sz="8" w:color="F4F4F4"/>
              <w:bottom w:val="single" w:sz="8" w:color="71BF43"/>
            </w:tcBorders>
            <w:shd w:val="clear" w:color="auto" w:fill="F4F4F4"/>
          </w:tcPr>
          <w:p>
            <w:pPr>
              <w:spacing w:after="0"/>
              <w:rPr>
                <w:sz w:val="17"/>
                <w:szCs w:val="17"/>
                <w:color w:val="auto"/>
              </w:rPr>
            </w:pPr>
          </w:p>
        </w:tc>
        <w:tc>
          <w:tcPr>
            <w:tcW w:w="4620" w:type="dxa"/>
            <w:vAlign w:val="bottom"/>
            <w:tcBorders>
              <w:top w:val="single" w:sz="8" w:color="0000FF"/>
              <w:bottom w:val="single" w:sz="8" w:color="71BF43"/>
            </w:tcBorders>
            <w:gridSpan w:val="9"/>
            <w:shd w:val="clear" w:color="auto" w:fill="F4F4F4"/>
          </w:tcPr>
          <w:p>
            <w:pPr>
              <w:spacing w:after="0" w:line="156" w:lineRule="exact"/>
              <w:rPr>
                <w:rFonts w:ascii="Arial" w:cs="Arial" w:eastAsia="Arial" w:hAnsi="Arial"/>
                <w:sz w:val="18"/>
                <w:szCs w:val="18"/>
                <w:color w:val="0000FF"/>
              </w:rPr>
            </w:pPr>
            <w:hyperlink w:anchor="page138">
              <w:r>
                <w:rPr>
                  <w:rFonts w:ascii="Arial" w:cs="Arial" w:eastAsia="Arial" w:hAnsi="Arial"/>
                  <w:sz w:val="18"/>
                  <w:szCs w:val="18"/>
                  <w:color w:val="0000FF"/>
                </w:rPr>
                <w:t>Sarbanes-Oxley Act of 2002</w:t>
              </w:r>
            </w:hyperlink>
          </w:p>
        </w:tc>
        <w:tc>
          <w:tcPr>
            <w:tcW w:w="260" w:type="dxa"/>
            <w:vAlign w:val="bottom"/>
            <w:tcBorders>
              <w:top w:val="single" w:sz="8" w:color="F4F4F4"/>
              <w:bottom w:val="single" w:sz="8" w:color="71BF43"/>
            </w:tcBorders>
            <w:gridSpan w:val="13"/>
            <w:shd w:val="clear" w:color="auto" w:fill="F4F4F4"/>
          </w:tcPr>
          <w:p>
            <w:pPr>
              <w:spacing w:after="0"/>
              <w:rPr>
                <w:sz w:val="17"/>
                <w:szCs w:val="17"/>
                <w:color w:val="auto"/>
              </w:rPr>
            </w:pPr>
          </w:p>
        </w:tc>
        <w:tc>
          <w:tcPr>
            <w:tcW w:w="1220" w:type="dxa"/>
            <w:vAlign w:val="bottom"/>
            <w:tcBorders>
              <w:top w:val="single" w:sz="8" w:color="F4F4F4"/>
              <w:bottom w:val="single" w:sz="8" w:color="71BF43"/>
            </w:tcBorders>
            <w:shd w:val="clear" w:color="auto" w:fill="F4F4F4"/>
          </w:tcPr>
          <w:p>
            <w:pPr>
              <w:spacing w:after="0"/>
              <w:rPr>
                <w:sz w:val="17"/>
                <w:szCs w:val="17"/>
                <w:color w:val="auto"/>
              </w:rPr>
            </w:pPr>
          </w:p>
        </w:tc>
        <w:tc>
          <w:tcPr>
            <w:tcW w:w="1660" w:type="dxa"/>
            <w:vAlign w:val="bottom"/>
            <w:tcBorders>
              <w:top w:val="single" w:sz="8" w:color="F4F4F4"/>
              <w:bottom w:val="single" w:sz="8" w:color="71BF43"/>
            </w:tcBorders>
            <w:shd w:val="clear" w:color="auto" w:fill="F4F4F4"/>
          </w:tcPr>
          <w:p>
            <w:pPr>
              <w:spacing w:after="0"/>
              <w:rPr>
                <w:sz w:val="17"/>
                <w:szCs w:val="17"/>
                <w:color w:val="auto"/>
              </w:rPr>
            </w:pPr>
          </w:p>
        </w:tc>
        <w:tc>
          <w:tcPr>
            <w:tcW w:w="960" w:type="dxa"/>
            <w:vAlign w:val="bottom"/>
            <w:tcBorders>
              <w:top w:val="single" w:sz="8" w:color="F4F4F4"/>
              <w:bottom w:val="single" w:sz="8" w:color="71BF43"/>
            </w:tcBorders>
            <w:shd w:val="clear" w:color="auto" w:fill="F4F4F4"/>
          </w:tcPr>
          <w:p>
            <w:pPr>
              <w:spacing w:after="0"/>
              <w:rPr>
                <w:sz w:val="17"/>
                <w:szCs w:val="17"/>
                <w:color w:val="auto"/>
              </w:rPr>
            </w:pPr>
          </w:p>
        </w:tc>
        <w:tc>
          <w:tcPr>
            <w:tcW w:w="900" w:type="dxa"/>
            <w:vAlign w:val="bottom"/>
            <w:tcBorders>
              <w:top w:val="single" w:sz="8" w:color="F4F4F4"/>
              <w:bottom w:val="single" w:sz="8" w:color="71BF43"/>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-4097020</wp:posOffset>
            </wp:positionV>
            <wp:extent cx="30689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 xml:space="preserve">2020 Form 10-K  </w:t>
      </w:r>
      <w:r>
        <w:rPr>
          <w:sz w:val="1"/>
          <w:szCs w:val="1"/>
          <w:color w:val="auto"/>
        </w:rPr>
        <w:drawing>
          <wp:inline distT="0" distB="0" distL="0" distR="0">
            <wp:extent cx="728980" cy="188595"/>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9">
                      <a:extLst>
                        <a:ext uri="{28A0092B-C50C-407E-A947-70E740481C1C}"/>
                      </a:extLst>
                    </a:blip>
                    <a:srcRect/>
                    <a:stretch>
                      <a:fillRect/>
                    </a:stretch>
                  </pic:blipFill>
                  <pic:spPr bwMode="auto">
                    <a:xfrm>
                      <a:off x="0" y="0"/>
                      <a:ext cx="728980" cy="188595"/>
                    </a:xfrm>
                    <a:prstGeom prst="rect">
                      <a:avLst/>
                    </a:prstGeom>
                    <a:noFill/>
                    <a:ln>
                      <a:noFill/>
                    </a:ln>
                  </pic:spPr>
                </pic:pic>
              </a:graphicData>
            </a:graphic>
          </wp:inline>
        </w:drawing>
      </w:r>
      <w:r>
        <w:rPr>
          <w:rFonts w:ascii="Arial" w:cs="Arial" w:eastAsia="Arial" w:hAnsi="Arial"/>
          <w:sz w:val="14"/>
          <w:szCs w:val="14"/>
          <w:color w:val="auto"/>
        </w:rPr>
        <w:t xml:space="preserv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shd w:val="clear" w:color="auto" w:fill="ACACAC"/>
          </w:tcPr>
          <w:p>
            <w:pPr>
              <w:spacing w:after="0"/>
              <w:rPr>
                <w:sz w:val="16"/>
                <w:szCs w:val="16"/>
                <w:color w:val="auto"/>
              </w:rPr>
            </w:pPr>
          </w:p>
        </w:tc>
        <w:tc>
          <w:tcPr>
            <w:tcW w:w="5400" w:type="dxa"/>
            <w:vAlign w:val="bottom"/>
            <w:shd w:val="clear" w:color="auto" w:fill="ACACAC"/>
          </w:tcPr>
          <w:p>
            <w:pPr>
              <w:spacing w:after="0"/>
              <w:rPr>
                <w:sz w:val="16"/>
                <w:szCs w:val="16"/>
                <w:color w:val="auto"/>
              </w:rPr>
            </w:pPr>
          </w:p>
        </w:tc>
        <w:tc>
          <w:tcPr>
            <w:tcW w:w="1540" w:type="dxa"/>
            <w:vAlign w:val="bottom"/>
            <w:shd w:val="clear" w:color="auto" w:fill="ACACAC"/>
          </w:tcPr>
          <w:p>
            <w:pPr>
              <w:spacing w:after="0"/>
              <w:rPr>
                <w:sz w:val="16"/>
                <w:szCs w:val="16"/>
                <w:color w:val="auto"/>
              </w:rPr>
            </w:pPr>
          </w:p>
        </w:tc>
        <w:tc>
          <w:tcPr>
            <w:tcW w:w="1460" w:type="dxa"/>
            <w:vAlign w:val="bottom"/>
            <w:shd w:val="clear" w:color="auto" w:fill="ACACAC"/>
          </w:tcPr>
          <w:p>
            <w:pPr>
              <w:ind w:left="660"/>
              <w:spacing w:after="0"/>
              <w:rPr>
                <w:sz w:val="20"/>
                <w:szCs w:val="20"/>
                <w:color w:val="auto"/>
              </w:rPr>
            </w:pPr>
            <w:r>
              <w:rPr>
                <w:rFonts w:ascii="Arial" w:cs="Arial" w:eastAsia="Arial" w:hAnsi="Arial"/>
                <w:sz w:val="14"/>
                <w:szCs w:val="14"/>
                <w:b w:val="1"/>
                <w:bCs w:val="1"/>
                <w:color w:val="FFFFFF"/>
              </w:rPr>
              <w:t>Filed In</w:t>
            </w:r>
          </w:p>
        </w:tc>
        <w:tc>
          <w:tcPr>
            <w:tcW w:w="9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Exhibit</w:t>
            </w:r>
          </w:p>
        </w:tc>
        <w:tc>
          <w:tcPr>
            <w:tcW w:w="5400" w:type="dxa"/>
            <w:vAlign w:val="bottom"/>
            <w:vMerge w:val="restart"/>
            <w:shd w:val="clear" w:color="auto" w:fill="ACACAC"/>
          </w:tcPr>
          <w:p>
            <w:pPr>
              <w:ind w:left="2120"/>
              <w:spacing w:after="0"/>
              <w:rPr>
                <w:sz w:val="20"/>
                <w:szCs w:val="20"/>
                <w:color w:val="auto"/>
              </w:rPr>
            </w:pPr>
            <w:r>
              <w:rPr>
                <w:rFonts w:ascii="Arial" w:cs="Arial" w:eastAsia="Arial" w:hAnsi="Arial"/>
                <w:sz w:val="14"/>
                <w:szCs w:val="14"/>
                <w:b w:val="1"/>
                <w:bCs w:val="1"/>
                <w:color w:val="FFFFFF"/>
              </w:rPr>
              <w:t>Description of Document</w:t>
            </w:r>
          </w:p>
        </w:tc>
        <w:tc>
          <w:tcPr>
            <w:tcW w:w="1540" w:type="dxa"/>
            <w:vAlign w:val="bottom"/>
            <w:shd w:val="clear" w:color="auto" w:fill="ACACAC"/>
          </w:tcPr>
          <w:p>
            <w:pPr>
              <w:jc w:val="center"/>
              <w:ind w:right="308"/>
              <w:spacing w:after="0"/>
              <w:rPr>
                <w:sz w:val="20"/>
                <w:szCs w:val="20"/>
                <w:color w:val="auto"/>
              </w:rPr>
            </w:pPr>
            <w:r>
              <w:rPr>
                <w:rFonts w:ascii="Arial" w:cs="Arial" w:eastAsia="Arial" w:hAnsi="Arial"/>
                <w:sz w:val="14"/>
                <w:szCs w:val="14"/>
                <w:b w:val="1"/>
                <w:bCs w:val="1"/>
                <w:color w:val="FFFFFF"/>
              </w:rPr>
              <w:t>Registrant’s</w:t>
            </w:r>
          </w:p>
        </w:tc>
        <w:tc>
          <w:tcPr>
            <w:tcW w:w="1460" w:type="dxa"/>
            <w:vAlign w:val="bottom"/>
            <w:vMerge w:val="restart"/>
            <w:shd w:val="clear" w:color="auto" w:fill="ACACAC"/>
          </w:tcPr>
          <w:p>
            <w:pPr>
              <w:ind w:left="520"/>
              <w:spacing w:after="0"/>
              <w:rPr>
                <w:sz w:val="20"/>
                <w:szCs w:val="20"/>
                <w:color w:val="auto"/>
              </w:rPr>
            </w:pPr>
            <w:r>
              <w:rPr>
                <w:rFonts w:ascii="Arial" w:cs="Arial" w:eastAsia="Arial" w:hAnsi="Arial"/>
                <w:sz w:val="14"/>
                <w:szCs w:val="14"/>
                <w:b w:val="1"/>
                <w:bCs w:val="1"/>
                <w:color w:val="FFFFFF"/>
              </w:rPr>
              <w:t>Dated</w:t>
            </w:r>
          </w:p>
        </w:tc>
        <w:tc>
          <w:tcPr>
            <w:tcW w:w="96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Filed</w:t>
            </w:r>
          </w:p>
        </w:tc>
        <w:tc>
          <w:tcPr>
            <w:tcW w:w="0" w:type="dxa"/>
            <w:vAlign w:val="bottom"/>
          </w:tcPr>
          <w:p>
            <w:pPr>
              <w:spacing w:after="0"/>
              <w:rPr>
                <w:sz w:val="1"/>
                <w:szCs w:val="1"/>
                <w:color w:val="auto"/>
              </w:rPr>
            </w:pPr>
          </w:p>
        </w:tc>
      </w:tr>
      <w:tr>
        <w:trPr>
          <w:trHeight w:val="176"/>
        </w:trPr>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5400" w:type="dxa"/>
            <w:vAlign w:val="bottom"/>
            <w:vMerge w:val="continue"/>
            <w:shd w:val="clear" w:color="auto" w:fill="ACACAC"/>
          </w:tcPr>
          <w:p>
            <w:pPr>
              <w:spacing w:after="0"/>
              <w:rPr>
                <w:sz w:val="15"/>
                <w:szCs w:val="15"/>
                <w:color w:val="auto"/>
              </w:rPr>
            </w:pPr>
          </w:p>
        </w:tc>
        <w:tc>
          <w:tcPr>
            <w:tcW w:w="1540" w:type="dxa"/>
            <w:vAlign w:val="bottom"/>
            <w:shd w:val="clear" w:color="auto" w:fill="ACACAC"/>
          </w:tcPr>
          <w:p>
            <w:pPr>
              <w:jc w:val="center"/>
              <w:ind w:right="308"/>
              <w:spacing w:after="0"/>
              <w:rPr>
                <w:sz w:val="20"/>
                <w:szCs w:val="20"/>
                <w:color w:val="auto"/>
              </w:rPr>
            </w:pPr>
            <w:r>
              <w:rPr>
                <w:rFonts w:ascii="Arial" w:cs="Arial" w:eastAsia="Arial" w:hAnsi="Arial"/>
                <w:sz w:val="14"/>
                <w:szCs w:val="14"/>
                <w:b w:val="1"/>
                <w:bCs w:val="1"/>
                <w:color w:val="FFFFFF"/>
              </w:rPr>
              <w:t>Form</w:t>
            </w:r>
          </w:p>
        </w:tc>
        <w:tc>
          <w:tcPr>
            <w:tcW w:w="1460" w:type="dxa"/>
            <w:vAlign w:val="bottom"/>
            <w:vMerge w:val="continue"/>
            <w:shd w:val="clear" w:color="auto" w:fill="ACACAC"/>
          </w:tcPr>
          <w:p>
            <w:pPr>
              <w:spacing w:after="0"/>
              <w:rPr>
                <w:sz w:val="15"/>
                <w:szCs w:val="15"/>
                <w:color w:val="auto"/>
              </w:rPr>
            </w:pPr>
          </w:p>
        </w:tc>
        <w:tc>
          <w:tcPr>
            <w:tcW w:w="96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Number</w:t>
            </w:r>
          </w:p>
        </w:tc>
        <w:tc>
          <w:tcPr>
            <w:tcW w:w="9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Herewith</w:t>
            </w:r>
          </w:p>
        </w:tc>
        <w:tc>
          <w:tcPr>
            <w:tcW w:w="0" w:type="dxa"/>
            <w:vAlign w:val="bottom"/>
          </w:tcPr>
          <w:p>
            <w:pPr>
              <w:spacing w:after="0"/>
              <w:rPr>
                <w:sz w:val="1"/>
                <w:szCs w:val="1"/>
                <w:color w:val="auto"/>
              </w:rPr>
            </w:pPr>
          </w:p>
        </w:tc>
      </w:tr>
      <w:tr>
        <w:trPr>
          <w:trHeight w:val="188"/>
        </w:trPr>
        <w:tc>
          <w:tcPr>
            <w:tcW w:w="980" w:type="dxa"/>
            <w:vAlign w:val="bottom"/>
            <w:shd w:val="clear" w:color="auto" w:fill="F4F4F4"/>
          </w:tcPr>
          <w:p>
            <w:pPr>
              <w:jc w:val="right"/>
              <w:spacing w:after="0" w:line="189" w:lineRule="exact"/>
              <w:rPr>
                <w:sz w:val="20"/>
                <w:szCs w:val="20"/>
                <w:color w:val="auto"/>
              </w:rPr>
            </w:pPr>
            <w:r>
              <w:rPr>
                <w:rFonts w:ascii="Arial" w:cs="Arial" w:eastAsia="Arial" w:hAnsi="Arial"/>
                <w:sz w:val="18"/>
                <w:szCs w:val="18"/>
                <w:color w:val="auto"/>
              </w:rPr>
              <w:t>101.INS</w:t>
            </w:r>
          </w:p>
        </w:tc>
        <w:tc>
          <w:tcPr>
            <w:tcW w:w="5400" w:type="dxa"/>
            <w:vAlign w:val="bottom"/>
            <w:shd w:val="clear" w:color="auto" w:fill="F4F4F4"/>
          </w:tcPr>
          <w:p>
            <w:pPr>
              <w:ind w:left="660"/>
              <w:spacing w:after="0" w:line="189" w:lineRule="exact"/>
              <w:rPr>
                <w:sz w:val="20"/>
                <w:szCs w:val="20"/>
                <w:color w:val="auto"/>
              </w:rPr>
            </w:pPr>
            <w:r>
              <w:rPr>
                <w:rFonts w:ascii="Arial" w:cs="Arial" w:eastAsia="Arial" w:hAnsi="Arial"/>
                <w:sz w:val="18"/>
                <w:szCs w:val="18"/>
                <w:color w:val="auto"/>
              </w:rPr>
              <w:t>Inline XBRL Instance Document - the Instance Document</w:t>
            </w:r>
          </w:p>
        </w:tc>
        <w:tc>
          <w:tcPr>
            <w:tcW w:w="1540" w:type="dxa"/>
            <w:vAlign w:val="bottom"/>
            <w:shd w:val="clear" w:color="auto" w:fill="F4F4F4"/>
          </w:tcPr>
          <w:p>
            <w:pPr>
              <w:spacing w:after="0"/>
              <w:rPr>
                <w:sz w:val="16"/>
                <w:szCs w:val="16"/>
                <w:color w:val="auto"/>
              </w:rPr>
            </w:pPr>
          </w:p>
        </w:tc>
        <w:tc>
          <w:tcPr>
            <w:tcW w:w="1460" w:type="dxa"/>
            <w:vAlign w:val="bottom"/>
            <w:shd w:val="clear" w:color="auto" w:fill="F4F4F4"/>
          </w:tcPr>
          <w:p>
            <w:pPr>
              <w:spacing w:after="0"/>
              <w:rPr>
                <w:sz w:val="16"/>
                <w:szCs w:val="16"/>
                <w:color w:val="auto"/>
              </w:rPr>
            </w:pPr>
          </w:p>
        </w:tc>
        <w:tc>
          <w:tcPr>
            <w:tcW w:w="960" w:type="dxa"/>
            <w:vAlign w:val="bottom"/>
            <w:shd w:val="clear" w:color="auto" w:fill="F4F4F4"/>
          </w:tcPr>
          <w:p>
            <w:pPr>
              <w:spacing w:after="0"/>
              <w:rPr>
                <w:sz w:val="16"/>
                <w:szCs w:val="16"/>
                <w:color w:val="auto"/>
              </w:rPr>
            </w:pPr>
          </w:p>
        </w:tc>
        <w:tc>
          <w:tcPr>
            <w:tcW w:w="900" w:type="dxa"/>
            <w:vAlign w:val="bottom"/>
            <w:shd w:val="clear" w:color="auto" w:fill="F4F4F4"/>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5"/>
        </w:trPr>
        <w:tc>
          <w:tcPr>
            <w:tcW w:w="980" w:type="dxa"/>
            <w:vAlign w:val="bottom"/>
            <w:shd w:val="clear" w:color="auto" w:fill="F4F4F4"/>
          </w:tcPr>
          <w:p>
            <w:pPr>
              <w:spacing w:after="0"/>
              <w:rPr>
                <w:sz w:val="15"/>
                <w:szCs w:val="15"/>
                <w:color w:val="auto"/>
              </w:rPr>
            </w:pPr>
          </w:p>
        </w:tc>
        <w:tc>
          <w:tcPr>
            <w:tcW w:w="5400" w:type="dxa"/>
            <w:vAlign w:val="bottom"/>
            <w:shd w:val="clear" w:color="auto" w:fill="F4F4F4"/>
          </w:tcPr>
          <w:p>
            <w:pPr>
              <w:ind w:left="660"/>
              <w:spacing w:after="0" w:line="176" w:lineRule="exact"/>
              <w:rPr>
                <w:sz w:val="20"/>
                <w:szCs w:val="20"/>
                <w:color w:val="auto"/>
              </w:rPr>
            </w:pPr>
            <w:r>
              <w:rPr>
                <w:rFonts w:ascii="Arial" w:cs="Arial" w:eastAsia="Arial" w:hAnsi="Arial"/>
                <w:sz w:val="18"/>
                <w:szCs w:val="18"/>
                <w:color w:val="auto"/>
              </w:rPr>
              <w:t>does not appear in the interactive data file because its</w:t>
            </w:r>
          </w:p>
        </w:tc>
        <w:tc>
          <w:tcPr>
            <w:tcW w:w="1540" w:type="dxa"/>
            <w:vAlign w:val="bottom"/>
            <w:shd w:val="clear" w:color="auto" w:fill="F4F4F4"/>
          </w:tcPr>
          <w:p>
            <w:pPr>
              <w:spacing w:after="0"/>
              <w:rPr>
                <w:sz w:val="15"/>
                <w:szCs w:val="15"/>
                <w:color w:val="auto"/>
              </w:rPr>
            </w:pPr>
          </w:p>
        </w:tc>
        <w:tc>
          <w:tcPr>
            <w:tcW w:w="1460" w:type="dxa"/>
            <w:vAlign w:val="bottom"/>
            <w:shd w:val="clear" w:color="auto" w:fill="F4F4F4"/>
          </w:tcPr>
          <w:p>
            <w:pPr>
              <w:spacing w:after="0"/>
              <w:rPr>
                <w:sz w:val="15"/>
                <w:szCs w:val="15"/>
                <w:color w:val="auto"/>
              </w:rPr>
            </w:pPr>
          </w:p>
        </w:tc>
        <w:tc>
          <w:tcPr>
            <w:tcW w:w="960" w:type="dxa"/>
            <w:vAlign w:val="bottom"/>
            <w:shd w:val="clear" w:color="auto" w:fill="F4F4F4"/>
          </w:tcPr>
          <w:p>
            <w:pPr>
              <w:spacing w:after="0"/>
              <w:rPr>
                <w:sz w:val="15"/>
                <w:szCs w:val="15"/>
                <w:color w:val="auto"/>
              </w:rPr>
            </w:pPr>
          </w:p>
        </w:tc>
        <w:tc>
          <w:tcPr>
            <w:tcW w:w="900" w:type="dxa"/>
            <w:vAlign w:val="bottom"/>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shd w:val="clear" w:color="auto" w:fill="F4F4F4"/>
          </w:tcPr>
          <w:p>
            <w:pPr>
              <w:spacing w:after="0"/>
              <w:rPr>
                <w:sz w:val="15"/>
                <w:szCs w:val="15"/>
                <w:color w:val="auto"/>
              </w:rPr>
            </w:pPr>
          </w:p>
        </w:tc>
        <w:tc>
          <w:tcPr>
            <w:tcW w:w="5400" w:type="dxa"/>
            <w:vAlign w:val="bottom"/>
            <w:shd w:val="clear" w:color="auto" w:fill="F4F4F4"/>
          </w:tcPr>
          <w:p>
            <w:pPr>
              <w:ind w:left="660"/>
              <w:spacing w:after="0" w:line="176" w:lineRule="exact"/>
              <w:rPr>
                <w:sz w:val="20"/>
                <w:szCs w:val="20"/>
                <w:color w:val="auto"/>
              </w:rPr>
            </w:pPr>
            <w:r>
              <w:rPr>
                <w:rFonts w:ascii="Arial" w:cs="Arial" w:eastAsia="Arial" w:hAnsi="Arial"/>
                <w:sz w:val="18"/>
                <w:szCs w:val="18"/>
                <w:color w:val="auto"/>
              </w:rPr>
              <w:t>XBRL tags are embedded within the Inline XBRL</w:t>
            </w:r>
          </w:p>
        </w:tc>
        <w:tc>
          <w:tcPr>
            <w:tcW w:w="1540" w:type="dxa"/>
            <w:vAlign w:val="bottom"/>
            <w:shd w:val="clear" w:color="auto" w:fill="F4F4F4"/>
          </w:tcPr>
          <w:p>
            <w:pPr>
              <w:spacing w:after="0"/>
              <w:rPr>
                <w:sz w:val="15"/>
                <w:szCs w:val="15"/>
                <w:color w:val="auto"/>
              </w:rPr>
            </w:pPr>
          </w:p>
        </w:tc>
        <w:tc>
          <w:tcPr>
            <w:tcW w:w="1460" w:type="dxa"/>
            <w:vAlign w:val="bottom"/>
            <w:shd w:val="clear" w:color="auto" w:fill="F4F4F4"/>
          </w:tcPr>
          <w:p>
            <w:pPr>
              <w:spacing w:after="0"/>
              <w:rPr>
                <w:sz w:val="15"/>
                <w:szCs w:val="15"/>
                <w:color w:val="auto"/>
              </w:rPr>
            </w:pPr>
          </w:p>
        </w:tc>
        <w:tc>
          <w:tcPr>
            <w:tcW w:w="960" w:type="dxa"/>
            <w:vAlign w:val="bottom"/>
            <w:shd w:val="clear" w:color="auto" w:fill="F4F4F4"/>
          </w:tcPr>
          <w:p>
            <w:pPr>
              <w:spacing w:after="0"/>
              <w:rPr>
                <w:sz w:val="15"/>
                <w:szCs w:val="15"/>
                <w:color w:val="auto"/>
              </w:rPr>
            </w:pPr>
          </w:p>
        </w:tc>
        <w:tc>
          <w:tcPr>
            <w:tcW w:w="900" w:type="dxa"/>
            <w:vAlign w:val="bottom"/>
            <w:shd w:val="clear" w:color="auto" w:fill="F4F4F4"/>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F4F4F4"/>
          </w:tcPr>
          <w:p>
            <w:pPr>
              <w:spacing w:after="0"/>
              <w:rPr>
                <w:sz w:val="18"/>
                <w:szCs w:val="18"/>
                <w:color w:val="auto"/>
              </w:rPr>
            </w:pPr>
          </w:p>
        </w:tc>
        <w:tc>
          <w:tcPr>
            <w:tcW w:w="5400" w:type="dxa"/>
            <w:vAlign w:val="bottom"/>
            <w:shd w:val="clear" w:color="auto" w:fill="F4F4F4"/>
          </w:tcPr>
          <w:p>
            <w:pPr>
              <w:ind w:left="660"/>
              <w:spacing w:after="0"/>
              <w:rPr>
                <w:sz w:val="20"/>
                <w:szCs w:val="20"/>
                <w:color w:val="auto"/>
              </w:rPr>
            </w:pPr>
            <w:r>
              <w:rPr>
                <w:rFonts w:ascii="Arial" w:cs="Arial" w:eastAsia="Arial" w:hAnsi="Arial"/>
                <w:sz w:val="18"/>
                <w:szCs w:val="18"/>
                <w:color w:val="auto"/>
              </w:rPr>
              <w:t>Document.</w:t>
            </w:r>
          </w:p>
        </w:tc>
        <w:tc>
          <w:tcPr>
            <w:tcW w:w="1540" w:type="dxa"/>
            <w:vAlign w:val="bottom"/>
            <w:shd w:val="clear" w:color="auto" w:fill="F4F4F4"/>
          </w:tcPr>
          <w:p>
            <w:pPr>
              <w:spacing w:after="0"/>
              <w:rPr>
                <w:sz w:val="18"/>
                <w:szCs w:val="18"/>
                <w:color w:val="auto"/>
              </w:rPr>
            </w:pPr>
          </w:p>
        </w:tc>
        <w:tc>
          <w:tcPr>
            <w:tcW w:w="1460" w:type="dxa"/>
            <w:vAlign w:val="bottom"/>
            <w:shd w:val="clear" w:color="auto" w:fill="F4F4F4"/>
          </w:tcPr>
          <w:p>
            <w:pPr>
              <w:spacing w:after="0"/>
              <w:rPr>
                <w:sz w:val="18"/>
                <w:szCs w:val="18"/>
                <w:color w:val="auto"/>
              </w:rPr>
            </w:pPr>
          </w:p>
        </w:tc>
        <w:tc>
          <w:tcPr>
            <w:tcW w:w="960" w:type="dxa"/>
            <w:vAlign w:val="bottom"/>
            <w:shd w:val="clear" w:color="auto" w:fill="F4F4F4"/>
          </w:tcPr>
          <w:p>
            <w:pPr>
              <w:spacing w:after="0"/>
              <w:rPr>
                <w:sz w:val="18"/>
                <w:szCs w:val="18"/>
                <w:color w:val="auto"/>
              </w:rPr>
            </w:pPr>
          </w:p>
        </w:tc>
        <w:tc>
          <w:tcPr>
            <w:tcW w:w="900" w:type="dxa"/>
            <w:vAlign w:val="bottom"/>
            <w:shd w:val="clear" w:color="auto" w:fill="F4F4F4"/>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jc w:val="right"/>
              <w:spacing w:after="0"/>
              <w:rPr>
                <w:sz w:val="20"/>
                <w:szCs w:val="20"/>
                <w:color w:val="auto"/>
              </w:rPr>
            </w:pPr>
            <w:r>
              <w:rPr>
                <w:rFonts w:ascii="Arial" w:cs="Arial" w:eastAsia="Arial" w:hAnsi="Arial"/>
                <w:sz w:val="18"/>
                <w:szCs w:val="18"/>
                <w:color w:val="auto"/>
              </w:rPr>
              <w:t>101.SCH</w:t>
            </w:r>
          </w:p>
        </w:tc>
        <w:tc>
          <w:tcPr>
            <w:tcW w:w="5400" w:type="dxa"/>
            <w:vAlign w:val="bottom"/>
          </w:tcPr>
          <w:p>
            <w:pPr>
              <w:ind w:left="660"/>
              <w:spacing w:after="0"/>
              <w:rPr>
                <w:sz w:val="20"/>
                <w:szCs w:val="20"/>
                <w:color w:val="auto"/>
              </w:rPr>
            </w:pPr>
            <w:r>
              <w:rPr>
                <w:rFonts w:ascii="Arial" w:cs="Arial" w:eastAsia="Arial" w:hAnsi="Arial"/>
                <w:sz w:val="18"/>
                <w:szCs w:val="18"/>
                <w:color w:val="auto"/>
              </w:rPr>
              <w:t>Inline XBRL Taxonomy Extension Schema Document</w:t>
            </w:r>
          </w:p>
        </w:tc>
        <w:tc>
          <w:tcPr>
            <w:tcW w:w="15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980" w:type="dxa"/>
            <w:vAlign w:val="bottom"/>
            <w:shd w:val="clear" w:color="auto" w:fill="F4F4F4"/>
          </w:tcPr>
          <w:p>
            <w:pPr>
              <w:jc w:val="right"/>
              <w:spacing w:after="0" w:line="189" w:lineRule="exact"/>
              <w:rPr>
                <w:sz w:val="20"/>
                <w:szCs w:val="20"/>
                <w:color w:val="auto"/>
              </w:rPr>
            </w:pPr>
            <w:r>
              <w:rPr>
                <w:rFonts w:ascii="Arial" w:cs="Arial" w:eastAsia="Arial" w:hAnsi="Arial"/>
                <w:sz w:val="18"/>
                <w:szCs w:val="18"/>
                <w:color w:val="auto"/>
              </w:rPr>
              <w:t>101.CAL</w:t>
            </w:r>
          </w:p>
        </w:tc>
        <w:tc>
          <w:tcPr>
            <w:tcW w:w="5400" w:type="dxa"/>
            <w:vAlign w:val="bottom"/>
            <w:shd w:val="clear" w:color="auto" w:fill="F4F4F4"/>
          </w:tcPr>
          <w:p>
            <w:pPr>
              <w:ind w:left="660"/>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1540" w:type="dxa"/>
            <w:vAlign w:val="bottom"/>
            <w:shd w:val="clear" w:color="auto" w:fill="F4F4F4"/>
          </w:tcPr>
          <w:p>
            <w:pPr>
              <w:spacing w:after="0"/>
              <w:rPr>
                <w:sz w:val="16"/>
                <w:szCs w:val="16"/>
                <w:color w:val="auto"/>
              </w:rPr>
            </w:pPr>
          </w:p>
        </w:tc>
        <w:tc>
          <w:tcPr>
            <w:tcW w:w="1460" w:type="dxa"/>
            <w:vAlign w:val="bottom"/>
            <w:shd w:val="clear" w:color="auto" w:fill="F4F4F4"/>
          </w:tcPr>
          <w:p>
            <w:pPr>
              <w:spacing w:after="0"/>
              <w:rPr>
                <w:sz w:val="16"/>
                <w:szCs w:val="16"/>
                <w:color w:val="auto"/>
              </w:rPr>
            </w:pPr>
          </w:p>
        </w:tc>
        <w:tc>
          <w:tcPr>
            <w:tcW w:w="960" w:type="dxa"/>
            <w:vAlign w:val="bottom"/>
            <w:shd w:val="clear" w:color="auto" w:fill="F4F4F4"/>
          </w:tcPr>
          <w:p>
            <w:pPr>
              <w:spacing w:after="0"/>
              <w:rPr>
                <w:sz w:val="16"/>
                <w:szCs w:val="16"/>
                <w:color w:val="auto"/>
              </w:rPr>
            </w:pPr>
          </w:p>
        </w:tc>
        <w:tc>
          <w:tcPr>
            <w:tcW w:w="900" w:type="dxa"/>
            <w:vAlign w:val="bottom"/>
            <w:shd w:val="clear" w:color="auto" w:fill="F4F4F4"/>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980" w:type="dxa"/>
            <w:vAlign w:val="bottom"/>
            <w:shd w:val="clear" w:color="auto" w:fill="F4F4F4"/>
          </w:tcPr>
          <w:p>
            <w:pPr>
              <w:spacing w:after="0"/>
              <w:rPr>
                <w:sz w:val="18"/>
                <w:szCs w:val="18"/>
                <w:color w:val="auto"/>
              </w:rPr>
            </w:pPr>
          </w:p>
        </w:tc>
        <w:tc>
          <w:tcPr>
            <w:tcW w:w="5400" w:type="dxa"/>
            <w:vAlign w:val="bottom"/>
            <w:shd w:val="clear" w:color="auto" w:fill="F4F4F4"/>
          </w:tcPr>
          <w:p>
            <w:pPr>
              <w:ind w:left="660"/>
              <w:spacing w:after="0"/>
              <w:rPr>
                <w:sz w:val="20"/>
                <w:szCs w:val="20"/>
                <w:color w:val="auto"/>
              </w:rPr>
            </w:pPr>
            <w:r>
              <w:rPr>
                <w:rFonts w:ascii="Arial" w:cs="Arial" w:eastAsia="Arial" w:hAnsi="Arial"/>
                <w:sz w:val="18"/>
                <w:szCs w:val="18"/>
                <w:color w:val="auto"/>
              </w:rPr>
              <w:t>Document</w:t>
            </w:r>
          </w:p>
        </w:tc>
        <w:tc>
          <w:tcPr>
            <w:tcW w:w="1540" w:type="dxa"/>
            <w:vAlign w:val="bottom"/>
            <w:shd w:val="clear" w:color="auto" w:fill="F4F4F4"/>
          </w:tcPr>
          <w:p>
            <w:pPr>
              <w:spacing w:after="0"/>
              <w:rPr>
                <w:sz w:val="18"/>
                <w:szCs w:val="18"/>
                <w:color w:val="auto"/>
              </w:rPr>
            </w:pPr>
          </w:p>
        </w:tc>
        <w:tc>
          <w:tcPr>
            <w:tcW w:w="1460" w:type="dxa"/>
            <w:vAlign w:val="bottom"/>
            <w:shd w:val="clear" w:color="auto" w:fill="F4F4F4"/>
          </w:tcPr>
          <w:p>
            <w:pPr>
              <w:spacing w:after="0"/>
              <w:rPr>
                <w:sz w:val="18"/>
                <w:szCs w:val="18"/>
                <w:color w:val="auto"/>
              </w:rPr>
            </w:pPr>
          </w:p>
        </w:tc>
        <w:tc>
          <w:tcPr>
            <w:tcW w:w="960" w:type="dxa"/>
            <w:vAlign w:val="bottom"/>
            <w:shd w:val="clear" w:color="auto" w:fill="F4F4F4"/>
          </w:tcPr>
          <w:p>
            <w:pPr>
              <w:spacing w:after="0"/>
              <w:rPr>
                <w:sz w:val="18"/>
                <w:szCs w:val="18"/>
                <w:color w:val="auto"/>
              </w:rPr>
            </w:pPr>
          </w:p>
        </w:tc>
        <w:tc>
          <w:tcPr>
            <w:tcW w:w="900" w:type="dxa"/>
            <w:vAlign w:val="bottom"/>
            <w:shd w:val="clear" w:color="auto" w:fill="F4F4F4"/>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101.DEF</w:t>
            </w:r>
          </w:p>
        </w:tc>
        <w:tc>
          <w:tcPr>
            <w:tcW w:w="5400" w:type="dxa"/>
            <w:vAlign w:val="bottom"/>
          </w:tcPr>
          <w:p>
            <w:pPr>
              <w:ind w:left="660"/>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400" w:type="dxa"/>
            <w:vAlign w:val="bottom"/>
          </w:tcPr>
          <w:p>
            <w:pPr>
              <w:ind w:left="660"/>
              <w:spacing w:after="0"/>
              <w:rPr>
                <w:sz w:val="20"/>
                <w:szCs w:val="20"/>
                <w:color w:val="auto"/>
              </w:rPr>
            </w:pPr>
            <w:r>
              <w:rPr>
                <w:rFonts w:ascii="Arial" w:cs="Arial" w:eastAsia="Arial" w:hAnsi="Arial"/>
                <w:sz w:val="18"/>
                <w:szCs w:val="18"/>
                <w:color w:val="auto"/>
              </w:rPr>
              <w:t>Document</w:t>
            </w: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shd w:val="clear" w:color="auto" w:fill="F4F4F4"/>
          </w:tcPr>
          <w:p>
            <w:pPr>
              <w:jc w:val="right"/>
              <w:spacing w:after="0" w:line="189" w:lineRule="exact"/>
              <w:rPr>
                <w:sz w:val="20"/>
                <w:szCs w:val="20"/>
                <w:color w:val="auto"/>
              </w:rPr>
            </w:pPr>
            <w:r>
              <w:rPr>
                <w:rFonts w:ascii="Arial" w:cs="Arial" w:eastAsia="Arial" w:hAnsi="Arial"/>
                <w:sz w:val="18"/>
                <w:szCs w:val="18"/>
                <w:color w:val="auto"/>
              </w:rPr>
              <w:t>101.LAB</w:t>
            </w:r>
          </w:p>
        </w:tc>
        <w:tc>
          <w:tcPr>
            <w:tcW w:w="5400" w:type="dxa"/>
            <w:vAlign w:val="bottom"/>
            <w:shd w:val="clear" w:color="auto" w:fill="F4F4F4"/>
          </w:tcPr>
          <w:p>
            <w:pPr>
              <w:ind w:left="660"/>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1540" w:type="dxa"/>
            <w:vAlign w:val="bottom"/>
            <w:shd w:val="clear" w:color="auto" w:fill="F4F4F4"/>
          </w:tcPr>
          <w:p>
            <w:pPr>
              <w:spacing w:after="0"/>
              <w:rPr>
                <w:sz w:val="16"/>
                <w:szCs w:val="16"/>
                <w:color w:val="auto"/>
              </w:rPr>
            </w:pPr>
          </w:p>
        </w:tc>
        <w:tc>
          <w:tcPr>
            <w:tcW w:w="1460" w:type="dxa"/>
            <w:vAlign w:val="bottom"/>
            <w:shd w:val="clear" w:color="auto" w:fill="F4F4F4"/>
          </w:tcPr>
          <w:p>
            <w:pPr>
              <w:spacing w:after="0"/>
              <w:rPr>
                <w:sz w:val="16"/>
                <w:szCs w:val="16"/>
                <w:color w:val="auto"/>
              </w:rPr>
            </w:pPr>
          </w:p>
        </w:tc>
        <w:tc>
          <w:tcPr>
            <w:tcW w:w="960" w:type="dxa"/>
            <w:vAlign w:val="bottom"/>
            <w:shd w:val="clear" w:color="auto" w:fill="F4F4F4"/>
          </w:tcPr>
          <w:p>
            <w:pPr>
              <w:spacing w:after="0"/>
              <w:rPr>
                <w:sz w:val="16"/>
                <w:szCs w:val="16"/>
                <w:color w:val="auto"/>
              </w:rPr>
            </w:pPr>
          </w:p>
        </w:tc>
        <w:tc>
          <w:tcPr>
            <w:tcW w:w="900" w:type="dxa"/>
            <w:vAlign w:val="bottom"/>
            <w:shd w:val="clear" w:color="auto" w:fill="F4F4F4"/>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980" w:type="dxa"/>
            <w:vAlign w:val="bottom"/>
            <w:shd w:val="clear" w:color="auto" w:fill="F4F4F4"/>
          </w:tcPr>
          <w:p>
            <w:pPr>
              <w:spacing w:after="0"/>
              <w:rPr>
                <w:sz w:val="18"/>
                <w:szCs w:val="18"/>
                <w:color w:val="auto"/>
              </w:rPr>
            </w:pPr>
          </w:p>
        </w:tc>
        <w:tc>
          <w:tcPr>
            <w:tcW w:w="5400" w:type="dxa"/>
            <w:vAlign w:val="bottom"/>
            <w:shd w:val="clear" w:color="auto" w:fill="F4F4F4"/>
          </w:tcPr>
          <w:p>
            <w:pPr>
              <w:ind w:left="660"/>
              <w:spacing w:after="0"/>
              <w:rPr>
                <w:sz w:val="20"/>
                <w:szCs w:val="20"/>
                <w:color w:val="auto"/>
              </w:rPr>
            </w:pPr>
            <w:r>
              <w:rPr>
                <w:rFonts w:ascii="Arial" w:cs="Arial" w:eastAsia="Arial" w:hAnsi="Arial"/>
                <w:sz w:val="18"/>
                <w:szCs w:val="18"/>
                <w:color w:val="auto"/>
              </w:rPr>
              <w:t>Document</w:t>
            </w:r>
          </w:p>
        </w:tc>
        <w:tc>
          <w:tcPr>
            <w:tcW w:w="1540" w:type="dxa"/>
            <w:vAlign w:val="bottom"/>
            <w:shd w:val="clear" w:color="auto" w:fill="F4F4F4"/>
          </w:tcPr>
          <w:p>
            <w:pPr>
              <w:spacing w:after="0"/>
              <w:rPr>
                <w:sz w:val="18"/>
                <w:szCs w:val="18"/>
                <w:color w:val="auto"/>
              </w:rPr>
            </w:pPr>
          </w:p>
        </w:tc>
        <w:tc>
          <w:tcPr>
            <w:tcW w:w="1460" w:type="dxa"/>
            <w:vAlign w:val="bottom"/>
            <w:shd w:val="clear" w:color="auto" w:fill="F4F4F4"/>
          </w:tcPr>
          <w:p>
            <w:pPr>
              <w:spacing w:after="0"/>
              <w:rPr>
                <w:sz w:val="18"/>
                <w:szCs w:val="18"/>
                <w:color w:val="auto"/>
              </w:rPr>
            </w:pPr>
          </w:p>
        </w:tc>
        <w:tc>
          <w:tcPr>
            <w:tcW w:w="960" w:type="dxa"/>
            <w:vAlign w:val="bottom"/>
            <w:shd w:val="clear" w:color="auto" w:fill="F4F4F4"/>
          </w:tcPr>
          <w:p>
            <w:pPr>
              <w:spacing w:after="0"/>
              <w:rPr>
                <w:sz w:val="18"/>
                <w:szCs w:val="18"/>
                <w:color w:val="auto"/>
              </w:rPr>
            </w:pPr>
          </w:p>
        </w:tc>
        <w:tc>
          <w:tcPr>
            <w:tcW w:w="900" w:type="dxa"/>
            <w:vAlign w:val="bottom"/>
            <w:shd w:val="clear" w:color="auto" w:fill="F4F4F4"/>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101.PRE</w:t>
            </w:r>
          </w:p>
        </w:tc>
        <w:tc>
          <w:tcPr>
            <w:tcW w:w="5400" w:type="dxa"/>
            <w:vAlign w:val="bottom"/>
          </w:tcPr>
          <w:p>
            <w:pPr>
              <w:ind w:left="660"/>
              <w:spacing w:after="0" w:line="189" w:lineRule="exact"/>
              <w:rPr>
                <w:sz w:val="20"/>
                <w:szCs w:val="20"/>
                <w:color w:val="auto"/>
              </w:rPr>
            </w:pPr>
            <w:r>
              <w:rPr>
                <w:rFonts w:ascii="Arial" w:cs="Arial" w:eastAsia="Arial" w:hAnsi="Arial"/>
                <w:sz w:val="18"/>
                <w:szCs w:val="18"/>
                <w:color w:val="auto"/>
              </w:rPr>
              <w:t>Inline XBRL Taxonomy Extension Presentation Linkbase</w:t>
            </w:r>
          </w:p>
        </w:tc>
        <w:tc>
          <w:tcPr>
            <w:tcW w:w="1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400" w:type="dxa"/>
            <w:vAlign w:val="bottom"/>
          </w:tcPr>
          <w:p>
            <w:pPr>
              <w:ind w:left="660"/>
              <w:spacing w:after="0"/>
              <w:rPr>
                <w:sz w:val="20"/>
                <w:szCs w:val="20"/>
                <w:color w:val="auto"/>
              </w:rPr>
            </w:pPr>
            <w:r>
              <w:rPr>
                <w:rFonts w:ascii="Arial" w:cs="Arial" w:eastAsia="Arial" w:hAnsi="Arial"/>
                <w:sz w:val="18"/>
                <w:szCs w:val="18"/>
                <w:color w:val="auto"/>
              </w:rPr>
              <w:t>Document</w:t>
            </w: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80" w:type="dxa"/>
            <w:vAlign w:val="bottom"/>
            <w:shd w:val="clear" w:color="auto" w:fill="F4F4F4"/>
          </w:tcPr>
          <w:p>
            <w:pPr>
              <w:jc w:val="right"/>
              <w:spacing w:after="0" w:line="189" w:lineRule="exact"/>
              <w:rPr>
                <w:sz w:val="20"/>
                <w:szCs w:val="20"/>
                <w:color w:val="auto"/>
              </w:rPr>
            </w:pPr>
            <w:r>
              <w:rPr>
                <w:rFonts w:ascii="Arial" w:cs="Arial" w:eastAsia="Arial" w:hAnsi="Arial"/>
                <w:sz w:val="18"/>
                <w:szCs w:val="18"/>
                <w:color w:val="auto"/>
              </w:rPr>
              <w:t>104</w:t>
            </w:r>
          </w:p>
        </w:tc>
        <w:tc>
          <w:tcPr>
            <w:tcW w:w="5400" w:type="dxa"/>
            <w:vAlign w:val="bottom"/>
            <w:shd w:val="clear" w:color="auto" w:fill="F4F4F4"/>
          </w:tcPr>
          <w:p>
            <w:pPr>
              <w:ind w:left="660"/>
              <w:spacing w:after="0" w:line="189" w:lineRule="exact"/>
              <w:rPr>
                <w:sz w:val="20"/>
                <w:szCs w:val="20"/>
                <w:color w:val="auto"/>
              </w:rPr>
            </w:pPr>
            <w:r>
              <w:rPr>
                <w:rFonts w:ascii="Arial" w:cs="Arial" w:eastAsia="Arial" w:hAnsi="Arial"/>
                <w:sz w:val="18"/>
                <w:szCs w:val="18"/>
                <w:color w:val="auto"/>
              </w:rPr>
              <w:t>Cover Page Interactive Data File (formatted as Inline</w:t>
            </w:r>
          </w:p>
        </w:tc>
        <w:tc>
          <w:tcPr>
            <w:tcW w:w="1540" w:type="dxa"/>
            <w:vAlign w:val="bottom"/>
            <w:shd w:val="clear" w:color="auto" w:fill="F4F4F4"/>
          </w:tcPr>
          <w:p>
            <w:pPr>
              <w:spacing w:after="0"/>
              <w:rPr>
                <w:sz w:val="16"/>
                <w:szCs w:val="16"/>
                <w:color w:val="auto"/>
              </w:rPr>
            </w:pPr>
          </w:p>
        </w:tc>
        <w:tc>
          <w:tcPr>
            <w:tcW w:w="1460" w:type="dxa"/>
            <w:vAlign w:val="bottom"/>
            <w:shd w:val="clear" w:color="auto" w:fill="F4F4F4"/>
          </w:tcPr>
          <w:p>
            <w:pPr>
              <w:spacing w:after="0"/>
              <w:rPr>
                <w:sz w:val="16"/>
                <w:szCs w:val="16"/>
                <w:color w:val="auto"/>
              </w:rPr>
            </w:pPr>
          </w:p>
        </w:tc>
        <w:tc>
          <w:tcPr>
            <w:tcW w:w="960" w:type="dxa"/>
            <w:vAlign w:val="bottom"/>
            <w:shd w:val="clear" w:color="auto" w:fill="F4F4F4"/>
          </w:tcPr>
          <w:p>
            <w:pPr>
              <w:spacing w:after="0"/>
              <w:rPr>
                <w:sz w:val="16"/>
                <w:szCs w:val="16"/>
                <w:color w:val="auto"/>
              </w:rPr>
            </w:pPr>
          </w:p>
        </w:tc>
        <w:tc>
          <w:tcPr>
            <w:tcW w:w="900" w:type="dxa"/>
            <w:vAlign w:val="bottom"/>
            <w:shd w:val="clear" w:color="auto" w:fill="F4F4F4"/>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980" w:type="dxa"/>
            <w:vAlign w:val="bottom"/>
            <w:tcBorders>
              <w:bottom w:val="single" w:sz="8" w:color="71BF43"/>
            </w:tcBorders>
            <w:shd w:val="clear" w:color="auto" w:fill="F4F4F4"/>
          </w:tcPr>
          <w:p>
            <w:pPr>
              <w:spacing w:after="0"/>
              <w:rPr>
                <w:sz w:val="18"/>
                <w:szCs w:val="18"/>
                <w:color w:val="auto"/>
              </w:rPr>
            </w:pPr>
          </w:p>
        </w:tc>
        <w:tc>
          <w:tcPr>
            <w:tcW w:w="5400" w:type="dxa"/>
            <w:vAlign w:val="bottom"/>
            <w:tcBorders>
              <w:bottom w:val="single" w:sz="8" w:color="71BF43"/>
            </w:tcBorders>
            <w:shd w:val="clear" w:color="auto" w:fill="F4F4F4"/>
          </w:tcPr>
          <w:p>
            <w:pPr>
              <w:ind w:left="660"/>
              <w:spacing w:after="0"/>
              <w:rPr>
                <w:sz w:val="20"/>
                <w:szCs w:val="20"/>
                <w:color w:val="auto"/>
              </w:rPr>
            </w:pPr>
            <w:r>
              <w:rPr>
                <w:rFonts w:ascii="Arial" w:cs="Arial" w:eastAsia="Arial" w:hAnsi="Arial"/>
                <w:sz w:val="18"/>
                <w:szCs w:val="18"/>
                <w:color w:val="auto"/>
              </w:rPr>
              <w:t>XBRL and contained in Exhibit 101).</w:t>
            </w:r>
          </w:p>
        </w:tc>
        <w:tc>
          <w:tcPr>
            <w:tcW w:w="1540" w:type="dxa"/>
            <w:vAlign w:val="bottom"/>
            <w:tcBorders>
              <w:bottom w:val="single" w:sz="8" w:color="71BF43"/>
            </w:tcBorders>
            <w:shd w:val="clear" w:color="auto" w:fill="F4F4F4"/>
          </w:tcPr>
          <w:p>
            <w:pPr>
              <w:spacing w:after="0"/>
              <w:rPr>
                <w:sz w:val="18"/>
                <w:szCs w:val="18"/>
                <w:color w:val="auto"/>
              </w:rPr>
            </w:pPr>
          </w:p>
        </w:tc>
        <w:tc>
          <w:tcPr>
            <w:tcW w:w="1460" w:type="dxa"/>
            <w:vAlign w:val="bottom"/>
            <w:tcBorders>
              <w:bottom w:val="single" w:sz="8" w:color="71BF43"/>
            </w:tcBorders>
            <w:shd w:val="clear" w:color="auto" w:fill="F4F4F4"/>
          </w:tcPr>
          <w:p>
            <w:pPr>
              <w:spacing w:after="0"/>
              <w:rPr>
                <w:sz w:val="18"/>
                <w:szCs w:val="18"/>
                <w:color w:val="auto"/>
              </w:rPr>
            </w:pPr>
          </w:p>
        </w:tc>
        <w:tc>
          <w:tcPr>
            <w:tcW w:w="960" w:type="dxa"/>
            <w:vAlign w:val="bottom"/>
            <w:tcBorders>
              <w:bottom w:val="single" w:sz="8" w:color="71BF43"/>
            </w:tcBorders>
            <w:shd w:val="clear" w:color="auto" w:fill="F4F4F4"/>
          </w:tcPr>
          <w:p>
            <w:pPr>
              <w:spacing w:after="0"/>
              <w:rPr>
                <w:sz w:val="18"/>
                <w:szCs w:val="18"/>
                <w:color w:val="auto"/>
              </w:rPr>
            </w:pPr>
          </w:p>
        </w:tc>
        <w:tc>
          <w:tcPr>
            <w:tcW w:w="900" w:type="dxa"/>
            <w:vAlign w:val="bottom"/>
            <w:tcBorders>
              <w:bottom w:val="single" w:sz="8" w:color="71BF43"/>
            </w:tcBorders>
            <w:shd w:val="clear" w:color="auto" w:fill="F4F4F4"/>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-2133600</wp:posOffset>
            </wp:positionV>
            <wp:extent cx="30689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01" w:lineRule="exact"/>
        <w:rPr>
          <w:sz w:val="20"/>
          <w:szCs w:val="20"/>
          <w:color w:val="auto"/>
        </w:rPr>
      </w:pPr>
    </w:p>
    <w:p>
      <w:pPr>
        <w:ind w:left="660" w:right="20" w:hanging="634"/>
        <w:spacing w:after="0" w:line="22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 has applied for an extension of the confidential treatment it was previously granted with respect to portions of this exhibit. Those portions have been omitted from the exhibit and filed separately with the U.S. Securities and Exchange Commission.</w:t>
      </w:r>
    </w:p>
    <w:p>
      <w:pPr>
        <w:spacing w:after="0" w:line="135" w:lineRule="exact"/>
        <w:rPr>
          <w:sz w:val="20"/>
          <w:szCs w:val="20"/>
          <w:color w:val="auto"/>
        </w:rPr>
      </w:pPr>
    </w:p>
    <w:p>
      <w:pPr>
        <w:jc w:val="both"/>
        <w:ind w:left="660" w:right="20" w:hanging="634"/>
        <w:spacing w:after="0" w:line="20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Convio, Inc. 2009 Amended and Restated Stock Incentive Plan, as amended, and forms of stock option agreements thereunder (“Convio 2009 Original Plan Documents”) and the Convio, Inc. 1999 Stock Option/Stock Issuance Plan, as amended, and forms of stock option agreements thereunder (“Convio 1999 Plan Documents”) were filed by Convio in its Forms S-1/A and S-1, filed March 19, 2010 and January 25, 2010 as exhibits 10.1 and 10.2, respectively. The Convio, Inc. Form of Nonstatutory Stock Option Notice (Double Trigger) and Convio, Inc. Form of Restricted Stock Unit Notice (Double Trigger) and Agreement were filed by Convio in its Form 8-K on February 28, 2011 as exhibits 10.1 and 10.2 (together with the Convio 2009 Original Plan Documents, the “Convio 2009 Plan Documents”). We assumed the Convio 2009 Plan Documents and Convio 1999 Plan Documents when we acquired Convio in May 2012. We filed the Convio 2009 Plan Documents and Convio 1999 Plan Documents by incorporation by reference as exhibits 10.59, 10.60, 10.61 and 10.62 in our Form S-8 on May 7, 2012.</w:t>
      </w:r>
    </w:p>
    <w:p>
      <w:pPr>
        <w:spacing w:after="0" w:line="141" w:lineRule="exact"/>
        <w:rPr>
          <w:sz w:val="20"/>
          <w:szCs w:val="20"/>
          <w:color w:val="auto"/>
        </w:rPr>
      </w:pPr>
    </w:p>
    <w:p>
      <w:pPr>
        <w:ind w:left="680" w:hanging="654"/>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132"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16. Form 10-K Summary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112  </w:t>
      </w:r>
      <w:r>
        <w:rPr>
          <w:sz w:val="1"/>
          <w:szCs w:val="1"/>
          <w:color w:val="auto"/>
        </w:rPr>
        <w:drawing>
          <wp:inline distT="0" distB="0" distL="0" distR="0">
            <wp:extent cx="728345" cy="18859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auto"/>
        </w:rPr>
        <w:t xml:space="preserv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sz w:val="1"/>
          <w:szCs w:val="1"/>
          <w:color w:val="auto"/>
        </w:rPr>
        <w:drawing>
          <wp:inline distT="0" distB="0" distL="0" distR="0">
            <wp:extent cx="145415" cy="18859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4">
                      <a:extLst>
                        <a:ext uri="{28A0092B-C50C-407E-A947-70E740481C1C}"/>
                      </a:extLst>
                    </a:blip>
                    <a:srcRect/>
                    <a:stretch>
                      <a:fillRect/>
                    </a:stretch>
                  </pic:blipFill>
                  <pic:spPr bwMode="auto">
                    <a:xfrm>
                      <a:off x="0" y="0"/>
                      <a:ext cx="145415" cy="188595"/>
                    </a:xfrm>
                    <a:prstGeom prst="rect">
                      <a:avLst/>
                    </a:prstGeom>
                    <a:noFill/>
                    <a:ln>
                      <a:noFill/>
                    </a:ln>
                  </pic:spPr>
                </pic:pic>
              </a:graphicData>
            </a:graphic>
          </wp:inline>
        </w:drawing>
      </w:r>
      <w:r>
        <w:rPr>
          <w:rFonts w:ascii="Arial" w:cs="Arial" w:eastAsia="Arial" w:hAnsi="Arial"/>
          <w:sz w:val="40"/>
          <w:szCs w:val="40"/>
          <w:b w:val="1"/>
          <w:bCs w:val="1"/>
          <w:color w:val="50535A"/>
        </w:rPr>
        <w:t xml:space="preserve"> SIGNATURES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Blackbaud, Inc.</w:t>
            </w:r>
          </w:p>
        </w:tc>
      </w:tr>
      <w:tr>
        <w:trPr>
          <w:trHeight w:val="500"/>
        </w:trPr>
        <w:tc>
          <w:tcPr>
            <w:tcW w:w="6220" w:type="dxa"/>
            <w:vAlign w:val="bottom"/>
          </w:tcPr>
          <w:p>
            <w:pPr>
              <w:spacing w:after="0"/>
              <w:rPr>
                <w:sz w:val="20"/>
                <w:szCs w:val="20"/>
                <w:color w:val="auto"/>
              </w:rPr>
            </w:pPr>
            <w:r>
              <w:rPr>
                <w:rFonts w:ascii="Arial" w:cs="Arial" w:eastAsia="Arial" w:hAnsi="Arial"/>
                <w:sz w:val="18"/>
                <w:szCs w:val="18"/>
                <w:color w:val="auto"/>
              </w:rPr>
              <w:t>Signed:   February 23, 2021</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GIANONI</w:t>
            </w:r>
          </w:p>
        </w:tc>
      </w:tr>
      <w:tr>
        <w:trPr>
          <w:trHeight w:val="223"/>
        </w:trPr>
        <w:tc>
          <w:tcPr>
            <w:tcW w:w="6220" w:type="dxa"/>
            <w:vAlign w:val="bottom"/>
          </w:tcPr>
          <w:p>
            <w:pPr>
              <w:spacing w:after="0"/>
              <w:rPr>
                <w:sz w:val="19"/>
                <w:szCs w:val="19"/>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20" w:type="dxa"/>
            <w:vAlign w:val="bottom"/>
          </w:tcPr>
          <w:p>
            <w:pPr>
              <w:spacing w:after="0"/>
              <w:rPr>
                <w:sz w:val="19"/>
                <w:szCs w:val="19"/>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bl>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MICHAEL P. GIANONI</w:t>
            </w:r>
          </w:p>
        </w:tc>
        <w:tc>
          <w:tcPr>
            <w:tcW w:w="4340" w:type="dxa"/>
            <w:vAlign w:val="bottom"/>
          </w:tcPr>
          <w:p>
            <w:pPr>
              <w:ind w:left="560"/>
              <w:spacing w:after="0"/>
              <w:rPr>
                <w:sz w:val="20"/>
                <w:szCs w:val="20"/>
                <w:color w:val="auto"/>
              </w:rPr>
            </w:pPr>
            <w:r>
              <w:rPr>
                <w:rFonts w:ascii="Arial" w:cs="Arial" w:eastAsia="Arial" w:hAnsi="Arial"/>
                <w:sz w:val="18"/>
                <w:szCs w:val="18"/>
                <w:color w:val="auto"/>
              </w:rPr>
              <w:t>President, Chief Executive Officer and</w:t>
            </w:r>
          </w:p>
        </w:tc>
        <w:tc>
          <w:tcPr>
            <w:tcW w:w="2580" w:type="dxa"/>
            <w:vAlign w:val="bottom"/>
          </w:tcPr>
          <w:p>
            <w:pPr>
              <w:ind w:left="560"/>
              <w:spacing w:after="0"/>
              <w:rPr>
                <w:sz w:val="20"/>
                <w:szCs w:val="20"/>
                <w:color w:val="auto"/>
              </w:rPr>
            </w:pPr>
            <w:r>
              <w:rPr>
                <w:rFonts w:ascii="Arial" w:cs="Arial" w:eastAsia="Arial" w:hAnsi="Arial"/>
                <w:sz w:val="18"/>
                <w:szCs w:val="18"/>
                <w:color w:val="auto"/>
              </w:rPr>
              <w:t>Date: February 23, 2021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4340" w:type="dxa"/>
            <w:vAlign w:val="bottom"/>
            <w:vMerge w:val="restart"/>
          </w:tcPr>
          <w:p>
            <w:pPr>
              <w:ind w:left="560"/>
              <w:spacing w:after="0"/>
              <w:rPr>
                <w:sz w:val="20"/>
                <w:szCs w:val="20"/>
                <w:color w:val="auto"/>
              </w:rPr>
            </w:pPr>
            <w:r>
              <w:rPr>
                <w:rFonts w:ascii="Arial" w:cs="Arial" w:eastAsia="Arial" w:hAnsi="Arial"/>
                <w:sz w:val="18"/>
                <w:szCs w:val="18"/>
                <w:color w:val="auto"/>
              </w:rPr>
              <w:t>Director (Principal Executive Officer)</w:t>
            </w:r>
          </w:p>
        </w:tc>
        <w:tc>
          <w:tcPr>
            <w:tcW w:w="2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29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Michael P. Gianoni</w:t>
            </w:r>
          </w:p>
        </w:tc>
        <w:tc>
          <w:tcPr>
            <w:tcW w:w="434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4340" w:type="dxa"/>
            <w:vAlign w:val="bottom"/>
          </w:tcPr>
          <w:p>
            <w:pPr>
              <w:spacing w:after="0"/>
              <w:rPr>
                <w:sz w:val="7"/>
                <w:szCs w:val="7"/>
                <w:color w:val="auto"/>
              </w:rPr>
            </w:pPr>
          </w:p>
        </w:tc>
        <w:tc>
          <w:tcPr>
            <w:tcW w:w="2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4"/>
        </w:trPr>
        <w:tc>
          <w:tcPr>
            <w:tcW w:w="36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ind w:left="140"/>
              <w:spacing w:after="0"/>
              <w:rPr>
                <w:sz w:val="20"/>
                <w:szCs w:val="20"/>
                <w:color w:val="auto"/>
              </w:rPr>
            </w:pPr>
            <w:r>
              <w:rPr>
                <w:rFonts w:ascii="Arial" w:cs="Arial" w:eastAsia="Arial" w:hAnsi="Arial"/>
                <w:sz w:val="18"/>
                <w:szCs w:val="18"/>
                <w:color w:val="auto"/>
              </w:rPr>
              <w:t>ANTHONY W. BOOR</w:t>
            </w:r>
          </w:p>
        </w:tc>
        <w:tc>
          <w:tcPr>
            <w:tcW w:w="4340" w:type="dxa"/>
            <w:vAlign w:val="bottom"/>
          </w:tcPr>
          <w:p>
            <w:pPr>
              <w:ind w:left="560"/>
              <w:spacing w:after="0"/>
              <w:rPr>
                <w:sz w:val="20"/>
                <w:szCs w:val="20"/>
                <w:color w:val="auto"/>
              </w:rPr>
            </w:pPr>
            <w:r>
              <w:rPr>
                <w:rFonts w:ascii="Arial" w:cs="Arial" w:eastAsia="Arial" w:hAnsi="Arial"/>
                <w:sz w:val="18"/>
                <w:szCs w:val="18"/>
                <w:color w:val="auto"/>
              </w:rPr>
              <w:t>Executive Vice President and Chief Financial</w:t>
            </w:r>
          </w:p>
        </w:tc>
        <w:tc>
          <w:tcPr>
            <w:tcW w:w="2580" w:type="dxa"/>
            <w:vAlign w:val="bottom"/>
          </w:tcPr>
          <w:p>
            <w:pPr>
              <w:ind w:left="560"/>
              <w:spacing w:after="0"/>
              <w:rPr>
                <w:sz w:val="20"/>
                <w:szCs w:val="20"/>
                <w:color w:val="auto"/>
              </w:rPr>
            </w:pPr>
            <w:r>
              <w:rPr>
                <w:rFonts w:ascii="Arial" w:cs="Arial" w:eastAsia="Arial" w:hAnsi="Arial"/>
                <w:sz w:val="18"/>
                <w:szCs w:val="18"/>
                <w:color w:val="auto"/>
              </w:rPr>
              <w:t>Date: February 23, 2021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4340" w:type="dxa"/>
            <w:vAlign w:val="bottom"/>
            <w:vMerge w:val="restart"/>
          </w:tcPr>
          <w:p>
            <w:pPr>
              <w:ind w:left="560"/>
              <w:spacing w:after="0" w:line="148" w:lineRule="exact"/>
              <w:rPr>
                <w:sz w:val="20"/>
                <w:szCs w:val="20"/>
                <w:color w:val="auto"/>
              </w:rPr>
            </w:pPr>
            <w:r>
              <w:rPr>
                <w:rFonts w:ascii="Arial" w:cs="Arial" w:eastAsia="Arial" w:hAnsi="Arial"/>
                <w:sz w:val="17"/>
                <w:szCs w:val="17"/>
                <w:color w:val="auto"/>
              </w:rPr>
              <w:t>Officer (Principal Financial and Accounting</w:t>
            </w:r>
          </w:p>
        </w:tc>
        <w:tc>
          <w:tcPr>
            <w:tcW w:w="2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29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Anthony W. Boor</w:t>
            </w:r>
          </w:p>
        </w:tc>
        <w:tc>
          <w:tcPr>
            <w:tcW w:w="4340" w:type="dxa"/>
            <w:vAlign w:val="bottom"/>
            <w:vMerge w:val="continue"/>
          </w:tcPr>
          <w:p>
            <w:pPr>
              <w:spacing w:after="0"/>
              <w:rPr>
                <w:sz w:val="6"/>
                <w:szCs w:val="6"/>
                <w:color w:val="auto"/>
              </w:rPr>
            </w:pPr>
          </w:p>
        </w:tc>
        <w:tc>
          <w:tcPr>
            <w:tcW w:w="2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4340" w:type="dxa"/>
            <w:vAlign w:val="bottom"/>
            <w:vMerge w:val="restart"/>
          </w:tcPr>
          <w:p>
            <w:pPr>
              <w:ind w:left="560"/>
              <w:spacing w:after="0"/>
              <w:rPr>
                <w:sz w:val="20"/>
                <w:szCs w:val="20"/>
                <w:color w:val="auto"/>
              </w:rPr>
            </w:pPr>
            <w:r>
              <w:rPr>
                <w:rFonts w:ascii="Arial" w:cs="Arial" w:eastAsia="Arial" w:hAnsi="Arial"/>
                <w:sz w:val="18"/>
                <w:szCs w:val="18"/>
                <w:color w:val="auto"/>
              </w:rPr>
              <w:t>Officer)</w:t>
            </w: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60" w:type="dxa"/>
            <w:vAlign w:val="bottom"/>
          </w:tcPr>
          <w:p>
            <w:pPr>
              <w:spacing w:after="0"/>
              <w:rPr>
                <w:sz w:val="5"/>
                <w:szCs w:val="5"/>
                <w:color w:val="auto"/>
              </w:rPr>
            </w:pPr>
          </w:p>
        </w:tc>
        <w:tc>
          <w:tcPr>
            <w:tcW w:w="2960" w:type="dxa"/>
            <w:vAlign w:val="bottom"/>
          </w:tcPr>
          <w:p>
            <w:pPr>
              <w:spacing w:after="0"/>
              <w:rPr>
                <w:sz w:val="5"/>
                <w:szCs w:val="5"/>
                <w:color w:val="auto"/>
              </w:rPr>
            </w:pPr>
          </w:p>
        </w:tc>
        <w:tc>
          <w:tcPr>
            <w:tcW w:w="4340" w:type="dxa"/>
            <w:vAlign w:val="bottom"/>
            <w:vMerge w:val="continue"/>
          </w:tcPr>
          <w:p>
            <w:pPr>
              <w:spacing w:after="0"/>
              <w:rPr>
                <w:sz w:val="5"/>
                <w:szCs w:val="5"/>
                <w:color w:val="auto"/>
              </w:rPr>
            </w:pPr>
          </w:p>
        </w:tc>
        <w:tc>
          <w:tcPr>
            <w:tcW w:w="2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ANDREW M. LEITCH</w:t>
            </w:r>
          </w:p>
        </w:tc>
        <w:tc>
          <w:tcPr>
            <w:tcW w:w="4340" w:type="dxa"/>
            <w:vAlign w:val="bottom"/>
          </w:tcPr>
          <w:p>
            <w:pPr>
              <w:ind w:left="560"/>
              <w:spacing w:after="0"/>
              <w:rPr>
                <w:sz w:val="20"/>
                <w:szCs w:val="20"/>
                <w:color w:val="auto"/>
              </w:rPr>
            </w:pPr>
            <w:r>
              <w:rPr>
                <w:rFonts w:ascii="Arial" w:cs="Arial" w:eastAsia="Arial" w:hAnsi="Arial"/>
                <w:sz w:val="18"/>
                <w:szCs w:val="18"/>
                <w:color w:val="auto"/>
              </w:rPr>
              <w:t>Chairman of the Board of Directors</w:t>
            </w:r>
          </w:p>
        </w:tc>
        <w:tc>
          <w:tcPr>
            <w:tcW w:w="2580" w:type="dxa"/>
            <w:vAlign w:val="bottom"/>
          </w:tcPr>
          <w:p>
            <w:pPr>
              <w:ind w:left="560"/>
              <w:spacing w:after="0"/>
              <w:rPr>
                <w:sz w:val="20"/>
                <w:szCs w:val="20"/>
                <w:color w:val="auto"/>
              </w:rPr>
            </w:pPr>
            <w:r>
              <w:rPr>
                <w:rFonts w:ascii="Arial" w:cs="Arial" w:eastAsia="Arial" w:hAnsi="Arial"/>
                <w:sz w:val="18"/>
                <w:szCs w:val="18"/>
                <w:color w:val="auto"/>
              </w:rPr>
              <w:t>Date: February 23, 2021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Andrew M. Leitch</w:t>
            </w:r>
          </w:p>
        </w:tc>
        <w:tc>
          <w:tcPr>
            <w:tcW w:w="4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TIMOTHY CHOU</w:t>
            </w:r>
          </w:p>
        </w:tc>
        <w:tc>
          <w:tcPr>
            <w:tcW w:w="434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560"/>
              <w:spacing w:after="0"/>
              <w:rPr>
                <w:sz w:val="20"/>
                <w:szCs w:val="20"/>
                <w:color w:val="auto"/>
              </w:rPr>
            </w:pPr>
            <w:r>
              <w:rPr>
                <w:rFonts w:ascii="Arial" w:cs="Arial" w:eastAsia="Arial" w:hAnsi="Arial"/>
                <w:sz w:val="18"/>
                <w:szCs w:val="18"/>
                <w:color w:val="auto"/>
              </w:rPr>
              <w:t>Date: February 23, 2021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Timothy Chou</w:t>
            </w:r>
          </w:p>
        </w:tc>
        <w:tc>
          <w:tcPr>
            <w:tcW w:w="4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GEORGE H. ELLIS</w:t>
            </w:r>
          </w:p>
        </w:tc>
        <w:tc>
          <w:tcPr>
            <w:tcW w:w="434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560"/>
              <w:spacing w:after="0"/>
              <w:rPr>
                <w:sz w:val="20"/>
                <w:szCs w:val="20"/>
                <w:color w:val="auto"/>
              </w:rPr>
            </w:pPr>
            <w:r>
              <w:rPr>
                <w:rFonts w:ascii="Arial" w:cs="Arial" w:eastAsia="Arial" w:hAnsi="Arial"/>
                <w:sz w:val="18"/>
                <w:szCs w:val="18"/>
                <w:color w:val="auto"/>
              </w:rPr>
              <w:t>Date: February 23, 2021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George H. Ellis</w:t>
            </w:r>
          </w:p>
        </w:tc>
        <w:tc>
          <w:tcPr>
            <w:tcW w:w="4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THOMAS R. ERTEL</w:t>
            </w:r>
          </w:p>
        </w:tc>
        <w:tc>
          <w:tcPr>
            <w:tcW w:w="434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560"/>
              <w:spacing w:after="0"/>
              <w:rPr>
                <w:sz w:val="20"/>
                <w:szCs w:val="20"/>
                <w:color w:val="auto"/>
              </w:rPr>
            </w:pPr>
            <w:r>
              <w:rPr>
                <w:rFonts w:ascii="Arial" w:cs="Arial" w:eastAsia="Arial" w:hAnsi="Arial"/>
                <w:sz w:val="18"/>
                <w:szCs w:val="18"/>
                <w:color w:val="auto"/>
              </w:rPr>
              <w:t>Date: February 23, 2021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Thomas R. Ertel</w:t>
            </w:r>
          </w:p>
        </w:tc>
        <w:tc>
          <w:tcPr>
            <w:tcW w:w="4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SARAH E. NASH</w:t>
            </w:r>
          </w:p>
        </w:tc>
        <w:tc>
          <w:tcPr>
            <w:tcW w:w="434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560"/>
              <w:spacing w:after="0"/>
              <w:rPr>
                <w:sz w:val="20"/>
                <w:szCs w:val="20"/>
                <w:color w:val="auto"/>
              </w:rPr>
            </w:pPr>
            <w:r>
              <w:rPr>
                <w:rFonts w:ascii="Arial" w:cs="Arial" w:eastAsia="Arial" w:hAnsi="Arial"/>
                <w:sz w:val="18"/>
                <w:szCs w:val="18"/>
                <w:color w:val="auto"/>
              </w:rPr>
              <w:t>Date: February 23, 2021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Sarah E. Nash</w:t>
            </w:r>
          </w:p>
        </w:tc>
        <w:tc>
          <w:tcPr>
            <w:tcW w:w="4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JOYCE M. NELSON</w:t>
            </w:r>
          </w:p>
        </w:tc>
        <w:tc>
          <w:tcPr>
            <w:tcW w:w="434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560"/>
              <w:spacing w:after="0"/>
              <w:rPr>
                <w:sz w:val="20"/>
                <w:szCs w:val="20"/>
                <w:color w:val="auto"/>
              </w:rPr>
            </w:pPr>
            <w:r>
              <w:rPr>
                <w:rFonts w:ascii="Arial" w:cs="Arial" w:eastAsia="Arial" w:hAnsi="Arial"/>
                <w:sz w:val="18"/>
                <w:szCs w:val="18"/>
                <w:color w:val="auto"/>
              </w:rPr>
              <w:t>Date: February 23, 2021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Joyce M. Nelson</w:t>
            </w:r>
          </w:p>
        </w:tc>
        <w:tc>
          <w:tcPr>
            <w:tcW w:w="4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4"/>
        </w:trPr>
        <w:tc>
          <w:tcPr>
            <w:tcW w:w="3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80" w:type="dxa"/>
            <w:vAlign w:val="bottom"/>
          </w:tcPr>
          <w:p>
            <w:pPr>
              <w:ind w:left="220"/>
              <w:spacing w:after="0"/>
              <w:rPr>
                <w:sz w:val="20"/>
                <w:szCs w:val="20"/>
                <w:color w:val="auto"/>
              </w:rPr>
            </w:pPr>
            <w:r>
              <w:rPr>
                <w:rFonts w:ascii="Arial" w:cs="Arial" w:eastAsia="Arial" w:hAnsi="Arial"/>
                <w:sz w:val="14"/>
                <w:szCs w:val="14"/>
                <w:color w:val="auto"/>
              </w:rPr>
              <w:t>2020 Form 10-K</w:t>
            </w:r>
          </w:p>
        </w:tc>
        <w:tc>
          <w:tcPr>
            <w:tcW w:w="30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-180340</wp:posOffset>
            </wp:positionV>
            <wp:extent cx="728980"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5" w:name="page116"/>
    <w:bookmarkEnd w:id="115"/>
    <w:p>
      <w:pPr>
        <w:ind w:left="10020"/>
        <w:spacing w:after="0"/>
        <w:rPr>
          <w:sz w:val="20"/>
          <w:szCs w:val="20"/>
          <w:color w:val="auto"/>
        </w:rPr>
      </w:pPr>
      <w:r>
        <w:rPr>
          <w:rFonts w:ascii="Arial" w:cs="Arial" w:eastAsia="Arial" w:hAnsi="Arial"/>
          <w:sz w:val="19"/>
          <w:szCs w:val="19"/>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OF TRIPLE NET LEASE AND MUTUAL RELEASE AGREEMENT</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rPr>
          <w:sz w:val="20"/>
          <w:szCs w:val="20"/>
          <w:color w:val="auto"/>
        </w:rPr>
      </w:pPr>
      <w:r>
        <w:rPr>
          <w:rFonts w:ascii="Arial" w:cs="Arial" w:eastAsia="Arial" w:hAnsi="Arial"/>
          <w:sz w:val="21"/>
          <w:szCs w:val="21"/>
          <w:b w:val="1"/>
          <w:bCs w:val="1"/>
          <w:color w:val="auto"/>
        </w:rPr>
        <w:t xml:space="preserve">THIS TERMINATION OF TRIPLE NET LEASE AND MUTUAL RELEASE AGREEMENT </w:t>
      </w:r>
      <w:r>
        <w:rPr>
          <w:rFonts w:ascii="Arial" w:cs="Arial" w:eastAsia="Arial" w:hAnsi="Arial"/>
          <w:sz w:val="21"/>
          <w:szCs w:val="21"/>
          <w:color w:val="auto"/>
        </w:rPr>
        <w:t>(this “</w:t>
      </w:r>
      <w:r>
        <w:rPr>
          <w:rFonts w:ascii="Arial" w:cs="Arial" w:eastAsia="Arial" w:hAnsi="Arial"/>
          <w:sz w:val="21"/>
          <w:szCs w:val="21"/>
          <w:b w:val="1"/>
          <w:bCs w:val="1"/>
          <w:color w:val="auto"/>
        </w:rPr>
        <w:t>Agreement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is made and entered into effective as of this 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November, 2020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HP 2000DI, LLC</w:t>
      </w:r>
      <w:r>
        <w:rPr>
          <w:rFonts w:ascii="Arial" w:cs="Arial" w:eastAsia="Arial" w:hAnsi="Arial"/>
          <w:sz w:val="21"/>
          <w:szCs w:val="21"/>
          <w:color w:val="auto"/>
        </w:rPr>
        <w:t>, a Georgia limited liability company (“</w:t>
      </w:r>
      <w:r>
        <w:rPr>
          <w:rFonts w:ascii="Arial" w:cs="Arial" w:eastAsia="Arial" w:hAnsi="Arial"/>
          <w:sz w:val="21"/>
          <w:szCs w:val="21"/>
          <w:b w:val="1"/>
          <w:bCs w:val="1"/>
          <w:color w:val="auto"/>
        </w:rPr>
        <w:t>Landlord</w:t>
      </w:r>
      <w:r>
        <w:rPr>
          <w:rFonts w:ascii="Arial" w:cs="Arial" w:eastAsia="Arial" w:hAnsi="Arial"/>
          <w:sz w:val="21"/>
          <w:szCs w:val="21"/>
          <w:color w:val="auto"/>
        </w:rPr>
        <w:t xml:space="preserve">”) and </w:t>
      </w:r>
      <w:r>
        <w:rPr>
          <w:rFonts w:ascii="Arial" w:cs="Arial" w:eastAsia="Arial" w:hAnsi="Arial"/>
          <w:sz w:val="21"/>
          <w:szCs w:val="21"/>
          <w:b w:val="1"/>
          <w:bCs w:val="1"/>
          <w:color w:val="auto"/>
        </w:rPr>
        <w:t>BLACKBAUD, INC.</w:t>
      </w:r>
      <w:r>
        <w:rPr>
          <w:rFonts w:ascii="Arial" w:cs="Arial" w:eastAsia="Arial" w:hAnsi="Arial"/>
          <w:sz w:val="21"/>
          <w:szCs w:val="21"/>
          <w:color w:val="auto"/>
        </w:rPr>
        <w:t>, a Delaware corporation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RECITALS</w:t>
      </w:r>
    </w:p>
    <w:p>
      <w:pPr>
        <w:spacing w:after="0" w:line="247" w:lineRule="exact"/>
        <w:rPr>
          <w:sz w:val="20"/>
          <w:szCs w:val="20"/>
          <w:color w:val="auto"/>
        </w:rPr>
      </w:pPr>
    </w:p>
    <w:p>
      <w:pPr>
        <w:ind w:left="660" w:hanging="652"/>
        <w:spacing w:after="0" w:line="294" w:lineRule="auto"/>
        <w:tabs>
          <w:tab w:leader="none" w:pos="453" w:val="left"/>
        </w:tabs>
        <w:numPr>
          <w:ilvl w:val="0"/>
          <w:numId w:val="77"/>
        </w:numPr>
        <w:rPr>
          <w:rFonts w:ascii="Arial" w:cs="Arial" w:eastAsia="Arial" w:hAnsi="Arial"/>
          <w:sz w:val="19"/>
          <w:szCs w:val="19"/>
          <w:color w:val="auto"/>
        </w:rPr>
      </w:pPr>
      <w:r>
        <w:rPr>
          <w:rFonts w:ascii="Arial" w:cs="Arial" w:eastAsia="Arial" w:hAnsi="Arial"/>
          <w:sz w:val="19"/>
          <w:szCs w:val="19"/>
          <w:color w:val="auto"/>
        </w:rPr>
        <w:t>Landlord and Tenant are parties to that certain Triple Net Lease Agreement originally between Duck Pond Creek-SPE, LLC and Tenant dated as of October 1, 2008, as amended by that certain Lease Amendment and Remediation Agreement dated March 20, 2013, as further amended by that certain Second Amendment to Triple Net Lease Agreement dated June 27, 2013, and as assigned to Landlord by Duck Pond Creek – SPE, LLC, predecessor in interest to Landlord (as so amended and assigned, the “</w:t>
      </w:r>
      <w:r>
        <w:rPr>
          <w:rFonts w:ascii="Arial" w:cs="Arial" w:eastAsia="Arial" w:hAnsi="Arial"/>
          <w:sz w:val="19"/>
          <w:szCs w:val="19"/>
          <w:b w:val="1"/>
          <w:bCs w:val="1"/>
          <w:color w:val="auto"/>
        </w:rPr>
        <w:t>Lease</w:t>
      </w:r>
      <w:r>
        <w:rPr>
          <w:rFonts w:ascii="Arial" w:cs="Arial" w:eastAsia="Arial" w:hAnsi="Arial"/>
          <w:sz w:val="19"/>
          <w:szCs w:val="19"/>
          <w:color w:val="auto"/>
        </w:rPr>
        <w:t>”) for the Property located at 2000 Daniel Island Drive, Charleston, South Carolina, 29492 as more particularly described in the Lease (the “</w:t>
      </w:r>
      <w:r>
        <w:rPr>
          <w:rFonts w:ascii="Arial" w:cs="Arial" w:eastAsia="Arial" w:hAnsi="Arial"/>
          <w:sz w:val="19"/>
          <w:szCs w:val="19"/>
          <w:b w:val="1"/>
          <w:bCs w:val="1"/>
          <w:color w:val="auto"/>
        </w:rPr>
        <w:t>Leased Premises</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left="660" w:hanging="652"/>
        <w:spacing w:after="0" w:line="253" w:lineRule="auto"/>
        <w:tabs>
          <w:tab w:leader="none" w:pos="595" w:val="left"/>
        </w:tabs>
        <w:numPr>
          <w:ilvl w:val="0"/>
          <w:numId w:val="77"/>
        </w:numPr>
        <w:rPr>
          <w:rFonts w:ascii="Arial" w:cs="Arial" w:eastAsia="Arial" w:hAnsi="Arial"/>
          <w:sz w:val="22"/>
          <w:szCs w:val="22"/>
          <w:color w:val="auto"/>
        </w:rPr>
      </w:pPr>
      <w:r>
        <w:rPr>
          <w:rFonts w:ascii="Arial" w:cs="Arial" w:eastAsia="Arial" w:hAnsi="Arial"/>
          <w:sz w:val="22"/>
          <w:szCs w:val="22"/>
          <w:color w:val="auto"/>
        </w:rPr>
        <w:t>Tenant has subleased a portion of the Leased Premises consisting of approximately 16,633 rentable square feet (the “</w:t>
      </w:r>
      <w:r>
        <w:rPr>
          <w:rFonts w:ascii="Arial" w:cs="Arial" w:eastAsia="Arial" w:hAnsi="Arial"/>
          <w:sz w:val="22"/>
          <w:szCs w:val="22"/>
          <w:b w:val="1"/>
          <w:bCs w:val="1"/>
          <w:color w:val="auto"/>
        </w:rPr>
        <w:t>Subleased Premises</w:t>
      </w:r>
      <w:r>
        <w:rPr>
          <w:rFonts w:ascii="Arial" w:cs="Arial" w:eastAsia="Arial" w:hAnsi="Arial"/>
          <w:sz w:val="22"/>
          <w:szCs w:val="22"/>
          <w:color w:val="auto"/>
        </w:rPr>
        <w:t>”) to Cambridge International Systems, Inc. (the “</w:t>
      </w:r>
      <w:r>
        <w:rPr>
          <w:rFonts w:ascii="Arial" w:cs="Arial" w:eastAsia="Arial" w:hAnsi="Arial"/>
          <w:sz w:val="22"/>
          <w:szCs w:val="22"/>
          <w:b w:val="1"/>
          <w:bCs w:val="1"/>
          <w:color w:val="auto"/>
        </w:rPr>
        <w:t>Subtenant</w:t>
      </w:r>
      <w:r>
        <w:rPr>
          <w:rFonts w:ascii="Arial" w:cs="Arial" w:eastAsia="Arial" w:hAnsi="Arial"/>
          <w:sz w:val="22"/>
          <w:szCs w:val="22"/>
          <w:color w:val="auto"/>
        </w:rPr>
        <w:t>”) pursuant to that certain Sublease dated November __, 2018 (the “</w:t>
      </w:r>
      <w:r>
        <w:rPr>
          <w:rFonts w:ascii="Arial" w:cs="Arial" w:eastAsia="Arial" w:hAnsi="Arial"/>
          <w:sz w:val="22"/>
          <w:szCs w:val="22"/>
          <w:b w:val="1"/>
          <w:bCs w:val="1"/>
          <w:color w:val="auto"/>
        </w:rPr>
        <w:t>Sublease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420" w:hanging="412"/>
        <w:spacing w:after="0"/>
        <w:tabs>
          <w:tab w:leader="none" w:pos="4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parties hereby agree to modify the terms of the Lease upon the terms and conditions set forth herein.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recitals, which are hereby incorporated into this Agreement as though</w:t>
      </w:r>
      <w:r>
        <w:rPr>
          <w:rFonts w:ascii="Arial" w:cs="Arial" w:eastAsia="Arial" w:hAnsi="Arial"/>
          <w:sz w:val="21"/>
          <w:szCs w:val="21"/>
          <w:b w:val="1"/>
          <w:bCs w:val="1"/>
          <w:color w:val="auto"/>
        </w:rPr>
        <w:t xml:space="preserve"> </w:t>
      </w:r>
      <w:r>
        <w:rPr>
          <w:rFonts w:ascii="Arial" w:cs="Arial" w:eastAsia="Arial" w:hAnsi="Arial"/>
          <w:sz w:val="21"/>
          <w:szCs w:val="21"/>
          <w:color w:val="auto"/>
        </w:rPr>
        <w:t>fully set forth herein, the mutual covenants herein contained, and for other good and valuable consideration, the receipt and sufficiency of which is hereby acknowledged, Landlord and Tenant hereby agree as follows:</w:t>
      </w:r>
    </w:p>
    <w:p>
      <w:pPr>
        <w:spacing w:after="0" w:line="185" w:lineRule="exact"/>
        <w:rPr>
          <w:sz w:val="20"/>
          <w:szCs w:val="20"/>
          <w:color w:val="auto"/>
        </w:rPr>
      </w:pPr>
    </w:p>
    <w:p>
      <w:pPr>
        <w:ind w:left="660" w:hanging="652"/>
        <w:spacing w:after="0" w:line="290" w:lineRule="auto"/>
        <w:tabs>
          <w:tab w:leader="none" w:pos="494"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w:t>
      </w:r>
      <w:r>
        <w:rPr>
          <w:rFonts w:ascii="Arial" w:cs="Arial" w:eastAsia="Arial" w:hAnsi="Arial"/>
          <w:sz w:val="19"/>
          <w:szCs w:val="19"/>
          <w:color w:val="auto"/>
        </w:rPr>
        <w:t>. Subject to satisfaction of the Conditions (defined below), the term of the Lease with respect to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Leased Premises shall terminate effective as of 11:59 p.m. on December 31, 2020 (the "</w:t>
      </w:r>
      <w:r>
        <w:rPr>
          <w:rFonts w:ascii="Arial" w:cs="Arial" w:eastAsia="Arial" w:hAnsi="Arial"/>
          <w:sz w:val="19"/>
          <w:szCs w:val="19"/>
          <w:b w:val="1"/>
          <w:bCs w:val="1"/>
          <w:color w:val="auto"/>
        </w:rPr>
        <w:t>Termination Date</w:t>
      </w:r>
      <w:r>
        <w:rPr>
          <w:rFonts w:ascii="Arial" w:cs="Arial" w:eastAsia="Arial" w:hAnsi="Arial"/>
          <w:sz w:val="19"/>
          <w:szCs w:val="19"/>
          <w:color w:val="auto"/>
        </w:rPr>
        <w:t>"), except each party’s indemnity obligations under Section 12 of the Lease and any Landlord claims for indemnification under Section 23 of the Lease relating to the period of time prior to the Termination Date will survive the termination of the Lease. Landlord and Tenant each represent and warrant to the other that as of the Effective Date they have no actual knowledge of any current or potential claims under Section 12 or 23 of the Lease. Tenant hereby surrenders and relinquishes to Landlord, and Landlord hereby accepts, as of the Termination Date, all of Tenant's right, title and interest in and to the Leased Premises, together with all alterations, installations, changes, additions, fixtures and improvements in and to the Leased Premises (the “</w:t>
      </w:r>
      <w:r>
        <w:rPr>
          <w:rFonts w:ascii="Arial" w:cs="Arial" w:eastAsia="Arial" w:hAnsi="Arial"/>
          <w:sz w:val="19"/>
          <w:szCs w:val="19"/>
          <w:b w:val="1"/>
          <w:bCs w:val="1"/>
          <w:color w:val="auto"/>
        </w:rPr>
        <w:t>Remaining Property</w:t>
      </w:r>
      <w:r>
        <w:rPr>
          <w:rFonts w:ascii="Arial" w:cs="Arial" w:eastAsia="Arial" w:hAnsi="Arial"/>
          <w:sz w:val="19"/>
          <w:szCs w:val="19"/>
          <w:color w:val="auto"/>
        </w:rPr>
        <w:t>”); provided that Tenant may remove all of its personal property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240"/>
          </w:cols>
          <w:pgMar w:left="320" w:top="126" w:right="339" w:bottom="1440" w:gutter="0" w:footer="0" w:header="0"/>
        </w:sectPr>
      </w:pPr>
    </w:p>
    <w:bookmarkStart w:id="116" w:name="page117"/>
    <w:bookmarkEnd w:id="116"/>
    <w:p>
      <w:pPr>
        <w:jc w:val="both"/>
        <w:ind w:left="660"/>
        <w:spacing w:after="0" w:line="247" w:lineRule="auto"/>
        <w:rPr>
          <w:sz w:val="20"/>
          <w:szCs w:val="20"/>
          <w:color w:val="auto"/>
        </w:rPr>
      </w:pPr>
      <w:r>
        <w:rPr>
          <w:rFonts w:ascii="Arial" w:cs="Arial" w:eastAsia="Arial" w:hAnsi="Arial"/>
          <w:sz w:val="22"/>
          <w:szCs w:val="22"/>
          <w:color w:val="auto"/>
        </w:rPr>
        <w:t>and equipment from the Leased Premises on or prior to the Termination Date, but shall have no obligation to do so. Tenant will have no obligation to restore the Leased Premises or remove Tenant’s furniture, cabling or other personal fixtures or personal property, notwithstanding Section 24 of the Lease. As of the Termination Date, Landlord will accept the Leased Premises, including the Remaining Property (to the extent left in or on the Property) and the Leased Premises, in as-is condition, except that Tenant shall remain obligated for any claims under Section 12 of the Lease, which shall survive termination of the Lease.</w:t>
      </w:r>
    </w:p>
    <w:p>
      <w:pPr>
        <w:spacing w:after="0" w:line="214" w:lineRule="exact"/>
        <w:rPr>
          <w:sz w:val="20"/>
          <w:szCs w:val="20"/>
          <w:color w:val="auto"/>
        </w:rPr>
      </w:pPr>
    </w:p>
    <w:p>
      <w:pPr>
        <w:ind w:left="660" w:hanging="652"/>
        <w:spacing w:after="0" w:line="290" w:lineRule="auto"/>
        <w:tabs>
          <w:tab w:leader="none" w:pos="494"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Fee</w:t>
      </w:r>
      <w:r>
        <w:rPr>
          <w:rFonts w:ascii="Arial" w:cs="Arial" w:eastAsia="Arial" w:hAnsi="Arial"/>
          <w:sz w:val="19"/>
          <w:szCs w:val="19"/>
          <w:color w:val="auto"/>
        </w:rPr>
        <w:t>. In consideration for Landlord terminating the Lease, following the satisfaction of the Conditions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Tenant’s surrender of the Leased Premises on the Termination Date, but no later than January 5, 2021, Tenant agrees to pay Landlord via check delivered to Landlord’s office at c/o Holder Properties, Inc., 3300 Cumberland Blvd., Suite 200, Atlanta, GA 30339 by overnight courier (either Federal Express or UPS) posted with/delivered to the courier no earlier than the Termination Date, a one-time termination fee equal to Fourteen Million Seven Hundred Fifty Nine Thousand Five Hundred and 00/100 Dollars ($14,759,500.00) (the “</w:t>
      </w:r>
      <w:r>
        <w:rPr>
          <w:rFonts w:ascii="Arial" w:cs="Arial" w:eastAsia="Arial" w:hAnsi="Arial"/>
          <w:sz w:val="19"/>
          <w:szCs w:val="19"/>
          <w:b w:val="1"/>
          <w:bCs w:val="1"/>
          <w:color w:val="auto"/>
        </w:rPr>
        <w:t>Termination Fee</w:t>
      </w:r>
      <w:r>
        <w:rPr>
          <w:rFonts w:ascii="Arial" w:cs="Arial" w:eastAsia="Arial" w:hAnsi="Arial"/>
          <w:sz w:val="19"/>
          <w:szCs w:val="19"/>
          <w:color w:val="auto"/>
        </w:rPr>
        <w:t>”). Notwithstanding the terms of Section 1 to the contrary, if Tenant fails to timely pay Landlord the Termination Fee or fails to deliver such payment pursuant to the express terms of the preceding sentence, Landlord may elect in writing to Tenant (without limiting any other remedies available to Landlord) to treat this Agreement as being null and void such that the Lease remains in full force and effect.</w:t>
      </w:r>
    </w:p>
    <w:p>
      <w:pPr>
        <w:spacing w:after="0" w:line="175" w:lineRule="exact"/>
        <w:rPr>
          <w:rFonts w:ascii="Arial" w:cs="Arial" w:eastAsia="Arial" w:hAnsi="Arial"/>
          <w:sz w:val="19"/>
          <w:szCs w:val="19"/>
          <w:b w:val="1"/>
          <w:bCs w:val="1"/>
          <w:color w:val="auto"/>
        </w:rPr>
      </w:pPr>
    </w:p>
    <w:p>
      <w:pPr>
        <w:ind w:left="660" w:hanging="652"/>
        <w:spacing w:after="0" w:line="298" w:lineRule="auto"/>
        <w:tabs>
          <w:tab w:leader="none" w:pos="516"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Tenant Performance</w:t>
      </w:r>
      <w:r>
        <w:rPr>
          <w:rFonts w:ascii="Arial" w:cs="Arial" w:eastAsia="Arial" w:hAnsi="Arial"/>
          <w:sz w:val="19"/>
          <w:szCs w:val="19"/>
          <w:color w:val="auto"/>
        </w:rPr>
        <w:t>. Tenant will continue to pay Base Rent and Additional Rent under the Lease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all real estate taxes due for the 2020 calendar year under Section 4(b)(ii) of the Lease) and otherwise comply with the terms of the Lease through the Termination Date, except as provided in this Agreement. For avoidance of doubt, as of or prior to the Termination Date, Tenant will pay all amounts due Berkeley County, South Carolina (the “County”) for the 2020 calendar year or any prior calendar year under the FILOT Agreement (defined below).</w:t>
      </w:r>
    </w:p>
    <w:p>
      <w:pPr>
        <w:spacing w:after="0" w:line="169" w:lineRule="exact"/>
        <w:rPr>
          <w:rFonts w:ascii="Arial" w:cs="Arial" w:eastAsia="Arial" w:hAnsi="Arial"/>
          <w:sz w:val="19"/>
          <w:szCs w:val="19"/>
          <w:b w:val="1"/>
          <w:bCs w:val="1"/>
          <w:color w:val="auto"/>
        </w:rPr>
      </w:pPr>
    </w:p>
    <w:p>
      <w:pPr>
        <w:ind w:left="660" w:hanging="652"/>
        <w:spacing w:after="0" w:line="269" w:lineRule="auto"/>
        <w:tabs>
          <w:tab w:leader="none" w:pos="43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Signage</w:t>
      </w:r>
      <w:r>
        <w:rPr>
          <w:rFonts w:ascii="Arial" w:cs="Arial" w:eastAsia="Arial" w:hAnsi="Arial"/>
          <w:sz w:val="22"/>
          <w:szCs w:val="22"/>
          <w:color w:val="auto"/>
        </w:rPr>
        <w:t>. Landlord will remove all internal and external signage for the Leased Premises with Tenant’s name not later than</w:t>
      </w:r>
      <w:r>
        <w:rPr>
          <w:rFonts w:ascii="Arial" w:cs="Arial" w:eastAsia="Arial" w:hAnsi="Arial"/>
          <w:sz w:val="22"/>
          <w:szCs w:val="22"/>
          <w:b w:val="1"/>
          <w:bCs w:val="1"/>
          <w:color w:val="auto"/>
        </w:rPr>
        <w:t xml:space="preserve"> </w:t>
      </w:r>
      <w:r>
        <w:rPr>
          <w:rFonts w:ascii="Arial" w:cs="Arial" w:eastAsia="Arial" w:hAnsi="Arial"/>
          <w:sz w:val="22"/>
          <w:szCs w:val="22"/>
          <w:color w:val="auto"/>
        </w:rPr>
        <w:t>ten (10) days after receipt of the Termination Payment.</w:t>
      </w:r>
    </w:p>
    <w:p>
      <w:pPr>
        <w:spacing w:after="0" w:line="188" w:lineRule="exact"/>
        <w:rPr>
          <w:rFonts w:ascii="Arial" w:cs="Arial" w:eastAsia="Arial" w:hAnsi="Arial"/>
          <w:sz w:val="22"/>
          <w:szCs w:val="22"/>
          <w:b w:val="1"/>
          <w:bCs w:val="1"/>
          <w:color w:val="auto"/>
        </w:rPr>
      </w:pPr>
    </w:p>
    <w:p>
      <w:pPr>
        <w:ind w:left="660" w:right="20" w:hanging="652"/>
        <w:spacing w:after="0" w:line="269" w:lineRule="auto"/>
        <w:tabs>
          <w:tab w:leader="none" w:pos="399"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Conditions to Effectiveness. </w:t>
      </w:r>
      <w:r>
        <w:rPr>
          <w:rFonts w:ascii="Arial" w:cs="Arial" w:eastAsia="Arial" w:hAnsi="Arial"/>
          <w:sz w:val="22"/>
          <w:szCs w:val="22"/>
          <w:color w:val="auto"/>
        </w:rPr>
        <w:t>The effectiveness of this Agreement shall be subject to the following conditions precedent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Conditions</w:t>
      </w:r>
      <w:r>
        <w:rPr>
          <w:rFonts w:ascii="Arial" w:cs="Arial" w:eastAsia="Arial" w:hAnsi="Arial"/>
          <w:sz w:val="22"/>
          <w:szCs w:val="22"/>
          <w:color w:val="auto"/>
        </w:rPr>
        <w:t>”):</w:t>
      </w:r>
    </w:p>
    <w:p>
      <w:pPr>
        <w:spacing w:after="0" w:line="194" w:lineRule="exact"/>
        <w:rPr>
          <w:rFonts w:ascii="Arial" w:cs="Arial" w:eastAsia="Arial" w:hAnsi="Arial"/>
          <w:sz w:val="22"/>
          <w:szCs w:val="22"/>
          <w:b w:val="1"/>
          <w:bCs w:val="1"/>
          <w:color w:val="auto"/>
        </w:rPr>
      </w:pPr>
    </w:p>
    <w:p>
      <w:pPr>
        <w:ind w:left="1300" w:right="20" w:hanging="320"/>
        <w:spacing w:after="0" w:line="251" w:lineRule="auto"/>
        <w:tabs>
          <w:tab w:leader="none" w:pos="1211" w:val="left"/>
        </w:tabs>
        <w:numPr>
          <w:ilvl w:val="1"/>
          <w:numId w:val="79"/>
        </w:numPr>
        <w:rPr>
          <w:rFonts w:ascii="Arial" w:cs="Arial" w:eastAsia="Arial" w:hAnsi="Arial"/>
          <w:sz w:val="22"/>
          <w:szCs w:val="22"/>
          <w:color w:val="auto"/>
        </w:rPr>
      </w:pPr>
      <w:r>
        <w:rPr>
          <w:rFonts w:ascii="Arial" w:cs="Arial" w:eastAsia="Arial" w:hAnsi="Arial"/>
          <w:sz w:val="22"/>
          <w:szCs w:val="22"/>
          <w:color w:val="auto"/>
        </w:rPr>
        <w:t>Landlord shall obtain written consent to the termination of the Lease in accordance with this Agreement from the lender holding a mortgage over the Leased Premises, Synovus Bank.</w:t>
      </w:r>
    </w:p>
    <w:p>
      <w:pPr>
        <w:spacing w:after="0" w:line="1" w:lineRule="exact"/>
        <w:rPr>
          <w:rFonts w:ascii="Arial" w:cs="Arial" w:eastAsia="Arial" w:hAnsi="Arial"/>
          <w:sz w:val="22"/>
          <w:szCs w:val="22"/>
          <w:color w:val="auto"/>
        </w:rPr>
      </w:pPr>
    </w:p>
    <w:p>
      <w:pPr>
        <w:ind w:left="1300" w:hanging="320"/>
        <w:spacing w:after="0" w:line="259" w:lineRule="auto"/>
        <w:tabs>
          <w:tab w:leader="none" w:pos="1210" w:val="left"/>
        </w:tabs>
        <w:numPr>
          <w:ilvl w:val="1"/>
          <w:numId w:val="79"/>
        </w:numPr>
        <w:rPr>
          <w:rFonts w:ascii="Arial" w:cs="Arial" w:eastAsia="Arial" w:hAnsi="Arial"/>
          <w:sz w:val="21"/>
          <w:szCs w:val="21"/>
          <w:color w:val="auto"/>
        </w:rPr>
      </w:pPr>
      <w:r>
        <w:rPr>
          <w:rFonts w:ascii="Arial" w:cs="Arial" w:eastAsia="Arial" w:hAnsi="Arial"/>
          <w:sz w:val="21"/>
          <w:szCs w:val="21"/>
          <w:color w:val="auto"/>
        </w:rPr>
        <w:t>(i) Tenant and Subtenant shall agree in writing to a termination of the Sublease, in form and substance acceptable to Tenant, or (ii) Landlord and Subtenant shall enter into a lease for a portion of the Leased Premises, in form and substance acceptable to Landlord, which shall be terminable after the effective date by either Landlord or Subtenant upon not less than six (6) months’ notice and shall include a termination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240"/>
          </w:cols>
          <w:pgMar w:left="320" w:top="1266" w:right="339" w:bottom="1440" w:gutter="0" w:footer="0" w:header="0"/>
        </w:sectPr>
      </w:pPr>
    </w:p>
    <w:bookmarkStart w:id="117" w:name="page118"/>
    <w:bookmarkEnd w:id="117"/>
    <w:p>
      <w:pPr>
        <w:jc w:val="center"/>
        <w:ind w:right="100"/>
        <w:spacing w:after="0"/>
        <w:rPr>
          <w:sz w:val="20"/>
          <w:szCs w:val="20"/>
          <w:color w:val="auto"/>
        </w:rPr>
      </w:pPr>
      <w:r>
        <w:rPr>
          <w:rFonts w:ascii="Arial" w:cs="Arial" w:eastAsia="Arial" w:hAnsi="Arial"/>
          <w:sz w:val="22"/>
          <w:szCs w:val="22"/>
          <w:color w:val="auto"/>
        </w:rPr>
        <w:t>of the Sublease and a release from the Subtenant of all claims against Tenant (the “</w:t>
      </w:r>
      <w:r>
        <w:rPr>
          <w:rFonts w:ascii="Arial" w:cs="Arial" w:eastAsia="Arial" w:hAnsi="Arial"/>
          <w:sz w:val="22"/>
          <w:szCs w:val="22"/>
          <w:b w:val="1"/>
          <w:bCs w:val="1"/>
          <w:color w:val="auto"/>
        </w:rPr>
        <w:t>Direct Lease</w:t>
      </w:r>
      <w:r>
        <w:rPr>
          <w:rFonts w:ascii="Arial" w:cs="Arial" w:eastAsia="Arial" w:hAnsi="Arial"/>
          <w:sz w:val="22"/>
          <w:szCs w:val="22"/>
          <w:color w:val="auto"/>
        </w:rPr>
        <w:t>”).</w:t>
      </w:r>
    </w:p>
    <w:p>
      <w:pPr>
        <w:spacing w:after="0" w:line="27" w:lineRule="exact"/>
        <w:rPr>
          <w:sz w:val="20"/>
          <w:szCs w:val="20"/>
          <w:color w:val="auto"/>
        </w:rPr>
      </w:pPr>
    </w:p>
    <w:p>
      <w:pPr>
        <w:jc w:val="both"/>
        <w:ind w:left="1300" w:hanging="320"/>
        <w:spacing w:after="0" w:line="262" w:lineRule="auto"/>
        <w:tabs>
          <w:tab w:leader="none" w:pos="1252" w:val="left"/>
        </w:tabs>
        <w:numPr>
          <w:ilvl w:val="0"/>
          <w:numId w:val="80"/>
        </w:numPr>
        <w:rPr>
          <w:rFonts w:ascii="Arial" w:cs="Arial" w:eastAsia="Arial" w:hAnsi="Arial"/>
          <w:sz w:val="21"/>
          <w:szCs w:val="21"/>
          <w:color w:val="auto"/>
        </w:rPr>
      </w:pPr>
      <w:r>
        <w:rPr>
          <w:rFonts w:ascii="Arial" w:cs="Arial" w:eastAsia="Arial" w:hAnsi="Arial"/>
          <w:sz w:val="21"/>
          <w:szCs w:val="21"/>
          <w:color w:val="auto"/>
        </w:rPr>
        <w:t>Tenant has delivered to Landlord evidence that Tenant and Main Sail Beverage, LLC (“</w:t>
      </w:r>
      <w:r>
        <w:rPr>
          <w:rFonts w:ascii="Arial" w:cs="Arial" w:eastAsia="Arial" w:hAnsi="Arial"/>
          <w:sz w:val="21"/>
          <w:szCs w:val="21"/>
          <w:b w:val="1"/>
          <w:bCs w:val="1"/>
          <w:color w:val="auto"/>
        </w:rPr>
        <w:t>Main Sail</w:t>
      </w:r>
      <w:r>
        <w:rPr>
          <w:rFonts w:ascii="Arial" w:cs="Arial" w:eastAsia="Arial" w:hAnsi="Arial"/>
          <w:sz w:val="21"/>
          <w:szCs w:val="21"/>
          <w:color w:val="auto"/>
        </w:rPr>
        <w:t>”) have terminated the Sublease between Tenant and Main Sail with respect to the approximately 773 square feet of space in the Leased Premises more commonly referred to as Suite 110 (the “</w:t>
      </w:r>
      <w:r>
        <w:rPr>
          <w:rFonts w:ascii="Arial" w:cs="Arial" w:eastAsia="Arial" w:hAnsi="Arial"/>
          <w:sz w:val="21"/>
          <w:szCs w:val="21"/>
          <w:b w:val="1"/>
          <w:bCs w:val="1"/>
          <w:color w:val="auto"/>
        </w:rPr>
        <w:t>Main Sail Sublease</w:t>
      </w:r>
      <w:r>
        <w:rPr>
          <w:rFonts w:ascii="Arial" w:cs="Arial" w:eastAsia="Arial" w:hAnsi="Arial"/>
          <w:sz w:val="21"/>
          <w:szCs w:val="21"/>
          <w:color w:val="auto"/>
        </w:rPr>
        <w:t>”).</w:t>
      </w:r>
    </w:p>
    <w:p>
      <w:pPr>
        <w:spacing w:after="0" w:line="204"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If any of Conditions (a), (b) or (c) above has not been satisfied by December 15, 2020 despite good faith, commercially reasonable efforts of the responsible party to do so, either Landlord or Tenant may terminate this Agreement by delivery of written notice to the other party and the Lease shall remain in full force and effect.</w:t>
      </w:r>
    </w:p>
    <w:p>
      <w:pPr>
        <w:spacing w:after="0" w:line="188" w:lineRule="exact"/>
        <w:rPr>
          <w:sz w:val="20"/>
          <w:szCs w:val="20"/>
          <w:color w:val="auto"/>
        </w:rPr>
      </w:pPr>
    </w:p>
    <w:p>
      <w:pPr>
        <w:ind w:left="660" w:hanging="652"/>
        <w:spacing w:after="0" w:line="286" w:lineRule="auto"/>
        <w:tabs>
          <w:tab w:leader="none" w:pos="459"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Future Subtenant Rents </w:t>
      </w:r>
      <w:r>
        <w:rPr>
          <w:rFonts w:ascii="Arial" w:cs="Arial" w:eastAsia="Arial" w:hAnsi="Arial"/>
          <w:sz w:val="19"/>
          <w:szCs w:val="19"/>
          <w:color w:val="auto"/>
        </w:rPr>
        <w:t>Landlord shall pay to Tenant within thirty (30) days of receipt by Landlord an amount equal to</w:t>
      </w:r>
      <w:r>
        <w:rPr>
          <w:rFonts w:ascii="Arial" w:cs="Arial" w:eastAsia="Arial" w:hAnsi="Arial"/>
          <w:sz w:val="19"/>
          <w:szCs w:val="19"/>
          <w:b w:val="1"/>
          <w:bCs w:val="1"/>
          <w:color w:val="auto"/>
        </w:rPr>
        <w:t xml:space="preserve"> </w:t>
      </w:r>
      <w:r>
        <w:rPr>
          <w:rFonts w:ascii="Arial" w:cs="Arial" w:eastAsia="Arial" w:hAnsi="Arial"/>
          <w:sz w:val="19"/>
          <w:szCs w:val="19"/>
          <w:color w:val="auto"/>
        </w:rPr>
        <w:t>fifty percent of any rents received (less operating expenses paid by Landlord in the form of an expense stop or base year concept in the Direct Lease and reimbursement for operating expenses or other expenses of Landlord) (“</w:t>
      </w:r>
      <w:r>
        <w:rPr>
          <w:rFonts w:ascii="Arial" w:cs="Arial" w:eastAsia="Arial" w:hAnsi="Arial"/>
          <w:sz w:val="19"/>
          <w:szCs w:val="19"/>
          <w:b w:val="1"/>
          <w:bCs w:val="1"/>
          <w:color w:val="auto"/>
        </w:rPr>
        <w:t>Base Rent</w:t>
      </w:r>
      <w:r>
        <w:rPr>
          <w:rFonts w:ascii="Arial" w:cs="Arial" w:eastAsia="Arial" w:hAnsi="Arial"/>
          <w:sz w:val="19"/>
          <w:szCs w:val="19"/>
          <w:color w:val="auto"/>
        </w:rPr>
        <w:t>”) from Subtenant or any affiliate of Subtenant under the Direct Lease or any other lease of space in the Premises with Subtenant or any affiliate of Subtenant for the period from the Termination Date through September 30, 2023 up to a maximum amount of Five Hundred Seventy One Thousand Eight Hundred Seventy Seven and 00/100 Dollars ($571,877.00) (the “</w:t>
      </w:r>
      <w:r>
        <w:rPr>
          <w:rFonts w:ascii="Arial" w:cs="Arial" w:eastAsia="Arial" w:hAnsi="Arial"/>
          <w:sz w:val="19"/>
          <w:szCs w:val="19"/>
          <w:b w:val="1"/>
          <w:bCs w:val="1"/>
          <w:color w:val="auto"/>
        </w:rPr>
        <w:t>Reimbursement Cap</w:t>
      </w:r>
      <w:r>
        <w:rPr>
          <w:rFonts w:ascii="Arial" w:cs="Arial" w:eastAsia="Arial" w:hAnsi="Arial"/>
          <w:sz w:val="19"/>
          <w:szCs w:val="19"/>
          <w:color w:val="auto"/>
        </w:rPr>
        <w:t>”). If the Direct Lease includes funds from Landlord for upfits to the leased space (either by allowance or by a tenant build-out of the leased space completed by Landlord or its affiliate and including any leasing commissions) (the “</w:t>
      </w:r>
      <w:r>
        <w:rPr>
          <w:rFonts w:ascii="Arial" w:cs="Arial" w:eastAsia="Arial" w:hAnsi="Arial"/>
          <w:sz w:val="19"/>
          <w:szCs w:val="19"/>
          <w:b w:val="1"/>
          <w:bCs w:val="1"/>
          <w:color w:val="auto"/>
        </w:rPr>
        <w:t>Upfit Funds</w:t>
      </w:r>
      <w:r>
        <w:rPr>
          <w:rFonts w:ascii="Arial" w:cs="Arial" w:eastAsia="Arial" w:hAnsi="Arial"/>
          <w:sz w:val="19"/>
          <w:szCs w:val="19"/>
          <w:color w:val="auto"/>
        </w:rPr>
        <w:t>”), the amount paid to Tenant under the preceding sentence will be further limited to the lesser of (i) fifty percent of the Base Rents less the Upfit Funds amortized over the term of the Direct Lease on a straight-lined basis (provided the amortized portion of Upfit Funds deducted from Base Rents is limited to a maximum of 30% of such Base Rents), or (ii) fifty percent of the current Sublease Base Rent under the Sublease. Notwithstanding the foregoing, if Landlord elects to terminate the Direct Lease pursuant to an express termination right under the Direct Lease (other than a termination right triggered by a default by Subtenant (or an affiliate of Tenant)), within thirty (30) days after the effective date of such termination Landlord shall pay Tenant an amount equal to the difference of the Reimbursement Cap and the aggregate of all amounts paid to Tenant prior to such date pursuant to the terms of this Section 6.</w:t>
      </w:r>
    </w:p>
    <w:p>
      <w:pPr>
        <w:spacing w:after="0" w:line="200" w:lineRule="exact"/>
        <w:rPr>
          <w:rFonts w:ascii="Arial" w:cs="Arial" w:eastAsia="Arial" w:hAnsi="Arial"/>
          <w:sz w:val="19"/>
          <w:szCs w:val="19"/>
          <w:b w:val="1"/>
          <w:bCs w:val="1"/>
          <w:color w:val="auto"/>
        </w:rPr>
      </w:pPr>
    </w:p>
    <w:p>
      <w:pPr>
        <w:spacing w:after="0" w:line="237" w:lineRule="exact"/>
        <w:rPr>
          <w:rFonts w:ascii="Arial" w:cs="Arial" w:eastAsia="Arial" w:hAnsi="Arial"/>
          <w:sz w:val="19"/>
          <w:szCs w:val="19"/>
          <w:b w:val="1"/>
          <w:bCs w:val="1"/>
          <w:color w:val="auto"/>
        </w:rPr>
      </w:pPr>
    </w:p>
    <w:p>
      <w:pPr>
        <w:ind w:left="660" w:hanging="652"/>
        <w:spacing w:after="0" w:line="349" w:lineRule="auto"/>
        <w:tabs>
          <w:tab w:leader="none" w:pos="401"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Personal Property</w:t>
      </w:r>
      <w:r>
        <w:rPr>
          <w:rFonts w:ascii="Arial" w:cs="Arial" w:eastAsia="Arial" w:hAnsi="Arial"/>
          <w:sz w:val="19"/>
          <w:szCs w:val="19"/>
          <w:color w:val="auto"/>
        </w:rPr>
        <w:t>. As of the Termination Date, Tenant agrees to convey the Remaining Property and any personal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Tenant remaining in the Leased Premises to Landlord pursuant to that Bill of Sale attached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hereto.</w:t>
      </w:r>
    </w:p>
    <w:p>
      <w:pPr>
        <w:spacing w:after="0" w:line="120" w:lineRule="exact"/>
        <w:rPr>
          <w:rFonts w:ascii="Arial" w:cs="Arial" w:eastAsia="Arial" w:hAnsi="Arial"/>
          <w:sz w:val="19"/>
          <w:szCs w:val="19"/>
          <w:b w:val="1"/>
          <w:bCs w:val="1"/>
          <w:color w:val="auto"/>
        </w:rPr>
      </w:pPr>
    </w:p>
    <w:p>
      <w:pPr>
        <w:ind w:left="660" w:hanging="652"/>
        <w:spacing w:after="0" w:line="256" w:lineRule="auto"/>
        <w:tabs>
          <w:tab w:leader="none" w:pos="417"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FILOT</w:t>
      </w:r>
      <w:r>
        <w:rPr>
          <w:rFonts w:ascii="Arial" w:cs="Arial" w:eastAsia="Arial" w:hAnsi="Arial"/>
          <w:sz w:val="22"/>
          <w:szCs w:val="22"/>
          <w:color w:val="auto"/>
        </w:rPr>
        <w:t>. As of the Termination Date, Tenant agrees to assign its interest in that certain Fee In Lieu of Tax Agreement dated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 of June 1, 2001 with Berkeley County, South Carolina and other parties (the “FILOT Agreement”) pursuant to an Assignment in the form attached as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attached hereto.</w:t>
      </w:r>
    </w:p>
    <w:p>
      <w:pPr>
        <w:spacing w:after="0" w:line="203" w:lineRule="exact"/>
        <w:rPr>
          <w:rFonts w:ascii="Arial" w:cs="Arial" w:eastAsia="Arial" w:hAnsi="Arial"/>
          <w:sz w:val="22"/>
          <w:szCs w:val="22"/>
          <w:b w:val="1"/>
          <w:bCs w:val="1"/>
          <w:color w:val="auto"/>
        </w:rPr>
      </w:pPr>
    </w:p>
    <w:p>
      <w:pPr>
        <w:ind w:left="660" w:hanging="652"/>
        <w:spacing w:after="0" w:line="256" w:lineRule="auto"/>
        <w:tabs>
          <w:tab w:leader="none" w:pos="509"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Service Contracts. </w:t>
      </w:r>
      <w:r>
        <w:rPr>
          <w:rFonts w:ascii="Arial" w:cs="Arial" w:eastAsia="Arial" w:hAnsi="Arial"/>
          <w:sz w:val="22"/>
          <w:szCs w:val="22"/>
          <w:color w:val="auto"/>
        </w:rPr>
        <w:t>Tenant shall terminate any service contracts for the Leased Premises that it is party to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Date. The Property Management Agreement for the Property with Holder Properties, Inc. will terminate as of the Termination Date, with</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240"/>
          </w:cols>
          <w:pgMar w:left="320" w:top="1260"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22"/>
          <w:szCs w:val="22"/>
          <w:color w:val="auto"/>
        </w:rPr>
        <w:t>personnel reassigned to other properties of Tenant in form acceptable to Tenant and Holder Properties, Inc.</w:t>
      </w:r>
    </w:p>
    <w:p>
      <w:pPr>
        <w:spacing w:after="0" w:line="241"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Mutual Release</w:t>
      </w:r>
      <w:r>
        <w:rPr>
          <w:rFonts w:ascii="Arial" w:cs="Arial" w:eastAsia="Arial" w:hAnsi="Arial"/>
          <w:sz w:val="22"/>
          <w:szCs w:val="22"/>
          <w:color w:val="auto"/>
        </w:rPr>
        <w:t>.</w:t>
      </w:r>
    </w:p>
    <w:p>
      <w:pPr>
        <w:spacing w:after="0" w:line="252" w:lineRule="exact"/>
        <w:rPr>
          <w:rFonts w:ascii="Arial" w:cs="Arial" w:eastAsia="Arial" w:hAnsi="Arial"/>
          <w:sz w:val="22"/>
          <w:szCs w:val="22"/>
          <w:b w:val="1"/>
          <w:bCs w:val="1"/>
          <w:color w:val="auto"/>
        </w:rPr>
      </w:pPr>
    </w:p>
    <w:p>
      <w:pPr>
        <w:jc w:val="both"/>
        <w:ind w:left="1300" w:hanging="320"/>
        <w:spacing w:after="0" w:line="259" w:lineRule="auto"/>
        <w:tabs>
          <w:tab w:leader="none" w:pos="1288" w:val="left"/>
        </w:tabs>
        <w:numPr>
          <w:ilvl w:val="1"/>
          <w:numId w:val="82"/>
        </w:numPr>
        <w:rPr>
          <w:rFonts w:ascii="Arial" w:cs="Arial" w:eastAsia="Arial" w:hAnsi="Arial"/>
          <w:sz w:val="21"/>
          <w:szCs w:val="21"/>
          <w:color w:val="auto"/>
        </w:rPr>
      </w:pPr>
      <w:r>
        <w:rPr>
          <w:rFonts w:ascii="Arial" w:cs="Arial" w:eastAsia="Arial" w:hAnsi="Arial"/>
          <w:sz w:val="21"/>
          <w:szCs w:val="21"/>
          <w:color w:val="auto"/>
        </w:rPr>
        <w:t>As a material inducement for Landlord to enter into this Agreement, Tenant, for itself and its related and affiliated entities, officers, directors, employees and agents, successors and assigns, does fully, finally, irrevocably, and unconditionally release, acquit, and forever discharge Landlord and its related and affiliated entities (including, without limitation, Holder Properties, Inc.), attorneys, managers, members, officers, directors, employees and agents, lenders, successors, and assigns of and from any and all present and future, known and unknown, foreseeable or unforeseeable claims, liabilities, obligations, promises, damages, causes of action, rights, demands, costs, lawsuits, debts, and expenses, of any kind or nature whatsoever, whether in law or in equity (“</w:t>
      </w:r>
      <w:r>
        <w:rPr>
          <w:rFonts w:ascii="Arial" w:cs="Arial" w:eastAsia="Arial" w:hAnsi="Arial"/>
          <w:sz w:val="21"/>
          <w:szCs w:val="21"/>
          <w:b w:val="1"/>
          <w:bCs w:val="1"/>
          <w:color w:val="auto"/>
        </w:rPr>
        <w:t>Claims</w:t>
      </w:r>
      <w:r>
        <w:rPr>
          <w:rFonts w:ascii="Arial" w:cs="Arial" w:eastAsia="Arial" w:hAnsi="Arial"/>
          <w:sz w:val="21"/>
          <w:szCs w:val="21"/>
          <w:color w:val="auto"/>
        </w:rPr>
        <w:t>”) arising out of or relating to the Lease but excluding any Claims related to Landlord’s obligations under Section 12 of the Lease to indemnify Tenant.</w:t>
      </w:r>
    </w:p>
    <w:p>
      <w:pPr>
        <w:spacing w:after="0" w:line="138" w:lineRule="exact"/>
        <w:rPr>
          <w:rFonts w:ascii="Arial" w:cs="Arial" w:eastAsia="Arial" w:hAnsi="Arial"/>
          <w:sz w:val="21"/>
          <w:szCs w:val="21"/>
          <w:color w:val="auto"/>
        </w:rPr>
      </w:pPr>
    </w:p>
    <w:p>
      <w:pPr>
        <w:ind w:left="1300" w:hanging="320"/>
        <w:spacing w:after="0" w:line="294" w:lineRule="auto"/>
        <w:tabs>
          <w:tab w:leader="none" w:pos="1192" w:val="left"/>
        </w:tabs>
        <w:numPr>
          <w:ilvl w:val="1"/>
          <w:numId w:val="82"/>
        </w:numPr>
        <w:rPr>
          <w:rFonts w:ascii="Arial" w:cs="Arial" w:eastAsia="Arial" w:hAnsi="Arial"/>
          <w:sz w:val="19"/>
          <w:szCs w:val="19"/>
          <w:color w:val="auto"/>
        </w:rPr>
      </w:pPr>
      <w:r>
        <w:rPr>
          <w:rFonts w:ascii="Arial" w:cs="Arial" w:eastAsia="Arial" w:hAnsi="Arial"/>
          <w:sz w:val="19"/>
          <w:szCs w:val="19"/>
          <w:color w:val="auto"/>
        </w:rPr>
        <w:t>As a material inducement for Tenant to enter into this Agreement, Landlord, for itself and its related and affiliated entities (including, without limitation, Holder Properties, Inc.), officers, directors, employees, and agents, successors and assigns, does fully, finally, irrevocably and unconditionally release, acquit and forever discharge Tenant and its related and affiliated entities, attorneys, managers, members, officers, directors, employees, and agents, lenders, successors and assigns of and from any and all Claims arising out of or relating to the Lease, but excluding any Claims related to Tenants obligations under Sections 12 or 23 of the Lease to indemnify Landlord.</w:t>
      </w:r>
    </w:p>
    <w:p>
      <w:pPr>
        <w:spacing w:after="0" w:line="122" w:lineRule="exact"/>
        <w:rPr>
          <w:rFonts w:ascii="Arial" w:cs="Arial" w:eastAsia="Arial" w:hAnsi="Arial"/>
          <w:sz w:val="19"/>
          <w:szCs w:val="19"/>
          <w:color w:val="auto"/>
        </w:rPr>
      </w:pPr>
    </w:p>
    <w:p>
      <w:pPr>
        <w:ind w:left="1300" w:hanging="320"/>
        <w:spacing w:after="0" w:line="250" w:lineRule="auto"/>
        <w:tabs>
          <w:tab w:leader="none" w:pos="11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parties agree that the release set forth in this Section shall be and remain in effect in all respects as a complete general release and covenant not to sue as to the Claims released. In no event, however, shall this Section be read as a release by either party of any obligations under this Agreement or other matters not arising out of or relating to the Lease.</w:t>
      </w:r>
    </w:p>
    <w:p>
      <w:pPr>
        <w:spacing w:after="0" w:line="141" w:lineRule="exact"/>
        <w:rPr>
          <w:rFonts w:ascii="Arial" w:cs="Arial" w:eastAsia="Arial" w:hAnsi="Arial"/>
          <w:sz w:val="22"/>
          <w:szCs w:val="22"/>
          <w:color w:val="auto"/>
        </w:rPr>
      </w:pPr>
    </w:p>
    <w:p>
      <w:pPr>
        <w:ind w:left="660" w:hanging="652"/>
        <w:spacing w:after="0" w:line="252" w:lineRule="auto"/>
        <w:tabs>
          <w:tab w:leader="none" w:pos="486"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Memorandum of Lease; Easements. </w:t>
      </w:r>
      <w:r>
        <w:rPr>
          <w:rFonts w:ascii="Arial" w:cs="Arial" w:eastAsia="Arial" w:hAnsi="Arial"/>
          <w:sz w:val="22"/>
          <w:szCs w:val="22"/>
          <w:color w:val="auto"/>
        </w:rPr>
        <w:t>As of the Termination Date, Tenant agrees to terminate, at Tenant’s cost, the recorded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memorandum of the Lease and any and all rights Tenant may have in and to the Existing Easement and the Access and Parking Easement pursuant to that Termination of Memorandum of Lease Agreement and Easement Agreement attached as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hereto.</w:t>
      </w:r>
    </w:p>
    <w:p>
      <w:pPr>
        <w:spacing w:after="0" w:line="206" w:lineRule="exact"/>
        <w:rPr>
          <w:rFonts w:ascii="Arial" w:cs="Arial" w:eastAsia="Arial" w:hAnsi="Arial"/>
          <w:sz w:val="22"/>
          <w:szCs w:val="22"/>
          <w:b w:val="1"/>
          <w:bCs w:val="1"/>
          <w:color w:val="auto"/>
        </w:rPr>
      </w:pPr>
    </w:p>
    <w:p>
      <w:pPr>
        <w:ind w:left="660" w:hanging="652"/>
        <w:spacing w:after="0" w:line="248" w:lineRule="auto"/>
        <w:tabs>
          <w:tab w:leader="none" w:pos="552"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Miscellaneous. </w:t>
      </w:r>
      <w:r>
        <w:rPr>
          <w:rFonts w:ascii="Arial" w:cs="Arial" w:eastAsia="Arial" w:hAnsi="Arial"/>
          <w:sz w:val="22"/>
          <w:szCs w:val="22"/>
          <w:color w:val="auto"/>
        </w:rPr>
        <w:t>Except as otherwise provided herein, all capitalized terms used herein shall have the meaning ascribed to</w:t>
      </w:r>
      <w:r>
        <w:rPr>
          <w:rFonts w:ascii="Arial" w:cs="Arial" w:eastAsia="Arial" w:hAnsi="Arial"/>
          <w:sz w:val="22"/>
          <w:szCs w:val="22"/>
          <w:b w:val="1"/>
          <w:bCs w:val="1"/>
          <w:color w:val="auto"/>
        </w:rPr>
        <w:t xml:space="preserve"> </w:t>
      </w:r>
      <w:r>
        <w:rPr>
          <w:rFonts w:ascii="Arial" w:cs="Arial" w:eastAsia="Arial" w:hAnsi="Arial"/>
          <w:sz w:val="22"/>
          <w:szCs w:val="22"/>
          <w:color w:val="auto"/>
        </w:rPr>
        <w:t>them in the Lease. Except as specifically modified herein, all of the covenants, conditions, and obligations under the Lease shall remain unchanged and in full force and effect. In the event of a conflict between the terms of the Lease and this Agreement, the terms of this Agreement shall prevail. This Agreement shall be binding upon the parties hereto and their respective successors and assigns. This Agreement may be executed in one or more counterparts each of which when so executed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240"/>
          </w:cols>
          <w:pgMar w:left="320" w:top="1266" w:right="339" w:bottom="1440" w:gutter="0" w:footer="0" w:header="0"/>
        </w:sectPr>
      </w:pPr>
    </w:p>
    <w:bookmarkStart w:id="119" w:name="page120"/>
    <w:bookmarkEnd w:id="119"/>
    <w:p>
      <w:pPr>
        <w:jc w:val="both"/>
        <w:ind w:left="660"/>
        <w:spacing w:after="0" w:line="285" w:lineRule="auto"/>
        <w:rPr>
          <w:sz w:val="20"/>
          <w:szCs w:val="20"/>
          <w:color w:val="auto"/>
        </w:rPr>
      </w:pPr>
      <w:r>
        <w:rPr>
          <w:rFonts w:ascii="Arial" w:cs="Arial" w:eastAsia="Arial" w:hAnsi="Arial"/>
          <w:sz w:val="19"/>
          <w:szCs w:val="19"/>
          <w:color w:val="auto"/>
        </w:rPr>
        <w:t>and delivered shall constitute an original, but together said counterparts shall constitute one and the same instrument. Execution copies of this Agreement may be delivered by scanned signatures via electronic mail, and the parties hereto agree to accept and be bound by such scanned signatures hereto. Each party shall pay their own expenses relating to the termination of the Lease and this Agreement. Tenant represents to Landlord that (i) Tenant has neither assigned this Lease nor any claim Tenant may have under the Lease, either outright or as security for any indebtedness, to any third party, and</w:t>
      </w:r>
    </w:p>
    <w:p>
      <w:pPr>
        <w:spacing w:after="0" w:line="3" w:lineRule="exact"/>
        <w:rPr>
          <w:sz w:val="20"/>
          <w:szCs w:val="20"/>
          <w:color w:val="auto"/>
        </w:rPr>
      </w:pPr>
    </w:p>
    <w:p>
      <w:pPr>
        <w:jc w:val="both"/>
        <w:ind w:left="660" w:hanging="4"/>
        <w:spacing w:after="0" w:line="244" w:lineRule="auto"/>
        <w:tabs>
          <w:tab w:leader="none" w:pos="10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Tenant has not subleased all or any portion of the Leased Premises, except for the Sublease and the Main Sail Sublease. In the event a dispute arises between the parties with respect to this Agreement, the parties agree that the non-prevailing party shall reimburse the prevailing party for all reasonable attorneys’ fees, costs and expenses arising from and after the date of this Agreement incurred by the prevailing party in connection with the enforcement or interpretation of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240"/>
          </w:cols>
          <w:pgMar w:left="320" w:top="1266"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Effective Date.</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860" w:type="dxa"/>
            <w:vAlign w:val="bottom"/>
          </w:tcPr>
          <w:p>
            <w:pPr>
              <w:spacing w:after="0"/>
              <w:rPr>
                <w:sz w:val="20"/>
                <w:szCs w:val="20"/>
                <w:color w:val="auto"/>
              </w:rPr>
            </w:pPr>
            <w:r>
              <w:rPr>
                <w:rFonts w:ascii="Arial" w:cs="Arial" w:eastAsia="Arial" w:hAnsi="Arial"/>
                <w:sz w:val="22"/>
                <w:szCs w:val="22"/>
                <w:b w:val="1"/>
                <w:bCs w:val="1"/>
                <w:color w:val="auto"/>
              </w:rPr>
              <w:t>Tenant:</w:t>
            </w:r>
          </w:p>
        </w:tc>
        <w:tc>
          <w:tcPr>
            <w:tcW w:w="4240" w:type="dxa"/>
            <w:vAlign w:val="bottom"/>
          </w:tcPr>
          <w:p>
            <w:pPr>
              <w:spacing w:after="0"/>
              <w:rPr>
                <w:sz w:val="24"/>
                <w:szCs w:val="24"/>
                <w:color w:val="auto"/>
              </w:rPr>
            </w:pPr>
          </w:p>
        </w:tc>
        <w:tc>
          <w:tcPr>
            <w:tcW w:w="4820" w:type="dxa"/>
            <w:vAlign w:val="bottom"/>
            <w:gridSpan w:val="2"/>
          </w:tcPr>
          <w:p>
            <w:pPr>
              <w:ind w:left="600"/>
              <w:spacing w:after="0"/>
              <w:rPr>
                <w:sz w:val="20"/>
                <w:szCs w:val="20"/>
                <w:color w:val="auto"/>
              </w:rPr>
            </w:pPr>
            <w:r>
              <w:rPr>
                <w:rFonts w:ascii="Arial" w:cs="Arial" w:eastAsia="Arial" w:hAnsi="Arial"/>
                <w:sz w:val="22"/>
                <w:szCs w:val="22"/>
                <w:b w:val="1"/>
                <w:bCs w:val="1"/>
                <w:color w:val="auto"/>
              </w:rPr>
              <w:t>LANDLORD:</w:t>
            </w:r>
          </w:p>
        </w:tc>
      </w:tr>
      <w:tr>
        <w:trPr>
          <w:trHeight w:val="581"/>
        </w:trPr>
        <w:tc>
          <w:tcPr>
            <w:tcW w:w="5100" w:type="dxa"/>
            <w:vAlign w:val="bottom"/>
            <w:gridSpan w:val="2"/>
          </w:tcPr>
          <w:p>
            <w:pPr>
              <w:spacing w:after="0"/>
              <w:rPr>
                <w:sz w:val="20"/>
                <w:szCs w:val="20"/>
                <w:color w:val="auto"/>
              </w:rPr>
            </w:pPr>
            <w:r>
              <w:rPr>
                <w:rFonts w:ascii="Arial" w:cs="Arial" w:eastAsia="Arial" w:hAnsi="Arial"/>
                <w:sz w:val="22"/>
                <w:szCs w:val="22"/>
                <w:b w:val="1"/>
                <w:bCs w:val="1"/>
                <w:color w:val="auto"/>
              </w:rPr>
              <w:t>BLACKBAUD, INC.</w:t>
            </w:r>
          </w:p>
        </w:tc>
        <w:tc>
          <w:tcPr>
            <w:tcW w:w="4820" w:type="dxa"/>
            <w:vAlign w:val="bottom"/>
            <w:gridSpan w:val="2"/>
          </w:tcPr>
          <w:p>
            <w:pPr>
              <w:ind w:left="600"/>
              <w:spacing w:after="0"/>
              <w:rPr>
                <w:sz w:val="20"/>
                <w:szCs w:val="20"/>
                <w:color w:val="auto"/>
              </w:rPr>
            </w:pPr>
            <w:r>
              <w:rPr>
                <w:rFonts w:ascii="Arial" w:cs="Arial" w:eastAsia="Arial" w:hAnsi="Arial"/>
                <w:sz w:val="22"/>
                <w:szCs w:val="22"/>
                <w:b w:val="1"/>
                <w:bCs w:val="1"/>
                <w:color w:val="auto"/>
              </w:rPr>
              <w:t>HP 2000DI, LLC</w:t>
            </w:r>
          </w:p>
        </w:tc>
      </w:tr>
      <w:tr>
        <w:trPr>
          <w:trHeight w:val="591"/>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Jon W. Olson</w:t>
            </w:r>
          </w:p>
        </w:tc>
        <w:tc>
          <w:tcPr>
            <w:tcW w:w="1480" w:type="dxa"/>
            <w:vAlign w:val="bottom"/>
          </w:tcPr>
          <w:p>
            <w:pPr>
              <w:ind w:left="600"/>
              <w:spacing w:after="0"/>
              <w:rPr>
                <w:sz w:val="20"/>
                <w:szCs w:val="20"/>
                <w:color w:val="auto"/>
              </w:rPr>
            </w:pPr>
            <w:r>
              <w:rPr>
                <w:rFonts w:ascii="Arial" w:cs="Arial" w:eastAsia="Arial" w:hAnsi="Arial"/>
                <w:sz w:val="22"/>
                <w:szCs w:val="22"/>
                <w:color w:val="auto"/>
              </w:rPr>
              <w:t>By:</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R. Holder</w:t>
            </w:r>
          </w:p>
        </w:tc>
      </w:tr>
      <w:tr>
        <w:trPr>
          <w:trHeight w:val="304"/>
        </w:trPr>
        <w:tc>
          <w:tcPr>
            <w:tcW w:w="860" w:type="dxa"/>
            <w:vAlign w:val="bottom"/>
          </w:tcPr>
          <w:p>
            <w:pPr>
              <w:spacing w:after="0"/>
              <w:rPr>
                <w:sz w:val="20"/>
                <w:szCs w:val="20"/>
                <w:color w:val="auto"/>
              </w:rPr>
            </w:pPr>
            <w:r>
              <w:rPr>
                <w:rFonts w:ascii="Arial" w:cs="Arial" w:eastAsia="Arial" w:hAnsi="Arial"/>
                <w:sz w:val="22"/>
                <w:szCs w:val="22"/>
                <w:color w:val="auto"/>
              </w:rPr>
              <w:t>Name:</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Jon W. Olson</w:t>
            </w:r>
          </w:p>
        </w:tc>
        <w:tc>
          <w:tcPr>
            <w:tcW w:w="1480" w:type="dxa"/>
            <w:vAlign w:val="bottom"/>
          </w:tcPr>
          <w:p>
            <w:pPr>
              <w:ind w:left="600"/>
              <w:spacing w:after="0"/>
              <w:rPr>
                <w:sz w:val="20"/>
                <w:szCs w:val="20"/>
                <w:color w:val="auto"/>
              </w:rPr>
            </w:pPr>
            <w:r>
              <w:rPr>
                <w:rFonts w:ascii="Arial" w:cs="Arial" w:eastAsia="Arial" w:hAnsi="Arial"/>
                <w:sz w:val="22"/>
                <w:szCs w:val="22"/>
                <w:color w:val="auto"/>
              </w:rPr>
              <w:t>Name:</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John R. Holder</w:t>
            </w:r>
          </w:p>
        </w:tc>
      </w:tr>
      <w:tr>
        <w:trPr>
          <w:trHeight w:val="304"/>
        </w:trPr>
        <w:tc>
          <w:tcPr>
            <w:tcW w:w="860" w:type="dxa"/>
            <w:vAlign w:val="bottom"/>
          </w:tcPr>
          <w:p>
            <w:pPr>
              <w:spacing w:after="0"/>
              <w:rPr>
                <w:sz w:val="20"/>
                <w:szCs w:val="20"/>
                <w:color w:val="auto"/>
              </w:rPr>
            </w:pPr>
            <w:r>
              <w:rPr>
                <w:rFonts w:ascii="Arial" w:cs="Arial" w:eastAsia="Arial" w:hAnsi="Arial"/>
                <w:sz w:val="22"/>
                <w:szCs w:val="22"/>
                <w:color w:val="auto"/>
              </w:rPr>
              <w:t>Its:</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Sr. Vice President &amp; General Counsel</w:t>
            </w:r>
          </w:p>
        </w:tc>
        <w:tc>
          <w:tcPr>
            <w:tcW w:w="1480" w:type="dxa"/>
            <w:vAlign w:val="bottom"/>
          </w:tcPr>
          <w:p>
            <w:pPr>
              <w:ind w:left="600"/>
              <w:spacing w:after="0"/>
              <w:rPr>
                <w:sz w:val="20"/>
                <w:szCs w:val="20"/>
                <w:color w:val="auto"/>
              </w:rPr>
            </w:pPr>
            <w:r>
              <w:rPr>
                <w:rFonts w:ascii="Arial" w:cs="Arial" w:eastAsia="Arial" w:hAnsi="Arial"/>
                <w:sz w:val="22"/>
                <w:szCs w:val="22"/>
                <w:color w:val="auto"/>
              </w:rPr>
              <w:t>Its:</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0139"/>
          </w:cols>
          <w:pgMar w:left="320" w:top="1260" w:right="1440" w:bottom="1440" w:gutter="0" w:footer="0" w:header="0"/>
        </w:sectPr>
      </w:pPr>
    </w:p>
    <w:bookmarkStart w:id="121" w:name="page122"/>
    <w:bookmarkEnd w:id="121"/>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BILL OF SALE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BILL OF SALE (“</w:t>
      </w:r>
      <w:r>
        <w:rPr>
          <w:rFonts w:ascii="Arial" w:cs="Arial" w:eastAsia="Arial" w:hAnsi="Arial"/>
          <w:sz w:val="19"/>
          <w:szCs w:val="19"/>
          <w:b w:val="1"/>
          <w:bCs w:val="1"/>
          <w:color w:val="auto"/>
        </w:rPr>
        <w:t>Bill of Sale</w:t>
      </w:r>
      <w:r>
        <w:rPr>
          <w:rFonts w:ascii="Arial" w:cs="Arial" w:eastAsia="Arial" w:hAnsi="Arial"/>
          <w:sz w:val="19"/>
          <w:szCs w:val="19"/>
          <w:color w:val="auto"/>
        </w:rPr>
        <w:t>”) is made as of the ________ day of ______________ 2020 (“</w:t>
      </w:r>
      <w:r>
        <w:rPr>
          <w:rFonts w:ascii="Arial" w:cs="Arial" w:eastAsia="Arial" w:hAnsi="Arial"/>
          <w:sz w:val="19"/>
          <w:szCs w:val="19"/>
          <w:b w:val="1"/>
          <w:bCs w:val="1"/>
          <w:color w:val="auto"/>
        </w:rPr>
        <w:t>Effective Date</w:t>
      </w:r>
      <w:r>
        <w:rPr>
          <w:rFonts w:ascii="Arial" w:cs="Arial" w:eastAsia="Arial" w:hAnsi="Arial"/>
          <w:sz w:val="19"/>
          <w:szCs w:val="19"/>
          <w:color w:val="auto"/>
        </w:rPr>
        <w:t>”) by</w:t>
      </w:r>
    </w:p>
    <w:p>
      <w:pPr>
        <w:spacing w:after="0" w:line="62" w:lineRule="exact"/>
        <w:rPr>
          <w:sz w:val="20"/>
          <w:szCs w:val="20"/>
          <w:color w:val="auto"/>
        </w:rPr>
      </w:pPr>
    </w:p>
    <w:p>
      <w:pPr>
        <w:ind w:right="1580"/>
        <w:spacing w:after="0" w:line="436" w:lineRule="auto"/>
        <w:rPr>
          <w:sz w:val="20"/>
          <w:szCs w:val="20"/>
          <w:color w:val="auto"/>
        </w:rPr>
      </w:pPr>
      <w:r>
        <w:rPr>
          <w:rFonts w:ascii="Arial" w:cs="Arial" w:eastAsia="Arial" w:hAnsi="Arial"/>
          <w:sz w:val="22"/>
          <w:szCs w:val="22"/>
          <w:b w:val="1"/>
          <w:bCs w:val="1"/>
          <w:color w:val="auto"/>
        </w:rPr>
        <w:t xml:space="preserve">BLACKBAUD, INC. </w:t>
      </w: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 in favor of</w:t>
      </w:r>
      <w:r>
        <w:rPr>
          <w:rFonts w:ascii="Arial" w:cs="Arial" w:eastAsia="Arial" w:hAnsi="Arial"/>
          <w:sz w:val="22"/>
          <w:szCs w:val="22"/>
          <w:b w:val="1"/>
          <w:bCs w:val="1"/>
          <w:color w:val="auto"/>
        </w:rPr>
        <w:t xml:space="preserve"> HP 2000DI, LLC </w:t>
      </w:r>
      <w:r>
        <w:rPr>
          <w:rFonts w:ascii="Arial" w:cs="Arial" w:eastAsia="Arial" w:hAnsi="Arial"/>
          <w:sz w:val="22"/>
          <w:szCs w:val="22"/>
          <w:color w:val="auto"/>
        </w:rPr>
        <w:t>a Georgia limited liability company (“</w:t>
      </w:r>
      <w:r>
        <w:rPr>
          <w:rFonts w:ascii="Arial" w:cs="Arial" w:eastAsia="Arial" w:hAnsi="Arial"/>
          <w:sz w:val="22"/>
          <w:szCs w:val="22"/>
          <w:b w:val="1"/>
          <w:bCs w:val="1"/>
          <w:color w:val="auto"/>
        </w:rPr>
        <w:t>Buyer</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RECITALS</w:t>
      </w:r>
    </w:p>
    <w:p>
      <w:pPr>
        <w:spacing w:after="0" w:line="2" w:lineRule="exact"/>
        <w:rPr>
          <w:sz w:val="20"/>
          <w:szCs w:val="20"/>
          <w:color w:val="auto"/>
        </w:rPr>
      </w:pPr>
    </w:p>
    <w:p>
      <w:pPr>
        <w:ind w:firstLine="656"/>
        <w:spacing w:after="0" w:line="269" w:lineRule="auto"/>
        <w:tabs>
          <w:tab w:leader="none" w:pos="1082"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Seller is the owner of the personal property described in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hereto and incorporated herein by this reference (the “</w:t>
      </w:r>
      <w:r>
        <w:rPr>
          <w:rFonts w:ascii="Arial" w:cs="Arial" w:eastAsia="Arial" w:hAnsi="Arial"/>
          <w:sz w:val="22"/>
          <w:szCs w:val="22"/>
          <w:b w:val="1"/>
          <w:bCs w:val="1"/>
          <w:color w:val="auto"/>
        </w:rPr>
        <w:t>Personal Property</w:t>
      </w:r>
      <w:r>
        <w:rPr>
          <w:rFonts w:ascii="Arial" w:cs="Arial" w:eastAsia="Arial" w:hAnsi="Arial"/>
          <w:sz w:val="22"/>
          <w:szCs w:val="22"/>
          <w:color w:val="auto"/>
        </w:rPr>
        <w:t>”).</w:t>
      </w:r>
    </w:p>
    <w:p>
      <w:pPr>
        <w:spacing w:after="0" w:line="167" w:lineRule="exact"/>
        <w:rPr>
          <w:rFonts w:ascii="Arial" w:cs="Arial" w:eastAsia="Arial" w:hAnsi="Arial"/>
          <w:sz w:val="22"/>
          <w:szCs w:val="22"/>
          <w:color w:val="auto"/>
        </w:rPr>
      </w:pPr>
    </w:p>
    <w:p>
      <w:pPr>
        <w:ind w:left="1080" w:hanging="424"/>
        <w:spacing w:after="0"/>
        <w:tabs>
          <w:tab w:leader="none" w:pos="10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Seller desires to convey the Personal Property to Buyer as set forth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20" w:lineRule="exact"/>
        <w:rPr>
          <w:sz w:val="20"/>
          <w:szCs w:val="20"/>
          <w:color w:val="auto"/>
        </w:rPr>
      </w:pPr>
    </w:p>
    <w:p>
      <w:pPr>
        <w:ind w:firstLine="340"/>
        <w:spacing w:after="0" w:line="263" w:lineRule="auto"/>
        <w:rPr>
          <w:sz w:val="20"/>
          <w:szCs w:val="20"/>
          <w:color w:val="auto"/>
        </w:rPr>
      </w:pPr>
      <w:r>
        <w:rPr>
          <w:rFonts w:ascii="Arial" w:cs="Arial" w:eastAsia="Arial" w:hAnsi="Arial"/>
          <w:sz w:val="22"/>
          <w:szCs w:val="22"/>
          <w:color w:val="auto"/>
        </w:rPr>
        <w:t>NOW THEREFORE, in consideration of certain good and valuable consideration the receipt and sufficiency of which is acknowledged, Seller hereby agrees as follows:</w:t>
      </w:r>
    </w:p>
    <w:p>
      <w:pPr>
        <w:spacing w:after="0" w:line="202" w:lineRule="exact"/>
        <w:rPr>
          <w:sz w:val="20"/>
          <w:szCs w:val="20"/>
          <w:color w:val="auto"/>
        </w:rPr>
      </w:pPr>
    </w:p>
    <w:p>
      <w:pPr>
        <w:ind w:left="1300" w:hanging="644"/>
        <w:spacing w:after="0" w:line="287" w:lineRule="auto"/>
        <w:tabs>
          <w:tab w:leader="none" w:pos="1127" w:val="left"/>
        </w:tabs>
        <w:numPr>
          <w:ilvl w:val="0"/>
          <w:numId w:val="85"/>
        </w:numPr>
        <w:rPr>
          <w:rFonts w:ascii="Arial" w:cs="Arial" w:eastAsia="Arial" w:hAnsi="Arial"/>
          <w:sz w:val="21"/>
          <w:szCs w:val="21"/>
          <w:color w:val="auto"/>
        </w:rPr>
      </w:pPr>
      <w:r>
        <w:rPr>
          <w:rFonts w:ascii="Arial" w:cs="Arial" w:eastAsia="Arial" w:hAnsi="Arial"/>
          <w:sz w:val="21"/>
          <w:szCs w:val="21"/>
          <w:color w:val="auto"/>
        </w:rPr>
        <w:t>Conveyance. Seller hereby sells and transfers to Buyer all of its right, title, interest and possession in and to the Personal Property as of the date hereof without representation or warranty and in “as-is” condition.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parties have executed this Bill of Sale as of the Effective Date.</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BLACKBAUD, INC.</w:t>
      </w:r>
    </w:p>
    <w:p>
      <w:pPr>
        <w:spacing w:after="0" w:line="253"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w:t>
      </w:r>
    </w:p>
    <w:p>
      <w:pPr>
        <w:spacing w:after="0" w:line="21"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240"/>
          </w:cols>
          <w:pgMar w:left="320" w:top="1440" w:right="339" w:bottom="1440" w:gutter="0" w:footer="0" w:header="0"/>
        </w:sectPr>
      </w:pPr>
    </w:p>
    <w:bookmarkStart w:id="122" w:name="page123"/>
    <w:bookmarkEnd w:id="122"/>
    <w:p>
      <w:pPr>
        <w:jc w:val="center"/>
        <w:ind w:right="-219"/>
        <w:spacing w:after="0"/>
        <w:rPr>
          <w:sz w:val="20"/>
          <w:szCs w:val="20"/>
          <w:color w:val="auto"/>
        </w:rPr>
      </w:pPr>
      <w:r>
        <w:rPr>
          <w:rFonts w:ascii="Arial" w:cs="Arial" w:eastAsia="Arial" w:hAnsi="Arial"/>
          <w:sz w:val="22"/>
          <w:szCs w:val="22"/>
          <w:b w:val="1"/>
          <w:bCs w:val="1"/>
          <w:color w:val="auto"/>
        </w:rPr>
        <w:t>EXHIBIT B</w:t>
      </w: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ASSIGNMENT AND ASSUMPTION OF FILOT AGREEMENT</w:t>
      </w:r>
    </w:p>
    <w:p>
      <w:pPr>
        <w:spacing w:after="0" w:line="35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 xml:space="preserve">THIS ASSIGNMENT AND ASSUMPTION OF FILOT AGREEMENT </w:t>
      </w:r>
      <w:r>
        <w:rPr>
          <w:rFonts w:ascii="Arial" w:cs="Arial" w:eastAsia="Arial" w:hAnsi="Arial"/>
          <w:sz w:val="22"/>
          <w:szCs w:val="22"/>
          <w:color w:val="auto"/>
        </w:rPr>
        <w:t>(this “</w:t>
      </w:r>
      <w:r>
        <w:rPr>
          <w:rFonts w:ascii="Arial" w:cs="Arial" w:eastAsia="Arial" w:hAnsi="Arial"/>
          <w:sz w:val="22"/>
          <w:szCs w:val="22"/>
          <w:b w:val="1"/>
          <w:bCs w:val="1"/>
          <w:color w:val="auto"/>
        </w:rPr>
        <w:t>Assignment Agreement</w:t>
      </w:r>
      <w:r>
        <w:rPr>
          <w:rFonts w:ascii="Arial" w:cs="Arial" w:eastAsia="Arial" w:hAnsi="Arial"/>
          <w:sz w:val="22"/>
          <w:szCs w:val="22"/>
          <w:color w:val="auto"/>
        </w:rPr>
        <w:t>”) is</w:t>
      </w:r>
    </w:p>
    <w:p>
      <w:pPr>
        <w:spacing w:after="0" w:line="27" w:lineRule="exact"/>
        <w:rPr>
          <w:sz w:val="20"/>
          <w:szCs w:val="20"/>
          <w:color w:val="auto"/>
        </w:rPr>
      </w:pPr>
    </w:p>
    <w:p>
      <w:pPr>
        <w:ind w:left="80" w:right="40"/>
        <w:spacing w:after="0" w:line="246" w:lineRule="auto"/>
        <w:rPr>
          <w:sz w:val="20"/>
          <w:szCs w:val="20"/>
          <w:color w:val="auto"/>
        </w:rPr>
      </w:pPr>
      <w:r>
        <w:rPr>
          <w:rFonts w:ascii="Arial" w:cs="Arial" w:eastAsia="Arial" w:hAnsi="Arial"/>
          <w:sz w:val="22"/>
          <w:szCs w:val="22"/>
          <w:color w:val="auto"/>
        </w:rPr>
        <w:t>made and entered into as of the day of ,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Blackbaud, Inc., a Delaware corporation (“</w:t>
      </w:r>
      <w:r>
        <w:rPr>
          <w:rFonts w:ascii="Arial" w:cs="Arial" w:eastAsia="Arial" w:hAnsi="Arial"/>
          <w:sz w:val="22"/>
          <w:szCs w:val="22"/>
          <w:b w:val="1"/>
          <w:bCs w:val="1"/>
          <w:color w:val="auto"/>
        </w:rPr>
        <w:t>Assignor</w:t>
      </w:r>
      <w:r>
        <w:rPr>
          <w:rFonts w:ascii="Arial" w:cs="Arial" w:eastAsia="Arial" w:hAnsi="Arial"/>
          <w:sz w:val="22"/>
          <w:szCs w:val="22"/>
          <w:color w:val="auto"/>
        </w:rPr>
        <w:t>”), and HP 2000DI, LLC, a Georgia limited liability company (“</w:t>
      </w:r>
      <w:r>
        <w:rPr>
          <w:rFonts w:ascii="Arial" w:cs="Arial" w:eastAsia="Arial" w:hAnsi="Arial"/>
          <w:sz w:val="22"/>
          <w:szCs w:val="22"/>
          <w:b w:val="1"/>
          <w:bCs w:val="1"/>
          <w:color w:val="auto"/>
        </w:rPr>
        <w:t>Assignee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-198120</wp:posOffset>
            </wp:positionV>
            <wp:extent cx="3860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6">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WITNESSETH:</w:t>
      </w:r>
    </w:p>
    <w:p>
      <w:pPr>
        <w:spacing w:after="0" w:line="361" w:lineRule="exact"/>
        <w:rPr>
          <w:sz w:val="20"/>
          <w:szCs w:val="20"/>
          <w:color w:val="auto"/>
        </w:rPr>
      </w:pPr>
    </w:p>
    <w:p>
      <w:pPr>
        <w:jc w:val="both"/>
        <w:ind w:left="100" w:firstLine="648"/>
        <w:spacing w:after="0" w:line="294" w:lineRule="auto"/>
        <w:rPr>
          <w:sz w:val="20"/>
          <w:szCs w:val="20"/>
          <w:color w:val="auto"/>
        </w:rPr>
      </w:pPr>
      <w:r>
        <w:rPr>
          <w:rFonts w:ascii="Arial" w:cs="Arial" w:eastAsia="Arial" w:hAnsi="Arial"/>
          <w:sz w:val="19"/>
          <w:szCs w:val="19"/>
          <w:color w:val="auto"/>
        </w:rPr>
        <w:t>WHEREAS, Assignor is party to that certain Fee In Lieu of Tax Agreement dated as of June 1, 2001, by and among Berkeley County, South Carolina (the “</w:t>
      </w:r>
      <w:r>
        <w:rPr>
          <w:rFonts w:ascii="Arial" w:cs="Arial" w:eastAsia="Arial" w:hAnsi="Arial"/>
          <w:sz w:val="19"/>
          <w:szCs w:val="19"/>
          <w:b w:val="1"/>
          <w:bCs w:val="1"/>
          <w:color w:val="auto"/>
        </w:rPr>
        <w:t>County</w:t>
      </w:r>
      <w:r>
        <w:rPr>
          <w:rFonts w:ascii="Arial" w:cs="Arial" w:eastAsia="Arial" w:hAnsi="Arial"/>
          <w:sz w:val="19"/>
          <w:szCs w:val="19"/>
          <w:color w:val="auto"/>
        </w:rPr>
        <w:t>”), Assignor, Duck Pond Creek, LLC, Three Lions, LLC, DI Partners, L.L.C., and Fairchild Street, LLC, as amended and assigned by that certain Partial Assignment and Assumption of Fee Agreement between Duck Pond Creek-SPE, LLC, successor to Duck Pond Creek, LLC, and Assignee dated as of April 12, 2019 (as amended, restated, supplemented, modified and assigned, the “</w:t>
      </w:r>
      <w:r>
        <w:rPr>
          <w:rFonts w:ascii="Arial" w:cs="Arial" w:eastAsia="Arial" w:hAnsi="Arial"/>
          <w:sz w:val="19"/>
          <w:szCs w:val="19"/>
          <w:b w:val="1"/>
          <w:bCs w:val="1"/>
          <w:color w:val="auto"/>
        </w:rPr>
        <w:t>FILOT Agreement</w:t>
      </w:r>
      <w:r>
        <w:rPr>
          <w:rFonts w:ascii="Arial" w:cs="Arial" w:eastAsia="Arial" w:hAnsi="Arial"/>
          <w:sz w:val="19"/>
          <w:szCs w:val="19"/>
          <w:color w:val="auto"/>
        </w:rPr>
        <w:t xml:space="preserve">”), a true and correct copy of which is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incorporated herein by reference; and</w:t>
      </w:r>
    </w:p>
    <w:p>
      <w:pPr>
        <w:spacing w:after="0" w:line="392" w:lineRule="exact"/>
        <w:rPr>
          <w:sz w:val="20"/>
          <w:szCs w:val="20"/>
          <w:color w:val="auto"/>
        </w:rPr>
      </w:pPr>
    </w:p>
    <w:p>
      <w:pPr>
        <w:jc w:val="both"/>
        <w:ind w:left="100" w:right="20" w:firstLine="648"/>
        <w:spacing w:after="0" w:line="263" w:lineRule="auto"/>
        <w:rPr>
          <w:sz w:val="20"/>
          <w:szCs w:val="20"/>
          <w:color w:val="auto"/>
        </w:rPr>
      </w:pPr>
      <w:r>
        <w:rPr>
          <w:rFonts w:ascii="Arial" w:cs="Arial" w:eastAsia="Arial" w:hAnsi="Arial"/>
          <w:sz w:val="22"/>
          <w:szCs w:val="22"/>
          <w:color w:val="auto"/>
        </w:rPr>
        <w:t>WHEREAS, as of the Effective Date, Assignor has conveyed to Assignee its portion of the Project (as defined in the FILOT Agreement); and</w:t>
      </w:r>
    </w:p>
    <w:p>
      <w:pPr>
        <w:spacing w:after="0" w:line="200" w:lineRule="exact"/>
        <w:rPr>
          <w:sz w:val="20"/>
          <w:szCs w:val="20"/>
          <w:color w:val="auto"/>
        </w:rPr>
      </w:pPr>
    </w:p>
    <w:p>
      <w:pPr>
        <w:spacing w:after="0" w:line="218" w:lineRule="exact"/>
        <w:rPr>
          <w:sz w:val="20"/>
          <w:szCs w:val="20"/>
          <w:color w:val="auto"/>
        </w:rPr>
      </w:pPr>
    </w:p>
    <w:p>
      <w:pPr>
        <w:jc w:val="both"/>
        <w:ind w:left="100" w:right="20" w:firstLine="648"/>
        <w:spacing w:after="0" w:line="343" w:lineRule="auto"/>
        <w:rPr>
          <w:sz w:val="20"/>
          <w:szCs w:val="20"/>
          <w:color w:val="auto"/>
        </w:rPr>
      </w:pPr>
      <w:r>
        <w:rPr>
          <w:rFonts w:ascii="Arial" w:cs="Arial" w:eastAsia="Arial" w:hAnsi="Arial"/>
          <w:sz w:val="19"/>
          <w:szCs w:val="19"/>
          <w:color w:val="auto"/>
        </w:rPr>
        <w:t>WHEREAS, Assignor desires to assign to Assignee all of its obligations, rights, title and interest in and to the FILOT Agreement, and Assignee desires to assume all obligations, rights, title and interest of Assignor thereunder; and</w:t>
      </w:r>
    </w:p>
    <w:p>
      <w:pPr>
        <w:spacing w:after="0" w:line="347" w:lineRule="exact"/>
        <w:rPr>
          <w:sz w:val="20"/>
          <w:szCs w:val="20"/>
          <w:color w:val="auto"/>
        </w:rPr>
      </w:pPr>
    </w:p>
    <w:p>
      <w:pPr>
        <w:jc w:val="both"/>
        <w:ind w:left="100" w:right="20" w:firstLine="648"/>
        <w:spacing w:after="0" w:line="343" w:lineRule="auto"/>
        <w:rPr>
          <w:sz w:val="20"/>
          <w:szCs w:val="20"/>
          <w:color w:val="auto"/>
        </w:rPr>
      </w:pPr>
      <w:r>
        <w:rPr>
          <w:rFonts w:ascii="Arial" w:cs="Arial" w:eastAsia="Arial" w:hAnsi="Arial"/>
          <w:sz w:val="19"/>
          <w:szCs w:val="19"/>
          <w:color w:val="auto"/>
        </w:rPr>
        <w:t>WHEREAS, Assignee is a Project Sponsor (as defined in the FILOT Agreement), and the County has therefore consented to the transactions contemplated by this Assignment Agreement pursuant to Section 8.01 of the FILOT Agreement.</w:t>
      </w:r>
    </w:p>
    <w:p>
      <w:pPr>
        <w:spacing w:after="0" w:line="347" w:lineRule="exact"/>
        <w:rPr>
          <w:sz w:val="20"/>
          <w:szCs w:val="20"/>
          <w:color w:val="auto"/>
        </w:rPr>
      </w:pPr>
    </w:p>
    <w:p>
      <w:pPr>
        <w:jc w:val="both"/>
        <w:ind w:left="100" w:right="20" w:firstLine="648"/>
        <w:spacing w:after="0" w:line="343" w:lineRule="auto"/>
        <w:rPr>
          <w:sz w:val="20"/>
          <w:szCs w:val="20"/>
          <w:color w:val="auto"/>
        </w:rPr>
      </w:pPr>
      <w:r>
        <w:rPr>
          <w:rFonts w:ascii="Arial" w:cs="Arial" w:eastAsia="Arial" w:hAnsi="Arial"/>
          <w:sz w:val="19"/>
          <w:szCs w:val="19"/>
          <w:color w:val="auto"/>
        </w:rPr>
        <w:t>NOW, THEREFORE, in consideration of TEN AND NO/100 DOLLARS ($10.00) and other good and valuable consideration, the receipt, adequacy and sufficiency of which are hereby acknowledged, the parties hereto agree as follows:</w:t>
      </w:r>
    </w:p>
    <w:p>
      <w:pPr>
        <w:spacing w:after="0" w:line="347" w:lineRule="exact"/>
        <w:rPr>
          <w:sz w:val="20"/>
          <w:szCs w:val="20"/>
          <w:color w:val="auto"/>
        </w:rPr>
      </w:pPr>
    </w:p>
    <w:p>
      <w:pPr>
        <w:jc w:val="both"/>
        <w:ind w:left="100" w:right="20" w:firstLine="646"/>
        <w:spacing w:after="0" w:line="250" w:lineRule="auto"/>
        <w:tabs>
          <w:tab w:leader="none" w:pos="1189" w:val="left"/>
        </w:tabs>
        <w:numPr>
          <w:ilvl w:val="0"/>
          <w:numId w:val="86"/>
        </w:numPr>
        <w:rPr>
          <w:rFonts w:ascii="Arial" w:cs="Arial" w:eastAsia="Arial" w:hAnsi="Arial"/>
          <w:sz w:val="20"/>
          <w:szCs w:val="20"/>
          <w:color w:val="auto"/>
        </w:rPr>
      </w:pPr>
      <w:r>
        <w:rPr>
          <w:rFonts w:ascii="Arial" w:cs="Arial" w:eastAsia="Arial" w:hAnsi="Arial"/>
          <w:sz w:val="22"/>
          <w:szCs w:val="22"/>
          <w:u w:val="single" w:color="auto"/>
          <w:color w:val="auto"/>
        </w:rPr>
        <w:t>Assignment and Assumption of FILOT Agreement</w:t>
      </w:r>
      <w:r>
        <w:rPr>
          <w:rFonts w:ascii="Arial" w:cs="Arial" w:eastAsia="Arial" w:hAnsi="Arial"/>
          <w:sz w:val="22"/>
          <w:szCs w:val="22"/>
          <w:color w:val="auto"/>
        </w:rPr>
        <w:t>. Assignor does hereby sell, assign, transfer and set over to Assignee all of Assignor’s right, title, interest and obligations under the FILOT Agreement, and Assignee hereby accepts such assignment and assumes all of Assignor’s duties and obligations under the FILOT Agreement (“</w:t>
      </w:r>
      <w:r>
        <w:rPr>
          <w:rFonts w:ascii="Arial" w:cs="Arial" w:eastAsia="Arial" w:hAnsi="Arial"/>
          <w:sz w:val="22"/>
          <w:szCs w:val="22"/>
          <w:b w:val="1"/>
          <w:bCs w:val="1"/>
          <w:color w:val="auto"/>
        </w:rPr>
        <w:t>Assignment and</w:t>
      </w:r>
      <w:r>
        <w:rPr>
          <w:rFonts w:ascii="Arial" w:cs="Arial" w:eastAsia="Arial" w:hAnsi="Arial"/>
          <w:sz w:val="22"/>
          <w:szCs w:val="22"/>
          <w:color w:val="auto"/>
        </w:rPr>
        <w:t xml:space="preserve"> </w:t>
      </w:r>
      <w:r>
        <w:rPr>
          <w:rFonts w:ascii="Arial" w:cs="Arial" w:eastAsia="Arial" w:hAnsi="Arial"/>
          <w:sz w:val="22"/>
          <w:szCs w:val="22"/>
          <w:b w:val="1"/>
          <w:bCs w:val="1"/>
          <w:color w:val="auto"/>
        </w:rPr>
        <w:t>Assumption of FILOT Agreement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040"/>
          </w:cols>
          <w:pgMar w:left="320" w:top="1260" w:right="539" w:bottom="1440" w:gutter="0" w:footer="0" w:header="0"/>
        </w:sectPr>
      </w:pPr>
    </w:p>
    <w:bookmarkStart w:id="123" w:name="page124"/>
    <w:bookmarkEnd w:id="123"/>
    <w:p>
      <w:pPr>
        <w:jc w:val="both"/>
        <w:ind w:left="100" w:right="80" w:firstLine="646"/>
        <w:spacing w:after="0" w:line="288" w:lineRule="auto"/>
        <w:tabs>
          <w:tab w:leader="none" w:pos="1094" w:val="left"/>
        </w:tabs>
        <w:numPr>
          <w:ilvl w:val="0"/>
          <w:numId w:val="87"/>
        </w:numPr>
        <w:rPr>
          <w:rFonts w:ascii="Arial" w:cs="Arial" w:eastAsia="Arial" w:hAnsi="Arial"/>
          <w:sz w:val="18"/>
          <w:szCs w:val="18"/>
          <w:color w:val="auto"/>
        </w:rPr>
      </w:pPr>
      <w:r>
        <w:rPr>
          <w:rFonts w:ascii="Arial" w:cs="Arial" w:eastAsia="Arial" w:hAnsi="Arial"/>
          <w:sz w:val="19"/>
          <w:szCs w:val="19"/>
          <w:u w:val="single" w:color="auto"/>
          <w:color w:val="auto"/>
        </w:rPr>
        <w:t>Mutual Indemnities</w:t>
      </w:r>
      <w:r>
        <w:rPr>
          <w:rFonts w:ascii="Arial" w:cs="Arial" w:eastAsia="Arial" w:hAnsi="Arial"/>
          <w:sz w:val="19"/>
          <w:szCs w:val="19"/>
          <w:color w:val="auto"/>
        </w:rPr>
        <w:t>. Assignor agrees to indemnify, defend and hold Assignee, its affiliates, successors and assigns, harmless from and against any and all claims, actions, charges, fees and expenses (including, without limitation, reasonable attorneys’ fees and court costs) and liabilities that result directly from the failure of Assignor to perform its obligations under, or to observe the covenants and conditions in, the FILOT Agreement, provided that any such obligation accrued and that such failure occurred prior to the Effective Date. Assignee agrees to indemnify, defend and hold Assignor, its affiliates, successors and assigns, harmless from and against any and all claims, actions, charges, fees and expenses (including, without limitation, reasonable attorneys’ fees and court costs) and liabilities that: (a) result directly from the failure of Assignee to perform its obligations under, or to observe the covenants and conditions in, the FILOT Agreement, provided that any such obligation accrued and that such failure occurred on or after the Effective Date; or (b) arise from any modification or amendment to or assignment of the FILOT Agreement on or after the Effective Date.</w:t>
      </w:r>
    </w:p>
    <w:p>
      <w:pPr>
        <w:spacing w:after="0" w:line="307" w:lineRule="exact"/>
        <w:rPr>
          <w:rFonts w:ascii="Arial" w:cs="Arial" w:eastAsia="Arial" w:hAnsi="Arial"/>
          <w:sz w:val="18"/>
          <w:szCs w:val="18"/>
          <w:color w:val="auto"/>
        </w:rPr>
      </w:pPr>
    </w:p>
    <w:p>
      <w:pPr>
        <w:jc w:val="both"/>
        <w:ind w:left="100" w:right="80" w:firstLine="646"/>
        <w:spacing w:after="0" w:line="253" w:lineRule="auto"/>
        <w:tabs>
          <w:tab w:leader="none" w:pos="1094" w:val="left"/>
        </w:tabs>
        <w:numPr>
          <w:ilvl w:val="0"/>
          <w:numId w:val="87"/>
        </w:numPr>
        <w:rPr>
          <w:rFonts w:ascii="Arial" w:cs="Arial" w:eastAsia="Arial" w:hAnsi="Arial"/>
          <w:sz w:val="20"/>
          <w:szCs w:val="20"/>
          <w:color w:val="auto"/>
        </w:rPr>
      </w:pPr>
      <w:r>
        <w:rPr>
          <w:rFonts w:ascii="Arial" w:cs="Arial" w:eastAsia="Arial" w:hAnsi="Arial"/>
          <w:sz w:val="22"/>
          <w:szCs w:val="22"/>
          <w:u w:val="single" w:color="auto"/>
          <w:color w:val="auto"/>
        </w:rPr>
        <w:t>Representations and Warranties by Assignor</w:t>
      </w:r>
      <w:r>
        <w:rPr>
          <w:rFonts w:ascii="Arial" w:cs="Arial" w:eastAsia="Arial" w:hAnsi="Arial"/>
          <w:sz w:val="22"/>
          <w:szCs w:val="22"/>
          <w:color w:val="auto"/>
        </w:rPr>
        <w:t>. To the best of Assignor’s actual knowledge, neither the Assignor nor its portion of the Project is in default under the FILOT Agreement, and all requirements of Assignor under the FILOT Agreement have been satisfied as of the Effective Date.</w:t>
      </w:r>
    </w:p>
    <w:p>
      <w:pPr>
        <w:spacing w:after="0" w:line="320" w:lineRule="exact"/>
        <w:rPr>
          <w:rFonts w:ascii="Arial" w:cs="Arial" w:eastAsia="Arial" w:hAnsi="Arial"/>
          <w:sz w:val="20"/>
          <w:szCs w:val="20"/>
          <w:color w:val="auto"/>
        </w:rPr>
      </w:pPr>
    </w:p>
    <w:p>
      <w:pPr>
        <w:ind w:left="100" w:right="80" w:firstLine="646"/>
        <w:spacing w:after="0" w:line="263" w:lineRule="auto"/>
        <w:tabs>
          <w:tab w:leader="none" w:pos="1256" w:val="left"/>
        </w:tabs>
        <w:numPr>
          <w:ilvl w:val="0"/>
          <w:numId w:val="87"/>
        </w:numPr>
        <w:rPr>
          <w:rFonts w:ascii="Arial" w:cs="Arial" w:eastAsia="Arial" w:hAnsi="Arial"/>
          <w:sz w:val="20"/>
          <w:szCs w:val="20"/>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From and after the Effective Date, all notices to be delivered to Assignor pursuant to the FILOT Agreement shall also be delivered to Assignee at the following addresses:</w:t>
      </w:r>
    </w:p>
    <w:p>
      <w:pPr>
        <w:spacing w:after="0" w:line="310"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HP 2000DI, LLC</w:t>
      </w:r>
    </w:p>
    <w:p>
      <w:pPr>
        <w:spacing w:after="0" w:line="11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________________________________________</w:t>
      </w:r>
    </w:p>
    <w:p>
      <w:pPr>
        <w:spacing w:after="0" w:line="200" w:lineRule="exact"/>
        <w:rPr>
          <w:sz w:val="20"/>
          <w:szCs w:val="20"/>
          <w:color w:val="auto"/>
        </w:rPr>
      </w:pPr>
    </w:p>
    <w:p>
      <w:pPr>
        <w:spacing w:after="0" w:line="263" w:lineRule="exact"/>
        <w:rPr>
          <w:sz w:val="20"/>
          <w:szCs w:val="20"/>
          <w:color w:val="auto"/>
        </w:rPr>
      </w:pPr>
    </w:p>
    <w:p>
      <w:pPr>
        <w:ind w:left="100" w:right="80" w:firstLine="646"/>
        <w:spacing w:after="0" w:line="263" w:lineRule="auto"/>
        <w:tabs>
          <w:tab w:leader="none" w:pos="1121"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Assignment Agreement may be amended, modified or supplemented, and any provision hereof may be waived, only by written agreement of the parties hereto.</w:t>
      </w:r>
    </w:p>
    <w:p>
      <w:pPr>
        <w:spacing w:after="0" w:line="323" w:lineRule="exact"/>
        <w:rPr>
          <w:rFonts w:ascii="Arial" w:cs="Arial" w:eastAsia="Arial" w:hAnsi="Arial"/>
          <w:sz w:val="20"/>
          <w:szCs w:val="20"/>
          <w:color w:val="auto"/>
        </w:rPr>
      </w:pPr>
    </w:p>
    <w:p>
      <w:pPr>
        <w:ind w:left="100" w:right="80" w:firstLine="646"/>
        <w:spacing w:after="0" w:line="263" w:lineRule="auto"/>
        <w:tabs>
          <w:tab w:leader="none" w:pos="1135"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Assignment Agreement shall be construed and enforced in accordance with, and the rights of the parties shall be governed by, the laws of the State of South Carolina.</w:t>
      </w:r>
    </w:p>
    <w:p>
      <w:pPr>
        <w:spacing w:after="0" w:line="323" w:lineRule="exact"/>
        <w:rPr>
          <w:rFonts w:ascii="Arial" w:cs="Arial" w:eastAsia="Arial" w:hAnsi="Arial"/>
          <w:sz w:val="20"/>
          <w:szCs w:val="20"/>
          <w:color w:val="auto"/>
        </w:rPr>
      </w:pPr>
    </w:p>
    <w:p>
      <w:pPr>
        <w:jc w:val="both"/>
        <w:ind w:left="100" w:firstLine="646"/>
        <w:spacing w:after="0" w:line="302" w:lineRule="auto"/>
        <w:tabs>
          <w:tab w:leader="none" w:pos="1148" w:val="left"/>
        </w:tabs>
        <w:numPr>
          <w:ilvl w:val="0"/>
          <w:numId w:val="88"/>
        </w:numPr>
        <w:rPr>
          <w:rFonts w:ascii="Arial" w:cs="Arial" w:eastAsia="Arial" w:hAnsi="Arial"/>
          <w:sz w:val="18"/>
          <w:szCs w:val="18"/>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Assignment Agreement shall be binding upon and inure to the benefit of Assignor and Assignee and their respective successors and assigns. This Assignment Agreement is not intended and shall not be deemed to confer upon or give any person except the parties hereto and their respective successors and permitted assigns any remedy, claim, liability, reimbursement, cause of action or other right under or by reason of this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100"/>
          </w:cols>
          <w:pgMar w:left="320" w:top="1266" w:right="479" w:bottom="1440" w:gutter="0" w:footer="0" w:header="0"/>
        </w:sectPr>
      </w:pPr>
    </w:p>
    <w:bookmarkStart w:id="124" w:name="page125"/>
    <w:bookmarkEnd w:id="124"/>
    <w:p>
      <w:pPr>
        <w:jc w:val="both"/>
        <w:ind w:left="100" w:firstLine="646"/>
        <w:spacing w:after="0" w:line="253" w:lineRule="auto"/>
        <w:tabs>
          <w:tab w:leader="none" w:pos="1148" w:val="left"/>
        </w:tabs>
        <w:numPr>
          <w:ilvl w:val="0"/>
          <w:numId w:val="89"/>
        </w:numPr>
        <w:rPr>
          <w:rFonts w:ascii="Arial" w:cs="Arial" w:eastAsia="Arial" w:hAnsi="Arial"/>
          <w:sz w:val="20"/>
          <w:szCs w:val="20"/>
          <w:color w:val="auto"/>
        </w:rPr>
      </w:pPr>
      <w:r>
        <w:rPr>
          <w:rFonts w:ascii="Arial" w:cs="Arial" w:eastAsia="Arial" w:hAnsi="Arial"/>
          <w:sz w:val="22"/>
          <w:szCs w:val="22"/>
          <w:u w:val="single" w:color="auto"/>
          <w:color w:val="auto"/>
        </w:rPr>
        <w:t>No Third Party Beneficiary Rights</w:t>
      </w:r>
      <w:r>
        <w:rPr>
          <w:rFonts w:ascii="Arial" w:cs="Arial" w:eastAsia="Arial" w:hAnsi="Arial"/>
          <w:sz w:val="22"/>
          <w:szCs w:val="22"/>
          <w:color w:val="auto"/>
        </w:rPr>
        <w:t>. There are no third party beneficiaries to this Assignment Agreement, and no third party may invoke any provision hereof in its defense or in advancing any grievance or position as against any other person or entity.</w:t>
      </w:r>
    </w:p>
    <w:p>
      <w:pPr>
        <w:spacing w:after="0" w:line="333" w:lineRule="exact"/>
        <w:rPr>
          <w:rFonts w:ascii="Arial" w:cs="Arial" w:eastAsia="Arial" w:hAnsi="Arial"/>
          <w:sz w:val="20"/>
          <w:szCs w:val="20"/>
          <w:color w:val="auto"/>
        </w:rPr>
      </w:pPr>
    </w:p>
    <w:p>
      <w:pPr>
        <w:jc w:val="both"/>
        <w:ind w:left="100" w:right="80" w:firstLine="646"/>
        <w:spacing w:after="0" w:line="312" w:lineRule="auto"/>
        <w:tabs>
          <w:tab w:leader="none" w:pos="1135" w:val="left"/>
        </w:tabs>
        <w:numPr>
          <w:ilvl w:val="0"/>
          <w:numId w:val="89"/>
        </w:numPr>
        <w:rPr>
          <w:rFonts w:ascii="Arial" w:cs="Arial" w:eastAsia="Arial" w:hAnsi="Arial"/>
          <w:sz w:val="18"/>
          <w:szCs w:val="18"/>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Assignment Agreement may be executed in two or more counterparts, each of which shall be deemed an original, but all of which together shall constitute one and the same instrument and shall become binding when one or more of the counterparts have been signed by each of the parties and delivered to the other party.</w:t>
      </w: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100"/>
          </w:cols>
          <w:pgMar w:left="320" w:top="1333" w:right="479" w:bottom="1440" w:gutter="0" w:footer="0" w:header="0"/>
        </w:sectPr>
      </w:pPr>
    </w:p>
    <w:bookmarkStart w:id="125" w:name="page126"/>
    <w:bookmarkEnd w:id="125"/>
    <w:p>
      <w:pPr>
        <w:spacing w:after="0" w:line="263" w:lineRule="auto"/>
        <w:rPr>
          <w:sz w:val="20"/>
          <w:szCs w:val="20"/>
          <w:color w:val="auto"/>
        </w:rPr>
      </w:pPr>
      <w:r>
        <w:rPr>
          <w:rFonts w:ascii="Arial" w:cs="Arial" w:eastAsia="Arial" w:hAnsi="Arial"/>
          <w:sz w:val="22"/>
          <w:szCs w:val="22"/>
          <w:color w:val="auto"/>
        </w:rPr>
        <w:t>IN WITNESS WHEREOF, Assignor and Assignee have caused this Assignment Agreement to be executed as of the Effective Date.</w:t>
      </w:r>
    </w:p>
    <w:p>
      <w:pPr>
        <w:spacing w:after="0" w:line="304"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ASSIGNOR:</w:t>
      </w:r>
    </w:p>
    <w:p>
      <w:pPr>
        <w:spacing w:after="0" w:line="37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Blackbaud,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80"/>
        <w:spacing w:after="0"/>
        <w:tabs>
          <w:tab w:leader="none" w:pos="4640" w:val="left"/>
        </w:tabs>
        <w:rPr>
          <w:sz w:val="20"/>
          <w:szCs w:val="20"/>
          <w:color w:val="auto"/>
        </w:rPr>
      </w:pPr>
      <w:r>
        <w:rPr>
          <w:rFonts w:ascii="Arial" w:cs="Arial" w:eastAsia="Arial" w:hAnsi="Arial"/>
          <w:sz w:val="22"/>
          <w:szCs w:val="22"/>
          <w:color w:val="auto"/>
        </w:rPr>
        <w:t>By:</w:t>
        <w:tab/>
        <w:t>Name: Jon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-17780</wp:posOffset>
            </wp:positionV>
            <wp:extent cx="137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0900"/>
          </w:cols>
          <w:pgMar w:left="320" w:top="1266" w:right="679" w:bottom="1440" w:gutter="0" w:footer="0" w:header="0"/>
        </w:sectPr>
      </w:pPr>
    </w:p>
    <w:bookmarkStart w:id="126" w:name="page127"/>
    <w:bookmarkEnd w:id="126"/>
    <w:p>
      <w:pPr>
        <w:ind w:left="3980"/>
        <w:spacing w:after="0"/>
        <w:rPr>
          <w:sz w:val="20"/>
          <w:szCs w:val="20"/>
          <w:color w:val="auto"/>
        </w:rPr>
      </w:pPr>
      <w:r>
        <w:rPr>
          <w:rFonts w:ascii="Arial" w:cs="Arial" w:eastAsia="Arial" w:hAnsi="Arial"/>
          <w:sz w:val="22"/>
          <w:szCs w:val="22"/>
          <w:b w:val="1"/>
          <w:bCs w:val="1"/>
          <w:color w:val="auto"/>
        </w:rPr>
        <w:t>ASSIGNEE:</w:t>
      </w:r>
    </w:p>
    <w:p>
      <w:pPr>
        <w:spacing w:after="0" w:line="361" w:lineRule="exact"/>
        <w:rPr>
          <w:sz w:val="20"/>
          <w:szCs w:val="20"/>
          <w:color w:val="auto"/>
        </w:rPr>
      </w:pPr>
    </w:p>
    <w:p>
      <w:pPr>
        <w:jc w:val="right"/>
        <w:ind w:right="1359"/>
        <w:spacing w:after="0"/>
        <w:rPr>
          <w:sz w:val="20"/>
          <w:szCs w:val="20"/>
          <w:color w:val="auto"/>
        </w:rPr>
      </w:pPr>
      <w:r>
        <w:rPr>
          <w:rFonts w:ascii="Arial" w:cs="Arial" w:eastAsia="Arial" w:hAnsi="Arial"/>
          <w:sz w:val="22"/>
          <w:szCs w:val="22"/>
          <w:color w:val="auto"/>
        </w:rPr>
        <w:t>HP 2000DI, LLC, a Georgia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80"/>
        <w:spacing w:after="0"/>
        <w:tabs>
          <w:tab w:leader="none" w:pos="4640" w:val="left"/>
        </w:tabs>
        <w:rPr>
          <w:sz w:val="20"/>
          <w:szCs w:val="20"/>
          <w:color w:val="auto"/>
        </w:rPr>
      </w:pPr>
      <w:r>
        <w:rPr>
          <w:rFonts w:ascii="Arial" w:cs="Arial" w:eastAsia="Arial" w:hAnsi="Arial"/>
          <w:sz w:val="22"/>
          <w:szCs w:val="22"/>
          <w:color w:val="auto"/>
        </w:rPr>
        <w:t>By:</w:t>
        <w:tab/>
        <w:t>Name: John R.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-17780</wp:posOffset>
            </wp:positionV>
            <wp:extent cx="137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[end of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0139"/>
          </w:cols>
          <w:pgMar w:left="320" w:top="1341" w:right="1440" w:bottom="1440" w:gutter="0" w:footer="0" w:header="0"/>
        </w:sectPr>
      </w:pPr>
    </w:p>
    <w:bookmarkStart w:id="127" w:name="page128"/>
    <w:bookmarkEnd w:id="127"/>
    <w:p>
      <w:pPr>
        <w:jc w:val="center"/>
        <w:ind w:right="-1120"/>
        <w:spacing w:after="0"/>
        <w:rPr>
          <w:sz w:val="20"/>
          <w:szCs w:val="20"/>
          <w:color w:val="auto"/>
        </w:rPr>
      </w:pPr>
      <w:r>
        <w:rPr>
          <w:rFonts w:ascii="Arial" w:cs="Arial" w:eastAsia="Arial" w:hAnsi="Arial"/>
          <w:sz w:val="19"/>
          <w:szCs w:val="19"/>
          <w:b w:val="1"/>
          <w:bCs w:val="1"/>
          <w:color w:val="auto"/>
        </w:rPr>
        <w:t>Exhibit A to Assignment and Assumption of FILOT</w:t>
      </w:r>
    </w:p>
    <w:p>
      <w:pPr>
        <w:spacing w:after="0" w:line="1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Agreement Copy of FILOT Agreement</w:t>
      </w:r>
    </w:p>
    <w:p>
      <w:pPr>
        <w:spacing w:after="0" w:line="200" w:lineRule="exact"/>
        <w:rPr>
          <w:sz w:val="20"/>
          <w:szCs w:val="20"/>
          <w:color w:val="auto"/>
        </w:rPr>
      </w:pPr>
    </w:p>
    <w:p>
      <w:pPr>
        <w:spacing w:after="0" w:line="22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0139"/>
          </w:cols>
          <w:pgMar w:left="320" w:top="1260"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EXHIBIT C</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TERMINATION OF MEMORANDUM OF LEASE AND EASEMENT</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460" w:type="dxa"/>
            <w:vAlign w:val="bottom"/>
          </w:tcPr>
          <w:p>
            <w:pPr>
              <w:spacing w:after="0"/>
              <w:rPr>
                <w:sz w:val="20"/>
                <w:szCs w:val="20"/>
                <w:color w:val="auto"/>
              </w:rPr>
            </w:pPr>
            <w:r>
              <w:rPr>
                <w:rFonts w:ascii="Arial" w:cs="Arial" w:eastAsia="Arial" w:hAnsi="Arial"/>
                <w:sz w:val="22"/>
                <w:szCs w:val="22"/>
                <w:color w:val="auto"/>
              </w:rPr>
              <w:t>STATE OF SOUTH CAROLINA  )</w:t>
            </w:r>
          </w:p>
        </w:tc>
        <w:tc>
          <w:tcPr>
            <w:tcW w:w="5360" w:type="dxa"/>
            <w:vAlign w:val="bottom"/>
          </w:tcPr>
          <w:p>
            <w:pPr>
              <w:jc w:val="center"/>
              <w:ind w:left="1172"/>
              <w:spacing w:after="0"/>
              <w:rPr>
                <w:sz w:val="20"/>
                <w:szCs w:val="20"/>
                <w:color w:val="auto"/>
              </w:rPr>
            </w:pPr>
            <w:r>
              <w:rPr>
                <w:rFonts w:ascii="Arial" w:cs="Arial" w:eastAsia="Arial" w:hAnsi="Arial"/>
                <w:sz w:val="22"/>
                <w:szCs w:val="22"/>
                <w:color w:val="auto"/>
                <w:w w:val="95"/>
              </w:rPr>
              <w:t>TERMINATION OF</w:t>
            </w:r>
          </w:p>
        </w:tc>
      </w:tr>
      <w:tr>
        <w:trPr>
          <w:trHeight w:val="257"/>
        </w:trPr>
        <w:tc>
          <w:tcPr>
            <w:tcW w:w="4460" w:type="dxa"/>
            <w:vAlign w:val="bottom"/>
          </w:tcPr>
          <w:p>
            <w:pPr>
              <w:jc w:val="right"/>
              <w:ind w:right="3214"/>
              <w:spacing w:after="0"/>
              <w:rPr>
                <w:sz w:val="20"/>
                <w:szCs w:val="20"/>
                <w:color w:val="auto"/>
              </w:rPr>
            </w:pPr>
            <w:r>
              <w:rPr>
                <w:rFonts w:ascii="Arial" w:cs="Arial" w:eastAsia="Arial" w:hAnsi="Arial"/>
                <w:sz w:val="22"/>
                <w:szCs w:val="22"/>
                <w:color w:val="auto"/>
              </w:rPr>
              <w:t>)</w:t>
            </w:r>
          </w:p>
        </w:tc>
        <w:tc>
          <w:tcPr>
            <w:tcW w:w="5360" w:type="dxa"/>
            <w:vAlign w:val="bottom"/>
          </w:tcPr>
          <w:p>
            <w:pPr>
              <w:jc w:val="center"/>
              <w:ind w:left="1172"/>
              <w:spacing w:after="0"/>
              <w:rPr>
                <w:sz w:val="20"/>
                <w:szCs w:val="20"/>
                <w:color w:val="auto"/>
              </w:rPr>
            </w:pPr>
            <w:r>
              <w:rPr>
                <w:rFonts w:ascii="Arial" w:cs="Arial" w:eastAsia="Arial" w:hAnsi="Arial"/>
                <w:sz w:val="22"/>
                <w:szCs w:val="22"/>
                <w:color w:val="auto"/>
                <w:w w:val="96"/>
              </w:rPr>
              <w:t>MEMORANDUM OF LEASE AGREEMENT</w:t>
            </w:r>
          </w:p>
        </w:tc>
      </w:tr>
      <w:tr>
        <w:trPr>
          <w:trHeight w:val="257"/>
        </w:trPr>
        <w:tc>
          <w:tcPr>
            <w:tcW w:w="4460" w:type="dxa"/>
            <w:vAlign w:val="bottom"/>
          </w:tcPr>
          <w:p>
            <w:pPr>
              <w:spacing w:after="0"/>
              <w:rPr>
                <w:sz w:val="20"/>
                <w:szCs w:val="20"/>
                <w:color w:val="auto"/>
              </w:rPr>
            </w:pPr>
            <w:r>
              <w:rPr>
                <w:rFonts w:ascii="Arial" w:cs="Arial" w:eastAsia="Arial" w:hAnsi="Arial"/>
                <w:sz w:val="22"/>
                <w:szCs w:val="22"/>
                <w:color w:val="auto"/>
              </w:rPr>
              <w:t>COUNTY OF BERKELEY)</w:t>
            </w:r>
          </w:p>
        </w:tc>
        <w:tc>
          <w:tcPr>
            <w:tcW w:w="5360" w:type="dxa"/>
            <w:vAlign w:val="bottom"/>
          </w:tcPr>
          <w:p>
            <w:pPr>
              <w:jc w:val="center"/>
              <w:ind w:left="1192"/>
              <w:spacing w:after="0"/>
              <w:rPr>
                <w:sz w:val="20"/>
                <w:szCs w:val="20"/>
                <w:color w:val="auto"/>
              </w:rPr>
            </w:pPr>
            <w:r>
              <w:rPr>
                <w:rFonts w:ascii="Arial" w:cs="Arial" w:eastAsia="Arial" w:hAnsi="Arial"/>
                <w:sz w:val="22"/>
                <w:szCs w:val="22"/>
                <w:color w:val="auto"/>
                <w:w w:val="95"/>
              </w:rPr>
              <w:t>AND EASEMENT AGREEMENT</w:t>
            </w:r>
          </w:p>
        </w:tc>
      </w:tr>
      <w:tr>
        <w:trPr>
          <w:trHeight w:val="257"/>
        </w:trPr>
        <w:tc>
          <w:tcPr>
            <w:tcW w:w="4460" w:type="dxa"/>
            <w:vAlign w:val="bottom"/>
          </w:tcPr>
          <w:p>
            <w:pPr>
              <w:spacing w:after="0"/>
              <w:rPr>
                <w:sz w:val="22"/>
                <w:szCs w:val="22"/>
                <w:color w:val="auto"/>
              </w:rPr>
            </w:pPr>
          </w:p>
        </w:tc>
        <w:tc>
          <w:tcPr>
            <w:tcW w:w="5360" w:type="dxa"/>
            <w:vAlign w:val="bottom"/>
          </w:tcPr>
          <w:p>
            <w:pPr>
              <w:jc w:val="center"/>
              <w:ind w:left="1192"/>
              <w:spacing w:after="0"/>
              <w:rPr>
                <w:sz w:val="20"/>
                <w:szCs w:val="20"/>
                <w:color w:val="auto"/>
              </w:rPr>
            </w:pPr>
            <w:r>
              <w:rPr>
                <w:rFonts w:ascii="Arial" w:cs="Arial" w:eastAsia="Arial" w:hAnsi="Arial"/>
                <w:sz w:val="22"/>
                <w:szCs w:val="22"/>
                <w:i w:val="1"/>
                <w:iCs w:val="1"/>
                <w:color w:val="auto"/>
                <w:w w:val="89"/>
              </w:rPr>
              <w:t>(Book 2995 at Page 756)</w:t>
            </w:r>
          </w:p>
        </w:tc>
      </w:tr>
      <w:tr>
        <w:trPr>
          <w:trHeight w:val="256"/>
        </w:trPr>
        <w:tc>
          <w:tcPr>
            <w:tcW w:w="4460" w:type="dxa"/>
            <w:vAlign w:val="bottom"/>
          </w:tcPr>
          <w:p>
            <w:pPr>
              <w:spacing w:after="0"/>
              <w:rPr>
                <w:sz w:val="22"/>
                <w:szCs w:val="22"/>
                <w:color w:val="auto"/>
              </w:rPr>
            </w:pPr>
          </w:p>
        </w:tc>
        <w:tc>
          <w:tcPr>
            <w:tcW w:w="5360" w:type="dxa"/>
            <w:vAlign w:val="bottom"/>
          </w:tcPr>
          <w:p>
            <w:pPr>
              <w:jc w:val="center"/>
              <w:ind w:left="1172"/>
              <w:spacing w:after="0"/>
              <w:rPr>
                <w:sz w:val="20"/>
                <w:szCs w:val="20"/>
                <w:color w:val="auto"/>
              </w:rPr>
            </w:pPr>
            <w:r>
              <w:rPr>
                <w:rFonts w:ascii="Arial" w:cs="Arial" w:eastAsia="Arial" w:hAnsi="Arial"/>
                <w:sz w:val="22"/>
                <w:szCs w:val="22"/>
                <w:i w:val="1"/>
                <w:iCs w:val="1"/>
                <w:color w:val="auto"/>
                <w:w w:val="89"/>
              </w:rPr>
              <w:t>(Book 1769 at Page 1)</w:t>
            </w:r>
          </w:p>
        </w:tc>
      </w:tr>
      <w:tr>
        <w:trPr>
          <w:trHeight w:val="274"/>
        </w:trPr>
        <w:tc>
          <w:tcPr>
            <w:tcW w:w="4460" w:type="dxa"/>
            <w:vAlign w:val="bottom"/>
          </w:tcPr>
          <w:p>
            <w:pPr>
              <w:spacing w:after="0"/>
              <w:rPr>
                <w:sz w:val="23"/>
                <w:szCs w:val="23"/>
                <w:color w:val="auto"/>
              </w:rPr>
            </w:pPr>
          </w:p>
        </w:tc>
        <w:tc>
          <w:tcPr>
            <w:tcW w:w="5360" w:type="dxa"/>
            <w:vAlign w:val="bottom"/>
          </w:tcPr>
          <w:p>
            <w:pPr>
              <w:jc w:val="center"/>
              <w:ind w:left="1192"/>
              <w:spacing w:after="0"/>
              <w:rPr>
                <w:sz w:val="20"/>
                <w:szCs w:val="20"/>
                <w:color w:val="auto"/>
              </w:rPr>
            </w:pPr>
            <w:r>
              <w:rPr>
                <w:rFonts w:ascii="Arial" w:cs="Arial" w:eastAsia="Arial" w:hAnsi="Arial"/>
                <w:sz w:val="22"/>
                <w:szCs w:val="22"/>
                <w:i w:val="1"/>
                <w:iCs w:val="1"/>
                <w:color w:val="auto"/>
                <w:w w:val="88"/>
              </w:rPr>
              <w:t>(Book 1816, at Page 268)</w:t>
            </w:r>
          </w:p>
        </w:tc>
      </w:tr>
    </w:tbl>
    <w:p>
      <w:pPr>
        <w:spacing w:after="0" w:line="3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THIS TERMINATION OF MEMORANDUM OF LEASE AGREEMENT </w:t>
      </w:r>
      <w:r>
        <w:rPr>
          <w:rFonts w:ascii="Arial" w:cs="Arial" w:eastAsia="Arial" w:hAnsi="Arial"/>
          <w:sz w:val="22"/>
          <w:szCs w:val="22"/>
          <w:color w:val="auto"/>
        </w:rPr>
        <w:t>(this “</w:t>
      </w:r>
      <w:r>
        <w:rPr>
          <w:rFonts w:ascii="Arial" w:cs="Arial" w:eastAsia="Arial" w:hAnsi="Arial"/>
          <w:sz w:val="22"/>
          <w:szCs w:val="22"/>
          <w:b w:val="1"/>
          <w:bCs w:val="1"/>
          <w:color w:val="auto"/>
        </w:rPr>
        <w:t>Termination</w:t>
      </w:r>
      <w:r>
        <w:rPr>
          <w:rFonts w:ascii="Arial" w:cs="Arial" w:eastAsia="Arial" w:hAnsi="Arial"/>
          <w:sz w:val="22"/>
          <w:szCs w:val="22"/>
          <w:color w:val="auto"/>
        </w:rPr>
        <w:t>”) is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2020 (“</w:t>
      </w:r>
      <w:r>
        <w:rPr>
          <w:rFonts w:ascii="Arial" w:cs="Arial" w:eastAsia="Arial" w:hAnsi="Arial"/>
          <w:sz w:val="22"/>
          <w:szCs w:val="22"/>
          <w:b w:val="1"/>
          <w:bCs w:val="1"/>
          <w:color w:val="auto"/>
        </w:rPr>
        <w:t>Termination Date</w:t>
      </w:r>
      <w:r>
        <w:rPr>
          <w:rFonts w:ascii="Arial" w:cs="Arial" w:eastAsia="Arial" w:hAnsi="Arial"/>
          <w:sz w:val="22"/>
          <w:szCs w:val="22"/>
          <w:color w:val="auto"/>
        </w:rPr>
        <w:t xml:space="preserve">”) between </w:t>
      </w:r>
      <w:r>
        <w:rPr>
          <w:rFonts w:ascii="Arial" w:cs="Arial" w:eastAsia="Arial" w:hAnsi="Arial"/>
          <w:sz w:val="22"/>
          <w:szCs w:val="22"/>
          <w:b w:val="1"/>
          <w:bCs w:val="1"/>
          <w:color w:val="auto"/>
        </w:rPr>
        <w:t>HP 2000DI, LLC</w:t>
      </w:r>
      <w:r>
        <w:rPr>
          <w:rFonts w:ascii="Arial" w:cs="Arial" w:eastAsia="Arial" w:hAnsi="Arial"/>
          <w:sz w:val="22"/>
          <w:szCs w:val="22"/>
          <w:color w:val="auto"/>
        </w:rPr>
        <w:t>, a Georgia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Blackbaud, Inc.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Duck Pond Creek-SPE, LLC (“</w:t>
      </w:r>
      <w:r>
        <w:rPr>
          <w:rFonts w:ascii="Arial" w:cs="Arial" w:eastAsia="Arial" w:hAnsi="Arial"/>
          <w:sz w:val="21"/>
          <w:szCs w:val="21"/>
          <w:b w:val="1"/>
          <w:bCs w:val="1"/>
          <w:color w:val="auto"/>
        </w:rPr>
        <w:t>Original Landlord</w:t>
      </w:r>
      <w:r>
        <w:rPr>
          <w:rFonts w:ascii="Arial" w:cs="Arial" w:eastAsia="Arial" w:hAnsi="Arial"/>
          <w:sz w:val="21"/>
          <w:szCs w:val="21"/>
          <w:color w:val="auto"/>
        </w:rPr>
        <w:t>”) as landlord, and Tenant, as tenant entered into that</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Lease Agreement dated October 1, 2008, as amended by that certain Lease Amendment and Remediation Agreement dated March 20, 2013, as further amended by that certain Second Amendment to Triple Net Lease Agreement dated June 27, 2013, and as assigned to Landlord by Duck Pond Creek – SPE, LLC, predecessor in interest to Landlord (the “</w:t>
      </w:r>
      <w:r>
        <w:rPr>
          <w:rFonts w:ascii="Arial" w:cs="Arial" w:eastAsia="Arial" w:hAnsi="Arial"/>
          <w:sz w:val="21"/>
          <w:szCs w:val="21"/>
          <w:b w:val="1"/>
          <w:bCs w:val="1"/>
          <w:color w:val="auto"/>
        </w:rPr>
        <w:t>Lease</w:t>
      </w:r>
      <w:r>
        <w:rPr>
          <w:rFonts w:ascii="Arial" w:cs="Arial" w:eastAsia="Arial" w:hAnsi="Arial"/>
          <w:sz w:val="21"/>
          <w:szCs w:val="21"/>
          <w:color w:val="auto"/>
        </w:rPr>
        <w:t xml:space="preserve">”)., as evidenced by that certain Memorandum of Lease dated April 12, 2019, and recorded in the Berkeley County ROD Office on April 12, 2019 in </w:t>
      </w:r>
      <w:r>
        <w:rPr>
          <w:rFonts w:ascii="Arial" w:cs="Arial" w:eastAsia="Arial" w:hAnsi="Arial"/>
          <w:sz w:val="21"/>
          <w:szCs w:val="21"/>
          <w:b w:val="1"/>
          <w:bCs w:val="1"/>
          <w:color w:val="auto"/>
        </w:rPr>
        <w:t>Book 2995, Page 756</w:t>
      </w:r>
      <w:r>
        <w:rPr>
          <w:rFonts w:ascii="Arial" w:cs="Arial" w:eastAsia="Arial" w:hAnsi="Arial"/>
          <w:sz w:val="21"/>
          <w:szCs w:val="21"/>
          <w:color w:val="auto"/>
        </w:rPr>
        <w:t xml:space="preserve"> (the “</w:t>
      </w:r>
      <w:r>
        <w:rPr>
          <w:rFonts w:ascii="Arial" w:cs="Arial" w:eastAsia="Arial" w:hAnsi="Arial"/>
          <w:sz w:val="21"/>
          <w:szCs w:val="21"/>
          <w:b w:val="1"/>
          <w:bCs w:val="1"/>
          <w:color w:val="auto"/>
        </w:rPr>
        <w:t>Memorandum of Lease</w:t>
      </w:r>
      <w:r>
        <w:rPr>
          <w:rFonts w:ascii="Arial" w:cs="Arial" w:eastAsia="Arial" w:hAnsi="Arial"/>
          <w:sz w:val="21"/>
          <w:szCs w:val="21"/>
          <w:color w:val="auto"/>
        </w:rPr>
        <w:t>”).</w:t>
      </w:r>
    </w:p>
    <w:p>
      <w:pPr>
        <w:spacing w:after="0" w:line="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Original Landlord also granted to Tenant, as tenant under the Lease, certain easement and other use rights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over adjacent property of Original Landlord pursuant to that certain Declaration of Access and Parking Easement dated October 18, 1999, recorded in the Berkeley County ROD Office on October 18, 1999 in </w:t>
      </w:r>
      <w:r>
        <w:rPr>
          <w:rFonts w:ascii="Arial" w:cs="Arial" w:eastAsia="Arial" w:hAnsi="Arial"/>
          <w:sz w:val="19"/>
          <w:szCs w:val="19"/>
          <w:b w:val="1"/>
          <w:bCs w:val="1"/>
          <w:color w:val="auto"/>
        </w:rPr>
        <w:t>Book 1769, Page 1</w:t>
      </w:r>
      <w:r>
        <w:rPr>
          <w:rFonts w:ascii="Arial" w:cs="Arial" w:eastAsia="Arial" w:hAnsi="Arial"/>
          <w:sz w:val="19"/>
          <w:szCs w:val="19"/>
          <w:color w:val="auto"/>
        </w:rPr>
        <w:t xml:space="preserve">, and re-recorded in the Berkeley County ROD Office on December 22, 2019 in </w:t>
      </w:r>
      <w:r>
        <w:rPr>
          <w:rFonts w:ascii="Arial" w:cs="Arial" w:eastAsia="Arial" w:hAnsi="Arial"/>
          <w:sz w:val="19"/>
          <w:szCs w:val="19"/>
          <w:b w:val="1"/>
          <w:bCs w:val="1"/>
          <w:color w:val="auto"/>
        </w:rPr>
        <w:t>Book 1816, Page 268 (</w:t>
      </w:r>
      <w:r>
        <w:rPr>
          <w:rFonts w:ascii="Arial" w:cs="Arial" w:eastAsia="Arial" w:hAnsi="Arial"/>
          <w:sz w:val="19"/>
          <w:szCs w:val="19"/>
          <w:color w:val="auto"/>
        </w:rPr>
        <w:t>the “</w:t>
      </w:r>
      <w:r>
        <w:rPr>
          <w:rFonts w:ascii="Arial" w:cs="Arial" w:eastAsia="Arial" w:hAnsi="Arial"/>
          <w:sz w:val="19"/>
          <w:szCs w:val="19"/>
          <w:b w:val="1"/>
          <w:bCs w:val="1"/>
          <w:color w:val="auto"/>
        </w:rPr>
        <w:t>Easement Agreement</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Lease has been terminated by mutual agreement of Landlord and Tenant effective as of December 31,</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have executed and delivered this Termination for the purpose of memorializing of record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the Lease, the Memorandum of Lease, and the Easement Agreement.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valuable consideration, the receipt and sufficiency of which the parties acknowledge,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agree as follows:</w:t>
      </w:r>
    </w:p>
    <w:p>
      <w:pPr>
        <w:spacing w:after="0" w:line="162" w:lineRule="exact"/>
        <w:rPr>
          <w:sz w:val="20"/>
          <w:szCs w:val="20"/>
          <w:color w:val="auto"/>
        </w:rPr>
      </w:pPr>
    </w:p>
    <w:p>
      <w:pPr>
        <w:jc w:val="both"/>
        <w:ind w:firstLine="656"/>
        <w:spacing w:after="0" w:line="252" w:lineRule="auto"/>
        <w:tabs>
          <w:tab w:leader="none" w:pos="1161"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 and Tenant agree and acknowledge that the Lease has terminated in its entirety and in</w:t>
      </w:r>
      <w:r>
        <w:rPr>
          <w:rFonts w:ascii="Arial" w:cs="Arial" w:eastAsia="Arial" w:hAnsi="Arial"/>
          <w:sz w:val="22"/>
          <w:szCs w:val="22"/>
          <w:b w:val="1"/>
          <w:bCs w:val="1"/>
          <w:color w:val="auto"/>
        </w:rPr>
        <w:t xml:space="preserve"> </w:t>
      </w:r>
      <w:r>
        <w:rPr>
          <w:rFonts w:ascii="Arial" w:cs="Arial" w:eastAsia="Arial" w:hAnsi="Arial"/>
          <w:sz w:val="22"/>
          <w:szCs w:val="22"/>
          <w:color w:val="auto"/>
        </w:rPr>
        <w:t>confirmation thereof execute this Termination to terminate the Lease and release the same of record. The Lease and the Memorandum of Lease are of no further force or effect. Tenant also acknowledges and agrees that it has no further rights or benefits under the Easement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240"/>
          </w:cols>
          <w:pgMar w:left="320" w:top="1260" w:right="339" w:bottom="1440" w:gutter="0" w:footer="0" w:header="0"/>
        </w:sectPr>
      </w:pPr>
    </w:p>
    <w:bookmarkStart w:id="129" w:name="page130"/>
    <w:bookmarkEnd w:id="129"/>
    <w:p>
      <w:pPr>
        <w:ind w:left="1040" w:hanging="384"/>
        <w:spacing w:after="0"/>
        <w:tabs>
          <w:tab w:leader="none" w:pos="1040" w:val="left"/>
        </w:tabs>
        <w:numPr>
          <w:ilvl w:val="0"/>
          <w:numId w:val="91"/>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If this Termination is signed in counterparts, then all of them together constitute one instrument.</w:t>
      </w:r>
    </w:p>
    <w:p>
      <w:pPr>
        <w:spacing w:after="0" w:line="254" w:lineRule="exact"/>
        <w:rPr>
          <w:rFonts w:ascii="Arial" w:cs="Arial" w:eastAsia="Arial" w:hAnsi="Arial"/>
          <w:sz w:val="19"/>
          <w:szCs w:val="19"/>
          <w:color w:val="auto"/>
        </w:rPr>
      </w:pPr>
    </w:p>
    <w:p>
      <w:pPr>
        <w:ind w:left="4520"/>
        <w:spacing w:after="0"/>
        <w:rPr>
          <w:rFonts w:ascii="Arial" w:cs="Arial" w:eastAsia="Arial" w:hAnsi="Arial"/>
          <w:sz w:val="19"/>
          <w:szCs w:val="19"/>
          <w:color w:val="auto"/>
        </w:rPr>
      </w:pPr>
      <w:r>
        <w:rPr>
          <w:rFonts w:ascii="Arial" w:cs="Arial" w:eastAsia="Arial" w:hAnsi="Arial"/>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0700"/>
          </w:cols>
          <w:pgMar w:left="320" w:top="1260" w:right="879" w:bottom="1440" w:gutter="0" w:footer="0" w:header="0"/>
        </w:sectPr>
      </w:pPr>
    </w:p>
    <w:bookmarkStart w:id="130" w:name="page131"/>
    <w:bookmarkEnd w:id="130"/>
    <w:p>
      <w:pPr>
        <w:ind w:left="660"/>
        <w:spacing w:after="0"/>
        <w:rPr>
          <w:sz w:val="20"/>
          <w:szCs w:val="20"/>
          <w:color w:val="auto"/>
        </w:rPr>
      </w:pPr>
      <w:r>
        <w:rPr>
          <w:rFonts w:ascii="Arial" w:cs="Arial" w:eastAsia="Arial" w:hAnsi="Arial"/>
          <w:sz w:val="19"/>
          <w:szCs w:val="19"/>
          <w:color w:val="auto"/>
        </w:rPr>
        <w:t>Landlord and Tenant have executed this Termination as of the Termination Date.</w:t>
      </w:r>
    </w:p>
    <w:p>
      <w:pPr>
        <w:spacing w:after="0" w:line="200" w:lineRule="exact"/>
        <w:rPr>
          <w:sz w:val="20"/>
          <w:szCs w:val="20"/>
          <w:color w:val="auto"/>
        </w:rPr>
      </w:pPr>
    </w:p>
    <w:p>
      <w:pPr>
        <w:spacing w:after="0" w:line="309"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Witnesses</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 xml:space="preserve">HP 2000DI, LLC, </w:t>
      </w:r>
      <w:r>
        <w:rPr>
          <w:rFonts w:ascii="Arial" w:cs="Arial" w:eastAsia="Arial" w:hAnsi="Arial"/>
          <w:sz w:val="18"/>
          <w:szCs w:val="18"/>
          <w:color w:val="auto"/>
        </w:rPr>
        <w:t>a Georgia limited liability company</w:t>
      </w:r>
    </w:p>
    <w:p>
      <w:pPr>
        <w:spacing w:after="0" w:line="276" w:lineRule="exact"/>
        <w:rPr>
          <w:sz w:val="20"/>
          <w:szCs w:val="20"/>
          <w:color w:val="auto"/>
        </w:rPr>
      </w:pPr>
    </w:p>
    <w:p>
      <w:pPr>
        <w:spacing w:after="0"/>
        <w:tabs>
          <w:tab w:leader="none" w:pos="2160" w:val="left"/>
        </w:tabs>
        <w:rPr>
          <w:sz w:val="20"/>
          <w:szCs w:val="20"/>
          <w:color w:val="auto"/>
        </w:rPr>
      </w:pPr>
      <w:r>
        <w:rPr>
          <w:rFonts w:ascii="Arial" w:cs="Arial" w:eastAsia="Arial" w:hAnsi="Arial"/>
          <w:sz w:val="20"/>
          <w:szCs w:val="20"/>
          <w:color w:val="auto"/>
        </w:rPr>
        <w:t>____________________</w:t>
      </w:r>
      <w:r>
        <w:rPr>
          <w:sz w:val="20"/>
          <w:szCs w:val="20"/>
          <w:color w:val="auto"/>
        </w:rPr>
        <w:tab/>
      </w:r>
      <w:r>
        <w:rPr>
          <w:rFonts w:ascii="Arial" w:cs="Arial" w:eastAsia="Arial" w:hAnsi="Arial"/>
          <w:sz w:val="16"/>
          <w:szCs w:val="16"/>
          <w:color w:val="auto"/>
        </w:rPr>
        <w:t>_______________________________________</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 John R. Holder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Its: President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ectPr>
          <w:pgSz w:w="11900" w:h="16838" w:orient="portrait"/>
          <w:cols w:equalWidth="0" w:num="1">
            <w:col w:w="11240"/>
          </w:cols>
          <w:pgMar w:left="320" w:top="1266"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STATE OF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7" w:lineRule="exact"/>
        <w:rPr>
          <w:sz w:val="20"/>
          <w:szCs w:val="20"/>
          <w:color w:val="auto"/>
        </w:rPr>
      </w:pPr>
    </w:p>
    <w:p>
      <w:pPr>
        <w:sectPr>
          <w:pgSz w:w="11900" w:h="16838" w:orient="portrait"/>
          <w:cols w:equalWidth="0" w:num="2">
            <w:col w:w="2720" w:space="640"/>
            <w:col w:w="7880"/>
          </w:cols>
          <w:pgMar w:left="320" w:top="1266" w:right="339" w:bottom="1440" w:gutter="0" w:footer="0" w:header="0"/>
          <w:type w:val="continuous"/>
        </w:sectPr>
      </w:pPr>
    </w:p>
    <w:p>
      <w:pPr>
        <w:ind w:left="390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ACKNOWLEDGMENT</w:t>
      </w:r>
    </w:p>
    <w:p>
      <w:pPr>
        <w:spacing w:after="0" w:line="4" w:lineRule="exact"/>
        <w:rPr>
          <w:sz w:val="20"/>
          <w:szCs w:val="20"/>
          <w:color w:val="auto"/>
        </w:rPr>
      </w:pPr>
    </w:p>
    <w:p>
      <w:pPr>
        <w:sectPr>
          <w:pgSz w:w="11900" w:h="16838" w:orient="portrait"/>
          <w:cols w:equalWidth="0" w:num="2">
            <w:col w:w="3960" w:space="440"/>
            <w:col w:w="6840"/>
          </w:cols>
          <w:pgMar w:left="320" w:top="1266" w:right="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COUNTY OF 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t>
      </w:r>
    </w:p>
    <w:p>
      <w:pPr>
        <w:spacing w:after="0" w:line="211" w:lineRule="exact"/>
        <w:rPr>
          <w:sz w:val="20"/>
          <w:szCs w:val="20"/>
          <w:color w:val="auto"/>
        </w:rPr>
      </w:pPr>
    </w:p>
    <w:p>
      <w:pPr>
        <w:sectPr>
          <w:pgSz w:w="11900" w:h="16838" w:orient="portrait"/>
          <w:cols w:equalWidth="0" w:num="2">
            <w:col w:w="2860" w:space="440"/>
            <w:col w:w="7940"/>
          </w:cols>
          <w:pgMar w:left="320" w:top="1266" w:right="339" w:bottom="1440" w:gutter="0" w:footer="0" w:header="0"/>
          <w:type w:val="continuous"/>
        </w:sectPr>
      </w:pPr>
    </w:p>
    <w:p>
      <w:pPr>
        <w:spacing w:after="0" w:line="6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The foregoing instrument was acknowledged before me this _____ day of December, 2020, by John R. Holder, President of HP</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2000DI, LLC, a Georgia limited liability company on behalf of such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287655</wp:posOffset>
            </wp:positionV>
            <wp:extent cx="6858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Notary Public for ______________</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-29210</wp:posOffset>
            </wp:positionV>
            <wp:extent cx="4114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Additional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240"/>
          </w:cols>
          <w:pgMar w:left="320" w:top="1266" w:right="339" w:bottom="1440" w:gutter="0" w:footer="0" w:header="0"/>
          <w:type w:val="continuous"/>
        </w:sectPr>
      </w:pPr>
    </w:p>
    <w:bookmarkStart w:id="131" w:name="page132"/>
    <w:bookmarkEnd w:id="131"/>
    <w:p>
      <w:pPr>
        <w:jc w:val="center"/>
        <w:ind w:right="-19"/>
        <w:spacing w:after="0"/>
        <w:rPr>
          <w:sz w:val="20"/>
          <w:szCs w:val="20"/>
          <w:color w:val="auto"/>
        </w:rPr>
      </w:pPr>
      <w:r>
        <w:rPr>
          <w:rFonts w:ascii="Arial" w:cs="Arial" w:eastAsia="Arial" w:hAnsi="Arial"/>
          <w:sz w:val="22"/>
          <w:szCs w:val="22"/>
          <w:b w:val="1"/>
          <w:bCs w:val="1"/>
          <w:i w:val="1"/>
          <w:iCs w:val="1"/>
          <w:color w:val="auto"/>
        </w:rPr>
        <w:t>Signature Page – Termination of Memorandum of Lease Agreement and Easement Agreement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u w:val="single" w:color="auto"/>
          <w:color w:val="auto"/>
        </w:rPr>
        <w:t>Witnesses</w:t>
      </w:r>
      <w:r>
        <w:rPr>
          <w:rFonts w:ascii="Arial" w:cs="Arial" w:eastAsia="Arial" w:hAnsi="Arial"/>
          <w:sz w:val="20"/>
          <w:szCs w:val="20"/>
          <w:color w:val="auto"/>
        </w:rPr>
        <w:t>:</w:t>
      </w:r>
      <w:r>
        <w:rPr>
          <w:sz w:val="20"/>
          <w:szCs w:val="20"/>
          <w:color w:val="auto"/>
        </w:rPr>
        <w:tab/>
      </w:r>
      <w:r>
        <w:rPr>
          <w:rFonts w:ascii="Arial" w:cs="Arial" w:eastAsia="Arial" w:hAnsi="Arial"/>
          <w:sz w:val="16"/>
          <w:szCs w:val="16"/>
          <w:b w:val="1"/>
          <w:bCs w:val="1"/>
          <w:color w:val="auto"/>
        </w:rPr>
        <w:t xml:space="preserve">Blackbaud, Inc., </w:t>
      </w:r>
      <w:r>
        <w:rPr>
          <w:rFonts w:ascii="Arial" w:cs="Arial" w:eastAsia="Arial" w:hAnsi="Arial"/>
          <w:sz w:val="16"/>
          <w:szCs w:val="16"/>
          <w:color w:val="auto"/>
        </w:rPr>
        <w:t>a Delaware corporation</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_______________________________________</w:t>
      </w:r>
    </w:p>
    <w:p>
      <w:pPr>
        <w:spacing w:after="0" w:line="27" w:lineRule="exact"/>
        <w:rPr>
          <w:sz w:val="20"/>
          <w:szCs w:val="20"/>
          <w:color w:val="auto"/>
        </w:rPr>
      </w:pPr>
    </w:p>
    <w:p>
      <w:pPr>
        <w:spacing w:after="0"/>
        <w:tabs>
          <w:tab w:leader="none" w:pos="2160" w:val="left"/>
        </w:tabs>
        <w:rPr>
          <w:sz w:val="20"/>
          <w:szCs w:val="20"/>
          <w:color w:val="auto"/>
        </w:rPr>
      </w:pPr>
      <w:r>
        <w:rPr>
          <w:rFonts w:ascii="Arial" w:cs="Arial" w:eastAsia="Arial" w:hAnsi="Arial"/>
          <w:sz w:val="20"/>
          <w:szCs w:val="20"/>
          <w:color w:val="auto"/>
        </w:rPr>
        <w:t>____________________</w:t>
      </w:r>
      <w:r>
        <w:rPr>
          <w:sz w:val="20"/>
          <w:szCs w:val="20"/>
          <w:color w:val="auto"/>
        </w:rPr>
        <w:tab/>
      </w:r>
      <w:r>
        <w:rPr>
          <w:rFonts w:ascii="Arial" w:cs="Arial" w:eastAsia="Arial" w:hAnsi="Arial"/>
          <w:sz w:val="18"/>
          <w:szCs w:val="18"/>
          <w:color w:val="auto"/>
        </w:rPr>
        <w:t>By: Jon W. Olson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Its: Vice President and Secretary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200" w:lineRule="exact"/>
        <w:rPr>
          <w:sz w:val="20"/>
          <w:szCs w:val="20"/>
          <w:color w:val="auto"/>
        </w:rPr>
      </w:pPr>
    </w:p>
    <w:p>
      <w:pPr>
        <w:spacing w:after="0" w:line="302" w:lineRule="exact"/>
        <w:rPr>
          <w:sz w:val="20"/>
          <w:szCs w:val="20"/>
          <w:color w:val="auto"/>
        </w:rPr>
      </w:pPr>
    </w:p>
    <w:p>
      <w:pPr>
        <w:spacing w:after="0"/>
        <w:tabs>
          <w:tab w:leader="none" w:pos="3480" w:val="left"/>
        </w:tabs>
        <w:rPr>
          <w:sz w:val="20"/>
          <w:szCs w:val="20"/>
          <w:color w:val="auto"/>
        </w:rPr>
      </w:pPr>
      <w:r>
        <w:rPr>
          <w:rFonts w:ascii="Arial" w:cs="Arial" w:eastAsia="Arial" w:hAnsi="Arial"/>
          <w:sz w:val="22"/>
          <w:szCs w:val="22"/>
          <w:b w:val="1"/>
          <w:bCs w:val="1"/>
          <w:color w:val="auto"/>
        </w:rPr>
        <w:t>STATE OF SOUTH CAROLINA</w:t>
      </w:r>
      <w:r>
        <w:rPr>
          <w:sz w:val="20"/>
          <w:szCs w:val="20"/>
          <w:color w:val="auto"/>
        </w:rPr>
        <w:tab/>
      </w:r>
      <w:r>
        <w:rPr>
          <w:rFonts w:ascii="Arial" w:cs="Arial" w:eastAsia="Arial" w:hAnsi="Arial"/>
          <w:sz w:val="22"/>
          <w:szCs w:val="22"/>
          <w:b w:val="1"/>
          <w:bCs w:val="1"/>
          <w:color w:val="auto"/>
        </w:rPr>
        <w:t>)</w:t>
      </w:r>
    </w:p>
    <w:p>
      <w:pPr>
        <w:spacing w:after="0" w:line="27" w:lineRule="exact"/>
        <w:rPr>
          <w:sz w:val="20"/>
          <w:szCs w:val="20"/>
          <w:color w:val="auto"/>
        </w:rPr>
      </w:pPr>
    </w:p>
    <w:p>
      <w:pPr>
        <w:ind w:left="4400" w:hanging="504"/>
        <w:spacing w:after="0"/>
        <w:tabs>
          <w:tab w:leader="none" w:pos="440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w:t>
      </w:r>
    </w:p>
    <w:p>
      <w:pPr>
        <w:spacing w:after="0" w:line="4"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b w:val="1"/>
          <w:bCs w:val="1"/>
          <w:color w:val="auto"/>
        </w:rPr>
        <w:t>COUNTY OF BERKELEY</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foregoing instrument was acknowledged before me this _____ day of December 2020, by Jon W. Olson, the Vice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President and Secretary of Blackbaud, Inc., a Delaware corporation on behalf of such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287655</wp:posOffset>
            </wp:positionV>
            <wp:extent cx="6858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Notary Public for ______________</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-29210</wp:posOffset>
            </wp:positionV>
            <wp:extent cx="4114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4847-7307-5661, v. 7</w:t>
      </w:r>
    </w:p>
    <w:p>
      <w:pPr>
        <w:sectPr>
          <w:pgSz w:w="11900" w:h="16838" w:orient="portrait"/>
          <w:cols w:equalWidth="0" w:num="1">
            <w:col w:w="11220"/>
          </w:cols>
          <w:pgMar w:left="320" w:top="1279" w:right="3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60" w:type="dxa"/>
            <w:vAlign w:val="bottom"/>
          </w:tcPr>
          <w:p>
            <w:pPr>
              <w:ind w:left="520"/>
              <w:spacing w:after="0"/>
              <w:rPr>
                <w:sz w:val="20"/>
                <w:szCs w:val="20"/>
                <w:color w:val="auto"/>
              </w:rPr>
            </w:pPr>
            <w:r>
              <w:rPr>
                <w:rFonts w:ascii="Arial" w:cs="Arial" w:eastAsia="Arial" w:hAnsi="Arial"/>
                <w:sz w:val="18"/>
                <w:szCs w:val="18"/>
                <w:b w:val="1"/>
                <w:bCs w:val="1"/>
                <w:color w:val="auto"/>
              </w:rPr>
              <w:t>SUBSIDIARIES OF BLACKBAUD, INC.</w:t>
            </w:r>
          </w:p>
        </w:tc>
      </w:tr>
      <w:tr>
        <w:trPr>
          <w:trHeight w:val="239"/>
        </w:trPr>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60" w:type="dxa"/>
            <w:vAlign w:val="bottom"/>
          </w:tcPr>
          <w:p>
            <w:pPr>
              <w:ind w:left="1140"/>
              <w:spacing w:after="0"/>
              <w:rPr>
                <w:sz w:val="20"/>
                <w:szCs w:val="20"/>
                <w:color w:val="auto"/>
              </w:rPr>
            </w:pPr>
            <w:r>
              <w:rPr>
                <w:rFonts w:ascii="Arial" w:cs="Arial" w:eastAsia="Arial" w:hAnsi="Arial"/>
                <w:sz w:val="18"/>
                <w:szCs w:val="18"/>
                <w:b w:val="1"/>
                <w:bCs w:val="1"/>
                <w:color w:val="auto"/>
              </w:rPr>
              <w:t>As of February 23, 2021</w:t>
            </w:r>
          </w:p>
        </w:tc>
      </w:tr>
      <w:tr>
        <w:trPr>
          <w:trHeight w:val="283"/>
        </w:trPr>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189"/>
        </w:trPr>
        <w:tc>
          <w:tcPr>
            <w:tcW w:w="14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2360" w:type="dxa"/>
            <w:vAlign w:val="bottom"/>
            <w:shd w:val="clear" w:color="auto" w:fill="ACACAC"/>
          </w:tcPr>
          <w:p>
            <w:pPr>
              <w:spacing w:after="0"/>
              <w:rPr>
                <w:sz w:val="16"/>
                <w:szCs w:val="16"/>
                <w:color w:val="auto"/>
              </w:rPr>
            </w:pPr>
          </w:p>
        </w:tc>
        <w:tc>
          <w:tcPr>
            <w:tcW w:w="7760" w:type="dxa"/>
            <w:vAlign w:val="bottom"/>
            <w:shd w:val="clear" w:color="auto" w:fill="ACACAC"/>
          </w:tcPr>
          <w:p>
            <w:pPr>
              <w:ind w:left="5780"/>
              <w:spacing w:after="0"/>
              <w:rPr>
                <w:sz w:val="20"/>
                <w:szCs w:val="20"/>
                <w:color w:val="auto"/>
              </w:rPr>
            </w:pPr>
            <w:r>
              <w:rPr>
                <w:rFonts w:ascii="Arial" w:cs="Arial" w:eastAsia="Arial" w:hAnsi="Arial"/>
                <w:sz w:val="14"/>
                <w:szCs w:val="14"/>
                <w:b w:val="1"/>
                <w:bCs w:val="1"/>
                <w:i w:val="1"/>
                <w:iCs w:val="1"/>
                <w:color w:val="FFFFFF"/>
              </w:rPr>
              <w:t>Organized Under Laws of:</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b w:val="1"/>
                <w:bCs w:val="1"/>
                <w:color w:val="auto"/>
              </w:rPr>
              <w:t>Blackbaud, Inc.</w:t>
            </w:r>
          </w:p>
        </w:tc>
        <w:tc>
          <w:tcPr>
            <w:tcW w:w="7760" w:type="dxa"/>
            <w:vAlign w:val="bottom"/>
          </w:tcPr>
          <w:p>
            <w:pPr>
              <w:ind w:left="5600"/>
              <w:spacing w:after="0"/>
              <w:rPr>
                <w:sz w:val="20"/>
                <w:szCs w:val="20"/>
                <w:color w:val="auto"/>
              </w:rPr>
            </w:pPr>
            <w:r>
              <w:rPr>
                <w:rFonts w:ascii="Arial" w:cs="Arial" w:eastAsia="Arial" w:hAnsi="Arial"/>
                <w:sz w:val="18"/>
                <w:szCs w:val="18"/>
                <w:b w:val="1"/>
                <w:bCs w:val="1"/>
                <w:color w:val="auto"/>
              </w:rPr>
              <w:t>Delaware</w:t>
            </w:r>
          </w:p>
        </w:tc>
      </w:tr>
      <w:tr>
        <w:trPr>
          <w:trHeight w:val="189"/>
        </w:trPr>
        <w:tc>
          <w:tcPr>
            <w:tcW w:w="140" w:type="dxa"/>
            <w:vAlign w:val="bottom"/>
            <w:shd w:val="clear" w:color="auto" w:fill="F4F4F4"/>
          </w:tcPr>
          <w:p>
            <w:pPr>
              <w:spacing w:after="0"/>
              <w:rPr>
                <w:sz w:val="16"/>
                <w:szCs w:val="16"/>
                <w:color w:val="auto"/>
              </w:rPr>
            </w:pPr>
          </w:p>
        </w:tc>
        <w:tc>
          <w:tcPr>
            <w:tcW w:w="3340" w:type="dxa"/>
            <w:vAlign w:val="bottom"/>
            <w:gridSpan w:val="2"/>
            <w:shd w:val="clear" w:color="auto" w:fill="F4F4F4"/>
          </w:tcPr>
          <w:p>
            <w:pPr>
              <w:spacing w:after="0" w:line="189" w:lineRule="exact"/>
              <w:rPr>
                <w:sz w:val="20"/>
                <w:szCs w:val="20"/>
                <w:color w:val="auto"/>
              </w:rPr>
            </w:pPr>
            <w:r>
              <w:rPr>
                <w:rFonts w:ascii="Arial" w:cs="Arial" w:eastAsia="Arial" w:hAnsi="Arial"/>
                <w:sz w:val="18"/>
                <w:szCs w:val="18"/>
                <w:i w:val="1"/>
                <w:iCs w:val="1"/>
                <w:color w:val="auto"/>
              </w:rPr>
              <w:t>Subsidiaries</w:t>
            </w:r>
          </w:p>
        </w:tc>
        <w:tc>
          <w:tcPr>
            <w:tcW w:w="7760" w:type="dxa"/>
            <w:vAlign w:val="bottom"/>
            <w:shd w:val="clear" w:color="auto" w:fill="F4F4F4"/>
          </w:tcPr>
          <w:p>
            <w:pPr>
              <w:spacing w:after="0"/>
              <w:rPr>
                <w:sz w:val="16"/>
                <w:szCs w:val="16"/>
                <w:color w:val="auto"/>
              </w:rPr>
            </w:pPr>
          </w:p>
        </w:tc>
      </w:tr>
      <w:tr>
        <w:trPr>
          <w:trHeight w:val="21"/>
        </w:trPr>
        <w:tc>
          <w:tcPr>
            <w:tcW w:w="140" w:type="dxa"/>
            <w:vAlign w:val="bottom"/>
            <w:tcBorders>
              <w:top w:val="single" w:sz="8" w:color="F4F4F4"/>
            </w:tcBorders>
            <w:shd w:val="clear" w:color="auto" w:fill="F4F4F4"/>
          </w:tcPr>
          <w:p>
            <w:pPr>
              <w:spacing w:after="0" w:line="20" w:lineRule="exact"/>
              <w:rPr>
                <w:sz w:val="1"/>
                <w:szCs w:val="1"/>
                <w:color w:val="auto"/>
              </w:rPr>
            </w:pPr>
          </w:p>
        </w:tc>
        <w:tc>
          <w:tcPr>
            <w:tcW w:w="980" w:type="dxa"/>
            <w:vAlign w:val="bottom"/>
            <w:tcBorders>
              <w:top w:val="single" w:sz="8" w:color="auto"/>
            </w:tcBorders>
            <w:shd w:val="clear" w:color="auto" w:fill="F4F4F4"/>
          </w:tcPr>
          <w:p>
            <w:pPr>
              <w:spacing w:after="0" w:line="20" w:lineRule="exact"/>
              <w:rPr>
                <w:sz w:val="1"/>
                <w:szCs w:val="1"/>
                <w:color w:val="auto"/>
              </w:rPr>
            </w:pPr>
          </w:p>
        </w:tc>
        <w:tc>
          <w:tcPr>
            <w:tcW w:w="2360" w:type="dxa"/>
            <w:vAlign w:val="bottom"/>
            <w:tcBorders>
              <w:top w:val="single" w:sz="8" w:color="F4F4F4"/>
            </w:tcBorders>
            <w:shd w:val="clear" w:color="auto" w:fill="F4F4F4"/>
          </w:tcPr>
          <w:p>
            <w:pPr>
              <w:spacing w:after="0" w:line="20" w:lineRule="exact"/>
              <w:rPr>
                <w:sz w:val="1"/>
                <w:szCs w:val="1"/>
                <w:color w:val="auto"/>
              </w:rPr>
            </w:pPr>
          </w:p>
        </w:tc>
        <w:tc>
          <w:tcPr>
            <w:tcW w:w="7760" w:type="dxa"/>
            <w:vAlign w:val="bottom"/>
            <w:tcBorders>
              <w:top w:val="single" w:sz="8" w:color="F4F4F4"/>
            </w:tcBorders>
            <w:shd w:val="clear" w:color="auto" w:fill="F4F4F4"/>
          </w:tcPr>
          <w:p>
            <w:pPr>
              <w:spacing w:after="0" w:line="20" w:lineRule="exact"/>
              <w:rPr>
                <w:sz w:val="1"/>
                <w:szCs w:val="1"/>
                <w:color w:val="auto"/>
              </w:rPr>
            </w:pP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ACN 161 644 328 Pty. Ltd.</w:t>
            </w:r>
          </w:p>
        </w:tc>
        <w:tc>
          <w:tcPr>
            <w:tcW w:w="7760" w:type="dxa"/>
            <w:vAlign w:val="bottom"/>
          </w:tcPr>
          <w:p>
            <w:pPr>
              <w:ind w:left="5600"/>
              <w:spacing w:after="0"/>
              <w:rPr>
                <w:sz w:val="20"/>
                <w:szCs w:val="20"/>
                <w:color w:val="auto"/>
              </w:rPr>
            </w:pPr>
            <w:r>
              <w:rPr>
                <w:rFonts w:ascii="Arial" w:cs="Arial" w:eastAsia="Arial" w:hAnsi="Arial"/>
                <w:sz w:val="18"/>
                <w:szCs w:val="18"/>
                <w:color w:val="auto"/>
              </w:rPr>
              <w:t>Australia</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BB Real Property Development, LLC</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Delaware</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BBHQ1, LLC</w:t>
            </w:r>
          </w:p>
        </w:tc>
        <w:tc>
          <w:tcPr>
            <w:tcW w:w="7760" w:type="dxa"/>
            <w:vAlign w:val="bottom"/>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Blackbaud Asia,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Hong Kong</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Blackbaud Canada, Inc.</w:t>
            </w:r>
          </w:p>
        </w:tc>
        <w:tc>
          <w:tcPr>
            <w:tcW w:w="7760" w:type="dxa"/>
            <w:vAlign w:val="bottom"/>
          </w:tcPr>
          <w:p>
            <w:pPr>
              <w:ind w:left="5600"/>
              <w:spacing w:after="0"/>
              <w:rPr>
                <w:sz w:val="20"/>
                <w:szCs w:val="20"/>
                <w:color w:val="auto"/>
              </w:rPr>
            </w:pPr>
            <w:r>
              <w:rPr>
                <w:rFonts w:ascii="Arial" w:cs="Arial" w:eastAsia="Arial" w:hAnsi="Arial"/>
                <w:sz w:val="18"/>
                <w:szCs w:val="18"/>
                <w:color w:val="auto"/>
              </w:rPr>
              <w:t>Canada</w:t>
            </w:r>
          </w:p>
        </w:tc>
      </w:tr>
      <w:tr>
        <w:trPr>
          <w:trHeight w:val="229"/>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Blackbaud Europe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Scotland</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Blackbaud Global Ltd.</w:t>
            </w:r>
          </w:p>
        </w:tc>
        <w:tc>
          <w:tcPr>
            <w:tcW w:w="7760" w:type="dxa"/>
            <w:vAlign w:val="bottom"/>
          </w:tcPr>
          <w:p>
            <w:pPr>
              <w:ind w:left="5600"/>
              <w:spacing w:after="0"/>
              <w:rPr>
                <w:sz w:val="20"/>
                <w:szCs w:val="20"/>
                <w:color w:val="auto"/>
              </w:rPr>
            </w:pPr>
            <w:r>
              <w:rPr>
                <w:rFonts w:ascii="Arial" w:cs="Arial" w:eastAsia="Arial" w:hAnsi="Arial"/>
                <w:sz w:val="18"/>
                <w:szCs w:val="18"/>
                <w:color w:val="auto"/>
              </w:rPr>
              <w:t>England and Wales</w:t>
            </w:r>
          </w:p>
        </w:tc>
      </w:tr>
      <w:tr>
        <w:trPr>
          <w:trHeight w:val="229"/>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Blackbaud Latin America, S.R.L.</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Costa Rica</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Blackbaud Pacific Pty. Ltd.</w:t>
            </w:r>
          </w:p>
        </w:tc>
        <w:tc>
          <w:tcPr>
            <w:tcW w:w="7760" w:type="dxa"/>
            <w:vAlign w:val="bottom"/>
          </w:tcPr>
          <w:p>
            <w:pPr>
              <w:ind w:left="5600"/>
              <w:spacing w:after="0"/>
              <w:rPr>
                <w:sz w:val="20"/>
                <w:szCs w:val="20"/>
                <w:color w:val="auto"/>
              </w:rPr>
            </w:pPr>
            <w:r>
              <w:rPr>
                <w:rFonts w:ascii="Arial" w:cs="Arial" w:eastAsia="Arial" w:hAnsi="Arial"/>
                <w:sz w:val="18"/>
                <w:szCs w:val="18"/>
                <w:color w:val="auto"/>
              </w:rPr>
              <w:t>Australia</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Everyday Hero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England and Wales</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Everyday Hero Pty. Ltd.</w:t>
            </w:r>
          </w:p>
        </w:tc>
        <w:tc>
          <w:tcPr>
            <w:tcW w:w="7760" w:type="dxa"/>
            <w:vAlign w:val="bottom"/>
          </w:tcPr>
          <w:p>
            <w:pPr>
              <w:ind w:left="5600"/>
              <w:spacing w:after="0"/>
              <w:rPr>
                <w:sz w:val="20"/>
                <w:szCs w:val="20"/>
                <w:color w:val="auto"/>
              </w:rPr>
            </w:pPr>
            <w:r>
              <w:rPr>
                <w:rFonts w:ascii="Arial" w:cs="Arial" w:eastAsia="Arial" w:hAnsi="Arial"/>
                <w:sz w:val="18"/>
                <w:szCs w:val="18"/>
                <w:color w:val="auto"/>
              </w:rPr>
              <w:t>Australia</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Giving.com Limited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England and Wales</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Giving Limited</w:t>
            </w:r>
          </w:p>
        </w:tc>
        <w:tc>
          <w:tcPr>
            <w:tcW w:w="7760" w:type="dxa"/>
            <w:vAlign w:val="bottom"/>
          </w:tcPr>
          <w:p>
            <w:pPr>
              <w:ind w:left="5600"/>
              <w:spacing w:after="0"/>
              <w:rPr>
                <w:sz w:val="20"/>
                <w:szCs w:val="20"/>
                <w:color w:val="auto"/>
              </w:rPr>
            </w:pPr>
            <w:r>
              <w:rPr>
                <w:rFonts w:ascii="Arial" w:cs="Arial" w:eastAsia="Arial" w:hAnsi="Arial"/>
                <w:sz w:val="18"/>
                <w:szCs w:val="18"/>
                <w:color w:val="auto"/>
              </w:rPr>
              <w:t>England and Wales</w:t>
            </w:r>
          </w:p>
        </w:tc>
      </w:tr>
      <w:tr>
        <w:trPr>
          <w:trHeight w:val="229"/>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JGCrowdfunding USA, LLC</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JG US Inc.</w:t>
            </w:r>
          </w:p>
        </w:tc>
        <w:tc>
          <w:tcPr>
            <w:tcW w:w="7760" w:type="dxa"/>
            <w:vAlign w:val="bottom"/>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MyCharity, Ltd.</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Ireland</w:t>
            </w:r>
          </w:p>
        </w:tc>
      </w:tr>
      <w:tr>
        <w:trPr>
          <w:trHeight w:val="230"/>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Smart, LLC</w:t>
            </w:r>
          </w:p>
        </w:tc>
        <w:tc>
          <w:tcPr>
            <w:tcW w:w="7760" w:type="dxa"/>
            <w:vAlign w:val="bottom"/>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gridSpan w:val="3"/>
            <w:shd w:val="clear" w:color="auto" w:fill="F4F4F4"/>
          </w:tcPr>
          <w:p>
            <w:pPr>
              <w:ind w:left="20"/>
              <w:spacing w:after="0"/>
              <w:rPr>
                <w:sz w:val="20"/>
                <w:szCs w:val="20"/>
                <w:color w:val="auto"/>
              </w:rPr>
            </w:pPr>
            <w:r>
              <w:rPr>
                <w:rFonts w:ascii="Arial" w:cs="Arial" w:eastAsia="Arial" w:hAnsi="Arial"/>
                <w:sz w:val="18"/>
                <w:szCs w:val="18"/>
                <w:color w:val="auto"/>
              </w:rPr>
              <w:t>YC Blocker 1, LLC</w:t>
            </w:r>
          </w:p>
        </w:tc>
        <w:tc>
          <w:tcPr>
            <w:tcW w:w="7760" w:type="dxa"/>
            <w:vAlign w:val="bottom"/>
            <w:shd w:val="clear" w:color="auto" w:fill="F4F4F4"/>
          </w:tcPr>
          <w:p>
            <w:pPr>
              <w:ind w:left="5600"/>
              <w:spacing w:after="0"/>
              <w:rPr>
                <w:sz w:val="20"/>
                <w:szCs w:val="20"/>
                <w:color w:val="auto"/>
              </w:rPr>
            </w:pPr>
            <w:r>
              <w:rPr>
                <w:rFonts w:ascii="Arial" w:cs="Arial" w:eastAsia="Arial" w:hAnsi="Arial"/>
                <w:sz w:val="18"/>
                <w:szCs w:val="18"/>
                <w:color w:val="auto"/>
              </w:rPr>
              <w:t>Delaware</w:t>
            </w:r>
          </w:p>
        </w:tc>
      </w:tr>
      <w:tr>
        <w:trPr>
          <w:trHeight w:val="229"/>
        </w:trPr>
        <w:tc>
          <w:tcPr>
            <w:tcW w:w="3480" w:type="dxa"/>
            <w:vAlign w:val="bottom"/>
            <w:gridSpan w:val="3"/>
          </w:tcPr>
          <w:p>
            <w:pPr>
              <w:ind w:left="20"/>
              <w:spacing w:after="0"/>
              <w:rPr>
                <w:sz w:val="20"/>
                <w:szCs w:val="20"/>
                <w:color w:val="auto"/>
              </w:rPr>
            </w:pPr>
            <w:r>
              <w:rPr>
                <w:rFonts w:ascii="Arial" w:cs="Arial" w:eastAsia="Arial" w:hAnsi="Arial"/>
                <w:sz w:val="18"/>
                <w:szCs w:val="18"/>
                <w:color w:val="auto"/>
              </w:rPr>
              <w:t>YourCause Holdings, LLC</w:t>
            </w:r>
          </w:p>
        </w:tc>
        <w:tc>
          <w:tcPr>
            <w:tcW w:w="7760" w:type="dxa"/>
            <w:vAlign w:val="bottom"/>
          </w:tcPr>
          <w:p>
            <w:pPr>
              <w:ind w:left="5600"/>
              <w:spacing w:after="0"/>
              <w:rPr>
                <w:sz w:val="20"/>
                <w:szCs w:val="20"/>
                <w:color w:val="auto"/>
              </w:rPr>
            </w:pPr>
            <w:r>
              <w:rPr>
                <w:rFonts w:ascii="Arial" w:cs="Arial" w:eastAsia="Arial" w:hAnsi="Arial"/>
                <w:sz w:val="18"/>
                <w:szCs w:val="18"/>
                <w:color w:val="auto"/>
              </w:rPr>
              <w:t>Delaware</w:t>
            </w:r>
          </w:p>
        </w:tc>
      </w:tr>
      <w:tr>
        <w:trPr>
          <w:trHeight w:val="230"/>
        </w:trPr>
        <w:tc>
          <w:tcPr>
            <w:tcW w:w="3480" w:type="dxa"/>
            <w:vAlign w:val="bottom"/>
            <w:tcBorders>
              <w:bottom w:val="single" w:sz="8" w:color="71BF43"/>
            </w:tcBorders>
            <w:gridSpan w:val="3"/>
            <w:shd w:val="clear" w:color="auto" w:fill="F4F4F4"/>
          </w:tcPr>
          <w:p>
            <w:pPr>
              <w:ind w:left="20"/>
              <w:spacing w:after="0"/>
              <w:rPr>
                <w:sz w:val="20"/>
                <w:szCs w:val="20"/>
                <w:color w:val="auto"/>
              </w:rPr>
            </w:pPr>
            <w:r>
              <w:rPr>
                <w:rFonts w:ascii="Arial" w:cs="Arial" w:eastAsia="Arial" w:hAnsi="Arial"/>
                <w:sz w:val="18"/>
                <w:szCs w:val="18"/>
                <w:color w:val="auto"/>
              </w:rPr>
              <w:t>YourCause, LLC</w:t>
            </w:r>
          </w:p>
        </w:tc>
        <w:tc>
          <w:tcPr>
            <w:tcW w:w="7760" w:type="dxa"/>
            <w:vAlign w:val="bottom"/>
            <w:tcBorders>
              <w:bottom w:val="single" w:sz="8" w:color="71BF43"/>
            </w:tcBorders>
            <w:shd w:val="clear" w:color="auto" w:fill="F4F4F4"/>
          </w:tcPr>
          <w:p>
            <w:pPr>
              <w:ind w:left="5600"/>
              <w:spacing w:after="0"/>
              <w:rPr>
                <w:sz w:val="20"/>
                <w:szCs w:val="20"/>
                <w:color w:val="auto"/>
              </w:rPr>
            </w:pPr>
            <w:r>
              <w:rPr>
                <w:rFonts w:ascii="Arial" w:cs="Arial" w:eastAsia="Arial" w:hAnsi="Arial"/>
                <w:sz w:val="18"/>
                <w:szCs w:val="18"/>
                <w:color w:val="auto"/>
              </w:rPr>
              <w:t>Texas</w:t>
            </w:r>
          </w:p>
        </w:tc>
      </w:tr>
    </w:tbl>
    <w:p>
      <w:pPr>
        <w:sectPr>
          <w:pgSz w:w="11900" w:h="16838" w:orient="portrait"/>
          <w:cols w:equalWidth="0" w:num="1">
            <w:col w:w="11240"/>
          </w:cols>
          <w:pgMar w:left="320" w:top="1413"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28" w:lineRule="exact"/>
        <w:rPr>
          <w:sz w:val="20"/>
          <w:szCs w:val="20"/>
          <w:color w:val="auto"/>
        </w:rPr>
      </w:pPr>
    </w:p>
    <w:p>
      <w:pPr>
        <w:jc w:val="both"/>
        <w:spacing w:after="0" w:line="381"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333-181210, No. 333-182407, No. 333-212057 and No. 333-232111) of Blackbaud, Inc., of our report dated February 23, 2021, relating to the financial statements and the effectiveness of internal control over financial reporting, which appears in this Form 10-K.</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23, 2021</w:t>
      </w:r>
    </w:p>
    <w:p>
      <w:pPr>
        <w:sectPr>
          <w:pgSz w:w="11900" w:h="16838" w:orient="portrait"/>
          <w:cols w:equalWidth="0" w:num="1">
            <w:col w:w="11240"/>
          </w:cols>
          <w:pgMar w:left="320" w:top="1413"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February 23, 2021</w:t>
            </w:r>
          </w:p>
        </w:tc>
        <w:tc>
          <w:tcPr>
            <w:tcW w:w="7240" w:type="dxa"/>
            <w:vAlign w:val="bottom"/>
            <w:gridSpan w:val="2"/>
          </w:tcPr>
          <w:p>
            <w:pPr>
              <w:ind w:left="1840"/>
              <w:spacing w:after="0"/>
              <w:rPr>
                <w:sz w:val="20"/>
                <w:szCs w:val="20"/>
                <w:color w:val="auto"/>
              </w:rPr>
            </w:pPr>
            <w:r>
              <w:rPr>
                <w:rFonts w:ascii="Arial" w:cs="Arial" w:eastAsia="Arial" w:hAnsi="Arial"/>
                <w:sz w:val="18"/>
                <w:szCs w:val="18"/>
                <w:color w:val="auto"/>
              </w:rPr>
              <w:t>By:   /s/ Michael P. Gianoni</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40" w:hanging="308"/>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February 23, 2021</w:t>
            </w:r>
          </w:p>
        </w:tc>
        <w:tc>
          <w:tcPr>
            <w:tcW w:w="7240" w:type="dxa"/>
            <w:vAlign w:val="bottom"/>
            <w:gridSpan w:val="2"/>
          </w:tcPr>
          <w:p>
            <w:pPr>
              <w:ind w:left="1840"/>
              <w:spacing w:after="0"/>
              <w:rPr>
                <w:sz w:val="20"/>
                <w:szCs w:val="20"/>
                <w:color w:val="auto"/>
              </w:rPr>
            </w:pPr>
            <w:r>
              <w:rPr>
                <w:rFonts w:ascii="Arial" w:cs="Arial" w:eastAsia="Arial" w:hAnsi="Arial"/>
                <w:sz w:val="18"/>
                <w:szCs w:val="18"/>
                <w:color w:val="auto"/>
              </w:rPr>
              <w:t>By:   /s/ Anthony W. Boor</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on Form 10-K of Blackbaud, Inc. (the “Company”) for the period ended December 31, 2020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February 23, 2021</w:t>
            </w:r>
          </w:p>
        </w:tc>
        <w:tc>
          <w:tcPr>
            <w:tcW w:w="7260" w:type="dxa"/>
            <w:vAlign w:val="bottom"/>
            <w:gridSpan w:val="2"/>
          </w:tcPr>
          <w:p>
            <w:pPr>
              <w:ind w:left="1840"/>
              <w:spacing w:after="0"/>
              <w:rPr>
                <w:sz w:val="20"/>
                <w:szCs w:val="20"/>
                <w:color w:val="auto"/>
              </w:rPr>
            </w:pPr>
            <w:r>
              <w:rPr>
                <w:rFonts w:ascii="Arial" w:cs="Arial" w:eastAsia="Arial" w:hAnsi="Arial"/>
                <w:sz w:val="18"/>
                <w:szCs w:val="18"/>
                <w:color w:val="auto"/>
              </w:rPr>
              <w:t>By:   /s/ Michael P. Gianoni</w:t>
            </w:r>
          </w:p>
        </w:tc>
      </w:tr>
      <w:tr>
        <w:trPr>
          <w:trHeight w:val="223"/>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29"/>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on Form 10-K of Blackbaud, Inc. (the “Company”) for the period ended December 31, 2020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February 23, 2021</w:t>
            </w:r>
          </w:p>
        </w:tc>
        <w:tc>
          <w:tcPr>
            <w:tcW w:w="7260" w:type="dxa"/>
            <w:vAlign w:val="bottom"/>
            <w:gridSpan w:val="2"/>
          </w:tcPr>
          <w:p>
            <w:pPr>
              <w:ind w:left="1840"/>
              <w:spacing w:after="0"/>
              <w:rPr>
                <w:sz w:val="20"/>
                <w:szCs w:val="20"/>
                <w:color w:val="auto"/>
              </w:rPr>
            </w:pPr>
            <w:r>
              <w:rPr>
                <w:rFonts w:ascii="Arial" w:cs="Arial" w:eastAsia="Arial" w:hAnsi="Arial"/>
                <w:sz w:val="18"/>
                <w:szCs w:val="18"/>
                <w:color w:val="auto"/>
              </w:rPr>
              <w:t>By:   /s/ Anthony W. Boor</w:t>
            </w:r>
          </w:p>
        </w:tc>
      </w:tr>
      <w:tr>
        <w:trPr>
          <w:trHeight w:val="223"/>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29"/>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1)"/>
      <w:numFmt w:val="decimal"/>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1)"/>
      <w:numFmt w:val="decimal"/>
      <w:start w:val="1"/>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decimal"/>
    </w:lvl>
    <w:lvl w:ilvl="1">
      <w:lvlJc w:val="left"/>
      <w:lvlText w:val="1"/>
      <w:numFmt w:val="bullet"/>
      <w:start w:val="1"/>
    </w:lvl>
  </w:abstractNum>
  <w:abstractNum w:abstractNumId="18">
    <w:nsid w:val="180115BE"/>
    <w:multiLevelType w:val="hybridMultilevel"/>
    <w:lvl w:ilvl="0">
      <w:lvlJc w:val="left"/>
      <w:lvlText w:val="%1."/>
      <w:numFmt w:val="decimal"/>
      <w:start w:val="4"/>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1."/>
      <w:numFmt w:val="decimal"/>
      <w:start w:val="1"/>
    </w:lvl>
  </w:abstractNum>
  <w:abstractNum w:abstractNumId="24">
    <w:nsid w:val="D34B6A8"/>
    <w:multiLevelType w:val="hybridMultilevel"/>
    <w:lvl w:ilvl="0">
      <w:lvlJc w:val="left"/>
      <w:lvlText w:val="%1."/>
      <w:numFmt w:val="decimal"/>
      <w:start w:val="3"/>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1)"/>
      <w:numFmt w:val="decimal"/>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lowerRoman"/>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decimal"/>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1)"/>
      <w:numFmt w:val="decimal"/>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lowerRoman"/>
      <w:start w:val="2"/>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1)"/>
      <w:numFmt w:val="decimal"/>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1."/>
      <w:numFmt w:val="upperLetter"/>
      <w:start w:val="1"/>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1."/>
      <w:numFmt w:val="decimal"/>
      <w:start w:val="2"/>
    </w:lvl>
    <w:lvl w:ilvl="1">
      <w:lvlJc w:val="left"/>
      <w:lvlText w:val="%2)"/>
      <w:numFmt w:val="lowerLetter"/>
      <w:start w:val="1"/>
    </w:lvl>
  </w:abstractNum>
  <w:abstractNum w:abstractNumId="79">
    <w:nsid w:val="1716703B"/>
    <w:multiLevelType w:val="hybridMultilevel"/>
    <w:lvl w:ilvl="0">
      <w:lvlJc w:val="left"/>
      <w:lvlText w:val="%1)"/>
      <w:numFmt w:val="lowerLetter"/>
      <w:start w:val="3"/>
    </w:lvl>
  </w:abstractNum>
  <w:abstractNum w:abstractNumId="80">
    <w:nsid w:val="14E17E33"/>
    <w:multiLevelType w:val="hybridMultilevel"/>
    <w:lvl w:ilvl="0">
      <w:lvlJc w:val="left"/>
      <w:lvlText w:val="%1."/>
      <w:numFmt w:val="decimal"/>
      <w:start w:val="6"/>
    </w:lvl>
  </w:abstractNum>
  <w:abstractNum w:abstractNumId="81">
    <w:nsid w:val="3222E7CD"/>
    <w:multiLevelType w:val="hybridMultilevel"/>
    <w:lvl w:ilvl="0">
      <w:lvlJc w:val="left"/>
      <w:lvlText w:val="%1."/>
      <w:numFmt w:val="decimal"/>
      <w:start w:val="10"/>
    </w:lvl>
    <w:lvl w:ilvl="1">
      <w:lvlJc w:val="left"/>
      <w:lvlText w:val="%2."/>
      <w:numFmt w:val="lowerLetter"/>
      <w:start w:val="1"/>
    </w:lvl>
  </w:abstractNum>
  <w:abstractNum w:abstractNumId="82">
    <w:nsid w:val="74DE0EE3"/>
    <w:multiLevelType w:val="hybridMultilevel"/>
    <w:lvl w:ilvl="0">
      <w:lvlJc w:val="left"/>
      <w:lvlText w:val="(%1)"/>
      <w:numFmt w:val="lowerRoman"/>
      <w:start w:val="3"/>
    </w:lvl>
  </w:abstractNum>
  <w:abstractNum w:abstractNumId="83">
    <w:nsid w:val="68EBC550"/>
    <w:multiLevelType w:val="hybridMultilevel"/>
    <w:lvl w:ilvl="0">
      <w:lvlJc w:val="left"/>
      <w:lvlText w:val="%1."/>
      <w:numFmt w:val="upperLetter"/>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decimal"/>
      <w:start w:val="2"/>
    </w:lvl>
  </w:abstractNum>
  <w:abstractNum w:abstractNumId="87">
    <w:nsid w:val="39EE015C"/>
    <w:multiLevelType w:val="hybridMultilevel"/>
    <w:lvl w:ilvl="0">
      <w:lvlJc w:val="left"/>
      <w:lvlText w:val="%1."/>
      <w:numFmt w:val="decimal"/>
      <w:start w:val="5"/>
    </w:lvl>
  </w:abstractNum>
  <w:abstractNum w:abstractNumId="88">
    <w:nsid w:val="57FC4FBB"/>
    <w:multiLevelType w:val="hybridMultilevel"/>
    <w:lvl w:ilvl="0">
      <w:lvlJc w:val="left"/>
      <w:lvlText w:val="%1."/>
      <w:numFmt w:val="decimal"/>
      <w:start w:val="8"/>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2"/>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81" Type="http://schemas.openxmlformats.org/officeDocument/2006/relationships/image" Target="media/image363.png"/><Relationship Id="rId382" Type="http://schemas.openxmlformats.org/officeDocument/2006/relationships/image" Target="media/image364.jpeg"/><Relationship Id="rId383"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jpeg"/><Relationship Id="rId422" Type="http://schemas.openxmlformats.org/officeDocument/2006/relationships/image" Target="media/image370.png"/><Relationship Id="rId423" Type="http://schemas.openxmlformats.org/officeDocument/2006/relationships/image" Target="media/image371.png"/><Relationship Id="rId424" Type="http://schemas.openxmlformats.org/officeDocument/2006/relationships/image" Target="media/image372.png"/><Relationship Id="rId425" Type="http://schemas.openxmlformats.org/officeDocument/2006/relationships/image" Target="media/image373.jpeg"/><Relationship Id="rId428" Type="http://schemas.openxmlformats.org/officeDocument/2006/relationships/image" Target="media/image374.png"/><Relationship Id="rId429" Type="http://schemas.openxmlformats.org/officeDocument/2006/relationships/image" Target="media/image375.jpeg"/><Relationship Id="rId430" Type="http://schemas.openxmlformats.org/officeDocument/2006/relationships/image" Target="media/image376.png"/><Relationship Id="rId431" Type="http://schemas.openxmlformats.org/officeDocument/2006/relationships/image" Target="media/image377.png"/><Relationship Id="rId432" Type="http://schemas.openxmlformats.org/officeDocument/2006/relationships/image" Target="media/image378.jpeg"/><Relationship Id="rId433" Type="http://schemas.openxmlformats.org/officeDocument/2006/relationships/image" Target="media/image379.png"/><Relationship Id="rId434" Type="http://schemas.openxmlformats.org/officeDocument/2006/relationships/image" Target="media/image380.jpeg"/><Relationship Id="rId435" Type="http://schemas.openxmlformats.org/officeDocument/2006/relationships/image" Target="media/image381.jpeg"/><Relationship Id="rId436" Type="http://schemas.openxmlformats.org/officeDocument/2006/relationships/image" Target="media/image382.png"/><Relationship Id="rId437" Type="http://schemas.openxmlformats.org/officeDocument/2006/relationships/image" Target="media/image383.png"/><Relationship Id="rId438" Type="http://schemas.openxmlformats.org/officeDocument/2006/relationships/image" Target="media/image384.png"/><Relationship Id="rId439" Type="http://schemas.openxmlformats.org/officeDocument/2006/relationships/image" Target="media/image385.png"/><Relationship Id="rId440" Type="http://schemas.openxmlformats.org/officeDocument/2006/relationships/image" Target="media/image386.png"/><Relationship Id="rId441" Type="http://schemas.openxmlformats.org/officeDocument/2006/relationships/image" Target="media/image387.png"/><Relationship Id="rId442" Type="http://schemas.openxmlformats.org/officeDocument/2006/relationships/image" Target="media/image388.png"/><Relationship Id="rId370" Type="http://schemas.openxmlformats.org/officeDocument/2006/relationships/hyperlink" Target="http://www.sec.gov/Archives/edgar/data/1280058/000095014404003544/g87269a1exv2w1.txt" TargetMode="External"/><Relationship Id="rId371" Type="http://schemas.openxmlformats.org/officeDocument/2006/relationships/hyperlink" Target="http://www.sec.gov/Archives/edgar/data/1280058/000119312511134053/dex23.htm" TargetMode="External"/><Relationship Id="rId372" Type="http://schemas.openxmlformats.org/officeDocument/2006/relationships/hyperlink" Target="http://www.sec.gov/Archives/edgar/data/1280058/000119312512013966/d284115dex24.htm" TargetMode="External"/><Relationship Id="rId373" Type="http://schemas.openxmlformats.org/officeDocument/2006/relationships/hyperlink" Target="http://www.sec.gov/Archives/edgar/data/1280058/000119312512088252/d265338dex27.htm" TargetMode="External"/><Relationship Id="rId374" Type="http://schemas.openxmlformats.org/officeDocument/2006/relationships/hyperlink" Target="http://www.sec.gov/Archives/edgar/data/1280058/000128005814000034/exhibit1076october022014.htm" TargetMode="External"/><Relationship Id="rId375" Type="http://schemas.openxmlformats.org/officeDocument/2006/relationships/hyperlink" Target="http://www.sec.gov/Archives/edgar/data/1280058/000128005815000029/exhibit1078oct52015.htm" TargetMode="External"/><Relationship Id="rId376" Type="http://schemas.openxmlformats.org/officeDocument/2006/relationships/hyperlink" Target="http://www.sec.gov/Archives/edgar/data/1280058/000128005815000029/exhbit1079oct52015.htm" TargetMode="External"/><Relationship Id="rId377" Type="http://schemas.openxmlformats.org/officeDocument/2006/relationships/hyperlink" Target="http://www.sec.gov/Archives/edgar/data/1280058/000119312509094523/ddef14a.htm#toc26068_24" TargetMode="External"/><Relationship Id="rId378" Type="http://schemas.openxmlformats.org/officeDocument/2006/relationships/hyperlink" Target="http://www.sec.gov/Archives/edgar/data/1280058/000128005819000027/exhibit31jun2019.htm" TargetMode="External"/><Relationship Id="rId379" Type="http://schemas.openxmlformats.org/officeDocument/2006/relationships/hyperlink" Target="https://www.sec.gov/Archives/edgar/data/1280058/000128005820000011/a201910-kexx41.htm" TargetMode="External"/><Relationship Id="rId380" Type="http://schemas.openxmlformats.org/officeDocument/2006/relationships/hyperlink" Target="http://www.sec.gov/Archives/edgar/data/1280058/000119312508165033/dex1034.htm" TargetMode="External"/><Relationship Id="rId384" Type="http://schemas.openxmlformats.org/officeDocument/2006/relationships/hyperlink" Target="http://www.sec.gov/Archives/edgar/data/1280058/000119312508165033/dex1035.htm" TargetMode="External"/><Relationship Id="rId385" Type="http://schemas.openxmlformats.org/officeDocument/2006/relationships/hyperlink" Target="http://www.sec.gov/Archives/edgar/data/1280058/000119312508165033/dex1036.htm" TargetMode="External"/><Relationship Id="rId386" Type="http://schemas.openxmlformats.org/officeDocument/2006/relationships/hyperlink" Target="http://www.sec.gov/Archives/edgar/data/1280058/000119312508251891/dex1037.htm" TargetMode="External"/><Relationship Id="rId387" Type="http://schemas.openxmlformats.org/officeDocument/2006/relationships/hyperlink" Target="http://www.sec.gov/Archives/edgar/data/1407450/000104746910000273/a2196119zex-10_2.htm" TargetMode="External"/><Relationship Id="rId388" Type="http://schemas.openxmlformats.org/officeDocument/2006/relationships/hyperlink" Target="http://www.sec.gov/Archives/edgar/data/1407450/000104746910002479/a2197363zex-10_1.htm" TargetMode="External"/><Relationship Id="rId389" Type="http://schemas.openxmlformats.org/officeDocument/2006/relationships/hyperlink" Target="http://www.sec.gov/Archives/edgar/data/1407450/000110465911010903/a11-6845_1ex10d1.htm" TargetMode="External"/><Relationship Id="rId390" Type="http://schemas.openxmlformats.org/officeDocument/2006/relationships/hyperlink" Target="http://www.sec.gov/Archives/edgar/data/1407450/000110465911010903/a11-6845_1ex10d2.htm" TargetMode="External"/><Relationship Id="rId391" Type="http://schemas.openxmlformats.org/officeDocument/2006/relationships/hyperlink" Target="http://www.sec.gov/Archives/edgar/data/1280058/000119312512283835/d371699dex1059.htm" TargetMode="External"/><Relationship Id="rId392" Type="http://schemas.openxmlformats.org/officeDocument/2006/relationships/hyperlink" Target="http://www.sec.gov/Archives/edgar/data/1280058/000119312512283835/d371699dex1060.htm" TargetMode="External"/><Relationship Id="rId393" Type="http://schemas.openxmlformats.org/officeDocument/2006/relationships/hyperlink" Target="http://www.sec.gov/Archives/edgar/data/1280058/000128005813000005/ex-10652012q4.htm" TargetMode="External"/><Relationship Id="rId394" Type="http://schemas.openxmlformats.org/officeDocument/2006/relationships/hyperlink" Target="http://www.sec.gov/Archives/edgar/data/1280058/000128005813000009/ex1066mar2013.htm" TargetMode="External"/><Relationship Id="rId395" Type="http://schemas.openxmlformats.org/officeDocument/2006/relationships/hyperlink" Target="http://www.sec.gov/Archives/edgar/data/1280058/000128005816000049/def14aapr2016.htm#sa779e589137e4bbd8b77742b14a4c774" TargetMode="External"/><Relationship Id="rId396" Type="http://schemas.openxmlformats.org/officeDocument/2006/relationships/hyperlink" Target="http://www.sec.gov/Archives/edgar/data/1280058/000128005816000072/a2016q210-qexx1084.htm" TargetMode="External"/><Relationship Id="rId397" Type="http://schemas.openxmlformats.org/officeDocument/2006/relationships/hyperlink" Target="http://www.sec.gov/Archives/edgar/data/1280058/000128005816000081/a2016q310-qexx1087.htm" TargetMode="External"/><Relationship Id="rId398" Type="http://schemas.openxmlformats.org/officeDocument/2006/relationships/hyperlink" Target="https://www.sec.gov/Archives/edgar/data/1280058/000162612917000402/ex10-90.htm" TargetMode="External"/><Relationship Id="rId399" Type="http://schemas.openxmlformats.org/officeDocument/2006/relationships/hyperlink" Target="https://www.sec.gov/Archives/edgar/data/1280058/000162612917000402/ex10-91.htm" TargetMode="External"/><Relationship Id="rId404" Type="http://schemas.openxmlformats.org/officeDocument/2006/relationships/hyperlink" Target="http://www.sec.gov/Archives/edgar/data/1280058/000128005817000026/a2017q210-qexx1092.htm" TargetMode="External"/><Relationship Id="rId405" Type="http://schemas.openxmlformats.org/officeDocument/2006/relationships/hyperlink" Target="http://www.sec.gov/Archives/edgar/data/1280058/000128005818000007/a201710-kexx1093.htm" TargetMode="External"/><Relationship Id="rId406" Type="http://schemas.openxmlformats.org/officeDocument/2006/relationships/hyperlink" Target="http://www.sec.gov/Archives/edgar/data/1280058/000128005818000007/a201710-kexx1094.htm" TargetMode="External"/><Relationship Id="rId407" Type="http://schemas.openxmlformats.org/officeDocument/2006/relationships/hyperlink" Target="http://www.sec.gov/Archives/edgar/data/1280058/000128005818000021/a2018q110-qexx1095.htm" TargetMode="External"/><Relationship Id="rId408" Type="http://schemas.openxmlformats.org/officeDocument/2006/relationships/hyperlink" Target="https://www.sec.gov/Archives/edgar/data/1280058/000128005819000012/def14aapr2019.htm#s33f6e4139d8b45ef9eb1dee98c3ca08b" TargetMode="External"/><Relationship Id="rId409" Type="http://schemas.openxmlformats.org/officeDocument/2006/relationships/hyperlink" Target="http://www.sec.gov/Archives/edgar/data/1280058/000128005819000020/a2019q110-qexx1096.htm" TargetMode="External"/><Relationship Id="rId410" Type="http://schemas.openxmlformats.org/officeDocument/2006/relationships/hyperlink" Target="http://www.sec.gov/Archives/edgar/data/1280058/000128005819000020/a2019q110-qexx1097.htm" TargetMode="External"/><Relationship Id="rId411" Type="http://schemas.openxmlformats.org/officeDocument/2006/relationships/hyperlink" Target="http://www.sec.gov/Archives/edgar/data/1280058/000128005819000048/ex1099dec2019.htm" TargetMode="External"/><Relationship Id="rId412" Type="http://schemas.openxmlformats.org/officeDocument/2006/relationships/hyperlink" Target="https://www.sec.gov/Archives/edgar/data/1280058/000128005820000038/a2020q210-qexx101.htm" TargetMode="External"/><Relationship Id="rId413" Type="http://schemas.openxmlformats.org/officeDocument/2006/relationships/hyperlink" Target="https://www.sec.gov/Archives/edgar/data/1280058/000128005820000038/a2020q210-qexx102.htm" TargetMode="External"/><Relationship Id="rId414" Type="http://schemas.openxmlformats.org/officeDocument/2006/relationships/hyperlink" Target="https://www.sec.gov/Archives/edgar/data/1280058/000128005820000038/a2020q210-qexx103.htm" TargetMode="External"/><Relationship Id="rId415" Type="http://schemas.openxmlformats.org/officeDocument/2006/relationships/hyperlink" Target="https://www.sec.gov/Archives/edgar/data/1280058/000128005820000038/a2020q210-qexx104.htm" TargetMode="External"/><Relationship Id="rId416" Type="http://schemas.openxmlformats.org/officeDocument/2006/relationships/hyperlink" Target="https://www.sec.gov/Archives/edgar/data/1280058/000128005820000038/a2020q210-qexx105.htm" TargetMode="External"/><Relationship Id="rId417" Type="http://schemas.openxmlformats.org/officeDocument/2006/relationships/hyperlink" Target="https://www.sec.gov/Archives/edgar/data/1280058/000128005820000038/a2020q210-qexx106.htm" TargetMode="External"/><Relationship Id="rId418" Type="http://schemas.openxmlformats.org/officeDocument/2006/relationships/hyperlink" Target="https://www.sec.gov/Archives/edgar/data/1280058/000128005820000038/a2020q210-qexx107.htm" TargetMode="External"/><Relationship Id="rId419" Type="http://schemas.openxmlformats.org/officeDocument/2006/relationships/hyperlink" Target="https://www.sec.gov/Archives/edgar/data/1280058/000128005820000052/a2020q310-qexx101.htm" TargetMode="External"/><Relationship Id="rId420" Type="http://schemas.openxmlformats.org/officeDocument/2006/relationships/hyperlink" Target="https://www.sec.gov/Archives/edgar/data/1280058/000128005820000052/a2020q310-qexx102.htm" TargetMode="External"/><Relationship Id="rId421" Type="http://schemas.openxmlformats.org/officeDocument/2006/relationships/hyperlink" Target="https://www.sec.gov/Archives/edgar/data/1280058/000128005820000052/a2020q310-qexx103.htm" TargetMode="External"/><Relationship Id="rId426" Type="http://schemas.openxmlformats.org/officeDocument/2006/relationships/hyperlink" Target="https://www.sec.gov/Archives/edgar/data/1280058/000128005820000052/a2020q310-qexx104.htm" TargetMode="External"/><Relationship Id="rId427" Type="http://schemas.openxmlformats.org/officeDocument/2006/relationships/hyperlink" Target="https://www.sec.gov/Archives/edgar/data/1280058/000128005820000052/a2020q310-qex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2021-02-23T07:10:19Z</dcterms:created>
  <dcterms:modified xsi:type="dcterms:W3CDTF">2021-02-23T07:10:19Z</dcterms:modified>
</cp:coreProperties>
</file>