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sans-serif" w:hAnsi="sans-serif"/>
          <w:b/>
          <w:color w:val="51555C"/>
          <w:sz w:val="22"/>
        </w:rPr>
      </w:pPr>
      <w:r>
        <w:rPr>
          <w:rFonts w:ascii="sans-serif" w:hAnsi="sans-serif"/>
          <w:b/>
          <w:color w:val="51555C"/>
          <w:sz w:val="22"/>
        </w:rPr>
        <w:t>UNITED STATES</w:t>
      </w:r>
    </w:p>
    <w:p>
      <w:pPr>
        <w:pStyle w:val="TextBody"/>
        <w:bidi w:val="0"/>
        <w:spacing w:lineRule="auto" w:line="288" w:before="0" w:after="0"/>
        <w:jc w:val="center"/>
        <w:rPr>
          <w:rFonts w:ascii="sans-serif" w:hAnsi="sans-serif"/>
          <w:b/>
          <w:color w:val="51555C"/>
          <w:sz w:val="22"/>
        </w:rPr>
      </w:pPr>
      <w:r>
        <w:rPr>
          <w:rFonts w:ascii="sans-serif" w:hAnsi="sans-serif"/>
          <w:b/>
          <w:color w:val="51555C"/>
          <w:sz w:val="22"/>
        </w:rPr>
        <w:t>SECURITIES AND EXCHANGE COMMISSION</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Washington, D.C. 20549</w:t>
      </w:r>
    </w:p>
    <w:p>
      <w:pPr>
        <w:pStyle w:val="TextBody"/>
        <w:bidi w:val="0"/>
        <w:spacing w:lineRule="auto" w:line="288" w:before="120" w:after="120"/>
        <w:jc w:val="center"/>
        <w:rPr>
          <w:rFonts w:ascii="sans-serif" w:hAnsi="sans-serif"/>
          <w:b/>
          <w:color w:val="51555C"/>
          <w:sz w:val="28"/>
        </w:rPr>
      </w:pPr>
      <w:r>
        <w:rPr>
          <w:rFonts w:ascii="sans-serif" w:hAnsi="sans-serif"/>
          <w:b/>
          <w:color w:val="51555C"/>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For the quarterly period ended June 30, 2026</w:t>
            </w:r>
          </w:p>
        </w:tc>
      </w:tr>
    </w:tbl>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5"/>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8"/>
              </w:rPr>
              <w:t xml:space="preserve">For the transition period from </w:t>
            </w:r>
            <w:r>
              <w:rPr>
                <w:color w:val="51555C"/>
                <w:u w:val="single"/>
              </w:rPr>
              <w:t>                   </w:t>
            </w:r>
            <w:r>
              <w:rPr>
                <w:color w:val="51555C"/>
              </w:rPr>
              <w:t> </w:t>
            </w:r>
            <w:r>
              <w:rPr>
                <w:rFonts w:ascii="sans-serif" w:hAnsi="sans-serif"/>
                <w:b w:val="false"/>
                <w:color w:val="51555C"/>
                <w:sz w:val="18"/>
              </w:rPr>
              <w:t xml:space="preserve">to </w:t>
            </w:r>
            <w:r>
              <w:rPr>
                <w:color w:val="51555C"/>
                <w:u w:val="single"/>
              </w:rPr>
              <w:t>                    </w:t>
            </w:r>
            <w:r>
              <w:rPr>
                <w:rFonts w:ascii="sans-serif" w:hAnsi="sans-serif"/>
                <w:b w:val="false"/>
                <w:color w:val="51555C"/>
                <w:sz w:val="18"/>
              </w:rPr>
              <w:t>.</w:t>
            </w:r>
          </w:p>
        </w:tc>
      </w:tr>
    </w:tbl>
    <w:p>
      <w:pPr>
        <w:pStyle w:val="TextBody"/>
        <w:bidi w:val="0"/>
        <w:spacing w:lineRule="auto" w:line="288" w:before="60" w:after="283"/>
        <w:jc w:val="center"/>
        <w:rPr/>
      </w:pPr>
      <w:r>
        <w:rPr>
          <w:rFonts w:ascii="sans-serif" w:hAnsi="sans-serif"/>
          <w:b w:val="false"/>
          <w:color w:val="51555C"/>
          <w:sz w:val="18"/>
        </w:rPr>
        <w:t xml:space="preserve">Commission file number: </w:t>
      </w:r>
      <w:r>
        <w:rPr>
          <w:rFonts w:ascii="sans-serif" w:hAnsi="sans-serif"/>
          <w:b/>
          <w:color w:val="51555C"/>
          <w:sz w:val="18"/>
        </w:rPr>
        <w:t>000-50600</w:t>
      </w:r>
      <w:r>
        <w:rPr>
          <w:color w:val="51555C"/>
        </w:rPr>
        <w:t xml:space="preserve"> </w:t>
      </w:r>
    </w:p>
    <w:tbl>
      <w:tblPr>
        <w:tblW w:w="5090" w:type="dxa"/>
        <w:jc w:val="left"/>
        <w:tblInd w:w="0" w:type="dxa"/>
        <w:tblLayout w:type="fixed"/>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sans-serif" w:hAnsi="sans-serif"/>
          <w:b/>
          <w:color w:val="51555C"/>
          <w:sz w:val="40"/>
        </w:rPr>
        <w:t>Blackbaud, Inc.</w:t>
      </w:r>
      <w:r>
        <w:rPr>
          <w:color w:val="51555C"/>
        </w:rPr>
        <w:t xml:space="preserve">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(Exact name of registrant as specified in its charter)</w:t>
      </w:r>
    </w:p>
    <w:tbl>
      <w:tblPr>
        <w:tblW w:w="8789" w:type="dxa"/>
        <w:jc w:val="left"/>
        <w:tblInd w:w="0" w:type="dxa"/>
        <w:tblLayout w:type="fixed"/>
        <w:tblCellMar>
          <w:top w:w="28" w:type="dxa"/>
          <w:left w:w="28" w:type="dxa"/>
          <w:bottom w:w="28" w:type="dxa"/>
          <w:right w:w="28" w:type="dxa"/>
        </w:tblCellMar>
      </w:tblPr>
      <w:tblGrid>
        <w:gridCol w:w="1981"/>
        <w:gridCol w:w="1741"/>
        <w:gridCol w:w="1753"/>
        <w:gridCol w:w="969"/>
        <w:gridCol w:w="969"/>
        <w:gridCol w:w="1376"/>
      </w:tblGrid>
      <w:tr>
        <w:trPr/>
        <w:tc>
          <w:tcPr>
            <w:tcW w:w="198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Delaware</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11-2617163</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(State or other jurisdiction of incorporation or organization)</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(I.R.S. Employer Identification No.)</w:t>
            </w:r>
          </w:p>
        </w:tc>
      </w:tr>
    </w:tbl>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 xml:space="preserve">65 Fairchild Street </w:t>
      </w:r>
    </w:p>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 xml:space="preserve">Charleston, South Carolina 29492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(Address of principal executive offices, including zip code)</w:t>
      </w:r>
    </w:p>
    <w:p>
      <w:pPr>
        <w:pStyle w:val="TextBody"/>
        <w:bidi w:val="0"/>
        <w:spacing w:lineRule="auto" w:line="288" w:before="0" w:after="0"/>
        <w:jc w:val="center"/>
        <w:rPr/>
      </w:pPr>
      <w:r>
        <w:rPr>
          <w:rFonts w:ascii="sans-serif" w:hAnsi="sans-serif"/>
          <w:b/>
          <w:color w:val="51555C"/>
          <w:sz w:val="18"/>
        </w:rPr>
        <w:t>(843) 216-6200</w:t>
      </w:r>
      <w:r>
        <w:rPr>
          <w:color w:val="51555C"/>
        </w:rPr>
        <w:t xml:space="preserve">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(Registrant’s telephone number, including area code)</w:t>
      </w:r>
    </w:p>
    <w:tbl>
      <w:tblPr>
        <w:tblW w:w="9540" w:type="dxa"/>
        <w:jc w:val="left"/>
        <w:tblInd w:w="0" w:type="dxa"/>
        <w:tblLayout w:type="fixed"/>
        <w:tblCellMar>
          <w:top w:w="28" w:type="dxa"/>
          <w:left w:w="28" w:type="dxa"/>
          <w:bottom w:w="28" w:type="dxa"/>
          <w:right w:w="28" w:type="dxa"/>
        </w:tblCellMar>
      </w:tblPr>
      <w:tblGrid>
        <w:gridCol w:w="1273"/>
        <w:gridCol w:w="1111"/>
        <w:gridCol w:w="1111"/>
        <w:gridCol w:w="590"/>
        <w:gridCol w:w="590"/>
        <w:gridCol w:w="590"/>
        <w:gridCol w:w="1229"/>
        <w:gridCol w:w="1229"/>
        <w:gridCol w:w="1817"/>
      </w:tblGrid>
      <w:tr>
        <w:trPr/>
        <w:tc>
          <w:tcPr>
            <w:tcW w:w="127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Securities Registered Pursuant to Section 12(b) of the Act:</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Title of Each Class</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Common Stock, $0.001 Par Value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BLKB</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Nasdaq Global Select Market</w:t>
            </w:r>
          </w:p>
        </w:tc>
      </w:tr>
      <w:tr>
        <w:trPr/>
        <w:tc>
          <w:tcPr>
            <w:tcW w:w="3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jc w:val="both"/>
        <w:rPr/>
      </w:pPr>
      <w:r>
        <w:rPr>
          <w:rFonts w:ascii="sans-serif" w:hAnsi="sans-serif"/>
          <w:b w:val="false"/>
          <w:color w:val="51555C"/>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51555C"/>
        </w:rPr>
        <w:t xml:space="preserve">    </w:t>
      </w:r>
    </w:p>
    <w:p>
      <w:pPr>
        <w:pStyle w:val="TextBody"/>
        <w:bidi w:val="0"/>
        <w:spacing w:lineRule="auto" w:line="288" w:before="0" w:after="0"/>
        <w:jc w:val="left"/>
        <w:rPr/>
      </w:pPr>
      <w:r>
        <w:rPr>
          <w:rFonts w:ascii="sans-serif" w:hAnsi="sans-serif"/>
          <w:b w:val="false"/>
          <w:color w:val="51555C"/>
          <w:sz w:val="18"/>
        </w:rPr>
        <w:t>Yes</w:t>
      </w:r>
      <w:r>
        <w:rPr>
          <w:color w:val="51555C"/>
        </w:rPr>
        <w:t>  ☑   </w:t>
      </w:r>
      <w:r>
        <w:rPr>
          <w:rFonts w:ascii="sans-serif" w:hAnsi="sans-serif"/>
          <w:b w:val="false"/>
          <w:color w:val="51555C"/>
          <w:sz w:val="18"/>
        </w:rPr>
        <w:t>No</w:t>
      </w:r>
      <w:r>
        <w:rPr>
          <w:color w:val="51555C"/>
        </w:rPr>
        <w:t>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288" w:before="0" w:after="0"/>
        <w:jc w:val="left"/>
        <w:rPr/>
      </w:pPr>
      <w:r>
        <w:rPr>
          <w:rFonts w:ascii="sans-serif" w:hAnsi="sans-serif"/>
          <w:b w:val="false"/>
          <w:color w:val="51555C"/>
          <w:sz w:val="18"/>
        </w:rPr>
        <w:t>Yes</w:t>
      </w:r>
      <w:r>
        <w:rPr>
          <w:color w:val="51555C"/>
        </w:rPr>
        <w:t>  ☑   </w:t>
      </w:r>
      <w:r>
        <w:rPr>
          <w:rFonts w:ascii="sans-serif" w:hAnsi="sans-serif"/>
          <w:b w:val="false"/>
          <w:color w:val="51555C"/>
          <w:sz w:val="18"/>
        </w:rPr>
        <w:t>No</w:t>
      </w:r>
      <w:r>
        <w:rPr>
          <w:color w:val="51555C"/>
        </w:rPr>
        <w:t>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65"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109"/>
        <w:gridCol w:w="109"/>
        <w:gridCol w:w="109"/>
        <w:gridCol w:w="863"/>
        <w:gridCol w:w="863"/>
        <w:gridCol w:w="868"/>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bl>
    <w:p>
      <w:pPr>
        <w:pStyle w:val="TextBody"/>
        <w:bidi w:val="0"/>
        <w:spacing w:lineRule="auto" w:line="288" w:before="0" w:after="0"/>
        <w:jc w:val="both"/>
        <w:rPr/>
      </w:pPr>
      <w:r>
        <w:rPr>
          <w:rFonts w:ascii="sans-serif" w:hAnsi="sans-serif"/>
          <w:b w:val="false"/>
          <w:color w:val="51555C"/>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51555C"/>
        </w:rPr>
        <w:t xml:space="preserve"> ☐</w:t>
      </w:r>
    </w:p>
    <w:p>
      <w:pPr>
        <w:pStyle w:val="TextBody"/>
        <w:bidi w:val="0"/>
        <w:spacing w:lineRule="auto" w:line="288" w:before="120" w:after="283"/>
        <w:jc w:val="both"/>
        <w:rPr/>
      </w:pPr>
      <w:r>
        <w:rPr>
          <w:rFonts w:ascii="sans-serif" w:hAnsi="sans-serif"/>
          <w:b w:val="false"/>
          <w:color w:val="51555C"/>
          <w:sz w:val="18"/>
        </w:rPr>
        <w:t>Indicate by check mark whether registrant is a shell company (as defined in Rule 12b-2 of the Exchange Act).</w:t>
      </w:r>
      <w:r>
        <w:rPr>
          <w:color w:val="51555C"/>
        </w:rPr>
        <w:t>    </w:t>
      </w:r>
    </w:p>
    <w:p>
      <w:pPr>
        <w:pStyle w:val="TextBody"/>
        <w:bidi w:val="0"/>
        <w:spacing w:lineRule="auto" w:line="288" w:before="0" w:after="0"/>
        <w:jc w:val="left"/>
        <w:rPr/>
      </w:pPr>
      <w:r>
        <w:rPr>
          <w:rFonts w:ascii="sans-serif" w:hAnsi="sans-serif"/>
          <w:b w:val="false"/>
          <w:color w:val="51555C"/>
          <w:sz w:val="18"/>
        </w:rPr>
        <w:t>Yes</w:t>
      </w:r>
      <w:r>
        <w:rPr>
          <w:color w:val="51555C"/>
        </w:rPr>
        <w:t xml:space="preserve"> ☐  </w:t>
      </w:r>
      <w:r>
        <w:rPr>
          <w:rFonts w:ascii="sans-serif" w:hAnsi="sans-serif"/>
          <w:b w:val="false"/>
          <w:color w:val="51555C"/>
          <w:sz w:val="18"/>
        </w:rPr>
        <w:t>No</w:t>
      </w:r>
      <w:r>
        <w:rPr>
          <w:color w:val="51555C"/>
        </w:rPr>
        <w:t>  ☑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The number of shares of the registrant’s Common Stock outstanding as of July 27, 2026 was 45,390,097.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sans-serif" w:hAnsi="sans-serif"/>
          <w:b/>
          <w:color w:val="50535A"/>
          <w:sz w:val="44"/>
        </w:rPr>
      </w:pPr>
      <w:r>
        <w:rPr>
          <w:rFonts w:ascii="sans-serif" w:hAnsi="sans-serif"/>
          <w:b/>
          <w:color w:val="50535A"/>
          <w:sz w:val="44"/>
        </w:rPr>
        <w:t>TABLE OF CONTENTS</w:t>
      </w:r>
    </w:p>
    <w:tbl>
      <w:tblPr>
        <w:tblW w:w="10205" w:type="dxa"/>
        <w:jc w:val="left"/>
        <w:tblInd w:w="0" w:type="dxa"/>
        <w:tblLayout w:type="fixed"/>
        <w:tblCellMar>
          <w:top w:w="28" w:type="dxa"/>
          <w:left w:w="28" w:type="dxa"/>
          <w:bottom w:w="28" w:type="dxa"/>
          <w:right w:w="28" w:type="dxa"/>
        </w:tblCellMar>
      </w:tblPr>
      <w:tblGrid>
        <w:gridCol w:w="1299"/>
        <w:gridCol w:w="1142"/>
        <w:gridCol w:w="1142"/>
        <w:gridCol w:w="2199"/>
        <w:gridCol w:w="1977"/>
        <w:gridCol w:w="1991"/>
        <w:gridCol w:w="131"/>
        <w:gridCol w:w="131"/>
        <w:gridCol w:w="193"/>
      </w:tblGrid>
      <w:tr>
        <w:trPr/>
        <w:tc>
          <w:tcPr>
            <w:tcW w:w="129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975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2">
              <w:r>
                <w:rPr>
                  <w:rStyle w:val="InternetLink"/>
                  <w:rFonts w:ascii="sans-serif" w:hAnsi="sans-serif"/>
                  <w:b/>
                  <w:strike w:val="false"/>
                  <w:dstrike w:val="false"/>
                  <w:color w:val="004054"/>
                  <w:sz w:val="22"/>
                  <w:u w:val="none"/>
                  <w:effect w:val="none"/>
                </w:rPr>
                <w:t>CAUTIONARY STATEMENT REGARDING FORWARD-LOOKING STATEMENTS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2">
              <w:r>
                <w:rPr>
                  <w:rStyle w:val="InternetLink"/>
                  <w:rFonts w:ascii="sans-serif" w:hAnsi="sans-serif"/>
                  <w:b/>
                  <w:strike w:val="false"/>
                  <w:dstrike w:val="false"/>
                  <w:color w:val="004054"/>
                  <w:sz w:val="22"/>
                  <w:u w:val="none"/>
                  <w:effect w:val="none"/>
                </w:rPr>
                <w:t>2</w:t>
              </w:r>
            </w:hyperlink>
          </w:p>
        </w:tc>
      </w:tr>
      <w:tr>
        <w:trPr/>
        <w:tc>
          <w:tcPr>
            <w:tcW w:w="3583"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6167"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5">
              <w:r>
                <w:rPr>
                  <w:rStyle w:val="InternetLink"/>
                  <w:rFonts w:ascii="sans-serif" w:hAnsi="sans-serif"/>
                  <w:b/>
                  <w:strike w:val="false"/>
                  <w:dstrike w:val="false"/>
                  <w:color w:val="004054"/>
                  <w:sz w:val="22"/>
                  <w:u w:val="none"/>
                  <w:effect w:val="none"/>
                </w:rPr>
                <w:t>PART I.</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5">
              <w:r>
                <w:rPr>
                  <w:rStyle w:val="InternetLink"/>
                  <w:rFonts w:ascii="sans-serif" w:hAnsi="sans-serif"/>
                  <w:b/>
                  <w:strike w:val="false"/>
                  <w:dstrike w:val="false"/>
                  <w:color w:val="004054"/>
                  <w:sz w:val="22"/>
                  <w:u w:val="none"/>
                  <w:effect w:val="none"/>
                </w:rPr>
                <w:t>FINANCIAL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5">
              <w:r>
                <w:rPr>
                  <w:rStyle w:val="InternetLink"/>
                  <w:rFonts w:ascii="sans-serif" w:hAnsi="sans-serif"/>
                  <w:b/>
                  <w:strike w:val="false"/>
                  <w:dstrike w:val="false"/>
                  <w:color w:val="004054"/>
                  <w:sz w:val="22"/>
                  <w:u w:val="none"/>
                  <w:effect w:val="none"/>
                </w:rPr>
                <w:t>3</w:t>
              </w:r>
            </w:hyperlink>
          </w:p>
        </w:tc>
      </w:tr>
      <w:tr>
        <w:trPr/>
        <w:tc>
          <w:tcPr>
            <w:tcW w:w="358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8">
              <w:r>
                <w:rPr>
                  <w:rStyle w:val="InternetLink"/>
                  <w:rFonts w:ascii="sans-serif" w:hAnsi="sans-serif"/>
                  <w:b w:val="false"/>
                  <w:strike w:val="false"/>
                  <w:dstrike w:val="false"/>
                  <w:color w:val="51555C"/>
                  <w:sz w:val="20"/>
                  <w:u w:val="none"/>
                  <w:effect w:val="none"/>
                </w:rPr>
                <w:t>Item 1.</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8">
              <w:r>
                <w:rPr>
                  <w:rStyle w:val="InternetLink"/>
                  <w:rFonts w:ascii="sans-serif" w:hAnsi="sans-serif"/>
                  <w:b w:val="false"/>
                  <w:strike w:val="false"/>
                  <w:dstrike w:val="false"/>
                  <w:color w:val="51555C"/>
                  <w:sz w:val="20"/>
                  <w:u w:val="none"/>
                  <w:effect w:val="none"/>
                </w:rPr>
                <w:t>Financial statements</w:t>
              </w:r>
            </w:hyperlink>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31">
              <w:r>
                <w:rPr>
                  <w:rStyle w:val="InternetLink"/>
                  <w:rFonts w:ascii="sans-serif" w:hAnsi="sans-serif"/>
                  <w:b w:val="false"/>
                  <w:strike w:val="false"/>
                  <w:dstrike w:val="false"/>
                  <w:color w:val="51555C"/>
                  <w:sz w:val="20"/>
                  <w:u w:val="none"/>
                  <w:effect w:val="none"/>
                </w:rPr>
                <w:t>Condensed Consolidated Balance Sheets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31">
              <w:r>
                <w:rPr>
                  <w:rStyle w:val="InternetLink"/>
                  <w:rFonts w:ascii="sans-serif" w:hAnsi="sans-serif"/>
                  <w:b w:val="false"/>
                  <w:strike w:val="false"/>
                  <w:dstrike w:val="false"/>
                  <w:color w:val="000000"/>
                  <w:sz w:val="20"/>
                  <w:u w:val="none"/>
                  <w:effect w:val="none"/>
                </w:rPr>
                <w:t>3</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34">
              <w:r>
                <w:rPr>
                  <w:rStyle w:val="InternetLink"/>
                  <w:rFonts w:ascii="sans-serif" w:hAnsi="sans-serif"/>
                  <w:b w:val="false"/>
                  <w:strike w:val="false"/>
                  <w:dstrike w:val="false"/>
                  <w:color w:val="51555C"/>
                  <w:sz w:val="20"/>
                  <w:u w:val="none"/>
                  <w:effect w:val="none"/>
                </w:rPr>
                <w:t xml:space="preserve">Condensed Consolidated Statements of Comprehensive </w:t>
              </w:r>
            </w:hyperlink>
            <w:r>
              <w:rPr>
                <w:rFonts w:ascii="sans-serif" w:hAnsi="sans-serif"/>
                <w:b w:val="false"/>
                <w:color w:val="51555C"/>
                <w:sz w:val="20"/>
              </w:rPr>
              <w:t>Income</w:t>
            </w:r>
            <w:hyperlink w:anchor="ib92e0804446742b2a6dc16cf217592fa_34">
              <w:r>
                <w:rPr>
                  <w:rStyle w:val="InternetLink"/>
                  <w:rFonts w:ascii="sans-serif" w:hAnsi="sans-serif"/>
                  <w:b w:val="false"/>
                  <w:strike w:val="false"/>
                  <w:dstrike w:val="false"/>
                  <w:color w:val="51555C"/>
                  <w:sz w:val="20"/>
                  <w:u w:val="none"/>
                  <w:effect w:val="none"/>
                </w:rPr>
                <w:t xml:space="preserve">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34">
              <w:r>
                <w:rPr>
                  <w:rStyle w:val="InternetLink"/>
                  <w:rFonts w:ascii="sans-serif" w:hAnsi="sans-serif"/>
                  <w:b w:val="false"/>
                  <w:strike w:val="false"/>
                  <w:dstrike w:val="false"/>
                  <w:color w:val="000000"/>
                  <w:sz w:val="20"/>
                  <w:u w:val="none"/>
                  <w:effect w:val="none"/>
                </w:rPr>
                <w:t>4</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37">
              <w:r>
                <w:rPr>
                  <w:rStyle w:val="InternetLink"/>
                  <w:rFonts w:ascii="sans-serif" w:hAnsi="sans-serif"/>
                  <w:b w:val="false"/>
                  <w:strike w:val="false"/>
                  <w:dstrike w:val="false"/>
                  <w:color w:val="51555C"/>
                  <w:sz w:val="20"/>
                  <w:u w:val="none"/>
                  <w:effect w:val="none"/>
                </w:rPr>
                <w:t>Condensed Consolidated Statements of Cash Flows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37">
              <w:r>
                <w:rPr>
                  <w:rStyle w:val="InternetLink"/>
                  <w:rFonts w:ascii="sans-serif" w:hAnsi="sans-serif"/>
                  <w:b w:val="false"/>
                  <w:strike w:val="false"/>
                  <w:dstrike w:val="false"/>
                  <w:color w:val="000000"/>
                  <w:sz w:val="20"/>
                  <w:u w:val="none"/>
                  <w:effect w:val="none"/>
                </w:rPr>
                <w:t>5</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40">
              <w:r>
                <w:rPr>
                  <w:rStyle w:val="InternetLink"/>
                  <w:rFonts w:ascii="sans-serif" w:hAnsi="sans-serif"/>
                  <w:b w:val="false"/>
                  <w:strike w:val="false"/>
                  <w:dstrike w:val="false"/>
                  <w:color w:val="51555C"/>
                  <w:sz w:val="20"/>
                  <w:u w:val="none"/>
                  <w:effect w:val="none"/>
                </w:rPr>
                <w:t>Condensed Consolidated Statements of Stockholders’ Equity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40">
              <w:r>
                <w:rPr>
                  <w:rStyle w:val="InternetLink"/>
                  <w:rFonts w:ascii="sans-serif" w:hAnsi="sans-serif"/>
                  <w:b w:val="false"/>
                  <w:strike w:val="false"/>
                  <w:dstrike w:val="false"/>
                  <w:color w:val="000000"/>
                  <w:sz w:val="20"/>
                  <w:u w:val="none"/>
                  <w:effect w:val="none"/>
                </w:rPr>
                <w:t>6</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43">
              <w:r>
                <w:rPr>
                  <w:rStyle w:val="InternetLink"/>
                  <w:rFonts w:ascii="sans-serif" w:hAnsi="sans-serif"/>
                  <w:b w:val="false"/>
                  <w:strike w:val="false"/>
                  <w:dstrike w:val="false"/>
                  <w:color w:val="51555C"/>
                  <w:sz w:val="20"/>
                  <w:u w:val="none"/>
                  <w:effect w:val="none"/>
                </w:rPr>
                <w:t>Notes to Condensed Consolidated Financial Statements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43">
              <w:r>
                <w:rPr>
                  <w:rStyle w:val="InternetLink"/>
                  <w:rFonts w:ascii="sans-serif" w:hAnsi="sans-serif"/>
                  <w:b w:val="false"/>
                  <w:strike w:val="false"/>
                  <w:dstrike w:val="false"/>
                  <w:color w:val="000000"/>
                  <w:sz w:val="20"/>
                  <w:u w:val="none"/>
                  <w:effect w:val="none"/>
                </w:rPr>
                <w:t>8</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109">
              <w:r>
                <w:rPr>
                  <w:rStyle w:val="InternetLink"/>
                  <w:rFonts w:ascii="sans-serif" w:hAnsi="sans-serif"/>
                  <w:b w:val="false"/>
                  <w:strike w:val="false"/>
                  <w:dstrike w:val="false"/>
                  <w:color w:val="51555C"/>
                  <w:sz w:val="20"/>
                  <w:u w:val="none"/>
                  <w:effect w:val="none"/>
                </w:rPr>
                <w:t>Item 2.</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109">
              <w:r>
                <w:rPr>
                  <w:rStyle w:val="InternetLink"/>
                  <w:rFonts w:ascii="sans-serif" w:hAnsi="sans-serif"/>
                  <w:b w:val="false"/>
                  <w:strike w:val="false"/>
                  <w:dstrike w:val="false"/>
                  <w:color w:val="51555C"/>
                  <w:sz w:val="20"/>
                  <w:u w:val="none"/>
                  <w:effect w:val="none"/>
                </w:rPr>
                <w:t>Management's discussion and analysis of financial condition and results of operations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109">
              <w:r>
                <w:rPr>
                  <w:rStyle w:val="InternetLink"/>
                  <w:rFonts w:ascii="sans-serif" w:hAnsi="sans-serif"/>
                  <w:b w:val="false"/>
                  <w:strike w:val="false"/>
                  <w:dstrike w:val="false"/>
                  <w:color w:val="000000"/>
                  <w:sz w:val="20"/>
                  <w:u w:val="none"/>
                  <w:effect w:val="none"/>
                </w:rPr>
                <w:t>21</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05">
              <w:r>
                <w:rPr>
                  <w:rStyle w:val="InternetLink"/>
                  <w:rFonts w:ascii="sans-serif" w:hAnsi="sans-serif"/>
                  <w:b w:val="false"/>
                  <w:strike w:val="false"/>
                  <w:dstrike w:val="false"/>
                  <w:color w:val="51555C"/>
                  <w:sz w:val="20"/>
                  <w:u w:val="none"/>
                  <w:effect w:val="none"/>
                </w:rPr>
                <w:t>Item 3.</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05">
              <w:r>
                <w:rPr>
                  <w:rStyle w:val="InternetLink"/>
                  <w:rFonts w:ascii="sans-serif" w:hAnsi="sans-serif"/>
                  <w:b w:val="false"/>
                  <w:strike w:val="false"/>
                  <w:dstrike w:val="false"/>
                  <w:color w:val="51555C"/>
                  <w:sz w:val="20"/>
                  <w:u w:val="none"/>
                  <w:effect w:val="none"/>
                </w:rPr>
                <w:t>Quantitative and qualitative disclosures about market risk</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205">
              <w:r>
                <w:rPr>
                  <w:rStyle w:val="InternetLink"/>
                  <w:rFonts w:ascii="sans-serif" w:hAnsi="sans-serif"/>
                  <w:b w:val="false"/>
                  <w:strike w:val="false"/>
                  <w:dstrike w:val="false"/>
                  <w:color w:val="000000"/>
                  <w:sz w:val="20"/>
                  <w:u w:val="none"/>
                  <w:effect w:val="none"/>
                </w:rPr>
                <w:t>40</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08">
              <w:r>
                <w:rPr>
                  <w:rStyle w:val="InternetLink"/>
                  <w:rFonts w:ascii="sans-serif" w:hAnsi="sans-serif"/>
                  <w:b w:val="false"/>
                  <w:strike w:val="false"/>
                  <w:dstrike w:val="false"/>
                  <w:color w:val="51555C"/>
                  <w:sz w:val="20"/>
                  <w:u w:val="none"/>
                  <w:effect w:val="none"/>
                </w:rPr>
                <w:t>Item 4.</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08">
              <w:r>
                <w:rPr>
                  <w:rStyle w:val="InternetLink"/>
                  <w:rFonts w:ascii="sans-serif" w:hAnsi="sans-serif"/>
                  <w:b w:val="false"/>
                  <w:strike w:val="false"/>
                  <w:dstrike w:val="false"/>
                  <w:color w:val="51555C"/>
                  <w:sz w:val="20"/>
                  <w:u w:val="none"/>
                  <w:effect w:val="none"/>
                </w:rPr>
                <w:t>Controls and procedures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208">
              <w:r>
                <w:rPr>
                  <w:rStyle w:val="InternetLink"/>
                  <w:rFonts w:ascii="sans-serif" w:hAnsi="sans-serif"/>
                  <w:b w:val="false"/>
                  <w:strike w:val="false"/>
                  <w:dstrike w:val="false"/>
                  <w:color w:val="000000"/>
                  <w:sz w:val="20"/>
                  <w:u w:val="none"/>
                  <w:effect w:val="none"/>
                </w:rPr>
                <w:t>40</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11">
              <w:r>
                <w:rPr>
                  <w:rStyle w:val="InternetLink"/>
                  <w:rFonts w:ascii="sans-serif" w:hAnsi="sans-serif"/>
                  <w:b/>
                  <w:strike w:val="false"/>
                  <w:dstrike w:val="false"/>
                  <w:color w:val="004054"/>
                  <w:sz w:val="22"/>
                  <w:u w:val="none"/>
                  <w:effect w:val="none"/>
                </w:rPr>
                <w:t>PART II.</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11">
              <w:r>
                <w:rPr>
                  <w:rStyle w:val="InternetLink"/>
                  <w:rFonts w:ascii="sans-serif" w:hAnsi="sans-serif"/>
                  <w:b/>
                  <w:strike w:val="false"/>
                  <w:dstrike w:val="false"/>
                  <w:color w:val="004054"/>
                  <w:sz w:val="22"/>
                  <w:u w:val="none"/>
                  <w:effect w:val="none"/>
                </w:rPr>
                <w:t>OTHER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11">
              <w:r>
                <w:rPr>
                  <w:rStyle w:val="InternetLink"/>
                  <w:rFonts w:ascii="sans-serif" w:hAnsi="sans-serif"/>
                  <w:b/>
                  <w:strike w:val="false"/>
                  <w:dstrike w:val="false"/>
                  <w:color w:val="004054"/>
                  <w:sz w:val="22"/>
                  <w:u w:val="none"/>
                  <w:effect w:val="none"/>
                </w:rPr>
                <w:t>41</w:t>
              </w:r>
            </w:hyperlink>
          </w:p>
        </w:tc>
      </w:tr>
      <w:tr>
        <w:trPr/>
        <w:tc>
          <w:tcPr>
            <w:tcW w:w="358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14">
              <w:r>
                <w:rPr>
                  <w:rStyle w:val="InternetLink"/>
                  <w:rFonts w:ascii="sans-serif" w:hAnsi="sans-serif"/>
                  <w:b w:val="false"/>
                  <w:strike w:val="false"/>
                  <w:dstrike w:val="false"/>
                  <w:color w:val="51555C"/>
                  <w:sz w:val="20"/>
                  <w:u w:val="none"/>
                  <w:effect w:val="none"/>
                </w:rPr>
                <w:t>Item 1.</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14">
              <w:r>
                <w:rPr>
                  <w:rStyle w:val="InternetLink"/>
                  <w:rFonts w:ascii="sans-serif" w:hAnsi="sans-serif"/>
                  <w:b w:val="false"/>
                  <w:strike w:val="false"/>
                  <w:dstrike w:val="false"/>
                  <w:color w:val="51555C"/>
                  <w:sz w:val="20"/>
                  <w:u w:val="none"/>
                  <w:effect w:val="none"/>
                </w:rPr>
                <w:t>Legal proceedings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214">
              <w:r>
                <w:rPr>
                  <w:rStyle w:val="InternetLink"/>
                  <w:rFonts w:ascii="sans-serif" w:hAnsi="sans-serif"/>
                  <w:b w:val="false"/>
                  <w:strike w:val="false"/>
                  <w:dstrike w:val="false"/>
                  <w:color w:val="000000"/>
                  <w:sz w:val="20"/>
                  <w:u w:val="none"/>
                  <w:effect w:val="none"/>
                </w:rPr>
                <w:t>41</w:t>
              </w:r>
            </w:hyperlink>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6167"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20">
              <w:r>
                <w:rPr>
                  <w:rStyle w:val="InternetLink"/>
                  <w:rFonts w:ascii="sans-serif" w:hAnsi="sans-serif"/>
                  <w:b w:val="false"/>
                  <w:strike w:val="false"/>
                  <w:dstrike w:val="false"/>
                  <w:color w:val="51555C"/>
                  <w:sz w:val="20"/>
                  <w:u w:val="none"/>
                  <w:effect w:val="none"/>
                </w:rPr>
                <w:t>Item 2.</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20">
              <w:r>
                <w:rPr>
                  <w:rStyle w:val="InternetLink"/>
                  <w:rFonts w:ascii="sans-serif" w:hAnsi="sans-serif"/>
                  <w:b w:val="false"/>
                  <w:strike w:val="false"/>
                  <w:dstrike w:val="false"/>
                  <w:color w:val="51555C"/>
                  <w:sz w:val="20"/>
                  <w:u w:val="none"/>
                  <w:effect w:val="none"/>
                </w:rPr>
                <w:t>Unregistered sales of equity securities and use of proceeds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220">
              <w:r>
                <w:rPr>
                  <w:rStyle w:val="InternetLink"/>
                  <w:rFonts w:ascii="sans-serif" w:hAnsi="sans-serif"/>
                  <w:b w:val="false"/>
                  <w:strike w:val="false"/>
                  <w:dstrike w:val="false"/>
                  <w:color w:val="000000"/>
                  <w:sz w:val="20"/>
                  <w:u w:val="none"/>
                  <w:effect w:val="none"/>
                </w:rPr>
                <w:t>41</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23">
              <w:r>
                <w:rPr>
                  <w:rStyle w:val="InternetLink"/>
                  <w:rFonts w:ascii="sans-serif" w:hAnsi="sans-serif"/>
                  <w:b w:val="false"/>
                  <w:strike w:val="false"/>
                  <w:dstrike w:val="false"/>
                  <w:color w:val="51555C"/>
                  <w:sz w:val="20"/>
                  <w:u w:val="none"/>
                  <w:effect w:val="none"/>
                </w:rPr>
                <w:t>Item 5.</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23">
              <w:r>
                <w:rPr>
                  <w:rStyle w:val="InternetLink"/>
                  <w:rFonts w:ascii="sans-serif" w:hAnsi="sans-serif"/>
                  <w:b w:val="false"/>
                  <w:strike w:val="false"/>
                  <w:dstrike w:val="false"/>
                  <w:color w:val="51555C"/>
                  <w:sz w:val="20"/>
                  <w:u w:val="none"/>
                  <w:effect w:val="none"/>
                </w:rPr>
                <w:t>Other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223">
              <w:r>
                <w:rPr>
                  <w:rStyle w:val="InternetLink"/>
                  <w:rFonts w:ascii="sans-serif" w:hAnsi="sans-serif"/>
                  <w:b w:val="false"/>
                  <w:strike w:val="false"/>
                  <w:dstrike w:val="false"/>
                  <w:color w:val="000000"/>
                  <w:sz w:val="20"/>
                  <w:u w:val="none"/>
                  <w:effect w:val="none"/>
                </w:rPr>
                <w:t>42</w:t>
              </w:r>
            </w:hyperlink>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6167"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32">
              <w:r>
                <w:rPr>
                  <w:rStyle w:val="InternetLink"/>
                  <w:rFonts w:ascii="sans-serif" w:hAnsi="sans-serif"/>
                  <w:b w:val="false"/>
                  <w:strike w:val="false"/>
                  <w:dstrike w:val="false"/>
                  <w:color w:val="51555C"/>
                  <w:sz w:val="20"/>
                  <w:u w:val="none"/>
                  <w:effect w:val="none"/>
                </w:rPr>
                <w:t>Item 6.</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2e0804446742b2a6dc16cf217592fa_232">
              <w:r>
                <w:rPr>
                  <w:rStyle w:val="InternetLink"/>
                  <w:rFonts w:ascii="sans-serif" w:hAnsi="sans-serif"/>
                  <w:b w:val="false"/>
                  <w:strike w:val="false"/>
                  <w:dstrike w:val="false"/>
                  <w:color w:val="51555C"/>
                  <w:sz w:val="20"/>
                  <w:u w:val="none"/>
                  <w:effect w:val="none"/>
                </w:rPr>
                <w:t>Exhibits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b92e0804446742b2a6dc16cf217592fa_232">
              <w:r>
                <w:rPr>
                  <w:rStyle w:val="InternetLink"/>
                  <w:rFonts w:ascii="sans-serif" w:hAnsi="sans-serif"/>
                  <w:b w:val="false"/>
                  <w:strike w:val="false"/>
                  <w:dstrike w:val="false"/>
                  <w:color w:val="000000"/>
                  <w:sz w:val="20"/>
                  <w:u w:val="none"/>
                  <w:effect w:val="none"/>
                </w:rPr>
                <w:t>43</w:t>
              </w:r>
            </w:hyperlink>
          </w:p>
        </w:tc>
      </w:tr>
      <w:tr>
        <w:trPr/>
        <w:tc>
          <w:tcPr>
            <w:tcW w:w="9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0" w:type="dxa"/>
            <w:gridSpan w:val="6"/>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b92e0804446742b2a6dc16cf217592fa_235">
              <w:r>
                <w:rPr>
                  <w:rStyle w:val="InternetLink"/>
                  <w:rFonts w:ascii="sans-serif" w:hAnsi="sans-serif"/>
                  <w:b/>
                  <w:strike w:val="false"/>
                  <w:dstrike w:val="false"/>
                  <w:color w:val="004054"/>
                  <w:sz w:val="22"/>
                  <w:u w:val="none"/>
                  <w:effect w:val="none"/>
                </w:rPr>
                <w:t>SIGNATURES</w:t>
              </w:r>
            </w:hyperlink>
          </w:p>
        </w:tc>
        <w:tc>
          <w:tcPr>
            <w:tcW w:w="4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b92e0804446742b2a6dc16cf217592fa_235">
              <w:r>
                <w:rPr>
                  <w:rStyle w:val="InternetLink"/>
                  <w:rFonts w:ascii="sans-serif" w:hAnsi="sans-serif"/>
                  <w:b/>
                  <w:strike w:val="false"/>
                  <w:dstrike w:val="false"/>
                  <w:color w:val="004054"/>
                  <w:sz w:val="22"/>
                  <w:u w:val="none"/>
                  <w:effect w:val="none"/>
                </w:rPr>
                <w:t>44</w:t>
              </w:r>
            </w:hyperlink>
          </w:p>
        </w:tc>
      </w:tr>
    </w:tbl>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91540"/>
                <wp:effectExtent l="0" t="0" r="0" b="0"/>
                <wp:wrapNone/>
                <wp:docPr id="3" name="Frame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2475" cy="190500"/>
                                                </a:xfrm>
                                                <a:prstGeom prst="rect">
                                                  <a:avLst/>
                                                </a:prstGeom>
                                              </pic:spPr>
                                            </pic:pic>
                                          </a:graphicData>
                                        </a:graphic>
                                      </wp:inline>
                                    </w:drawing>
                                  </w:r>
                                  <w:bookmarkStart w:id="1" w:name="i-2"/>
                                  <w:bookmarkEnd w:id="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752475" cy="190500"/>
                                          </a:xfrm>
                                          <a:prstGeom prst="rect">
                                            <a:avLst/>
                                          </a:prstGeom>
                                        </pic:spPr>
                                      </pic:pic>
                                    </a:graphicData>
                                  </a:graphic>
                                </wp:inline>
                              </w:drawing>
                            </w:r>
                            <w:bookmarkStart w:id="2" w:name="i-2"/>
                            <w:bookmarkEnd w:id="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3"/>
        <w:gridCol w:w="173"/>
        <w:gridCol w:w="175"/>
        <w:gridCol w:w="2735"/>
        <w:gridCol w:w="2735"/>
        <w:gridCol w:w="3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bookmarkStart w:id="3" w:name="i-3"/>
            <w:bookmarkEnd w:id="3"/>
          </w:p>
        </w:tc>
        <w:tc>
          <w:tcPr>
            <w:tcW w:w="9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CAUTIONARY STATEMENT REGARDING FORWARD-LOOKING STATEMENTS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domestic and international businesses, our operating results, our ability to successfully integrate developed and acquired businesses and technologies, including artificial intelligence ("AI"), the effect of our stock repurchase program,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Important factors that could cause actual results to differ materially from our expectations expressed in forward-looking statements include, but are not limited to, those summarized elsewhere in this report, in our Annual Report on Form 10-K for the year ended December 31, 2025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91540"/>
                <wp:effectExtent l="0" t="0" r="0" b="0"/>
                <wp:wrapNone/>
                <wp:docPr id="7" name="Frame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752475" cy="190500"/>
                                                </a:xfrm>
                                                <a:prstGeom prst="rect">
                                                  <a:avLst/>
                                                </a:prstGeom>
                                              </pic:spPr>
                                            </pic:pic>
                                          </a:graphicData>
                                        </a:graphic>
                                      </wp:inline>
                                    </w:drawing>
                                  </w:r>
                                  <w:bookmarkStart w:id="4" w:name="i-4"/>
                                  <w:bookmarkEnd w:id="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752475" cy="190500"/>
                                          </a:xfrm>
                                          <a:prstGeom prst="rect">
                                            <a:avLst/>
                                          </a:prstGeom>
                                        </pic:spPr>
                                      </pic:pic>
                                    </a:graphicData>
                                  </a:graphic>
                                </wp:inline>
                              </w:drawing>
                            </w:r>
                            <w:bookmarkStart w:id="5" w:name="i-4"/>
                            <w:bookmarkEnd w:id="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9158"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2430"/>
        <w:gridCol w:w="2430"/>
        <w:gridCol w:w="3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276225" cy="276225"/>
                          </a:xfrm>
                          <a:prstGeom prst="rect">
                            <a:avLst/>
                          </a:prstGeom>
                        </pic:spPr>
                      </pic:pic>
                    </a:graphicData>
                  </a:graphic>
                </wp:inline>
              </w:drawing>
            </w:r>
            <w:bookmarkStart w:id="6" w:name="i-5"/>
            <w:bookmarkEnd w:id="6"/>
          </w:p>
        </w:tc>
        <w:tc>
          <w:tcPr>
            <w:tcW w:w="8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PART I.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0"/>
        <w:gridCol w:w="2135"/>
        <w:gridCol w:w="2141"/>
        <w:gridCol w:w="247"/>
        <w:gridCol w:w="1232"/>
        <w:gridCol w:w="119"/>
        <w:gridCol w:w="247"/>
        <w:gridCol w:w="1232"/>
        <w:gridCol w:w="172"/>
      </w:tblGrid>
      <w:tr>
        <w:trPr/>
        <w:tc>
          <w:tcPr>
            <w:tcW w:w="268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Blackbaud, Inc.</w:t>
              <w:br/>
              <w:t>Condensed Consolidated Balance Sheets</w:t>
              <w:br/>
              <w:t>(Unaudited)</w:t>
            </w:r>
          </w:p>
        </w:tc>
      </w:tr>
      <w:tr>
        <w:trPr/>
        <w:tc>
          <w:tcPr>
            <w:tcW w:w="695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59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65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695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Assets</w:t>
            </w:r>
          </w:p>
        </w:tc>
        <w:tc>
          <w:tcPr>
            <w:tcW w:w="159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assets:</w:t>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4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34,388 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38,914 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846,620 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720,061 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Accounts receivable, net of allowance of $6,672 and $5,876 at June 30, 2026 and December 31, 2025, respectively</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134,888 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80,517 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Customer funds receivable</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current assets</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96,620 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89,290 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assets</w:t>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1,118,894 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930,090 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Property and equipment, net</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85,499 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85,076 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Software development costs, net</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158,999 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155,842 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Goodwill</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1,055,923 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1,056,815 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Intangible assets, net</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93,379 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106,654 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assets</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81,802 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56,205 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assets</w:t>
            </w:r>
          </w:p>
        </w:tc>
        <w:tc>
          <w:tcPr>
            <w:tcW w:w="24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2,594,496 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2,390,682 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Liabilities and stockholders’ equity</w:t>
            </w:r>
          </w:p>
        </w:tc>
        <w:tc>
          <w:tcPr>
            <w:tcW w:w="1598"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liabilities:</w:t>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24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35,431 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27,344 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current liabilities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37,603 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Due to customers</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851,793 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719,833 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current portion</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22,595 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22,660 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current portion</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403,630 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368,986 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liabilities</w:t>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1,351,052 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1,182,095 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net of current portion</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1,127,412 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1,087,037 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 liability</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21,981 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net of current portion</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2,773 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2,778 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liabilities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12,822 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11,737 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w:t>
            </w:r>
          </w:p>
        </w:tc>
        <w:tc>
          <w:tcPr>
            <w:tcW w:w="147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2,527,466 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2,305,628 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Commitments and contingencies (see Note 8)</w:t>
            </w:r>
          </w:p>
        </w:tc>
        <w:tc>
          <w:tcPr>
            <w:tcW w:w="159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Stockholders’ equity:</w:t>
            </w:r>
          </w:p>
        </w:tc>
        <w:tc>
          <w:tcPr>
            <w:tcW w:w="15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Preferred stock; 20,000,000 shares authorized, none outstanding</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Common stock, $0.001 par value; 180,000,000 shares authorized, 74,035,437 and 72,312,354 shares issued at June 30, 2026 and December 31, 2025, respectively; 45,513,708 and 46,705,325 shares outstanding at June 30, 2026 and December 31, 2025, respectively</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Additional paid-in capital</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1,438,227 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1,391,641 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Treasury stock, at cost; 28,521,729 and 25,607,029 shares at June 30, 2026 and December 31, 2025, respectively</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(1,452,356)</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(1,316,224)</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Accumulated other comprehensive loss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(5,948)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Retained earnings</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82,010 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15,513 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stockholders’ equity</w:t>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67,030 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85,054 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 and stockholders’ equity</w:t>
            </w:r>
          </w:p>
        </w:tc>
        <w:tc>
          <w:tcPr>
            <w:tcW w:w="24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2,594,496 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2,390,682 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91540"/>
                <wp:effectExtent l="0" t="0" r="0" b="0"/>
                <wp:wrapNone/>
                <wp:docPr id="11" name="Frame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752475" cy="190500"/>
                                                </a:xfrm>
                                                <a:prstGeom prst="rect">
                                                  <a:avLst/>
                                                </a:prstGeom>
                                              </pic:spPr>
                                            </pic:pic>
                                          </a:graphicData>
                                        </a:graphic>
                                      </wp:inline>
                                    </w:drawing>
                                  </w:r>
                                  <w:bookmarkStart w:id="7" w:name="i-6"/>
                                  <w:bookmarkEnd w:id="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0"/>
                                          <a:stretch>
                                            <a:fillRect/>
                                          </a:stretch>
                                        </pic:blipFill>
                                        <pic:spPr bwMode="auto">
                                          <a:xfrm>
                                            <a:off x="0" y="0"/>
                                            <a:ext cx="752475" cy="190500"/>
                                          </a:xfrm>
                                          <a:prstGeom prst="rect">
                                            <a:avLst/>
                                          </a:prstGeom>
                                        </pic:spPr>
                                      </pic:pic>
                                    </a:graphicData>
                                  </a:graphic>
                                </wp:inline>
                              </w:drawing>
                            </w:r>
                            <w:bookmarkStart w:id="8" w:name="i-6"/>
                            <w:bookmarkEnd w:id="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center"/>
        <w:rPr/>
      </w:pPr>
      <w:r>
        <w:rPr/>
      </w:r>
    </w:p>
    <w:p>
      <w:pPr>
        <w:pStyle w:val="TextBody"/>
        <w:bidi w:val="0"/>
        <w:spacing w:before="180" w:after="283"/>
        <w:jc w:val="center"/>
        <w:rPr/>
      </w:pPr>
      <w:r>
        <w:rPr/>
      </w:r>
    </w:p>
    <w:tbl>
      <w:tblPr>
        <w:tblW w:w="10205" w:type="dxa"/>
        <w:jc w:val="left"/>
        <w:tblInd w:w="0" w:type="dxa"/>
        <w:tblLayout w:type="fixed"/>
        <w:tblCellMar>
          <w:top w:w="28" w:type="dxa"/>
          <w:left w:w="28" w:type="dxa"/>
          <w:bottom w:w="28" w:type="dxa"/>
          <w:right w:w="28" w:type="dxa"/>
        </w:tblCellMar>
      </w:tblPr>
      <w:tblGrid>
        <w:gridCol w:w="1541"/>
        <w:gridCol w:w="1155"/>
        <w:gridCol w:w="1157"/>
        <w:gridCol w:w="278"/>
        <w:gridCol w:w="1080"/>
        <w:gridCol w:w="123"/>
        <w:gridCol w:w="278"/>
        <w:gridCol w:w="1080"/>
        <w:gridCol w:w="123"/>
        <w:gridCol w:w="123"/>
        <w:gridCol w:w="123"/>
        <w:gridCol w:w="123"/>
        <w:gridCol w:w="278"/>
        <w:gridCol w:w="1080"/>
        <w:gridCol w:w="123"/>
        <w:gridCol w:w="278"/>
        <w:gridCol w:w="1080"/>
        <w:gridCol w:w="182"/>
      </w:tblGrid>
      <w:tr>
        <w:trPr/>
        <w:tc>
          <w:tcPr>
            <w:tcW w:w="15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8" w:space="0" w:color="004054"/>
            </w:tcBorders>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Comprehensive Income</w:t>
            </w:r>
          </w:p>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(Unaudited)</w:t>
            </w:r>
          </w:p>
        </w:tc>
      </w:tr>
      <w:tr>
        <w:trPr/>
        <w:tc>
          <w:tcPr>
            <w:tcW w:w="3853"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296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Three months ended</w:t>
              <w:br/>
              <w:t>June 30,</w:t>
            </w:r>
          </w:p>
        </w:tc>
        <w:tc>
          <w:tcPr>
            <w:tcW w:w="369"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3021"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Six months ended</w:t>
              <w:br/>
              <w:t>June 30,</w:t>
            </w:r>
          </w:p>
        </w:tc>
      </w:tr>
      <w:tr>
        <w:trPr/>
        <w:tc>
          <w:tcPr>
            <w:tcW w:w="3853"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2026</w:t>
            </w:r>
          </w:p>
        </w:tc>
        <w:tc>
          <w:tcPr>
            <w:tcW w:w="14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369"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2026</w:t>
            </w:r>
          </w:p>
        </w:tc>
        <w:tc>
          <w:tcPr>
            <w:tcW w:w="154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r>
      <w:tr>
        <w:trPr/>
        <w:tc>
          <w:tcPr>
            <w:tcW w:w="385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Revenue</w:t>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290,597 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282,030 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571,737 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551,966 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Cost of revenue</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112,434 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113,633 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227,015 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228,448 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Gross profit</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178,163 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168,397 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344,722 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323,518 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Operating expenses</w:t>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Sales, marketing and customer success</w:t>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46,256 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44,046 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93,605 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88,690 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Research and development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34,856 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33,595 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71,772 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67,154 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General and administrative</w:t>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34,449 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32,856 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64,710 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89,535 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intangible assets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r>
      <w:tr>
        <w:trPr/>
        <w:tc>
          <w:tcPr>
            <w:tcW w:w="3853"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operating expenses</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116,147 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111,063 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231,261 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246,479 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from operations</w:t>
            </w:r>
          </w:p>
        </w:tc>
        <w:tc>
          <w:tcPr>
            <w:tcW w:w="135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62,016 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57,334 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113,461 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77,039 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Interest expense</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(17,579)</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(18,411)</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(33,615)</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(35,356)</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income, net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before provision for income taxes</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46,421 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40,041 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84,226 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44,906 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Income tax provision</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11,063 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13,575 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17,729 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income</w:t>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35,358 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26,466 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66,497 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30,789 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Earnings per share</w:t>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w:t>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0.79 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0.55 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1.47 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0.64 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Common shares and equivalents outstanding</w:t>
            </w:r>
          </w:p>
        </w:tc>
        <w:tc>
          <w:tcPr>
            <w:tcW w:w="14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 weighted average shares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44,759,580 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47,784,062 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45,158,724 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48,104,780 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 weighted average shares</w:t>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44,884,337 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48,248,057 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45,605,260 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48,786,793 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Other comprehensive income (loss)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Foreign currency translation adjustment</w:t>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(117)</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7,324 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(1,597)</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10,583 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Unrealized gain (loss) on derivative instruments, net of tax</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6,620 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(12,006)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other comprehensive income (loss)</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2,925 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2,010 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5,023 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(1,423)</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Comprehensive income</w:t>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38,283 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28,476 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71,520 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29,366 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91540"/>
                <wp:effectExtent l="0" t="0" r="0" b="0"/>
                <wp:wrapNone/>
                <wp:docPr id="14" name="Frame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752475" cy="190500"/>
                                                </a:xfrm>
                                                <a:prstGeom prst="rect">
                                                  <a:avLst/>
                                                </a:prstGeom>
                                              </pic:spPr>
                                            </pic:pic>
                                          </a:graphicData>
                                        </a:graphic>
                                      </wp:inline>
                                    </w:drawing>
                                  </w:r>
                                  <w:bookmarkStart w:id="9" w:name="i-7"/>
                                  <w:bookmarkEnd w:id="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752475" cy="190500"/>
                                          </a:xfrm>
                                          <a:prstGeom prst="rect">
                                            <a:avLst/>
                                          </a:prstGeom>
                                        </pic:spPr>
                                      </pic:pic>
                                    </a:graphicData>
                                  </a:graphic>
                                </wp:inline>
                              </w:drawing>
                            </w:r>
                            <w:bookmarkStart w:id="10" w:name="i-7"/>
                            <w:bookmarkEnd w:id="1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2188"/>
        <w:gridCol w:w="1843"/>
        <w:gridCol w:w="1848"/>
        <w:gridCol w:w="374"/>
        <w:gridCol w:w="1569"/>
        <w:gridCol w:w="180"/>
        <w:gridCol w:w="374"/>
        <w:gridCol w:w="1569"/>
        <w:gridCol w:w="260"/>
      </w:tblGrid>
      <w:tr>
        <w:trPr/>
        <w:tc>
          <w:tcPr>
            <w:tcW w:w="218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4054"/>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Blackbaud, Inc.</w:t>
              <w:br/>
              <w:t>Condensed Consolidated Statements of Cash Flows</w:t>
              <w:br/>
              <w:t>(Unaudited)</w:t>
            </w:r>
          </w:p>
        </w:tc>
      </w:tr>
      <w:tr>
        <w:trPr/>
        <w:tc>
          <w:tcPr>
            <w:tcW w:w="5879"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4326"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Six months ended</w:t>
              <w:br/>
              <w:t>June 30,</w:t>
            </w:r>
          </w:p>
        </w:tc>
      </w:tr>
      <w:tr>
        <w:trPr/>
        <w:tc>
          <w:tcPr>
            <w:tcW w:w="5879"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212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2026</w:t>
            </w:r>
          </w:p>
        </w:tc>
        <w:tc>
          <w:tcPr>
            <w:tcW w:w="220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r>
      <w:tr>
        <w:trPr/>
        <w:tc>
          <w:tcPr>
            <w:tcW w:w="587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operating activities</w:t>
            </w:r>
          </w:p>
        </w:tc>
        <w:tc>
          <w:tcPr>
            <w:tcW w:w="212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66,497 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30,789 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Adjustments to reconcile net income to net cash provided by operating activities: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Depreciation and amortization</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41,293 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43,346 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provision for credit losses and sales returns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3,020 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2,973 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 expense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46,586 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49,422 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9,380 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(653)</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deferred financing costs and discount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1,346 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non-cash adjustments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1,313 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(5,407)</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Changes in operating assets and liabilities, net of acquisition and disposal of businesses:</w:t>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Accounts receivable</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(57,465)</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(64,984)</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assets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(8,955)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6,818 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(8,408)</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liabilities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(9,910)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34,688 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38,770 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provided by operating activities</w:t>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142,513 </w:t>
            </w:r>
          </w:p>
        </w:tc>
        <w:tc>
          <w:tcPr>
            <w:tcW w:w="18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68,329 </w:t>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investing activities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property and equipment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Capitalized software development costs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(26,127)</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(27,787)</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used in disposition of business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(12,235)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investing activities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(8,675)</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used in investing activities</w:t>
            </w:r>
          </w:p>
        </w:tc>
        <w:tc>
          <w:tcPr>
            <w:tcW w:w="1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(38,919)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(41,333)</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financing activities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Proceeds from issuance of debt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209,500 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272,300 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Payments on debt</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(180,857)</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(187,666)</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Employee taxes paid for withheld shares upon equity award settlement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(25,319)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(38,655)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due to customers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132,582 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128,582 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customer funds receivable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(3,262)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stock, including excise tax payments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(111,637)</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(103,205)</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provided by financing activities</w:t>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19,094 </w:t>
            </w:r>
          </w:p>
        </w:tc>
        <w:tc>
          <w:tcPr>
            <w:tcW w:w="18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68,094 </w:t>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Effect of exchange rate on cash, cash equivalents and restricted cash</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(655)</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7,212 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increase in cash, cash equivalents and restricted cash</w:t>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122,033 </w:t>
            </w:r>
          </w:p>
        </w:tc>
        <w:tc>
          <w:tcPr>
            <w:tcW w:w="18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102,302 </w:t>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beginning of period</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758,975 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end of period</w:t>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881,008 </w:t>
            </w:r>
          </w:p>
        </w:tc>
        <w:tc>
          <w:tcPr>
            <w:tcW w:w="18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911,814 </w:t>
            </w:r>
          </w:p>
        </w:tc>
        <w:tc>
          <w:tcPr>
            <w:tcW w:w="26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tbl>
      <w:tblPr>
        <w:tblW w:w="9996" w:type="dxa"/>
        <w:jc w:val="left"/>
        <w:tblInd w:w="0" w:type="dxa"/>
        <w:tblLayout w:type="fixed"/>
        <w:tblCellMar>
          <w:top w:w="28" w:type="dxa"/>
          <w:left w:w="28" w:type="dxa"/>
          <w:bottom w:w="28" w:type="dxa"/>
          <w:right w:w="28" w:type="dxa"/>
        </w:tblCellMar>
      </w:tblPr>
      <w:tblGrid>
        <w:gridCol w:w="2640"/>
        <w:gridCol w:w="2321"/>
        <w:gridCol w:w="2329"/>
        <w:gridCol w:w="226"/>
        <w:gridCol w:w="946"/>
        <w:gridCol w:w="109"/>
        <w:gridCol w:w="243"/>
        <w:gridCol w:w="1017"/>
        <w:gridCol w:w="165"/>
      </w:tblGrid>
      <w:tr>
        <w:trPr/>
        <w:tc>
          <w:tcPr>
            <w:tcW w:w="264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72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34,388 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38,914 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846,620 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720,061 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cash, cash equivalents and restricted cash in the statement of cash flows</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881,008 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758,975 </w:t>
            </w:r>
          </w:p>
        </w:tc>
        <w:tc>
          <w:tcPr>
            <w:tcW w:w="16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91540"/>
                <wp:effectExtent l="0" t="0" r="0" b="0"/>
                <wp:wrapNone/>
                <wp:docPr id="17" name="Frame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752475" cy="190500"/>
                                                </a:xfrm>
                                                <a:prstGeom prst="rect">
                                                  <a:avLst/>
                                                </a:prstGeom>
                                              </pic:spPr>
                                            </pic:pic>
                                          </a:graphicData>
                                        </a:graphic>
                                      </wp:inline>
                                    </w:drawing>
                                  </w:r>
                                  <w:bookmarkStart w:id="11" w:name="i-8"/>
                                  <w:bookmarkEnd w:id="1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4"/>
                                          <a:stretch>
                                            <a:fillRect/>
                                          </a:stretch>
                                        </pic:blipFill>
                                        <pic:spPr bwMode="auto">
                                          <a:xfrm>
                                            <a:off x="0" y="0"/>
                                            <a:ext cx="752475" cy="190500"/>
                                          </a:xfrm>
                                          <a:prstGeom prst="rect">
                                            <a:avLst/>
                                          </a:prstGeom>
                                        </pic:spPr>
                                      </pic:pic>
                                    </a:graphicData>
                                  </a:graphic>
                                </wp:inline>
                              </w:drawing>
                            </w:r>
                            <w:bookmarkStart w:id="12" w:name="i-8"/>
                            <w:bookmarkEnd w:id="1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Stockholders' Equity</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13020"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630"/>
        <w:gridCol w:w="631"/>
        <w:gridCol w:w="246"/>
        <w:gridCol w:w="226"/>
        <w:gridCol w:w="1141"/>
        <w:gridCol w:w="109"/>
        <w:gridCol w:w="109"/>
        <w:gridCol w:w="109"/>
        <w:gridCol w:w="109"/>
        <w:gridCol w:w="226"/>
        <w:gridCol w:w="1126"/>
        <w:gridCol w:w="109"/>
        <w:gridCol w:w="324"/>
        <w:gridCol w:w="1035"/>
        <w:gridCol w:w="157"/>
        <w:gridCol w:w="226"/>
        <w:gridCol w:w="826"/>
        <w:gridCol w:w="109"/>
        <w:gridCol w:w="264"/>
        <w:gridCol w:w="966"/>
        <w:gridCol w:w="181"/>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w:t>
            </w:r>
          </w:p>
        </w:tc>
        <w:tc>
          <w:tcPr>
            <w:tcW w:w="11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Retained earnings</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stockholders' 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4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1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2025</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72,312,354 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(25,607,029)</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(1,316,224)</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1,391,641 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(5,948)</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15,513 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85,054 </w:t>
            </w:r>
          </w:p>
        </w:tc>
        <w:tc>
          <w:tcPr>
            <w:tcW w:w="18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31,139 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(1,601,057)</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(82,507)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(82,507)</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1,032,903 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(509,577)</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(25,112)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(25,112)</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23,880 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684,889 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(14,515)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2,098 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2,098 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March 31, 2026</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74,015,631 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(27,717,663)</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(1,423,843)</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1,415,521 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(3,850)</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8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46,652 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34,554 </w:t>
            </w:r>
          </w:p>
        </w:tc>
        <w:tc>
          <w:tcPr>
            <w:tcW w:w="18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35,358 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35,358 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(797,795)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(28,306)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4,341 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(6,271)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22,706 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22,706 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33,954 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(18,489)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June 30, 2026</w:t>
            </w:r>
          </w:p>
        </w:tc>
        <w:tc>
          <w:tcPr>
            <w:tcW w:w="124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74,035,437 </w:t>
            </w:r>
          </w:p>
        </w:tc>
        <w:tc>
          <w:tcPr>
            <w:tcW w:w="2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(28,521,729)</w:t>
            </w:r>
          </w:p>
        </w:tc>
        <w:tc>
          <w:tcPr>
            <w:tcW w:w="2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(1,452,356)</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1,438,227 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(925)</w:t>
            </w:r>
          </w:p>
        </w:tc>
        <w:tc>
          <w:tcPr>
            <w:tcW w:w="1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82,010 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67,030 </w:t>
            </w:r>
          </w:p>
        </w:tc>
        <w:tc>
          <w:tcPr>
            <w:tcW w:w="18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91540"/>
                <wp:effectExtent l="0" t="0" r="0" b="0"/>
                <wp:wrapNone/>
                <wp:docPr id="20" name="Frame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723900" cy="190500"/>
                                                </a:xfrm>
                                                <a:prstGeom prst="rect">
                                                  <a:avLst/>
                                                </a:prstGeom>
                                              </pic:spPr>
                                            </pic:pic>
                                          </a:graphicData>
                                        </a:graphic>
                                      </wp:inline>
                                    </w:drawing>
                                  </w:r>
                                  <w:bookmarkStart w:id="13" w:name="i-9"/>
                                  <w:bookmarkEnd w:id="13"/>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6"/>
                                          <a:stretch>
                                            <a:fillRect/>
                                          </a:stretch>
                                        </pic:blipFill>
                                        <pic:spPr bwMode="auto">
                                          <a:xfrm>
                                            <a:off x="0" y="0"/>
                                            <a:ext cx="723900" cy="190500"/>
                                          </a:xfrm>
                                          <a:prstGeom prst="rect">
                                            <a:avLst/>
                                          </a:prstGeom>
                                        </pic:spPr>
                                      </pic:pic>
                                    </a:graphicData>
                                  </a:graphic>
                                </wp:inline>
                              </w:drawing>
                            </w:r>
                            <w:bookmarkStart w:id="14" w:name="i-9"/>
                            <w:bookmarkEnd w:id="1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Stockholders' Equity (continued)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13180"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630"/>
        <w:gridCol w:w="631"/>
        <w:gridCol w:w="246"/>
        <w:gridCol w:w="226"/>
        <w:gridCol w:w="1141"/>
        <w:gridCol w:w="109"/>
        <w:gridCol w:w="109"/>
        <w:gridCol w:w="109"/>
        <w:gridCol w:w="109"/>
        <w:gridCol w:w="226"/>
        <w:gridCol w:w="1126"/>
        <w:gridCol w:w="109"/>
        <w:gridCol w:w="324"/>
        <w:gridCol w:w="1035"/>
        <w:gridCol w:w="157"/>
        <w:gridCol w:w="253"/>
        <w:gridCol w:w="944"/>
        <w:gridCol w:w="124"/>
        <w:gridCol w:w="240"/>
        <w:gridCol w:w="1006"/>
        <w:gridCol w:w="165"/>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w:t>
            </w:r>
          </w:p>
        </w:tc>
        <w:tc>
          <w:tcPr>
            <w:tcW w:w="132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Accumulated deficit</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br/>
              <w:t>stockholders'</w:t>
              <w:br/>
              <w:t>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4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32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2024</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70,943,373 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(21,697,785)</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(1,060,348)</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1,291,442 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(4,869)</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(99,457)</w:t>
            </w:r>
          </w:p>
        </w:tc>
        <w:tc>
          <w:tcPr>
            <w:tcW w:w="12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126,839 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(1,513,022)</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(100,425)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(100,425)</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1,023,958 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(532,179)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299,136 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March 31, 2025</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72,258,301 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(23,742,986)</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(1,198,721)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1,319,562 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(8,302)</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(95,134)</w:t>
            </w:r>
          </w:p>
        </w:tc>
        <w:tc>
          <w:tcPr>
            <w:tcW w:w="12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17,477 </w:t>
            </w:r>
          </w:p>
        </w:tc>
        <w:tc>
          <w:tcPr>
            <w:tcW w:w="16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26,466 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26,466 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4,951 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27,672 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27,672 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23,307 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(22,991)</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June 30, 2025</w:t>
            </w:r>
          </w:p>
        </w:tc>
        <w:tc>
          <w:tcPr>
            <w:tcW w:w="124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72,263,568 </w:t>
            </w:r>
          </w:p>
        </w:tc>
        <w:tc>
          <w:tcPr>
            <w:tcW w:w="2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(23,756,925)</w:t>
            </w:r>
          </w:p>
        </w:tc>
        <w:tc>
          <w:tcPr>
            <w:tcW w:w="2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(1,199,608)</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1,347,234 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(6,292)</w:t>
            </w:r>
          </w:p>
        </w:tc>
        <w:tc>
          <w:tcPr>
            <w:tcW w:w="1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(68,668)</w:t>
            </w:r>
          </w:p>
        </w:tc>
        <w:tc>
          <w:tcPr>
            <w:tcW w:w="1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72,738 </w:t>
            </w:r>
          </w:p>
        </w:tc>
        <w:tc>
          <w:tcPr>
            <w:tcW w:w="16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tbl>
      <w:tblPr>
        <w:tblW w:w="9254" w:type="dxa"/>
        <w:jc w:val="left"/>
        <w:tblInd w:w="0" w:type="dxa"/>
        <w:tblLayout w:type="fixed"/>
        <w:tblCellMar>
          <w:top w:w="28" w:type="dxa"/>
          <w:left w:w="28" w:type="dxa"/>
          <w:bottom w:w="28" w:type="dxa"/>
          <w:right w:w="28" w:type="dxa"/>
        </w:tblCellMar>
      </w:tblPr>
      <w:tblGrid>
        <w:gridCol w:w="2959"/>
        <w:gridCol w:w="2602"/>
        <w:gridCol w:w="3693"/>
      </w:tblGrid>
      <w:tr>
        <w:trPr/>
        <w:tc>
          <w:tcPr>
            <w:tcW w:w="295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9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91540"/>
                <wp:effectExtent l="0" t="0" r="0" b="0"/>
                <wp:wrapNone/>
                <wp:docPr id="23" name="Frame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733425" cy="190500"/>
                                                </a:xfrm>
                                                <a:prstGeom prst="rect">
                                                  <a:avLst/>
                                                </a:prstGeom>
                                              </pic:spPr>
                                            </pic:pic>
                                          </a:graphicData>
                                        </a:graphic>
                                      </wp:inline>
                                    </w:drawing>
                                  </w:r>
                                  <w:bookmarkStart w:id="15" w:name="i-10"/>
                                  <w:bookmarkEnd w:id="1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8"/>
                                          <a:stretch>
                                            <a:fillRect/>
                                          </a:stretch>
                                        </pic:blipFill>
                                        <pic:spPr bwMode="auto">
                                          <a:xfrm>
                                            <a:off x="0" y="0"/>
                                            <a:ext cx="733425" cy="190500"/>
                                          </a:xfrm>
                                          <a:prstGeom prst="rect">
                                            <a:avLst/>
                                          </a:prstGeom>
                                        </pic:spPr>
                                      </pic:pic>
                                    </a:graphicData>
                                  </a:graphic>
                                </wp:inline>
                              </w:drawing>
                            </w:r>
                            <w:bookmarkStart w:id="16" w:name="i-10"/>
                            <w:bookmarkEnd w:id="1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5" w:type="dxa"/>
        <w:jc w:val="center"/>
        <w:tblInd w:w="0" w:type="dxa"/>
        <w:tblLayout w:type="fixed"/>
        <w:tblCellMar>
          <w:top w:w="28" w:type="dxa"/>
          <w:left w:w="28" w:type="dxa"/>
          <w:bottom w:w="28" w:type="dxa"/>
          <w:right w:w="28" w:type="dxa"/>
        </w:tblCellMar>
      </w:tblPr>
      <w:tblGrid>
        <w:gridCol w:w="715"/>
        <w:gridCol w:w="629"/>
        <w:gridCol w:w="891"/>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 Organization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We have operations in the United States, Australia, Canada, Costa Rica, India and the United Kingdom, supporting users in 100+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5" w:type="dxa"/>
        <w:jc w:val="left"/>
        <w:tblInd w:w="0" w:type="dxa"/>
        <w:tblLayout w:type="fixed"/>
        <w:tblCellMar>
          <w:top w:w="28" w:type="dxa"/>
          <w:left w:w="28" w:type="dxa"/>
          <w:bottom w:w="28" w:type="dxa"/>
          <w:right w:w="28" w:type="dxa"/>
        </w:tblCellMar>
      </w:tblPr>
      <w:tblGrid>
        <w:gridCol w:w="1100"/>
        <w:gridCol w:w="967"/>
        <w:gridCol w:w="1368"/>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2. Basis of Presentation</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Unaudited condensed consolidated interim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accompanying condensed consolidated interim financial statements have been prepared pursuant to the rules and regulations of the United States Securities and Exchange Commission ("SEC") for interim financial reporting. These condensed consolidated statements are unaudited and, in the opinion of management, include all adjustments (consisting of normal recurring adjustments and accruals) necessary to state fairly the condensed consolidated balance sheets, condensed consolidated statements of comprehensive income, consolidated statements of cash flows and consolidated statements of stockholders’ equity, for the periods presented in accordance with accounting principles generally accepted in the United States ("U.S.") ("GAAP"). The condensed consolidated balance sheet at December 31, 2025 has been derived from the audited consolidated financial statements at that date. Operating results and cash flows for the three and/or six months ended June 30, 2026 are not necessarily indicative of the results that may be expected for the fiscal year ending December 31, 2026, or any other future period. Certain information and footnote disclosures normally included in annual financial statements prepared in accordance with GAAP have been omitted in accordance with the rules and regulations for interim reporting of the SEC. These unaudited, condensed consolidated interim financial statements should be read in conjunction with the consolidated financial statements and notes thereto included in our Annual Report on Form 10-K for the year ended December 31, 2025, and other forms filed with the SEC from time to time.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Reclassifications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order to provide comparability between periods presented, our “operating lease right-of-use assets“ line has been combined within “other assets" in the previously reported condensed consolidated balance sheets to conform to the presentation of the current period. Similarly, "operating lease liabilities, net of current portion" has been combined within "other liabilities" in the previously reported condensed consolidated balance sheets to conform to the presentation of the current period.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Basis of consolidation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unaudited, condensed consolidated financial statements include the accounts of Blackbaud, Inc. and its wholly owned subsidiaries. All intercompany balances and transactions have been eliminated in consolidation.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Use of estimates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software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91540"/>
                <wp:effectExtent l="0" t="0" r="0" b="0"/>
                <wp:wrapNone/>
                <wp:docPr id="26" name="Frame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9"/>
                                                <a:stretch>
                                                  <a:fillRect/>
                                                </a:stretch>
                                              </pic:blipFill>
                                              <pic:spPr bwMode="auto">
                                                <a:xfrm>
                                                  <a:off x="0" y="0"/>
                                                  <a:ext cx="723900" cy="190500"/>
                                                </a:xfrm>
                                                <a:prstGeom prst="rect">
                                                  <a:avLst/>
                                                </a:prstGeom>
                                              </pic:spPr>
                                            </pic:pic>
                                          </a:graphicData>
                                        </a:graphic>
                                      </wp:inline>
                                    </w:drawing>
                                  </w:r>
                                  <w:bookmarkStart w:id="17" w:name="i-11"/>
                                  <w:bookmarkEnd w:id="17"/>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20"/>
                                          <a:stretch>
                                            <a:fillRect/>
                                          </a:stretch>
                                        </pic:blipFill>
                                        <pic:spPr bwMode="auto">
                                          <a:xfrm>
                                            <a:off x="0" y="0"/>
                                            <a:ext cx="723900" cy="190500"/>
                                          </a:xfrm>
                                          <a:prstGeom prst="rect">
                                            <a:avLst/>
                                          </a:prstGeom>
                                        </pic:spPr>
                                      </pic:pic>
                                    </a:graphicData>
                                  </a:graphic>
                                </wp:inline>
                              </w:drawing>
                            </w:r>
                            <w:bookmarkStart w:id="18" w:name="i-11"/>
                            <w:bookmarkEnd w:id="1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Recently issued accounting pronouncements</w:t>
      </w:r>
    </w:p>
    <w:p>
      <w:pPr>
        <w:pStyle w:val="TextBody"/>
        <w:bidi w:val="0"/>
        <w:spacing w:lineRule="auto" w:line="288" w:before="180" w:after="283"/>
        <w:jc w:val="both"/>
        <w:rPr/>
      </w:pPr>
      <w:r>
        <w:rPr>
          <w:rFonts w:ascii="sans-serif" w:hAnsi="sans-serif"/>
          <w:b w:val="false"/>
          <w:color w:val="51555C"/>
          <w:sz w:val="20"/>
        </w:rPr>
        <w:t xml:space="preserve">In November 2024, the FASB issued ASU 2024-03, </w:t>
      </w:r>
      <w:r>
        <w:rPr>
          <w:rFonts w:ascii="sans-serif" w:hAnsi="sans-serif"/>
          <w:b w:val="false"/>
          <w:i/>
          <w:color w:val="51555C"/>
          <w:sz w:val="20"/>
        </w:rPr>
        <w:t>Income Statement—Reporting Comprehensive Income—Expense Disaggregation Disclosures (Subtopic 220-40): Disaggregation of Income Statement Expenses.</w:t>
      </w:r>
      <w:r>
        <w:rPr>
          <w:color w:val="51555C"/>
        </w:rPr>
        <w:t xml:space="preserve"> </w:t>
      </w:r>
      <w:r>
        <w:rPr>
          <w:rFonts w:ascii="sans-serif" w:hAnsi="sans-serif"/>
          <w:b w:val="false"/>
          <w:color w:val="51555C"/>
          <w:sz w:val="20"/>
        </w:rPr>
        <w:t>This update is intended to improve transparency by requiring entities to disclose, in the notes to the financial statements, a disaggregation of certain expense categories that are included within the line items presented on the face of the income statement. The standard is effective for our annual reporting period beginning in 2027 and for interim reporting periods beginning in 2028, with early adoption permitted. The standard may be applied either prospectively or retrospectively, with early adoption permitted. We are currently evaluating the timing and method of adoption and assessing the impact of this ASU on the preparation of our financial statement disclosures.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Summary of significant accounting policies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have been no material changes to our significant accounting policies described in our Annual Report on Form 10-K for the year ended December 31, 2025, filed with the SEC on February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19" w:type="dxa"/>
        <w:jc w:val="left"/>
        <w:tblInd w:w="0" w:type="dxa"/>
        <w:tblLayout w:type="fixed"/>
        <w:tblCellMar>
          <w:top w:w="28" w:type="dxa"/>
          <w:left w:w="28" w:type="dxa"/>
          <w:bottom w:w="28" w:type="dxa"/>
          <w:right w:w="28" w:type="dxa"/>
        </w:tblCellMar>
      </w:tblPr>
      <w:tblGrid>
        <w:gridCol w:w="999"/>
        <w:gridCol w:w="878"/>
        <w:gridCol w:w="1242"/>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3. Earnings Per Share</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compute basic earnings per share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outstanding during the period. Diluted earnings per share reflects the assumed exercise, settlement and vesting of all dilutive securities using the “treasury stock method,” except when the effect is anti-dilutive. Potentially dilutive securities consist of shares issuable upon vesting of restricted stock awards and units.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671"/>
        <w:gridCol w:w="1368"/>
        <w:gridCol w:w="1372"/>
        <w:gridCol w:w="267"/>
        <w:gridCol w:w="979"/>
        <w:gridCol w:w="109"/>
        <w:gridCol w:w="267"/>
        <w:gridCol w:w="979"/>
        <w:gridCol w:w="109"/>
        <w:gridCol w:w="109"/>
        <w:gridCol w:w="109"/>
        <w:gridCol w:w="109"/>
        <w:gridCol w:w="267"/>
        <w:gridCol w:w="979"/>
        <w:gridCol w:w="109"/>
        <w:gridCol w:w="267"/>
        <w:gridCol w:w="979"/>
        <w:gridCol w:w="156"/>
      </w:tblGrid>
      <w:tr>
        <w:trPr/>
        <w:tc>
          <w:tcPr>
            <w:tcW w:w="167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2710"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757"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441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40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441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Numerator:</w:t>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income</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30,789 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Denominator:</w:t>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Weighted average common shares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44,759,580 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47,784,062 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45,158,724 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48,104,780 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Add effect of dilutive securities:</w:t>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Restricted stock and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682,013 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Weighted average common shares assuming dilution</w:t>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44,884,337 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48,248,057 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45,605,260 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48,786,793 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Earnings per share</w:t>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Basic</w:t>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0.79 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0.55 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0.64 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Anti-dilutive shares excluded from calculations of diluted earnings per share</w:t>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2,597,193 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681,085 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2,109,279 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1,154,673 </w:t>
            </w:r>
          </w:p>
        </w:tc>
        <w:tc>
          <w:tcPr>
            <w:tcW w:w="1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91540"/>
                <wp:effectExtent l="0" t="0" r="0" b="0"/>
                <wp:wrapNone/>
                <wp:docPr id="29" name="Frame1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1"/>
                                                <a:stretch>
                                                  <a:fillRect/>
                                                </a:stretch>
                                              </pic:blipFill>
                                              <pic:spPr bwMode="auto">
                                                <a:xfrm>
                                                  <a:off x="0" y="0"/>
                                                  <a:ext cx="733425" cy="190500"/>
                                                </a:xfrm>
                                                <a:prstGeom prst="rect">
                                                  <a:avLst/>
                                                </a:prstGeom>
                                              </pic:spPr>
                                            </pic:pic>
                                          </a:graphicData>
                                        </a:graphic>
                                      </wp:inline>
                                    </w:drawing>
                                  </w:r>
                                  <w:bookmarkStart w:id="19" w:name="i-12"/>
                                  <w:bookmarkEnd w:id="1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2"/>
                                          <a:stretch>
                                            <a:fillRect/>
                                          </a:stretch>
                                        </pic:blipFill>
                                        <pic:spPr bwMode="auto">
                                          <a:xfrm>
                                            <a:off x="0" y="0"/>
                                            <a:ext cx="733425" cy="190500"/>
                                          </a:xfrm>
                                          <a:prstGeom prst="rect">
                                            <a:avLst/>
                                          </a:prstGeom>
                                        </pic:spPr>
                                      </pic:pic>
                                    </a:graphicData>
                                  </a:graphic>
                                </wp:inline>
                              </w:drawing>
                            </w:r>
                            <w:bookmarkStart w:id="20" w:name="i-12"/>
                            <w:bookmarkEnd w:id="2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989" w:type="dxa"/>
        <w:jc w:val="left"/>
        <w:tblInd w:w="0" w:type="dxa"/>
        <w:tblLayout w:type="fixed"/>
        <w:tblCellMar>
          <w:top w:w="28" w:type="dxa"/>
          <w:left w:w="28" w:type="dxa"/>
          <w:bottom w:w="28" w:type="dxa"/>
          <w:right w:w="28" w:type="dxa"/>
        </w:tblCellMar>
      </w:tblPr>
      <w:tblGrid>
        <w:gridCol w:w="1278"/>
        <w:gridCol w:w="1123"/>
        <w:gridCol w:w="1588"/>
      </w:tblGrid>
      <w:tr>
        <w:trPr/>
        <w:tc>
          <w:tcPr>
            <w:tcW w:w="127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4. Fair Value Measurements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use a three-tier fair value hierarchy to measure fair value. This hierarchy prioritizes the inputs into three broad levels as follows: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 xml:space="preserve">Level 1 - Quoted prices for identical assets or liabilities in active markets;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Level 3 - Valuations derived from valuation techniques in which one or more significant inputs are unobservable.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Financial assets and liabilities that are measured at fair value on a recurring basis consisted of the following, as of the dates indicated below:</w:t>
      </w:r>
    </w:p>
    <w:tbl>
      <w:tblPr>
        <w:tblW w:w="10205" w:type="dxa"/>
        <w:jc w:val="left"/>
        <w:tblInd w:w="0" w:type="dxa"/>
        <w:tblLayout w:type="fixed"/>
        <w:tblCellMar>
          <w:top w:w="28" w:type="dxa"/>
          <w:left w:w="28" w:type="dxa"/>
          <w:bottom w:w="28" w:type="dxa"/>
          <w:right w:w="28" w:type="dxa"/>
        </w:tblCellMar>
      </w:tblPr>
      <w:tblGrid>
        <w:gridCol w:w="783"/>
        <w:gridCol w:w="601"/>
        <w:gridCol w:w="603"/>
        <w:gridCol w:w="109"/>
        <w:gridCol w:w="739"/>
        <w:gridCol w:w="1329"/>
        <w:gridCol w:w="358"/>
        <w:gridCol w:w="109"/>
        <w:gridCol w:w="109"/>
        <w:gridCol w:w="109"/>
        <w:gridCol w:w="381"/>
        <w:gridCol w:w="1193"/>
        <w:gridCol w:w="186"/>
        <w:gridCol w:w="109"/>
        <w:gridCol w:w="109"/>
        <w:gridCol w:w="109"/>
        <w:gridCol w:w="564"/>
        <w:gridCol w:w="1013"/>
        <w:gridCol w:w="273"/>
        <w:gridCol w:w="109"/>
        <w:gridCol w:w="109"/>
        <w:gridCol w:w="109"/>
        <w:gridCol w:w="226"/>
        <w:gridCol w:w="706"/>
        <w:gridCol w:w="160"/>
      </w:tblGrid>
      <w:tr>
        <w:trPr/>
        <w:tc>
          <w:tcPr>
            <w:tcW w:w="7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0" w:type="dxa"/>
            <w:gridSpan w:val="15"/>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Fair value measurement using</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Quoted Prices in Active Markets for Identical Assets and Liabilities</w:t>
              <w:br/>
              <w:t>(Level 1)</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Other Observable Inputs </w:t>
              <w:br/>
              <w:t>(Level 2)</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Unobservable Inputs </w:t>
              <w:br/>
              <w:t>(Level 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198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Fair value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5,488 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5,488 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6,078 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6,078 </w:t>
            </w:r>
          </w:p>
        </w:tc>
        <w:tc>
          <w:tcPr>
            <w:tcW w:w="1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Fair value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42 </w:t>
            </w:r>
          </w:p>
        </w:tc>
        <w:tc>
          <w:tcPr>
            <w:tcW w:w="18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42 </w:t>
            </w:r>
          </w:p>
        </w:tc>
        <w:tc>
          <w:tcPr>
            <w:tcW w:w="1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Fair value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8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Fair value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8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6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Our derivative instruments within the scope of Accounting Standards Codification ("ASC") 815, </w:t>
      </w:r>
      <w:r>
        <w:rPr>
          <w:rFonts w:ascii="sans-serif" w:hAnsi="sans-serif"/>
          <w:b w:val="false"/>
          <w:i/>
          <w:color w:val="51555C"/>
          <w:sz w:val="20"/>
        </w:rPr>
        <w:t>Derivatives and Hedging</w:t>
      </w:r>
      <w:r>
        <w:rPr>
          <w:rFonts w:ascii="sans-serif" w:hAnsi="sans-serif"/>
          <w:b w:val="false"/>
          <w:color w:val="51555C"/>
          <w:sz w:val="20"/>
        </w:rPr>
        <w:t>, are required to be recorded at fair value. Our derivative instruments that are recorded at fair value include interest rate swaps and foreign currency forward contracts. See Note 7 to these unaudited, condensed consolidated financial statements for additional information about our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91540"/>
                <wp:effectExtent l="0" t="0" r="0" b="0"/>
                <wp:wrapNone/>
                <wp:docPr id="32" name="Frame1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3"/>
                                                <a:stretch>
                                                  <a:fillRect/>
                                                </a:stretch>
                                              </pic:blipFill>
                                              <pic:spPr bwMode="auto">
                                                <a:xfrm>
                                                  <a:off x="0" y="0"/>
                                                  <a:ext cx="723900" cy="190500"/>
                                                </a:xfrm>
                                                <a:prstGeom prst="rect">
                                                  <a:avLst/>
                                                </a:prstGeom>
                                              </pic:spPr>
                                            </pic:pic>
                                          </a:graphicData>
                                        </a:graphic>
                                      </wp:inline>
                                    </w:drawing>
                                  </w:r>
                                  <w:bookmarkStart w:id="21" w:name="i-13"/>
                                  <w:bookmarkEnd w:id="21"/>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4"/>
                                          <a:stretch>
                                            <a:fillRect/>
                                          </a:stretch>
                                        </pic:blipFill>
                                        <pic:spPr bwMode="auto">
                                          <a:xfrm>
                                            <a:off x="0" y="0"/>
                                            <a:ext cx="723900" cy="190500"/>
                                          </a:xfrm>
                                          <a:prstGeom prst="rect">
                                            <a:avLst/>
                                          </a:prstGeom>
                                        </pic:spPr>
                                      </pic:pic>
                                    </a:graphicData>
                                  </a:graphic>
                                </wp:inline>
                              </w:drawing>
                            </w:r>
                            <w:bookmarkStart w:id="22" w:name="i-13"/>
                            <w:bookmarkEnd w:id="22"/>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amounts of our cash and cash equivalents, restricted cash, accounts receivable, trade accounts payable, accrued expenses and other current liabilities and due to customers approximate their fair values at June 30, 2026 and December 31, 2025, due to the immediate or short-term maturity of these instruments.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 of our debt approximates its fair value at June 30, 2026 and December 31, 2025, as the debt bears interest rates that approximate market value. As SOFR rates are observable at commonly quoted intervals, our debt under the 2024 Credit Facilities (as defined below) is classified within Level 2 of the fair value hierarchy. The fair value of our fixed rate debt does not exceed the carrying amount.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did not transfer any assets or liabilities among the levels within the fair value hierarchy during the six months ended June 30, 2026.</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long-lived assets, intangible assets and operating lease ROU assets,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were no significant non-recurring fair value adjustments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19" w:type="dxa"/>
        <w:jc w:val="left"/>
        <w:tblInd w:w="0" w:type="dxa"/>
        <w:tblLayout w:type="fixed"/>
        <w:tblCellMar>
          <w:top w:w="28" w:type="dxa"/>
          <w:left w:w="28" w:type="dxa"/>
          <w:bottom w:w="28" w:type="dxa"/>
          <w:right w:w="28" w:type="dxa"/>
        </w:tblCellMar>
      </w:tblPr>
      <w:tblGrid>
        <w:gridCol w:w="1959"/>
        <w:gridCol w:w="1723"/>
        <w:gridCol w:w="2437"/>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5. Consolidated Financial Statement Details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Restricted cash</w:t>
      </w:r>
    </w:p>
    <w:tbl>
      <w:tblPr>
        <w:tblW w:w="6606" w:type="dxa"/>
        <w:jc w:val="left"/>
        <w:tblInd w:w="0" w:type="dxa"/>
        <w:tblLayout w:type="fixed"/>
        <w:tblCellMar>
          <w:top w:w="28" w:type="dxa"/>
          <w:left w:w="28" w:type="dxa"/>
          <w:bottom w:w="28" w:type="dxa"/>
          <w:right w:w="28" w:type="dxa"/>
        </w:tblCellMar>
      </w:tblPr>
      <w:tblGrid>
        <w:gridCol w:w="1412"/>
        <w:gridCol w:w="1242"/>
        <w:gridCol w:w="1246"/>
        <w:gridCol w:w="226"/>
        <w:gridCol w:w="946"/>
        <w:gridCol w:w="109"/>
        <w:gridCol w:w="243"/>
        <w:gridCol w:w="1017"/>
        <w:gridCol w:w="165"/>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39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Restricted cash due to customers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845,415 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718,525 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Real estate escrow balances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restricted cash</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846,620 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720,061 </w:t>
            </w:r>
          </w:p>
        </w:tc>
        <w:tc>
          <w:tcPr>
            <w:tcW w:w="16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91540"/>
                <wp:effectExtent l="0" t="0" r="0" b="0"/>
                <wp:wrapNone/>
                <wp:docPr id="35" name="Frame1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5"/>
                                                <a:stretch>
                                                  <a:fillRect/>
                                                </a:stretch>
                                              </pic:blipFill>
                                              <pic:spPr bwMode="auto">
                                                <a:xfrm>
                                                  <a:off x="0" y="0"/>
                                                  <a:ext cx="733425" cy="190500"/>
                                                </a:xfrm>
                                                <a:prstGeom prst="rect">
                                                  <a:avLst/>
                                                </a:prstGeom>
                                              </pic:spPr>
                                            </pic:pic>
                                          </a:graphicData>
                                        </a:graphic>
                                      </wp:inline>
                                    </w:drawing>
                                  </w:r>
                                  <w:bookmarkStart w:id="23" w:name="i-14"/>
                                  <w:bookmarkEnd w:id="2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6"/>
                                          <a:stretch>
                                            <a:fillRect/>
                                          </a:stretch>
                                        </pic:blipFill>
                                        <pic:spPr bwMode="auto">
                                          <a:xfrm>
                                            <a:off x="0" y="0"/>
                                            <a:ext cx="733425" cy="190500"/>
                                          </a:xfrm>
                                          <a:prstGeom prst="rect">
                                            <a:avLst/>
                                          </a:prstGeom>
                                        </pic:spPr>
                                      </pic:pic>
                                    </a:graphicData>
                                  </a:graphic>
                                </wp:inline>
                              </w:drawing>
                            </w:r>
                            <w:bookmarkStart w:id="24" w:name="i-14"/>
                            <w:bookmarkEnd w:id="2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Prepaid expenses and other assets</w:t>
      </w:r>
    </w:p>
    <w:tbl>
      <w:tblPr>
        <w:tblW w:w="9126" w:type="dxa"/>
        <w:jc w:val="left"/>
        <w:tblInd w:w="0" w:type="dxa"/>
        <w:tblLayout w:type="fixed"/>
        <w:tblCellMar>
          <w:top w:w="28" w:type="dxa"/>
          <w:left w:w="28" w:type="dxa"/>
          <w:bottom w:w="28" w:type="dxa"/>
          <w:right w:w="28" w:type="dxa"/>
        </w:tblCellMar>
      </w:tblPr>
      <w:tblGrid>
        <w:gridCol w:w="2369"/>
        <w:gridCol w:w="2082"/>
        <w:gridCol w:w="2089"/>
        <w:gridCol w:w="226"/>
        <w:gridCol w:w="826"/>
        <w:gridCol w:w="109"/>
        <w:gridCol w:w="267"/>
        <w:gridCol w:w="976"/>
        <w:gridCol w:w="182"/>
      </w:tblGrid>
      <w:tr>
        <w:trPr/>
        <w:tc>
          <w:tcPr>
            <w:tcW w:w="23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6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65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Costs of obtaining contracts</w:t>
            </w:r>
            <w:r>
              <w:rPr>
                <w:rFonts w:ascii="sans-serif" w:hAnsi="sans-serif"/>
                <w:b w:val="false"/>
                <w:color w:val="51555C"/>
                <w:sz w:val="13"/>
              </w:rPr>
              <w:t>(1)(2)</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55,301 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56,002 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Prepaid software maintenance and subscriptions</w:t>
            </w:r>
            <w:r>
              <w:rPr>
                <w:rFonts w:ascii="sans-serif" w:hAnsi="sans-serif"/>
                <w:b w:val="false"/>
                <w:color w:val="51555C"/>
                <w:sz w:val="13"/>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31,014 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Taxes, prepaid and receivable</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13,708 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11,871 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Investments in equity securities</w:t>
            </w:r>
            <w:r>
              <w:rPr>
                <w:rFonts w:ascii="sans-serif" w:hAnsi="sans-serif"/>
                <w:b w:val="false"/>
                <w:color w:val="51555C"/>
                <w:sz w:val="13"/>
              </w:rPr>
              <w:t>(4)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Implementation costs for cloud computing arrangements, net</w:t>
            </w:r>
            <w:r>
              <w:rPr>
                <w:rFonts w:ascii="sans-serif" w:hAnsi="sans-serif"/>
                <w:b w:val="false"/>
                <w:color w:val="51555C"/>
                <w:sz w:val="13"/>
              </w:rPr>
              <w:t>(5)(6)</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8,533 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11,055 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Unbilled 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 right-of-use assets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6,362 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4,630 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Derivative instruments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Prepaid insurance</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4,109 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2,164 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14,475 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prepaid expenses and other assets</w:t>
            </w:r>
          </w:p>
        </w:tc>
        <w:tc>
          <w:tcPr>
            <w:tcW w:w="10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178,422 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145,495 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56,205 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Prepaid expenses and other current assets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96,620 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89,290 </w:t>
            </w:r>
          </w:p>
        </w:tc>
        <w:tc>
          <w:tcPr>
            <w:tcW w:w="18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(1)Amortization expense from costs of obtaining contracts was $5.2 million and $10.4 million for the three and six months ended June 30, 2026, respectively, and $5.1 million and $10.1 million for the three and six months ended June 30, 2025,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current portion of costs of obtaining contracts as of June 30, 2026 and December 31, 2025 was $18.4 million and $18.5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(3)The current portion of prepaid software maintenance and subscriptions as of June 30, 2026 and December 31, 2025 was $34.4 million and $30.4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(4)Represents strategic investments that did not result in Blackbaud having significant influence over the investees.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(5)These costs primarily relate to the multi-year implementations of our global enterprise resource planning, customer relationship management systems and other cloud-based systems.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(6)Amortization expense from capitalized cloud computing implementation costs was insignificant for the three months ended June 30, 2026 and 2025, and $1.8 million and $1.6 million for the six months ended June 30, 2026 and 2025, respectively. Accumulated amortization for these costs was $13.6 million and $14.0 million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91540"/>
                <wp:effectExtent l="0" t="0" r="0" b="0"/>
                <wp:wrapNone/>
                <wp:docPr id="38" name="Frame1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7"/>
                                                <a:stretch>
                                                  <a:fillRect/>
                                                </a:stretch>
                                              </pic:blipFill>
                                              <pic:spPr bwMode="auto">
                                                <a:xfrm>
                                                  <a:off x="0" y="0"/>
                                                  <a:ext cx="723900" cy="190500"/>
                                                </a:xfrm>
                                                <a:prstGeom prst="rect">
                                                  <a:avLst/>
                                                </a:prstGeom>
                                              </pic:spPr>
                                            </pic:pic>
                                          </a:graphicData>
                                        </a:graphic>
                                      </wp:inline>
                                    </w:drawing>
                                  </w:r>
                                  <w:bookmarkStart w:id="25" w:name="i-15"/>
                                  <w:bookmarkEnd w:id="2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28"/>
                                          <a:stretch>
                                            <a:fillRect/>
                                          </a:stretch>
                                        </pic:blipFill>
                                        <pic:spPr bwMode="auto">
                                          <a:xfrm>
                                            <a:off x="0" y="0"/>
                                            <a:ext cx="723900" cy="190500"/>
                                          </a:xfrm>
                                          <a:prstGeom prst="rect">
                                            <a:avLst/>
                                          </a:prstGeom>
                                        </pic:spPr>
                                      </pic:pic>
                                    </a:graphicData>
                                  </a:graphic>
                                </wp:inline>
                              </w:drawing>
                            </w:r>
                            <w:bookmarkStart w:id="26" w:name="i-15"/>
                            <w:bookmarkEnd w:id="26"/>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Accrued expenses and other liabilities</w:t>
      </w:r>
    </w:p>
    <w:tbl>
      <w:tblPr>
        <w:tblW w:w="7176" w:type="dxa"/>
        <w:jc w:val="left"/>
        <w:tblInd w:w="0" w:type="dxa"/>
        <w:tblLayout w:type="fixed"/>
        <w:tblCellMar>
          <w:top w:w="28" w:type="dxa"/>
          <w:left w:w="28" w:type="dxa"/>
          <w:bottom w:w="28" w:type="dxa"/>
          <w:right w:w="28" w:type="dxa"/>
        </w:tblCellMar>
      </w:tblPr>
      <w:tblGrid>
        <w:gridCol w:w="1662"/>
        <w:gridCol w:w="1462"/>
        <w:gridCol w:w="1466"/>
        <w:gridCol w:w="226"/>
        <w:gridCol w:w="826"/>
        <w:gridCol w:w="109"/>
        <w:gridCol w:w="267"/>
        <w:gridCol w:w="976"/>
        <w:gridCol w:w="182"/>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6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45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Taxes payable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8,798 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9,945 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Customer credit balances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9,975 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Unrecognized tax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commissions and salaries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3,075 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3,849 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health care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Derivative instruments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15,330 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accrued expenses and other liabilities</w:t>
            </w:r>
          </w:p>
        </w:tc>
        <w:tc>
          <w:tcPr>
            <w:tcW w:w="10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50,425 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55,009 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expenses and other current liabilities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37,603 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43,272 </w:t>
            </w:r>
          </w:p>
        </w:tc>
        <w:tc>
          <w:tcPr>
            <w:tcW w:w="18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sans-serif" w:hAnsi="sans-serif"/>
          <w:b/>
          <w:color w:val="51555C"/>
          <w:sz w:val="20"/>
        </w:rPr>
        <w:t>Other income, net</w:t>
      </w:r>
      <w:r>
        <w:rPr>
          <w:color w:val="51555C"/>
        </w:rPr>
        <w:t xml:space="preserve"> </w:t>
      </w:r>
    </w:p>
    <w:tbl>
      <w:tblPr>
        <w:tblW w:w="7370" w:type="dxa"/>
        <w:jc w:val="left"/>
        <w:tblInd w:w="0" w:type="dxa"/>
        <w:tblLayout w:type="fixed"/>
        <w:tblCellMar>
          <w:top w:w="28" w:type="dxa"/>
          <w:left w:w="28" w:type="dxa"/>
          <w:bottom w:w="28" w:type="dxa"/>
          <w:right w:w="28" w:type="dxa"/>
        </w:tblCellMar>
      </w:tblPr>
      <w:tblGrid>
        <w:gridCol w:w="1026"/>
        <w:gridCol w:w="903"/>
        <w:gridCol w:w="905"/>
        <w:gridCol w:w="226"/>
        <w:gridCol w:w="706"/>
        <w:gridCol w:w="109"/>
        <w:gridCol w:w="226"/>
        <w:gridCol w:w="706"/>
        <w:gridCol w:w="109"/>
        <w:gridCol w:w="109"/>
        <w:gridCol w:w="109"/>
        <w:gridCol w:w="109"/>
        <w:gridCol w:w="226"/>
        <w:gridCol w:w="706"/>
        <w:gridCol w:w="109"/>
        <w:gridCol w:w="226"/>
        <w:gridCol w:w="70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127"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8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283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income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1,927 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1,968 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3,605 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3,623 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Currency revaluation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income, net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1,277 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2,499 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income, net</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1,984 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1,118 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4,380 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3,223 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6. Debt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debt balances and the related weighted average effective interest rates, which includes the effect of interest rate swap agreements.</w:t>
      </w:r>
    </w:p>
    <w:tbl>
      <w:tblPr>
        <w:tblW w:w="10205" w:type="dxa"/>
        <w:jc w:val="left"/>
        <w:tblInd w:w="0" w:type="dxa"/>
        <w:tblLayout w:type="fixed"/>
        <w:tblCellMar>
          <w:top w:w="28" w:type="dxa"/>
          <w:left w:w="28" w:type="dxa"/>
          <w:bottom w:w="28" w:type="dxa"/>
          <w:right w:w="28" w:type="dxa"/>
        </w:tblCellMar>
      </w:tblPr>
      <w:tblGrid>
        <w:gridCol w:w="1586"/>
        <w:gridCol w:w="1395"/>
        <w:gridCol w:w="1399"/>
        <w:gridCol w:w="226"/>
        <w:gridCol w:w="1126"/>
        <w:gridCol w:w="109"/>
        <w:gridCol w:w="226"/>
        <w:gridCol w:w="1126"/>
        <w:gridCol w:w="109"/>
        <w:gridCol w:w="109"/>
        <w:gridCol w:w="109"/>
        <w:gridCol w:w="109"/>
        <w:gridCol w:w="373"/>
        <w:gridCol w:w="239"/>
        <w:gridCol w:w="574"/>
        <w:gridCol w:w="293"/>
        <w:gridCol w:w="293"/>
        <w:gridCol w:w="804"/>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Debt balance at</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576"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Weighted average</w:t>
              <w:br/>
              <w:t>effective interest rate at</w:t>
            </w:r>
          </w:p>
        </w:tc>
      </w:tr>
      <w:tr>
        <w:trPr/>
        <w:tc>
          <w:tcPr>
            <w:tcW w:w="43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327"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39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43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Credit facility:</w:t>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Revolving credit loans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5.91 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5.50 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Term loans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760,000 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770,000 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5.46 </w:t>
            </w:r>
          </w:p>
        </w:tc>
        <w:tc>
          <w:tcPr>
            <w:tcW w:w="57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5.21 </w:t>
            </w:r>
          </w:p>
        </w:tc>
        <w:tc>
          <w:tcPr>
            <w:tcW w:w="80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Real estate loans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5.23 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5.23 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debt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13,802 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7.38 </w:t>
            </w:r>
          </w:p>
        </w:tc>
        <w:tc>
          <w:tcPr>
            <w:tcW w:w="57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9.13 </w:t>
            </w:r>
          </w:p>
        </w:tc>
        <w:tc>
          <w:tcPr>
            <w:tcW w:w="80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debt</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1,152,197 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1,110,443 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5.60 </w:t>
            </w:r>
          </w:p>
        </w:tc>
        <w:tc>
          <w:tcPr>
            <w:tcW w:w="57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5.29 </w:t>
            </w:r>
          </w:p>
        </w:tc>
        <w:tc>
          <w:tcPr>
            <w:tcW w:w="80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Unamortized discount and debt issuance costs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Debt, current portion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5.75 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5.49 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Debt, net of current portion</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1,127,412 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1,087,037 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5.60 </w:t>
            </w:r>
          </w:p>
        </w:tc>
        <w:tc>
          <w:tcPr>
            <w:tcW w:w="57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5.28 </w:t>
            </w:r>
          </w:p>
        </w:tc>
        <w:tc>
          <w:tcPr>
            <w:tcW w:w="80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April 2024, we entered into a five-year $1.5 billion senior credit facility (the "2024 Credit Facilities"). At June 30, 2026, we were in compliance with our debt covenants under the 2024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91540"/>
                <wp:effectExtent l="0" t="0" r="0" b="0"/>
                <wp:wrapNone/>
                <wp:docPr id="41" name="Frame1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29"/>
                                                <a:stretch>
                                                  <a:fillRect/>
                                                </a:stretch>
                                              </pic:blipFill>
                                              <pic:spPr bwMode="auto">
                                                <a:xfrm>
                                                  <a:off x="0" y="0"/>
                                                  <a:ext cx="733425" cy="190500"/>
                                                </a:xfrm>
                                                <a:prstGeom prst="rect">
                                                  <a:avLst/>
                                                </a:prstGeom>
                                              </pic:spPr>
                                            </pic:pic>
                                          </a:graphicData>
                                        </a:graphic>
                                      </wp:inline>
                                    </w:drawing>
                                  </w:r>
                                  <w:bookmarkStart w:id="27" w:name="i-16"/>
                                  <w:bookmarkEnd w:id="2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0"/>
                                          <a:stretch>
                                            <a:fillRect/>
                                          </a:stretch>
                                        </pic:blipFill>
                                        <pic:spPr bwMode="auto">
                                          <a:xfrm>
                                            <a:off x="0" y="0"/>
                                            <a:ext cx="733425" cy="190500"/>
                                          </a:xfrm>
                                          <a:prstGeom prst="rect">
                                            <a:avLst/>
                                          </a:prstGeom>
                                        </pic:spPr>
                                      </pic:pic>
                                    </a:graphicData>
                                  </a:graphic>
                                </wp:inline>
                              </w:drawing>
                            </w:r>
                            <w:bookmarkStart w:id="28" w:name="i-16"/>
                            <w:bookmarkEnd w:id="2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Real estate loans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The Real Estate Loans require periodic principal payments and the balance of the Real Estate Loans are due upon maturity in April 2038. At June 30, 2026, we were in compliance with our debt covenants under the Real Estate Loans.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From time to time, we enter into third-party financing agreements for purchases of software and related services for our internal use. Generally, the agreements are non-interest-bearing notes requiring periodic payments. Interest associated with the notes is imputed at the rate we would incur for amounts borrowed under our then-existing credit facility at the inception of the notes.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currently effective supplier financing agreements as of June 30, 2026:</w:t>
      </w:r>
    </w:p>
    <w:tbl>
      <w:tblPr>
        <w:tblW w:w="8816" w:type="dxa"/>
        <w:jc w:val="left"/>
        <w:tblInd w:w="0" w:type="dxa"/>
        <w:tblLayout w:type="fixed"/>
        <w:tblCellMar>
          <w:top w:w="28" w:type="dxa"/>
          <w:left w:w="28" w:type="dxa"/>
          <w:bottom w:w="28" w:type="dxa"/>
          <w:right w:w="28" w:type="dxa"/>
        </w:tblCellMar>
      </w:tblPr>
      <w:tblGrid>
        <w:gridCol w:w="1385"/>
        <w:gridCol w:w="1218"/>
        <w:gridCol w:w="1222"/>
        <w:gridCol w:w="369"/>
        <w:gridCol w:w="369"/>
        <w:gridCol w:w="371"/>
        <w:gridCol w:w="359"/>
        <w:gridCol w:w="359"/>
        <w:gridCol w:w="361"/>
        <w:gridCol w:w="469"/>
        <w:gridCol w:w="469"/>
        <w:gridCol w:w="471"/>
        <w:gridCol w:w="290"/>
        <w:gridCol w:w="907"/>
        <w:gridCol w:w="197"/>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Term</w:t>
              <w:br/>
              <w:t> in Months</w:t>
            </w:r>
          </w:p>
        </w:tc>
        <w:tc>
          <w:tcPr>
            <w:tcW w:w="10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Number of</w:t>
              <w:br/>
              <w:t>Payments</w:t>
            </w:r>
          </w:p>
        </w:tc>
        <w:tc>
          <w:tcPr>
            <w:tcW w:w="14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First Payment</w:t>
              <w:br/>
              <w:t>Due</w:t>
            </w:r>
          </w:p>
        </w:tc>
        <w:tc>
          <w:tcPr>
            <w:tcW w:w="139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Original Loan</w:t>
              <w:br/>
              <w:t>Value</w:t>
            </w:r>
          </w:p>
        </w:tc>
      </w:tr>
      <w:tr>
        <w:trPr/>
        <w:tc>
          <w:tcPr>
            <w:tcW w:w="38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pPr>
            <w:r>
              <w:rPr>
                <w:rFonts w:ascii="sans-serif" w:hAnsi="sans-serif"/>
                <w:b/>
                <w:color w:val="51555C"/>
                <w:sz w:val="20"/>
              </w:rPr>
              <w:t xml:space="preserve">Effective dates of agreements </w:t>
            </w:r>
            <w:r>
              <w:rPr>
                <w:rFonts w:ascii="sans-serif" w:hAnsi="sans-serif"/>
                <w:b/>
                <w:color w:val="51555C"/>
                <w:sz w:val="13"/>
              </w:rPr>
              <w:t>(1)</w:t>
            </w:r>
            <w:r>
              <w:rPr>
                <w:rFonts w:ascii="sans-serif" w:hAnsi="sans-serif"/>
                <w:b/>
                <w:color w:val="51555C"/>
                <w:sz w:val="20"/>
              </w:rPr>
              <w:t>:</w:t>
            </w:r>
          </w:p>
        </w:tc>
        <w:tc>
          <w:tcPr>
            <w:tcW w:w="11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April 2024</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May 2024</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January 2026</w:t>
            </w:r>
          </w:p>
        </w:tc>
        <w:tc>
          <w:tcPr>
            <w:tcW w:w="110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w:t>
            </w:r>
          </w:p>
        </w:tc>
        <w:tc>
          <w:tcPr>
            <w:tcW w:w="71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7 </w:t>
            </w:r>
          </w:p>
        </w:tc>
        <w:tc>
          <w:tcPr>
            <w:tcW w:w="36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October 2026</w:t>
            </w:r>
          </w:p>
        </w:tc>
        <w:tc>
          <w:tcPr>
            <w:tcW w:w="119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13,802 </w:t>
            </w:r>
          </w:p>
        </w:tc>
        <w:tc>
          <w:tcPr>
            <w:tcW w:w="19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(1)Represent noncash investing and financing transactions during the periods indicated as we purchased software and services by assuming directly related liabilities.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changes in supplier financing obligations during the six months ended June 30, 2026, consisted of the following:</w:t>
      </w:r>
    </w:p>
    <w:tbl>
      <w:tblPr>
        <w:tblW w:w="4731" w:type="dxa"/>
        <w:jc w:val="left"/>
        <w:tblInd w:w="0" w:type="dxa"/>
        <w:tblLayout w:type="fixed"/>
        <w:tblCellMar>
          <w:top w:w="28" w:type="dxa"/>
          <w:left w:w="28" w:type="dxa"/>
          <w:bottom w:w="28" w:type="dxa"/>
          <w:right w:w="28" w:type="dxa"/>
        </w:tblCellMar>
      </w:tblPr>
      <w:tblGrid>
        <w:gridCol w:w="1276"/>
        <w:gridCol w:w="1123"/>
        <w:gridCol w:w="1126"/>
        <w:gridCol w:w="226"/>
        <w:gridCol w:w="82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0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35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Balance at December 31, 2025</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Additions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Payments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(691)</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Balance at June 30, 2026</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13,802 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7. Derivative Instruments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All of our derivative instruments are governed by International Swap Dealers Association, Inc. master agreements with our counterparties. As of June 30, 2026 and December 31, 2025, we have presented the fair value of our derivative instruments at the gross amounts in the unaudited, condensed consolidated balance sheets as the gross fair values of our derivative instruments equaled their net fair values.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Cash flow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interest rate swap agreements, which effectively convert portions of our variable rate debt under the 2024 Credit Facilities to a fixed rate for the term of the swap agreements. We designated each of the interest rate swaps as cash flow hedges at the inception of the contracts. Our entry into the 2024 Credit Agreement in April 2024 did not affect our interest rate swap agreements, including their designation as cash flow hedges, as the 2024 Credit Agreement has substantially the same critical terms as the 2020 Credit Agreement.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June 30, 2026 and December 31, 2025, the aggregate notional values of the interest rate swaps were $800.0 million and $700.0 million, respectively. All of the contracts have maturities on or before February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91540"/>
                <wp:effectExtent l="0" t="0" r="0" b="0"/>
                <wp:wrapNone/>
                <wp:docPr id="44" name="Frame1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31"/>
                                                <a:stretch>
                                                  <a:fillRect/>
                                                </a:stretch>
                                              </pic:blipFill>
                                              <pic:spPr bwMode="auto">
                                                <a:xfrm>
                                                  <a:off x="0" y="0"/>
                                                  <a:ext cx="723900" cy="190500"/>
                                                </a:xfrm>
                                                <a:prstGeom prst="rect">
                                                  <a:avLst/>
                                                </a:prstGeom>
                                              </pic:spPr>
                                            </pic:pic>
                                          </a:graphicData>
                                        </a:graphic>
                                      </wp:inline>
                                    </w:drawing>
                                  </w:r>
                                  <w:bookmarkStart w:id="29" w:name="i-17"/>
                                  <w:bookmarkEnd w:id="2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32"/>
                                          <a:stretch>
                                            <a:fillRect/>
                                          </a:stretch>
                                        </pic:blipFill>
                                        <pic:spPr bwMode="auto">
                                          <a:xfrm>
                                            <a:off x="0" y="0"/>
                                            <a:ext cx="723900" cy="190500"/>
                                          </a:xfrm>
                                          <a:prstGeom prst="rect">
                                            <a:avLst/>
                                          </a:prstGeom>
                                        </pic:spPr>
                                      </pic:pic>
                                    </a:graphicData>
                                  </a:graphic>
                                </wp:inline>
                              </w:drawing>
                            </w:r>
                            <w:bookmarkStart w:id="30" w:name="i-17"/>
                            <w:bookmarkEnd w:id="3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June 30, 2026 and December 31, 2025, the aggregate notional values of the foreign currency forward contracts designated as cash flow hedges that we held to buy USD in exchange for Canadian Dollars were $34.3 million CAD and $32.9 million CAD, respectively. All of the contracts have maturities of 12 months or less. </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Net investment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June 30, 2026 and December 31, 2025, the aggregate notional values of the foreign currency forward contracts designated as net investment hedges to reduce the volatility of the U.S. dollar value of a portion of our GBP-denominated investments was £12.1 million and £12.0 million, respectively.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values of our derivative instruments were as follows as of:</w:t>
      </w:r>
    </w:p>
    <w:tbl>
      <w:tblPr>
        <w:tblW w:w="10205" w:type="dxa"/>
        <w:jc w:val="left"/>
        <w:tblInd w:w="0" w:type="dxa"/>
        <w:tblLayout w:type="fixed"/>
        <w:tblCellMar>
          <w:top w:w="28" w:type="dxa"/>
          <w:left w:w="28" w:type="dxa"/>
          <w:bottom w:w="28" w:type="dxa"/>
          <w:right w:w="28" w:type="dxa"/>
        </w:tblCellMar>
      </w:tblPr>
      <w:tblGrid>
        <w:gridCol w:w="1208"/>
        <w:gridCol w:w="846"/>
        <w:gridCol w:w="849"/>
        <w:gridCol w:w="549"/>
        <w:gridCol w:w="426"/>
        <w:gridCol w:w="427"/>
        <w:gridCol w:w="226"/>
        <w:gridCol w:w="706"/>
        <w:gridCol w:w="109"/>
        <w:gridCol w:w="290"/>
        <w:gridCol w:w="678"/>
        <w:gridCol w:w="142"/>
        <w:gridCol w:w="109"/>
        <w:gridCol w:w="109"/>
        <w:gridCol w:w="109"/>
        <w:gridCol w:w="571"/>
        <w:gridCol w:w="449"/>
        <w:gridCol w:w="450"/>
        <w:gridCol w:w="235"/>
        <w:gridCol w:w="424"/>
        <w:gridCol w:w="113"/>
        <w:gridCol w:w="244"/>
        <w:gridCol w:w="762"/>
        <w:gridCol w:w="174"/>
      </w:tblGrid>
      <w:tr>
        <w:trPr/>
        <w:tc>
          <w:tcPr>
            <w:tcW w:w="120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Asset derivatives</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Liability derivatives</w:t>
            </w:r>
          </w:p>
        </w:tc>
      </w:tr>
      <w:tr>
        <w:trPr/>
        <w:tc>
          <w:tcPr>
            <w:tcW w:w="290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0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1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77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18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290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Derivative instruments designated as hedging instruments:</w:t>
            </w:r>
          </w:p>
        </w:tc>
        <w:tc>
          <w:tcPr>
            <w:tcW w:w="140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 current portion</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Prepaid expenses</w:t>
            </w:r>
          </w:p>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and other current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Accrued expenses</w:t>
              <w:br/>
              <w:t>and other current liabilities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 current portion</w:t>
            </w:r>
          </w:p>
        </w:tc>
        <w:tc>
          <w:tcPr>
            <w:tcW w:w="140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Prepaid expenses</w:t>
            </w:r>
          </w:p>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and other current assets</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78"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4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Accrued expenses</w:t>
              <w:br/>
              <w:t>and other</w:t>
              <w:br/>
              <w:t>current liabilities</w:t>
            </w:r>
          </w:p>
        </w:tc>
        <w:tc>
          <w:tcPr>
            <w:tcW w:w="23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42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42 </w:t>
            </w:r>
          </w:p>
        </w:tc>
        <w:tc>
          <w:tcPr>
            <w:tcW w:w="11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 long-term</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Other liabilities</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Total derivative instruments designated as hedging instruments</w:t>
            </w:r>
          </w:p>
        </w:tc>
        <w:tc>
          <w:tcPr>
            <w:tcW w:w="1402"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6,078 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7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4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4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42 </w:t>
            </w:r>
          </w:p>
        </w:tc>
        <w:tc>
          <w:tcPr>
            <w:tcW w:w="11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7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91540"/>
                <wp:effectExtent l="0" t="0" r="0" b="0"/>
                <wp:wrapNone/>
                <wp:docPr id="47" name="Frame1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733425" cy="190500"/>
                                                </a:xfrm>
                                                <a:prstGeom prst="rect">
                                                  <a:avLst/>
                                                </a:prstGeom>
                                              </pic:spPr>
                                            </pic:pic>
                                          </a:graphicData>
                                        </a:graphic>
                                      </wp:inline>
                                    </w:drawing>
                                  </w:r>
                                  <w:bookmarkStart w:id="31" w:name="i-18"/>
                                  <w:bookmarkEnd w:id="3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34"/>
                                          <a:stretch>
                                            <a:fillRect/>
                                          </a:stretch>
                                        </pic:blipFill>
                                        <pic:spPr bwMode="auto">
                                          <a:xfrm>
                                            <a:off x="0" y="0"/>
                                            <a:ext cx="733425" cy="190500"/>
                                          </a:xfrm>
                                          <a:prstGeom prst="rect">
                                            <a:avLst/>
                                          </a:prstGeom>
                                        </pic:spPr>
                                      </pic:pic>
                                    </a:graphicData>
                                  </a:graphic>
                                </wp:inline>
                              </w:drawing>
                            </w:r>
                            <w:bookmarkStart w:id="32" w:name="i-18"/>
                            <w:bookmarkEnd w:id="3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effects of derivative instruments in cash flow and net investment hedging relationships were as follows:</w:t>
      </w:r>
    </w:p>
    <w:tbl>
      <w:tblPr>
        <w:tblW w:w="10205" w:type="dxa"/>
        <w:jc w:val="left"/>
        <w:tblInd w:w="0" w:type="dxa"/>
        <w:tblLayout w:type="fixed"/>
        <w:tblCellMar>
          <w:top w:w="28" w:type="dxa"/>
          <w:left w:w="28" w:type="dxa"/>
          <w:bottom w:w="28" w:type="dxa"/>
          <w:right w:w="28" w:type="dxa"/>
        </w:tblCellMar>
      </w:tblPr>
      <w:tblGrid>
        <w:gridCol w:w="1058"/>
        <w:gridCol w:w="853"/>
        <w:gridCol w:w="856"/>
        <w:gridCol w:w="420"/>
        <w:gridCol w:w="1343"/>
        <w:gridCol w:w="203"/>
        <w:gridCol w:w="589"/>
        <w:gridCol w:w="589"/>
        <w:gridCol w:w="591"/>
        <w:gridCol w:w="365"/>
        <w:gridCol w:w="1143"/>
        <w:gridCol w:w="175"/>
        <w:gridCol w:w="147"/>
        <w:gridCol w:w="147"/>
        <w:gridCol w:w="147"/>
        <w:gridCol w:w="326"/>
        <w:gridCol w:w="1023"/>
        <w:gridCol w:w="230"/>
      </w:tblGrid>
      <w:tr>
        <w:trPr/>
        <w:tc>
          <w:tcPr>
            <w:tcW w:w="10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Gain (loss) recognized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in 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as of</w:t>
            </w:r>
          </w:p>
        </w:tc>
        <w:tc>
          <w:tcPr>
            <w:tcW w:w="1769"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Location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of gain (loss)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reclassified from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into</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income</w:t>
            </w:r>
          </w:p>
        </w:tc>
        <w:tc>
          <w:tcPr>
            <w:tcW w:w="3703"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Gain reclassified from accumulated</w:t>
            </w:r>
          </w:p>
          <w:p>
            <w:pPr>
              <w:pStyle w:val="TableContents"/>
              <w:bidi w:val="0"/>
              <w:spacing w:lineRule="auto" w:line="288" w:before="0" w:after="0"/>
              <w:jc w:val="right"/>
              <w:rPr>
                <w:color w:val="FFFFFF"/>
              </w:rPr>
            </w:pPr>
            <w:r>
              <w:rPr>
                <w:color w:val="FFFFFF"/>
              </w:rPr>
              <w:t> </w:t>
            </w:r>
            <w:r>
              <w:rPr>
                <w:rFonts w:ascii="sans-serif" w:hAnsi="sans-serif"/>
                <w:b/>
                <w:color w:val="FFFFFF"/>
                <w:sz w:val="16"/>
              </w:rPr>
              <w:t>other comprehensive loss into income</w:t>
            </w:r>
          </w:p>
        </w:tc>
      </w:tr>
      <w:tr>
        <w:trPr/>
        <w:tc>
          <w:tcPr>
            <w:tcW w:w="276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96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769"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68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 2026</w:t>
            </w:r>
          </w:p>
        </w:tc>
        <w:tc>
          <w:tcPr>
            <w:tcW w:w="441"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 2026</w:t>
            </w:r>
          </w:p>
        </w:tc>
      </w:tr>
      <w:tr>
        <w:trPr/>
        <w:tc>
          <w:tcPr>
            <w:tcW w:w="276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Cash Flow Hedges</w:t>
            </w:r>
          </w:p>
        </w:tc>
        <w:tc>
          <w:tcPr>
            <w:tcW w:w="196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5,488 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Interest expense</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704 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2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4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512 </w:t>
            </w:r>
          </w:p>
        </w:tc>
        <w:tc>
          <w:tcPr>
            <w:tcW w:w="2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Revenue</w:t>
            </w:r>
          </w:p>
        </w:tc>
        <w:tc>
          <w:tcPr>
            <w:tcW w:w="36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4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68 </w:t>
            </w:r>
          </w:p>
        </w:tc>
        <w:tc>
          <w:tcPr>
            <w:tcW w:w="17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2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27 </w:t>
            </w:r>
          </w:p>
        </w:tc>
        <w:tc>
          <w:tcPr>
            <w:tcW w:w="2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Net Investment Hedges</w:t>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2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4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36 </w:t>
            </w:r>
          </w:p>
        </w:tc>
        <w:tc>
          <w:tcPr>
            <w:tcW w:w="2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4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7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2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769"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 2025</w:t>
            </w:r>
          </w:p>
        </w:tc>
        <w:tc>
          <w:tcPr>
            <w:tcW w:w="441"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 2025</w:t>
            </w:r>
          </w:p>
        </w:tc>
      </w:tr>
      <w:tr>
        <w:trPr/>
        <w:tc>
          <w:tcPr>
            <w:tcW w:w="276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Cash Flow Hedges</w:t>
            </w:r>
          </w:p>
        </w:tc>
        <w:tc>
          <w:tcPr>
            <w:tcW w:w="196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Interest expense</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2,437 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2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4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(541)</w:t>
            </w:r>
          </w:p>
        </w:tc>
        <w:tc>
          <w:tcPr>
            <w:tcW w:w="2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Revenue</w:t>
            </w:r>
          </w:p>
        </w:tc>
        <w:tc>
          <w:tcPr>
            <w:tcW w:w="36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4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138 </w:t>
            </w:r>
          </w:p>
        </w:tc>
        <w:tc>
          <w:tcPr>
            <w:tcW w:w="17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2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434 </w:t>
            </w:r>
          </w:p>
        </w:tc>
        <w:tc>
          <w:tcPr>
            <w:tcW w:w="2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Net Investment Hedges</w:t>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2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43"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(818)</w:t>
            </w:r>
          </w:p>
        </w:tc>
        <w:tc>
          <w:tcPr>
            <w:tcW w:w="203"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43"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1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23"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230"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June 30, 2026 that is expected to be reclassified into earnings within the next twelve months is $3.6 million. There were no ineffective portions of our interest rate swap or foreign currency forward derivatives during the six months ended June 30, 2026 and 2025. See Note 10 to these unaudited, condensed consolidated financial statements for a summary of the changes in accumulated other comprehensive income (loss) by component. We classify cash flows related to derivative instruments as operating activities in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91540"/>
                <wp:effectExtent l="0" t="0" r="0" b="0"/>
                <wp:wrapNone/>
                <wp:docPr id="50" name="Frame1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35"/>
                                                <a:stretch>
                                                  <a:fillRect/>
                                                </a:stretch>
                                              </pic:blipFill>
                                              <pic:spPr bwMode="auto">
                                                <a:xfrm>
                                                  <a:off x="0" y="0"/>
                                                  <a:ext cx="723900" cy="190500"/>
                                                </a:xfrm>
                                                <a:prstGeom prst="rect">
                                                  <a:avLst/>
                                                </a:prstGeom>
                                              </pic:spPr>
                                            </pic:pic>
                                          </a:graphicData>
                                        </a:graphic>
                                      </wp:inline>
                                    </w:drawing>
                                  </w:r>
                                  <w:bookmarkStart w:id="33" w:name="i-19"/>
                                  <w:bookmarkEnd w:id="33"/>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36"/>
                                          <a:stretch>
                                            <a:fillRect/>
                                          </a:stretch>
                                        </pic:blipFill>
                                        <pic:spPr bwMode="auto">
                                          <a:xfrm>
                                            <a:off x="0" y="0"/>
                                            <a:ext cx="723900" cy="190500"/>
                                          </a:xfrm>
                                          <a:prstGeom prst="rect">
                                            <a:avLst/>
                                          </a:prstGeom>
                                        </pic:spPr>
                                      </pic:pic>
                                    </a:graphicData>
                                  </a:graphic>
                                </wp:inline>
                              </w:drawing>
                            </w:r>
                            <w:bookmarkStart w:id="34" w:name="i-19"/>
                            <w:bookmarkEnd w:id="3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4980" w:type="dxa"/>
        <w:jc w:val="left"/>
        <w:tblInd w:w="0" w:type="dxa"/>
        <w:tblLayout w:type="fixed"/>
        <w:tblCellMar>
          <w:top w:w="28" w:type="dxa"/>
          <w:left w:w="28" w:type="dxa"/>
          <w:bottom w:w="28" w:type="dxa"/>
          <w:right w:w="28" w:type="dxa"/>
        </w:tblCellMar>
      </w:tblPr>
      <w:tblGrid>
        <w:gridCol w:w="1594"/>
        <w:gridCol w:w="1402"/>
        <w:gridCol w:w="1984"/>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8. Commitments and Contingencies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Leases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operating leases for corporate offices and subleased offices. As of June 30, 2026, we did not have any operating leases that had not yet commenced.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Lease costs for the three and six months ended June 30, 2026 and 2025 were insignificant. As a result, we have not presented a tabular summary of the components of lease costs for the period.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"Operating lease right-of-use assets" are included within "other assets" in our unaudited, condensed consolidated balance sheets. "Operating lease liabilities, current portion" are included in "accrued expenses and other current liabilities," while "operating lease liabilities, net of current portion" are included in "other liabilities" in our unaudited, condensed consolidated balance sheets. See Note 5 to these unaudited, condensed consolidated financial statements for additional information.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commitments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term loans under the 2024 Credit Facilities require periodic principal payments. The balance of the term loans and any amounts drawn on the revolving credit loans are due upon maturity of the 2024 Credit Facilities in April 2029. The Real Estate Loans also require periodic principal payments and the balance of the Real Estate Loans are due upon maturity in April 2038.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contractual obligations for third-party technology used in our solutions and for other services we purchase as part of our normal operations. In certain cases, these arrangements require a minimum annual purchase commitment by us. As of June 30, 2026, the remaining aggregate minimum purchase commitment under these arrangements was approximately $84.5 million through 2031.</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a multi-year arrangement for third-party technology and related services, financed through a third-party installment arrangement, that requires fixed payments through April 2030. See discussion of "Other debt" at Note 6 to these unaudited, condensed consolidated financial statements for additional information.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Solution and service indemnifications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subject to legal proceedings and claims that arise in the ordinary course of business, as well as certain other non-ordinary course proceedings, claims and investigations.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 We have determined as of June 30, 2026, that no provision for liability nor disclosure is required related to any pending or anticipated legal proceeding or claim against us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91540"/>
                <wp:effectExtent l="0" t="0" r="0" b="0"/>
                <wp:wrapNone/>
                <wp:docPr id="53" name="Frame1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7"/>
                                                <a:stretch>
                                                  <a:fillRect/>
                                                </a:stretch>
                                              </pic:blipFill>
                                              <pic:spPr bwMode="auto">
                                                <a:xfrm>
                                                  <a:off x="0" y="0"/>
                                                  <a:ext cx="733425" cy="190500"/>
                                                </a:xfrm>
                                                <a:prstGeom prst="rect">
                                                  <a:avLst/>
                                                </a:prstGeom>
                                              </pic:spPr>
                                            </pic:pic>
                                          </a:graphicData>
                                        </a:graphic>
                                      </wp:inline>
                                    </w:drawing>
                                  </w:r>
                                  <w:bookmarkStart w:id="35" w:name="i-20"/>
                                  <w:bookmarkEnd w:id="3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8"/>
                                          <a:stretch>
                                            <a:fillRect/>
                                          </a:stretch>
                                        </pic:blipFill>
                                        <pic:spPr bwMode="auto">
                                          <a:xfrm>
                                            <a:off x="0" y="0"/>
                                            <a:ext cx="733425" cy="190500"/>
                                          </a:xfrm>
                                          <a:prstGeom prst="rect">
                                            <a:avLst/>
                                          </a:prstGeom>
                                        </pic:spPr>
                                      </pic:pic>
                                    </a:graphicData>
                                  </a:graphic>
                                </wp:inline>
                              </w:drawing>
                            </w:r>
                            <w:bookmarkStart w:id="36" w:name="i-20"/>
                            <w:bookmarkEnd w:id="3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2370" w:type="dxa"/>
        <w:jc w:val="left"/>
        <w:tblInd w:w="0" w:type="dxa"/>
        <w:tblLayout w:type="fixed"/>
        <w:tblCellMar>
          <w:top w:w="28" w:type="dxa"/>
          <w:left w:w="28" w:type="dxa"/>
          <w:bottom w:w="28" w:type="dxa"/>
          <w:right w:w="28" w:type="dxa"/>
        </w:tblCellMar>
      </w:tblPr>
      <w:tblGrid>
        <w:gridCol w:w="758"/>
        <w:gridCol w:w="667"/>
        <w:gridCol w:w="945"/>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9. Income Taxes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income tax provision and effective income tax rates, including the effects of period-specific events, were:</w:t>
      </w:r>
    </w:p>
    <w:tbl>
      <w:tblPr>
        <w:tblW w:w="8304" w:type="dxa"/>
        <w:jc w:val="left"/>
        <w:tblInd w:w="0" w:type="dxa"/>
        <w:tblLayout w:type="fixed"/>
        <w:tblCellMar>
          <w:top w:w="28" w:type="dxa"/>
          <w:left w:w="28" w:type="dxa"/>
          <w:bottom w:w="28" w:type="dxa"/>
          <w:right w:w="28" w:type="dxa"/>
        </w:tblCellMar>
      </w:tblPr>
      <w:tblGrid>
        <w:gridCol w:w="934"/>
        <w:gridCol w:w="822"/>
        <w:gridCol w:w="824"/>
        <w:gridCol w:w="226"/>
        <w:gridCol w:w="826"/>
        <w:gridCol w:w="286"/>
        <w:gridCol w:w="226"/>
        <w:gridCol w:w="826"/>
        <w:gridCol w:w="286"/>
        <w:gridCol w:w="109"/>
        <w:gridCol w:w="109"/>
        <w:gridCol w:w="109"/>
        <w:gridCol w:w="226"/>
        <w:gridCol w:w="826"/>
        <w:gridCol w:w="286"/>
        <w:gridCol w:w="226"/>
        <w:gridCol w:w="826"/>
        <w:gridCol w:w="331"/>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267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721"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5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3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3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25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Income tax provision</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11,063 </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13,575 </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17,729 </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14,117 </w:t>
            </w:r>
          </w:p>
        </w:tc>
        <w:tc>
          <w:tcPr>
            <w:tcW w:w="33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Effective income tax rate</w:t>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23.8 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33.9 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21.0 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31.4 </w:t>
            </w:r>
          </w:p>
        </w:tc>
        <w:tc>
          <w:tcPr>
            <w:tcW w:w="33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decreases in our effective income tax rate for the three and six months ended June 30, 2026 when compared to the same periods in 2025 were primarily due to a reduction in our valuation allowance recognized in 2026, reflected in our annual effective tax rate, resulting from the effect of OBBBA on the realizability of our deferred tax assets we expect to realize. This benefit was partially offset by the U.S. tax on certain foreign earnings under the net controlled foreign corporations ("CFC") tested income ("NCTI") regime, state income taxes, the limitation on deductible executive compensation under Section 162(m) and net discrete expense associated with our unrecognized tax benefits. Although our effective tax rate decreased in both periods, our income tax provision decreased for the three months ended June 30, 2026, and increased for the six months ended June 30, 2026, in each case reflecting the change in pre-tax book income between periods, together with the effect of the valuation allowance reduction described above.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One Big Beautiful Bill Act (“OBBBA”) was signed into law. The legislation makes permanent certain provisions of the 2017 Tax Cuts and Jobs Act, and also modifies the U.S. taxation of foreign earnings along with changes to the calculation of foreign tax credits. Under ASC 740, we recognized the impact of the first phase of the law in the third quarter of 2025 and continue to recognize its impacts in 2026.</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continue to maintain a valuation allowance against a portion of our deferred tax assets. A significant item of objective negative evidence remains our cumulative loss measured over the most recent three-year period, which precludes us from placing weight on projections of future taxable income in assessing the realizability of the remaining deferred tax assets. The reduction recognized in 2026 described above arises from sources of taxable income that do not depend on those projections. The timing and amount of any discrete release remain uncertain and depend on the level of profitability we actually achieve and our reassessment of all available evidence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50" w:type="dxa"/>
        <w:jc w:val="left"/>
        <w:tblInd w:w="0" w:type="dxa"/>
        <w:tblLayout w:type="fixed"/>
        <w:tblCellMar>
          <w:top w:w="28" w:type="dxa"/>
          <w:left w:w="28" w:type="dxa"/>
          <w:bottom w:w="28" w:type="dxa"/>
          <w:right w:w="28" w:type="dxa"/>
        </w:tblCellMar>
      </w:tblPr>
      <w:tblGrid>
        <w:gridCol w:w="1105"/>
        <w:gridCol w:w="971"/>
        <w:gridCol w:w="1374"/>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10. Stockholders' Equity</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Stock repurchase program</w:t>
      </w:r>
    </w:p>
    <w:p>
      <w:pPr>
        <w:pStyle w:val="TextBody"/>
        <w:bidi w:val="0"/>
        <w:spacing w:lineRule="auto" w:line="288" w:before="180" w:after="283"/>
        <w:jc w:val="both"/>
        <w:rPr/>
      </w:pPr>
      <w:r>
        <w:rPr>
          <w:rFonts w:ascii="sans-serif" w:hAnsi="sans-serif"/>
          <w:b w:val="false"/>
          <w:color w:val="51555C"/>
          <w:sz w:val="20"/>
        </w:rPr>
        <w:t xml:space="preserve">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2024 Credit Agreement, we have restrictions on our ability to repurchase shares of our common stock, which are summarized on page </w:t>
      </w:r>
      <w:hyperlink w:anchor="ib92e0804446742b2a6dc16cf217592fa_190">
        <w:r>
          <w:rPr>
            <w:rStyle w:val="InternetLink"/>
            <w:rFonts w:ascii="sans-serif" w:hAnsi="sans-serif"/>
            <w:b w:val="false"/>
            <w:strike w:val="false"/>
            <w:dstrike w:val="false"/>
            <w:color w:val="51555C"/>
            <w:sz w:val="20"/>
            <w:u w:val="none"/>
            <w:effect w:val="none"/>
          </w:rPr>
          <w:t>37</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account for purchases of treasury stock under the cost method. On December 1, 2025, our Board of Directors reauthorized, expanded and replenished our stock repurchase program by expanding the total capacity under the program to $1.0 billion available for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91540"/>
                <wp:effectExtent l="0" t="0" r="0" b="0"/>
                <wp:wrapNone/>
                <wp:docPr id="56" name="Frame1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39"/>
                                                <a:stretch>
                                                  <a:fillRect/>
                                                </a:stretch>
                                              </pic:blipFill>
                                              <pic:spPr bwMode="auto">
                                                <a:xfrm>
                                                  <a:off x="0" y="0"/>
                                                  <a:ext cx="723900" cy="190500"/>
                                                </a:xfrm>
                                                <a:prstGeom prst="rect">
                                                  <a:avLst/>
                                                </a:prstGeom>
                                              </pic:spPr>
                                            </pic:pic>
                                          </a:graphicData>
                                        </a:graphic>
                                      </wp:inline>
                                    </w:drawing>
                                  </w:r>
                                  <w:bookmarkStart w:id="37" w:name="i-21"/>
                                  <w:bookmarkEnd w:id="37"/>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40"/>
                                          <a:stretch>
                                            <a:fillRect/>
                                          </a:stretch>
                                        </pic:blipFill>
                                        <pic:spPr bwMode="auto">
                                          <a:xfrm>
                                            <a:off x="0" y="0"/>
                                            <a:ext cx="723900" cy="190500"/>
                                          </a:xfrm>
                                          <a:prstGeom prst="rect">
                                            <a:avLst/>
                                          </a:prstGeom>
                                        </pic:spPr>
                                      </pic:pic>
                                    </a:graphicData>
                                  </a:graphic>
                                </wp:inline>
                              </w:drawing>
                            </w:r>
                            <w:bookmarkStart w:id="38" w:name="i-21"/>
                            <w:bookmarkEnd w:id="3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June 30, 2026, we repurchased an aggregate of 797,795 shares for $28.0 million. During the six months ended June 30, 2026, we repurchased an aggregate of 2,398,852 shares for $110.1 million. The remaining amount available to purchase stock under the approved stock repurchase program was $850.4 million as of June 30, 2026.</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Changes in accumulated other comprehensive loss by component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changes in accumulated other comprehensive loss by component, consisted of the following:</w:t>
      </w:r>
    </w:p>
    <w:tbl>
      <w:tblPr>
        <w:tblW w:w="10205" w:type="dxa"/>
        <w:jc w:val="left"/>
        <w:tblInd w:w="0" w:type="dxa"/>
        <w:tblLayout w:type="fixed"/>
        <w:tblCellMar>
          <w:top w:w="28" w:type="dxa"/>
          <w:left w:w="28" w:type="dxa"/>
          <w:bottom w:w="28" w:type="dxa"/>
          <w:right w:w="28" w:type="dxa"/>
        </w:tblCellMar>
      </w:tblPr>
      <w:tblGrid>
        <w:gridCol w:w="1944"/>
        <w:gridCol w:w="1713"/>
        <w:gridCol w:w="1718"/>
        <w:gridCol w:w="226"/>
        <w:gridCol w:w="749"/>
        <w:gridCol w:w="109"/>
        <w:gridCol w:w="226"/>
        <w:gridCol w:w="749"/>
        <w:gridCol w:w="109"/>
        <w:gridCol w:w="109"/>
        <w:gridCol w:w="109"/>
        <w:gridCol w:w="109"/>
        <w:gridCol w:w="226"/>
        <w:gridCol w:w="749"/>
        <w:gridCol w:w="109"/>
        <w:gridCol w:w="226"/>
        <w:gridCol w:w="869"/>
        <w:gridCol w:w="156"/>
      </w:tblGrid>
      <w:tr>
        <w:trPr/>
        <w:tc>
          <w:tcPr>
            <w:tcW w:w="194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335"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537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0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0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25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537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Accumulated other comprehensive loss, beginning of period</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(3,850)</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(8,302)</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(5,948)</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(4,869)</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By component: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Gains and losses on cash flow hedges:</w:t>
            </w:r>
          </w:p>
        </w:tc>
        <w:tc>
          <w:tcPr>
            <w:tcW w:w="10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income (loss) 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comprehensive income (loss) before reclassifications, net of tax effects of $(1,156), $—, $(1,805) and $2,763</w:t>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3,329 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(3,658)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7,901 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(6,372)</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Amounts reclassified from accumulated other comprehensive income (loss)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 expense (benefit) included in provision for income taxes</w:t>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(2,763)</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amounts reclassified from accumulated other comprehensive income (loss)</w:t>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(1,656)</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(5,634)</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current-period other comprehensive income (loss)</w:t>
            </w:r>
          </w:p>
        </w:tc>
        <w:tc>
          <w:tcPr>
            <w:tcW w:w="97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3,042 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(5,314)</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6,620 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(12,006)</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income (loss) balance, end of period</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4,473 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(4,207)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4,473 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(4,207)</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Foreign currency translation adjustment:</w:t>
            </w:r>
          </w:p>
        </w:tc>
        <w:tc>
          <w:tcPr>
            <w:tcW w:w="108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loss 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(12,668)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Translation adjustment</w:t>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7,324 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(1,597)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10,583 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loss balance, end of period</w:t>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(5,398)</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(2,085)</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(5,398)</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(2,085)</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Accumulated other comprehensive loss, end of period</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(925)</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(6,292)</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(925)</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6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(6,292)</w:t>
            </w:r>
          </w:p>
        </w:tc>
        <w:tc>
          <w:tcPr>
            <w:tcW w:w="1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69" w:type="dxa"/>
        <w:jc w:val="left"/>
        <w:tblInd w:w="0" w:type="dxa"/>
        <w:tblLayout w:type="fixed"/>
        <w:tblCellMar>
          <w:top w:w="28" w:type="dxa"/>
          <w:left w:w="28" w:type="dxa"/>
          <w:bottom w:w="28" w:type="dxa"/>
          <w:right w:w="28" w:type="dxa"/>
        </w:tblCellMar>
      </w:tblPr>
      <w:tblGrid>
        <w:gridCol w:w="1142"/>
        <w:gridCol w:w="1004"/>
        <w:gridCol w:w="1423"/>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11. Segment Information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one operating segment and one reportable segment. Our chief operating decision maker is our chief executive officer ("CEO"), who reviews financial information presented on a consolidated basis, accompanied by disaggregated information about our revenue, for purposes of making decisions about assessing financial performance and allocating resources. Our CEO considers costs of revenue, sales, marketing and customer success, research and development, and general and administrative expense categories on our consolidated statements of comprehensive income as significant. Our CEO uses consolidated operating margin and net income as the primary measures of profit or loss. These financial metrics are used by our CEO to make key operating decisions, such as the allocation of budget between costs of revenues and our different operating expense categories.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other segment items include amortization, interest expense, other income, net, and income tax provision on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8"/>
        <w:gridCol w:w="983"/>
        <w:gridCol w:w="139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12. Revenue Recognition</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Transaction price allocated to the remaining performance obligations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June 30, 2026, approximately $1.6 billion of revenue under contract is expected to be recognized from remaining performance obligations. We expect to recognize revenue on approximately 45% of these remaining performance obligations over the next 12 months, with the remainder recognized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91540"/>
                <wp:effectExtent l="0" t="0" r="0" b="0"/>
                <wp:wrapNone/>
                <wp:docPr id="59" name="Frame2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41"/>
                                                <a:stretch>
                                                  <a:fillRect/>
                                                </a:stretch>
                                              </pic:blipFill>
                                              <pic:spPr bwMode="auto">
                                                <a:xfrm>
                                                  <a:off x="0" y="0"/>
                                                  <a:ext cx="733425" cy="190500"/>
                                                </a:xfrm>
                                                <a:prstGeom prst="rect">
                                                  <a:avLst/>
                                                </a:prstGeom>
                                              </pic:spPr>
                                            </pic:pic>
                                          </a:graphicData>
                                        </a:graphic>
                                      </wp:inline>
                                    </w:drawing>
                                  </w:r>
                                  <w:bookmarkStart w:id="39" w:name="i-22"/>
                                  <w:bookmarkEnd w:id="3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42"/>
                                          <a:stretch>
                                            <a:fillRect/>
                                          </a:stretch>
                                        </pic:blipFill>
                                        <pic:spPr bwMode="auto">
                                          <a:xfrm>
                                            <a:off x="0" y="0"/>
                                            <a:ext cx="733425" cy="190500"/>
                                          </a:xfrm>
                                          <a:prstGeom prst="rect">
                                            <a:avLst/>
                                          </a:prstGeom>
                                        </pic:spPr>
                                      </pic:pic>
                                    </a:graphicData>
                                  </a:graphic>
                                </wp:inline>
                              </w:drawing>
                            </w:r>
                            <w:bookmarkStart w:id="40" w:name="i-22"/>
                            <w:bookmarkEnd w:id="4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applied the practical expedient in ASC 606-10-50-14 and have excluded the value of unsatisfied performance obligations for which we recognize revenue at the amount to which we have the right to invoice for services performed (transactional revenue).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Contract balances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closing balances of deferred revenue were as follows:</w:t>
      </w:r>
    </w:p>
    <w:tbl>
      <w:tblPr>
        <w:tblW w:w="5060" w:type="dxa"/>
        <w:jc w:val="left"/>
        <w:tblInd w:w="0" w:type="dxa"/>
        <w:tblLayout w:type="fixed"/>
        <w:tblCellMar>
          <w:top w:w="28" w:type="dxa"/>
          <w:left w:w="28" w:type="dxa"/>
          <w:bottom w:w="28" w:type="dxa"/>
          <w:right w:w="28" w:type="dxa"/>
        </w:tblCellMar>
      </w:tblPr>
      <w:tblGrid>
        <w:gridCol w:w="852"/>
        <w:gridCol w:w="750"/>
        <w:gridCol w:w="752"/>
        <w:gridCol w:w="226"/>
        <w:gridCol w:w="946"/>
        <w:gridCol w:w="109"/>
        <w:gridCol w:w="243"/>
        <w:gridCol w:w="1017"/>
        <w:gridCol w:w="16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235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deferred revenue</w:t>
            </w:r>
          </w:p>
        </w:tc>
        <w:tc>
          <w:tcPr>
            <w:tcW w:w="2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406,403 </w:t>
            </w:r>
          </w:p>
        </w:tc>
        <w:tc>
          <w:tcPr>
            <w:tcW w:w="10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371,764 </w:t>
            </w:r>
          </w:p>
        </w:tc>
        <w:tc>
          <w:tcPr>
            <w:tcW w:w="165"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The increase in deferred revenue during the six months ended June 30, 2026 was primarily due to a seasonal increase in customer contract billings.</w:t>
      </w:r>
      <w:r>
        <w:rPr>
          <w:color w:val="51555C"/>
          <w:shd w:fill="FFFFFF" w:val="clear"/>
        </w:rPr>
        <w:t xml:space="preserve"> </w:t>
      </w:r>
      <w:r>
        <w:rPr>
          <w:rFonts w:ascii="sans-serif" w:hAnsi="sans-serif"/>
          <w:b w:val="false"/>
          <w:color w:val="51555C"/>
          <w:sz w:val="20"/>
          <w:shd w:fill="FFFFFF" w:val="clear"/>
        </w:rPr>
        <w:t>Historically, due to the timing of customer budget cycles, we have an increase in billings and customer contract renewals at or near the beginning of our third quarter. Generally, our lowest balance of deferred revenue during the year is at the end of our first quarter. The amount of revenue recognized during the six months ended June 30, 2026 that was included in the deferred reven</w:t>
      </w:r>
      <w:r>
        <w:rPr>
          <w:rFonts w:ascii="sans-serif" w:hAnsi="sans-serif"/>
          <w:b w:val="false"/>
          <w:color w:val="51555C"/>
          <w:sz w:val="20"/>
        </w:rPr>
        <w:t xml:space="preserve">ue balance at the beginning of the period was approximately $277 million. The amount of revenue recognized during the six months ended June 30, 2026 from performance obligations satisfied in prior periods was </w:t>
      </w:r>
      <w:r>
        <w:rPr>
          <w:rFonts w:ascii="sans-serif" w:hAnsi="sans-serif"/>
          <w:b w:val="false"/>
          <w:color w:val="51555C"/>
          <w:sz w:val="20"/>
          <w:shd w:fill="FFFFFF" w:val="clear"/>
        </w:rPr>
        <w:t>insignificant</w:t>
      </w:r>
      <w:r>
        <w:rPr>
          <w:rFonts w:ascii="sans-serif" w:hAnsi="sans-serif"/>
          <w:b w:val="false"/>
          <w:color w:val="51555C"/>
          <w:sz w:val="20"/>
        </w:rPr>
        <w:t>.</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Disaggregation of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location of our customers:</w:t>
      </w:r>
    </w:p>
    <w:tbl>
      <w:tblPr>
        <w:tblW w:w="7700" w:type="dxa"/>
        <w:jc w:val="left"/>
        <w:tblInd w:w="0" w:type="dxa"/>
        <w:tblLayout w:type="fixed"/>
        <w:tblCellMar>
          <w:top w:w="28" w:type="dxa"/>
          <w:left w:w="28" w:type="dxa"/>
          <w:bottom w:w="28" w:type="dxa"/>
          <w:right w:w="28" w:type="dxa"/>
        </w:tblCellMar>
      </w:tblPr>
      <w:tblGrid>
        <w:gridCol w:w="798"/>
        <w:gridCol w:w="702"/>
        <w:gridCol w:w="704"/>
        <w:gridCol w:w="226"/>
        <w:gridCol w:w="946"/>
        <w:gridCol w:w="109"/>
        <w:gridCol w:w="226"/>
        <w:gridCol w:w="946"/>
        <w:gridCol w:w="109"/>
        <w:gridCol w:w="109"/>
        <w:gridCol w:w="109"/>
        <w:gridCol w:w="109"/>
        <w:gridCol w:w="226"/>
        <w:gridCol w:w="946"/>
        <w:gridCol w:w="109"/>
        <w:gridCol w:w="226"/>
        <w:gridCol w:w="94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607"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2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220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United States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233,963 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231,649 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467,058 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460,141 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United Kingdom</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countries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19,630 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16,673 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38,125 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31,995 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revenue</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290,597 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282,030 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571,737 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551,966 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our revenue by type:</w:t>
      </w:r>
    </w:p>
    <w:tbl>
      <w:tblPr>
        <w:tblW w:w="8391" w:type="dxa"/>
        <w:jc w:val="left"/>
        <w:tblInd w:w="0" w:type="dxa"/>
        <w:tblLayout w:type="fixed"/>
        <w:tblCellMar>
          <w:top w:w="28" w:type="dxa"/>
          <w:left w:w="28" w:type="dxa"/>
          <w:bottom w:w="28" w:type="dxa"/>
          <w:right w:w="28" w:type="dxa"/>
        </w:tblCellMar>
      </w:tblPr>
      <w:tblGrid>
        <w:gridCol w:w="1049"/>
        <w:gridCol w:w="922"/>
        <w:gridCol w:w="924"/>
        <w:gridCol w:w="226"/>
        <w:gridCol w:w="946"/>
        <w:gridCol w:w="109"/>
        <w:gridCol w:w="226"/>
        <w:gridCol w:w="946"/>
        <w:gridCol w:w="109"/>
        <w:gridCol w:w="109"/>
        <w:gridCol w:w="109"/>
        <w:gridCol w:w="109"/>
        <w:gridCol w:w="226"/>
        <w:gridCol w:w="946"/>
        <w:gridCol w:w="109"/>
        <w:gridCol w:w="226"/>
        <w:gridCol w:w="94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607"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8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289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Contractual recurring</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186,365 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180,128 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368,679 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355,593 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Transactional recurring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184,011 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recurring revenue</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285,291 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276,279 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561,776 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539,604 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One-time services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revenue</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290,597 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282,030 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571,737 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551,966 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91540"/>
                <wp:effectExtent l="0" t="0" r="0" b="0"/>
                <wp:wrapNone/>
                <wp:docPr id="62" name="Frame2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43"/>
                                                <a:stretch>
                                                  <a:fillRect/>
                                                </a:stretch>
                                              </pic:blipFill>
                                              <pic:spPr bwMode="auto">
                                                <a:xfrm>
                                                  <a:off x="0" y="0"/>
                                                  <a:ext cx="723900" cy="190500"/>
                                                </a:xfrm>
                                                <a:prstGeom prst="rect">
                                                  <a:avLst/>
                                                </a:prstGeom>
                                              </pic:spPr>
                                            </pic:pic>
                                          </a:graphicData>
                                        </a:graphic>
                                      </wp:inline>
                                    </w:drawing>
                                  </w:r>
                                  <w:bookmarkStart w:id="41" w:name="i-23"/>
                                  <w:bookmarkEnd w:id="41"/>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44"/>
                                          <a:stretch>
                                            <a:fillRect/>
                                          </a:stretch>
                                        </pic:blipFill>
                                        <pic:spPr bwMode="auto">
                                          <a:xfrm>
                                            <a:off x="0" y="0"/>
                                            <a:ext cx="723900" cy="190500"/>
                                          </a:xfrm>
                                          <a:prstGeom prst="rect">
                                            <a:avLst/>
                                          </a:prstGeom>
                                        </pic:spPr>
                                      </pic:pic>
                                    </a:graphicData>
                                  </a:graphic>
                                </wp:inline>
                              </w:drawing>
                            </w:r>
                            <w:bookmarkStart w:id="42" w:name="i-23"/>
                            <w:bookmarkEnd w:id="42"/>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MANAGEMENT'S DISCUSSION AND ANALYSIS OF FINANCIAL CONDITION AND RESULTS OF OPERATIONS</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4" w:type="dxa"/>
        <w:jc w:val="left"/>
        <w:tblInd w:w="0" w:type="dxa"/>
        <w:tblLayout w:type="fixed"/>
        <w:tblCellMar>
          <w:top w:w="28" w:type="dxa"/>
          <w:left w:w="28" w:type="dxa"/>
          <w:bottom w:w="28" w:type="dxa"/>
          <w:right w:w="28" w:type="dxa"/>
        </w:tblCellMar>
      </w:tblPr>
      <w:tblGrid>
        <w:gridCol w:w="907"/>
        <w:gridCol w:w="798"/>
        <w:gridCol w:w="112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Executive Summary</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We have operations in the United States, Australia, Canada, Costa Rica, India and the United Kingdom, supporting users in 100+ countries.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is primarily generated from the following sources: (i) charging for the use of our software solutions in cloud and hosted environments; and (ii) providing payment and transaction services.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Business Update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delivered another quarter of solid execution against our operating plan, with continued focus on operational efficiency and product innovation. AI initiatives remain an important area of emphasis—both in the capabilities we are delivering to customers and in the way we operate the business. During the first half of 2026, we expanded the availability of AI-enabled capabilities across our product portfolio and launched our first agentic AI solution, the Blackbaud fundraising development agent, into general availability. This solution is designed to assist fundraising teams by automating certain outreach and stewardship activities within existing workflows, using customer-permissioned data and operating under defined governance and user controls.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fundraising development agent is currently being offered under a subscription pricing model. While commercialization remains in the early stages, annual subscription pricing is generally in the tens of thousands of dollars, depending on customer size and use case. We expect this offering to be marketed both to existing customers as an incremental subscription and to prospective new customers as part of our broader product portfolio. During the second quarter, we continued to expand customer deployments and evaluate adoption trends, operational impacts and potential financial contributions as part of our ongoing planning and investment process.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Recently, we also announced four additional Agents for Good solutions planned for future release, including the Data Health Agent, Admissions Agent, Digital Marketing Agent and Accounts Payable Agent. These solutions are intended to help customers automate administrative processes, improve productivity and make more informed decisions within existing workflows. Together, these planned offerings reflect our continued investment in agentic AI and a significant opportunity to deliver innovative capabilities across our portfolio, with the potential to help customers increase capacity, improve operational efficiency and advance their missions within the solutions they already use.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Adoption of AI-enabled functionality continued across portions of our customer base during the quarter. More than half of our Raiser's Edge NXT customers utilize machine-learning-enabled donor prospecting capabilities, which leverage historical and behavioral data to support fundraising activities. These capabilities are supported by proprietary Blackbaud data, licensed datasets, benchmarking data and other philanthropic datasets, all subject to our cybersecurity and data governance framework.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also continued to apply AI internally to improve efficiency across engineering, sales and marketing, customer success and the back office. During the quarter, our engineering teams increased their use of approved generative AI development tools to accelerate software development and issue remediation, contributing to productivity improvements and faster delivery of enhancements. We are also applying AI to support lead qualification, sales development, customer support and other operational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91540"/>
                <wp:effectExtent l="0" t="0" r="0" b="0"/>
                <wp:wrapNone/>
                <wp:docPr id="65" name="Frame2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45"/>
                                                <a:stretch>
                                                  <a:fillRect/>
                                                </a:stretch>
                                              </pic:blipFill>
                                              <pic:spPr bwMode="auto">
                                                <a:xfrm>
                                                  <a:off x="0" y="0"/>
                                                  <a:ext cx="733425" cy="190500"/>
                                                </a:xfrm>
                                                <a:prstGeom prst="rect">
                                                  <a:avLst/>
                                                </a:prstGeom>
                                              </pic:spPr>
                                            </pic:pic>
                                          </a:graphicData>
                                        </a:graphic>
                                      </wp:inline>
                                    </w:drawing>
                                  </w:r>
                                  <w:bookmarkStart w:id="43" w:name="i-24"/>
                                  <w:bookmarkEnd w:id="4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46"/>
                                          <a:stretch>
                                            <a:fillRect/>
                                          </a:stretch>
                                        </pic:blipFill>
                                        <pic:spPr bwMode="auto">
                                          <a:xfrm>
                                            <a:off x="0" y="0"/>
                                            <a:ext cx="733425" cy="190500"/>
                                          </a:xfrm>
                                          <a:prstGeom prst="rect">
                                            <a:avLst/>
                                          </a:prstGeom>
                                        </pic:spPr>
                                      </pic:pic>
                                    </a:graphicData>
                                  </a:graphic>
                                </wp:inline>
                              </w:drawing>
                            </w:r>
                            <w:bookmarkStart w:id="44" w:name="i-24"/>
                            <w:bookmarkEnd w:id="4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2026, we announced our intention to repurchase between 5% and 10% of our outstanding common stock as of December 31, 2025 during the course of 2026 under our stock repurchase program. During the three months ended June 30, 2026, we repurchased an aggregate of 797,795 shares for $28.0 million. During the six months ended June 30, 2026, we repurchased an aggregate of 2,398,852 shares for $110.1 million. Including net share settlement of employee stock compensation, these repurchases represent approximately 6.2% of our outstanding common stock as of December 31, 2025. As of June 30, 2026, $850.4 million remained available under our stock repurchase program. Over the long term, we expect stock repurchases to remain an important component of our capital allocation strategy, subject to market conditions, business performance, leverage considerations, and other factors. We anticipate utilizing at least 50% of our free cash flow from 2026 to 2030 for stock repurchases. See discussion of our Non</w:t>
        <w:noBreakHyphen/>
        <w:t>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51555C"/>
          <w:sz w:val="20"/>
        </w:rPr>
      </w:pPr>
      <w:r>
        <w:rPr>
          <w:rFonts w:ascii="sans-serif" w:hAnsi="sans-serif"/>
          <w:b/>
          <w:color w:val="51555C"/>
          <w:sz w:val="20"/>
        </w:rPr>
        <w:t>Financial Summary</w:t>
      </w:r>
    </w:p>
    <w:p>
      <w:pPr>
        <w:pStyle w:val="TextBody"/>
        <w:bidi w:val="0"/>
        <w:spacing w:before="180" w:after="283"/>
        <w:jc w:val="both"/>
        <w:rPr/>
      </w:pPr>
      <w:r>
        <w:rPr/>
      </w:r>
    </w:p>
    <w:tbl>
      <w:tblPr>
        <w:tblW w:w="5275"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873"/>
        <w:gridCol w:w="873"/>
        <w:gridCol w:w="1238"/>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Total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from operations ($M)</w:t>
            </w:r>
          </w:p>
        </w:tc>
      </w:tr>
      <w:tr>
        <w:trPr/>
        <w:tc>
          <w:tcPr>
            <w:tcW w:w="196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r>
    </w:tbl>
    <w:p>
      <w:pPr>
        <w:pStyle w:val="TextBody"/>
        <w:bidi w:val="0"/>
        <w:spacing w:lineRule="auto" w:line="288" w:before="180" w:after="283"/>
        <w:jc w:val="both"/>
        <w:rPr/>
      </w:pPr>
      <w:r>
        <w:rPr>
          <w:color w:val="51555C"/>
        </w:rPr>
        <w:t>      </w:t>
      </w:r>
      <w:r>
        <w:rPr/>
        <w:drawing>
          <wp:inline distT="0" distB="0" distL="0" distR="0">
            <wp:extent cx="2533650" cy="1581150"/>
            <wp:effectExtent l="0" t="0" r="0" b="0"/>
            <wp:docPr id="6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5" descr=""/>
                    <pic:cNvPicPr>
                      <a:picLocks noChangeAspect="1" noChangeArrowheads="1"/>
                    </pic:cNvPicPr>
                  </pic:nvPicPr>
                  <pic:blipFill>
                    <a:blip r:embed="rId47"/>
                    <a:stretch>
                      <a:fillRect/>
                    </a:stretch>
                  </pic:blipFill>
                  <pic:spPr bwMode="auto">
                    <a:xfrm>
                      <a:off x="0" y="0"/>
                      <a:ext cx="2533650" cy="1581150"/>
                    </a:xfrm>
                    <a:prstGeom prst="rect">
                      <a:avLst/>
                    </a:prstGeom>
                  </pic:spPr>
                </pic:pic>
              </a:graphicData>
            </a:graphic>
          </wp:inline>
        </w:drawing>
      </w:r>
      <w:bookmarkStart w:id="45" w:name="i-25"/>
      <w:bookmarkEnd w:id="45"/>
      <w:r>
        <w:rPr>
          <w:color w:val="51555C"/>
        </w:rPr>
        <w:t>                                    </w:t>
      </w:r>
      <w:r>
        <w:rPr/>
        <w:drawing>
          <wp:inline distT="0" distB="0" distL="0" distR="0">
            <wp:extent cx="2533650" cy="1581150"/>
            <wp:effectExtent l="0" t="0" r="0" b="0"/>
            <wp:docPr id="6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6" descr=""/>
                    <pic:cNvPicPr>
                      <a:picLocks noChangeAspect="1" noChangeArrowheads="1"/>
                    </pic:cNvPicPr>
                  </pic:nvPicPr>
                  <pic:blipFill>
                    <a:blip r:embed="rId48"/>
                    <a:stretch>
                      <a:fillRect/>
                    </a:stretch>
                  </pic:blipFill>
                  <pic:spPr bwMode="auto">
                    <a:xfrm>
                      <a:off x="0" y="0"/>
                      <a:ext cx="2533650" cy="1581150"/>
                    </a:xfrm>
                    <a:prstGeom prst="rect">
                      <a:avLst/>
                    </a:prstGeom>
                  </pic:spPr>
                </pic:pic>
              </a:graphicData>
            </a:graphic>
          </wp:inline>
        </w:drawing>
      </w:r>
      <w:bookmarkStart w:id="46" w:name="i-26"/>
      <w:bookmarkEnd w:id="46"/>
      <w:r>
        <w:rPr>
          <w:color w:val="51555C"/>
        </w:rPr>
        <w:t>       </w:t>
      </w:r>
    </w:p>
    <w:p>
      <w:pPr>
        <w:pStyle w:val="TextBody"/>
        <w:bidi w:val="0"/>
        <w:spacing w:lineRule="auto" w:line="288" w:before="180" w:after="283"/>
        <w:jc w:val="both"/>
        <w:rPr/>
      </w:pPr>
      <w:r>
        <w:rPr>
          <w:color w:val="51555C"/>
        </w:rPr>
        <w:t>      </w:t>
      </w:r>
      <w:r>
        <w:rPr/>
        <w:drawing>
          <wp:inline distT="0" distB="0" distL="0" distR="0">
            <wp:extent cx="2533650" cy="1581150"/>
            <wp:effectExtent l="0" t="0" r="0" b="0"/>
            <wp:docPr id="7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7" descr=""/>
                    <pic:cNvPicPr>
                      <a:picLocks noChangeAspect="1" noChangeArrowheads="1"/>
                    </pic:cNvPicPr>
                  </pic:nvPicPr>
                  <pic:blipFill>
                    <a:blip r:embed="rId49"/>
                    <a:stretch>
                      <a:fillRect/>
                    </a:stretch>
                  </pic:blipFill>
                  <pic:spPr bwMode="auto">
                    <a:xfrm>
                      <a:off x="0" y="0"/>
                      <a:ext cx="2533650" cy="1581150"/>
                    </a:xfrm>
                    <a:prstGeom prst="rect">
                      <a:avLst/>
                    </a:prstGeom>
                  </pic:spPr>
                </pic:pic>
              </a:graphicData>
            </a:graphic>
          </wp:inline>
        </w:drawing>
      </w:r>
      <w:bookmarkStart w:id="47" w:name="i-27"/>
      <w:bookmarkEnd w:id="47"/>
      <w:r>
        <w:rPr>
          <w:color w:val="51555C"/>
        </w:rPr>
        <w:t>                                    </w:t>
      </w:r>
      <w:r>
        <w:rPr/>
        <w:drawing>
          <wp:inline distT="0" distB="0" distL="0" distR="0">
            <wp:extent cx="2533650" cy="1581150"/>
            <wp:effectExtent l="0" t="0" r="0" b="0"/>
            <wp:docPr id="7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8" descr=""/>
                    <pic:cNvPicPr>
                      <a:picLocks noChangeAspect="1" noChangeArrowheads="1"/>
                    </pic:cNvPicPr>
                  </pic:nvPicPr>
                  <pic:blipFill>
                    <a:blip r:embed="rId50"/>
                    <a:stretch>
                      <a:fillRect/>
                    </a:stretch>
                  </pic:blipFill>
                  <pic:spPr bwMode="auto">
                    <a:xfrm>
                      <a:off x="0" y="0"/>
                      <a:ext cx="2533650" cy="1581150"/>
                    </a:xfrm>
                    <a:prstGeom prst="rect">
                      <a:avLst/>
                    </a:prstGeom>
                  </pic:spPr>
                </pic:pic>
              </a:graphicData>
            </a:graphic>
          </wp:inline>
        </w:drawing>
      </w:r>
      <w:bookmarkStart w:id="48" w:name="i-28"/>
      <w:bookmarkEnd w:id="48"/>
      <w:r>
        <w:rPr>
          <w:color w:val="51555C"/>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Revenue increased by $8.6 million and $19.8 million, during the three and six months ended June 30, 2026, respectively, when compared to the same periods in 2025, driven largely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72"/>
        <w:gridCol w:w="2583"/>
        <w:gridCol w:w="3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contractual recurring revenue of $6.2 million and $13.1 million, respectively, primarily related to the positive impact of our pricing initiatives and the demand of our cloud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transactional recurring revenue of $2.8 million and $9.1 million, respectively, primarily due to increases in volume for our Blackbaud Integrated Payments and Blackbaud Tuition Management offerings and, to a lesser extent, positive results related to pricing initiatives; also contributing to the increases in transactional recurring revenue during the six months ended June 30, 2026 was an increase related to fluctuations in foreign currency exchange rates of $1.6 million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one-time consulting revenue of $2.4 million, for the six months ended June 30, 2026, primarily due to fewer sales of implementation and customization services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91540"/>
                <wp:effectExtent l="0" t="0" r="0" b="0"/>
                <wp:wrapNone/>
                <wp:docPr id="72" name="Frame2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9" descr=""/>
                                                <pic:cNvPicPr>
                                                  <a:picLocks noChangeAspect="1" noChangeArrowheads="1"/>
                                                </pic:cNvPicPr>
                                              </pic:nvPicPr>
                                              <pic:blipFill>
                                                <a:blip r:embed="rId51"/>
                                                <a:stretch>
                                                  <a:fillRect/>
                                                </a:stretch>
                                              </pic:blipFill>
                                              <pic:spPr bwMode="auto">
                                                <a:xfrm>
                                                  <a:off x="0" y="0"/>
                                                  <a:ext cx="723900" cy="190500"/>
                                                </a:xfrm>
                                                <a:prstGeom prst="rect">
                                                  <a:avLst/>
                                                </a:prstGeom>
                                              </pic:spPr>
                                            </pic:pic>
                                          </a:graphicData>
                                        </a:graphic>
                                      </wp:inline>
                                    </w:drawing>
                                  </w:r>
                                  <w:bookmarkStart w:id="49" w:name="i-29"/>
                                  <w:bookmarkEnd w:id="4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9" descr=""/>
                                          <pic:cNvPicPr>
                                            <a:picLocks noChangeAspect="1" noChangeArrowheads="1"/>
                                          </pic:cNvPicPr>
                                        </pic:nvPicPr>
                                        <pic:blipFill>
                                          <a:blip r:embed="rId52"/>
                                          <a:stretch>
                                            <a:fillRect/>
                                          </a:stretch>
                                        </pic:blipFill>
                                        <pic:spPr bwMode="auto">
                                          <a:xfrm>
                                            <a:off x="0" y="0"/>
                                            <a:ext cx="723900" cy="190500"/>
                                          </a:xfrm>
                                          <a:prstGeom prst="rect">
                                            <a:avLst/>
                                          </a:prstGeom>
                                        </pic:spPr>
                                      </pic:pic>
                                    </a:graphicData>
                                  </a:graphic>
                                </wp:inline>
                              </w:drawing>
                            </w:r>
                            <w:bookmarkStart w:id="50" w:name="i-29"/>
                            <w:bookmarkEnd w:id="5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Income from operations increased by $4.7 million and $36.4 million, during the three and six months ended June 30, 2026, respectively, when compared to the same periods in 2025,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acquisition and disposition-related costs within general and administrative expenses of $24.4 million, during the six months ended June 30, 2026, primarily related to our release from our lease for office space in Washington, DC, which occurred during February 2025 and did not reoccur in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total revenue,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third-party contractor costs of $4.7 million and $8.1 million, respectively, primarily due to transition of work to employees in our Global Capability Center ("GCC") in Hyderabad, India, decreased use of outside contractors and completion of prior year investments. For the six months ended June 30, 2026, the decrease was partially offset by an increase in investment in AI innovation.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Decreases in stock-based compensation expense of $4.5 million and $2.8 million, respectively, primarily due to estimated overall Company performance against 2026 goals at target levels compared to prior-year expectations above target. For the six months ended June 30, 2026, the decrease was partially offset by certain executive retirements in the first quarter.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$2.6 million, during the six months ended June 30, 2026, that occurred during 2025 that did not reoccur in 2026. For more information, see Note 11 to our audited consolidated financial statements contained in our Annual Report on Form 10-K filed with the SEC on 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advertising costs of $2.1 million and $2.8 million, respectively, primarily due to increased digital marketing spend related to our consumer-facing fundraising platform, JustGiving, as well as increased marketing related to raising awareness for our new AI offerings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third-party software costs of $2.0 million and $4.4 million, respectively, related to internal solutions we use to run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compensation costs other than stock-based compensation of $1.6 million and $2.7 million, respectively, primarily due to transition of work previously performed by third-party contractors to employees in our GCC in Hyderabad, India (as discussed above), and prior year merit-based salary increases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hosting and data center costs of $1.4 million and $2.1 million, respectively, as we continue to migrate our cloud infrastructure to leading public cloud service providers and make investments in security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of $2.4 million, during the six months ended June 30, 2026, due to the nonrecurrence of a first half 2025 contra expense for transition services associated with the EVERFI disposition in December 2024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color w:val="51555C"/>
        </w:rPr>
      </w:pPr>
      <w:r>
        <w:rPr>
          <w:color w:val="51555C"/>
        </w:rPr>
        <w:t>                                                                                                                                                                                                                    </w:t>
      </w:r>
      <w:r>
        <w:rPr>
          <w:rFonts w:ascii="sans-serif" w:hAnsi="sans-serif"/>
          <w:b w:val="false"/>
          <w:color w:val="51555C"/>
          <w:sz w:val="20"/>
        </w:rPr>
        <w:t>We are continuing to make critical investments in the business in areas such as innovation, AI, cybersecurity, and our continued shift of cloud infrastructure to leading public cloud service providers.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91540"/>
                <wp:effectExtent l="0" t="0" r="0" b="0"/>
                <wp:wrapNone/>
                <wp:docPr id="75" name="Frame2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0" descr=""/>
                                                <pic:cNvPicPr>
                                                  <a:picLocks noChangeAspect="1" noChangeArrowheads="1"/>
                                                </pic:cNvPicPr>
                                              </pic:nvPicPr>
                                              <pic:blipFill>
                                                <a:blip r:embed="rId53"/>
                                                <a:stretch>
                                                  <a:fillRect/>
                                                </a:stretch>
                                              </pic:blipFill>
                                              <pic:spPr bwMode="auto">
                                                <a:xfrm>
                                                  <a:off x="0" y="0"/>
                                                  <a:ext cx="733425" cy="190500"/>
                                                </a:xfrm>
                                                <a:prstGeom prst="rect">
                                                  <a:avLst/>
                                                </a:prstGeom>
                                              </pic:spPr>
                                            </pic:pic>
                                          </a:graphicData>
                                        </a:graphic>
                                      </wp:inline>
                                    </w:drawing>
                                  </w:r>
                                  <w:bookmarkStart w:id="51" w:name="i-30"/>
                                  <w:bookmarkEnd w:id="5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54"/>
                                          <a:stretch>
                                            <a:fillRect/>
                                          </a:stretch>
                                        </pic:blipFill>
                                        <pic:spPr bwMode="auto">
                                          <a:xfrm>
                                            <a:off x="0" y="0"/>
                                            <a:ext cx="733425" cy="190500"/>
                                          </a:xfrm>
                                          <a:prstGeom prst="rect">
                                            <a:avLst/>
                                          </a:prstGeom>
                                        </pic:spPr>
                                      </pic:pic>
                                    </a:graphicData>
                                  </a:graphic>
                                </wp:inline>
                              </w:drawing>
                            </w:r>
                            <w:bookmarkStart w:id="52" w:name="i-30"/>
                            <w:bookmarkEnd w:id="5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2934"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Gross dollar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533650" cy="1457325"/>
            <wp:effectExtent l="0" t="0" r="0" b="0"/>
            <wp:docPr id="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 descr=""/>
                    <pic:cNvPicPr>
                      <a:picLocks noChangeAspect="1" noChangeArrowheads="1"/>
                    </pic:cNvPicPr>
                  </pic:nvPicPr>
                  <pic:blipFill>
                    <a:blip r:embed="rId55"/>
                    <a:stretch>
                      <a:fillRect/>
                    </a:stretch>
                  </pic:blipFill>
                  <pic:spPr bwMode="auto">
                    <a:xfrm>
                      <a:off x="0" y="0"/>
                      <a:ext cx="2533650" cy="1457325"/>
                    </a:xfrm>
                    <a:prstGeom prst="rect">
                      <a:avLst/>
                    </a:prstGeom>
                  </pic:spPr>
                </pic:pic>
              </a:graphicData>
            </a:graphic>
          </wp:inline>
        </w:drawing>
      </w:r>
      <w:bookmarkStart w:id="53" w:name="i-31"/>
      <w:bookmarkEnd w:id="53"/>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recurring subscription contracts are typically for a term of three years at contract inception with standard three-year renewals thereafter. In recent periods, we have experienced an increase in longer</w:t>
        <w:noBreakHyphen/>
        <w:t xml:space="preserve">term customer contracts. We now have approximately 90% of our contractual recurring revenue on 3-year or longer contracts and approximately 25% on 4-year or longer contracts. A key factor to our overall success is the renewal and expansion of our existing subscription agreements with our customers.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June 30, 2026, our gross dollar retention was approximately 91%. This gross dollar retention rate was lower than our rate for the twelve months ended December 31, 2025.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Renewal performance can vary from year to year due to the size and composition of renewal cohorts. As previously disclosed, the contractual annual recurring revenue dollars up for renewal associated with the 2026 renewal cohort are approximately 40% higher than those up for renewal in 2025, reflecting the normal progression of our multi-year contract renewal cycle and the timing of customer renewals. As a result, we expect some temporary pressure on our gross dollar retention as a greater amount of recurring revenue contracts come up for renewal during 2026. We currently expect our gross dollar retention to improve as we move past this larger 2026 renewal cohort and ultimately return to levels more consistent with our recent historical performance by the end of 2027. Finally, we are continually investing in innovation, which we believe will support gross dollar retention over the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Balance sheet and cash flow</w:t>
      </w:r>
    </w:p>
    <w:p>
      <w:pPr>
        <w:pStyle w:val="TextBody"/>
        <w:bidi w:val="0"/>
        <w:spacing w:lineRule="auto" w:line="288" w:before="180" w:after="283"/>
        <w:jc w:val="both"/>
        <w:rPr/>
      </w:pPr>
      <w:r>
        <w:rPr>
          <w:rFonts w:ascii="sans-serif" w:hAnsi="sans-serif"/>
          <w:b w:val="false"/>
          <w:color w:val="51555C"/>
          <w:sz w:val="20"/>
        </w:rPr>
        <w:t xml:space="preserve">At June 30, 2026, our cash and cash equivalents were $34.4 million. Under the 2024 Credit Facilities, the carrying amount of our debt was $1.1 billion and our net leverage ratio </w:t>
      </w:r>
      <w:r>
        <w:rPr>
          <w:rFonts w:ascii="sans-serif" w:hAnsi="sans-serif"/>
          <w:b w:val="false"/>
          <w:color w:val="51555C"/>
          <w:sz w:val="20"/>
          <w:shd w:fill="FFFFFF" w:val="clear"/>
        </w:rPr>
        <w:t xml:space="preserve">was </w:t>
      </w:r>
      <w:r>
        <w:rPr>
          <w:rFonts w:ascii="sans-serif" w:hAnsi="sans-serif"/>
          <w:b w:val="false"/>
          <w:color w:val="51555C"/>
          <w:sz w:val="20"/>
        </w:rPr>
        <w:t>2.58 to 1.00</w:t>
      </w:r>
      <w:r>
        <w:rPr>
          <w:rFonts w:ascii="sans-serif" w:hAnsi="sans-serif"/>
          <w:b w:val="false"/>
          <w:color w:val="51555C"/>
          <w:sz w:val="20"/>
          <w:shd w:fill="FFFFFF" w:val="clear"/>
        </w:rPr>
        <w:t>.</w:t>
      </w:r>
      <w:r>
        <w:rPr>
          <w:color w:val="51555C"/>
        </w:rPr>
        <w:t xml:space="preserv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2026, we generated $142.5 million in cash from operations, had a net increase in borrowings of $28.6 million, returned $110.1 million to stockholders by way of share repurchases, and had aggregate cash outlays of $30.2 million for purchases of property and equipment and capitalized software development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OBBBA's restoration of 100% bonus depreciation and immediate expensing of domestic research and experimental expenditures, together with our utilization of net operating loss carryforwards, meaningfully reduced U.S. cash taxes in 2025 and 2026. U.S. state OBBBA conformity considerations (which continue to evolve as the states address the 2025 Federal tax legislation) and the phase-in of the OBBBA international tax provisions in 2026 are expected to, in part, offset these cash tax reductions in 2026 and 2027. We currently expect a material impact from future phases in fiscal years 2026 and 2027, but not beyond, before considering any impacts of any potential future valuation allowance release (described further in Note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91540"/>
                <wp:effectExtent l="0" t="0" r="0" b="0"/>
                <wp:wrapNone/>
                <wp:docPr id="79" name="Frame2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2" descr=""/>
                                                <pic:cNvPicPr>
                                                  <a:picLocks noChangeAspect="1" noChangeArrowheads="1"/>
                                                </pic:cNvPicPr>
                                              </pic:nvPicPr>
                                              <pic:blipFill>
                                                <a:blip r:embed="rId56"/>
                                                <a:stretch>
                                                  <a:fillRect/>
                                                </a:stretch>
                                              </pic:blipFill>
                                              <pic:spPr bwMode="auto">
                                                <a:xfrm>
                                                  <a:off x="0" y="0"/>
                                                  <a:ext cx="723900" cy="190500"/>
                                                </a:xfrm>
                                                <a:prstGeom prst="rect">
                                                  <a:avLst/>
                                                </a:prstGeom>
                                              </pic:spPr>
                                            </pic:pic>
                                          </a:graphicData>
                                        </a:graphic>
                                      </wp:inline>
                                    </w:drawing>
                                  </w:r>
                                  <w:bookmarkStart w:id="54" w:name="i-32"/>
                                  <w:bookmarkEnd w:id="5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2" descr=""/>
                                          <pic:cNvPicPr>
                                            <a:picLocks noChangeAspect="1" noChangeArrowheads="1"/>
                                          </pic:cNvPicPr>
                                        </pic:nvPicPr>
                                        <pic:blipFill>
                                          <a:blip r:embed="rId57"/>
                                          <a:stretch>
                                            <a:fillRect/>
                                          </a:stretch>
                                        </pic:blipFill>
                                        <pic:spPr bwMode="auto">
                                          <a:xfrm>
                                            <a:off x="0" y="0"/>
                                            <a:ext cx="723900" cy="190500"/>
                                          </a:xfrm>
                                          <a:prstGeom prst="rect">
                                            <a:avLst/>
                                          </a:prstGeom>
                                        </pic:spPr>
                                      </pic:pic>
                                    </a:graphicData>
                                  </a:graphic>
                                </wp:inline>
                              </w:drawing>
                            </w:r>
                            <w:bookmarkStart w:id="55" w:name="i-32"/>
                            <w:bookmarkEnd w:id="5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3119" w:type="dxa"/>
        <w:jc w:val="left"/>
        <w:tblInd w:w="0" w:type="dxa"/>
        <w:tblLayout w:type="fixed"/>
        <w:tblCellMar>
          <w:top w:w="28" w:type="dxa"/>
          <w:left w:w="28" w:type="dxa"/>
          <w:bottom w:w="28" w:type="dxa"/>
          <w:right w:w="28" w:type="dxa"/>
        </w:tblCellMar>
      </w:tblPr>
      <w:tblGrid>
        <w:gridCol w:w="998"/>
        <w:gridCol w:w="878"/>
        <w:gridCol w:w="1243"/>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Results of Operations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Comparison of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sans-serif" w:hAnsi="sans-serif"/>
          <w:b/>
          <w:color w:val="51555C"/>
          <w:sz w:val="20"/>
        </w:rPr>
      </w:pPr>
      <w:r>
        <w:rPr>
          <w:rFonts w:ascii="sans-serif" w:hAnsi="sans-serif"/>
          <w:b/>
          <w:color w:val="51555C"/>
          <w:sz w:val="20"/>
        </w:rPr>
        <w:t>Revenue and Cost of Revenue</w:t>
      </w:r>
    </w:p>
    <w:tbl>
      <w:tblPr>
        <w:tblW w:w="6503" w:type="dxa"/>
        <w:jc w:val="left"/>
        <w:tblInd w:w="0" w:type="dxa"/>
        <w:tblLayout w:type="fixed"/>
        <w:tblCellMar>
          <w:top w:w="28" w:type="dxa"/>
          <w:left w:w="28" w:type="dxa"/>
          <w:bottom w:w="28" w:type="dxa"/>
          <w:right w:w="28" w:type="dxa"/>
        </w:tblCellMar>
      </w:tblPr>
      <w:tblGrid>
        <w:gridCol w:w="532"/>
        <w:gridCol w:w="468"/>
        <w:gridCol w:w="470"/>
        <w:gridCol w:w="109"/>
        <w:gridCol w:w="109"/>
        <w:gridCol w:w="109"/>
        <w:gridCol w:w="714"/>
        <w:gridCol w:w="714"/>
        <w:gridCol w:w="716"/>
        <w:gridCol w:w="109"/>
        <w:gridCol w:w="109"/>
        <w:gridCol w:w="109"/>
        <w:gridCol w:w="654"/>
        <w:gridCol w:w="654"/>
        <w:gridCol w:w="927"/>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Gross profit ($M)</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and gross margin (%)</w:t>
            </w:r>
          </w:p>
        </w:tc>
      </w:tr>
      <w:tr>
        <w:trPr/>
        <w:tc>
          <w:tcPr>
            <w:tcW w:w="147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152650" cy="1581150"/>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58"/>
                    <a:stretch>
                      <a:fillRect/>
                    </a:stretch>
                  </pic:blipFill>
                  <pic:spPr bwMode="auto">
                    <a:xfrm>
                      <a:off x="0" y="0"/>
                      <a:ext cx="2152650" cy="1581150"/>
                    </a:xfrm>
                    <a:prstGeom prst="rect">
                      <a:avLst/>
                    </a:prstGeom>
                  </pic:spPr>
                </pic:pic>
              </a:graphicData>
            </a:graphic>
          </wp:inline>
        </w:drawing>
      </w:r>
      <w:bookmarkStart w:id="56" w:name="i-33"/>
      <w:bookmarkEnd w:id="56"/>
      <w:r>
        <w:rPr/>
        <w:drawing>
          <wp:inline distT="0" distB="0" distL="0" distR="0">
            <wp:extent cx="2152650" cy="1581150"/>
            <wp:effectExtent l="0" t="0" r="0" b="0"/>
            <wp:docPr id="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4" descr=""/>
                    <pic:cNvPicPr>
                      <a:picLocks noChangeAspect="1" noChangeArrowheads="1"/>
                    </pic:cNvPicPr>
                  </pic:nvPicPr>
                  <pic:blipFill>
                    <a:blip r:embed="rId59"/>
                    <a:stretch>
                      <a:fillRect/>
                    </a:stretch>
                  </pic:blipFill>
                  <pic:spPr bwMode="auto">
                    <a:xfrm>
                      <a:off x="0" y="0"/>
                      <a:ext cx="2152650" cy="1581150"/>
                    </a:xfrm>
                    <a:prstGeom prst="rect">
                      <a:avLst/>
                    </a:prstGeom>
                  </pic:spPr>
                </pic:pic>
              </a:graphicData>
            </a:graphic>
          </wp:inline>
        </w:drawing>
      </w:r>
      <w:bookmarkStart w:id="57" w:name="i-34"/>
      <w:bookmarkEnd w:id="57"/>
      <w:r>
        <w:rPr/>
        <w:drawing>
          <wp:inline distT="0" distB="0" distL="0" distR="0">
            <wp:extent cx="2152650" cy="1581150"/>
            <wp:effectExtent l="0" t="0" r="0" b="0"/>
            <wp:docPr id="8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5" descr=""/>
                    <pic:cNvPicPr>
                      <a:picLocks noChangeAspect="1" noChangeArrowheads="1"/>
                    </pic:cNvPicPr>
                  </pic:nvPicPr>
                  <pic:blipFill>
                    <a:blip r:embed="rId60"/>
                    <a:stretch>
                      <a:fillRect/>
                    </a:stretch>
                  </pic:blipFill>
                  <pic:spPr bwMode="auto">
                    <a:xfrm>
                      <a:off x="0" y="0"/>
                      <a:ext cx="2152650" cy="1581150"/>
                    </a:xfrm>
                    <a:prstGeom prst="rect">
                      <a:avLst/>
                    </a:prstGeom>
                  </pic:spPr>
                </pic:pic>
              </a:graphicData>
            </a:graphic>
          </wp:inline>
        </w:drawing>
      </w:r>
      <w:bookmarkStart w:id="58" w:name="i-35"/>
      <w:bookmarkEnd w:id="58"/>
    </w:p>
    <w:p>
      <w:pPr>
        <w:pStyle w:val="TextBody"/>
        <w:bidi w:val="0"/>
        <w:spacing w:before="180" w:after="283"/>
        <w:jc w:val="left"/>
        <w:rPr/>
      </w:pPr>
      <w:r>
        <w:rPr/>
        <w:drawing>
          <wp:inline distT="0" distB="0" distL="0" distR="0">
            <wp:extent cx="2152650" cy="1581150"/>
            <wp:effectExtent l="0" t="0" r="0" b="0"/>
            <wp:docPr id="8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6" descr=""/>
                    <pic:cNvPicPr>
                      <a:picLocks noChangeAspect="1" noChangeArrowheads="1"/>
                    </pic:cNvPicPr>
                  </pic:nvPicPr>
                  <pic:blipFill>
                    <a:blip r:embed="rId61"/>
                    <a:stretch>
                      <a:fillRect/>
                    </a:stretch>
                  </pic:blipFill>
                  <pic:spPr bwMode="auto">
                    <a:xfrm>
                      <a:off x="0" y="0"/>
                      <a:ext cx="2152650" cy="1581150"/>
                    </a:xfrm>
                    <a:prstGeom prst="rect">
                      <a:avLst/>
                    </a:prstGeom>
                  </pic:spPr>
                </pic:pic>
              </a:graphicData>
            </a:graphic>
          </wp:inline>
        </w:drawing>
      </w:r>
      <w:bookmarkStart w:id="59" w:name="i-36"/>
      <w:bookmarkEnd w:id="59"/>
      <w:r>
        <w:rPr/>
        <w:drawing>
          <wp:inline distT="0" distB="0" distL="0" distR="0">
            <wp:extent cx="2152650" cy="1581150"/>
            <wp:effectExtent l="0" t="0" r="0" b="0"/>
            <wp:docPr id="8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7" descr=""/>
                    <pic:cNvPicPr>
                      <a:picLocks noChangeAspect="1" noChangeArrowheads="1"/>
                    </pic:cNvPicPr>
                  </pic:nvPicPr>
                  <pic:blipFill>
                    <a:blip r:embed="rId62"/>
                    <a:stretch>
                      <a:fillRect/>
                    </a:stretch>
                  </pic:blipFill>
                  <pic:spPr bwMode="auto">
                    <a:xfrm>
                      <a:off x="0" y="0"/>
                      <a:ext cx="2152650" cy="1581150"/>
                    </a:xfrm>
                    <a:prstGeom prst="rect">
                      <a:avLst/>
                    </a:prstGeom>
                  </pic:spPr>
                </pic:pic>
              </a:graphicData>
            </a:graphic>
          </wp:inline>
        </w:drawing>
      </w:r>
      <w:bookmarkStart w:id="60" w:name="i-37"/>
      <w:bookmarkEnd w:id="60"/>
      <w:r>
        <w:rPr/>
        <w:drawing>
          <wp:inline distT="0" distB="0" distL="0" distR="0">
            <wp:extent cx="2152650" cy="1581150"/>
            <wp:effectExtent l="0" t="0" r="0" b="0"/>
            <wp:docPr id="8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8" descr=""/>
                    <pic:cNvPicPr>
                      <a:picLocks noChangeAspect="1" noChangeArrowheads="1"/>
                    </pic:cNvPicPr>
                  </pic:nvPicPr>
                  <pic:blipFill>
                    <a:blip r:embed="rId63"/>
                    <a:stretch>
                      <a:fillRect/>
                    </a:stretch>
                  </pic:blipFill>
                  <pic:spPr bwMode="auto">
                    <a:xfrm>
                      <a:off x="0" y="0"/>
                      <a:ext cx="2152650" cy="1581150"/>
                    </a:xfrm>
                    <a:prstGeom prst="rect">
                      <a:avLst/>
                    </a:prstGeom>
                  </pic:spPr>
                </pic:pic>
              </a:graphicData>
            </a:graphic>
          </wp:inline>
        </w:drawing>
      </w:r>
      <w:bookmarkStart w:id="61" w:name="i-38"/>
      <w:bookmarkEnd w:id="61"/>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revenue includes three components: contractual recurring, transactional recurring and one-time services and other.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Contractual recurring revenue is primarily comprised of fees for the use of our subscription-based software solutions, which includes providing access to cloud solutions, online training programs and subscription-based analytic services. Contractual recurring revenue also includes fees from maintenance services for our on-premises solutions.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Transactional recurring revenue is comprised of transaction fees associated with the use of our solutions, including donation processing, tuition management, consumer giving and event-based usage.</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One-time services and other revenue is comprised of fees for one-time consulting, analytic and onsite training services, and fees for retained and managed services contracts that we do not expect to have a term consistent with our cloud solution contracts.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is primarily comprised of compensation costs for customer support, production IT, professional services and onsite training personnel, hosting and data center costs, third-party contractor expenses, third-party royalty and data expenses, allocated depreciation, facilities and IT support (including cybersecurity) costs, amortization of intangible assets from business combinations, amortization of software development costs, transaction-based costs related to payments services including remittances of amounts due to third-parties, data expense incurred to perform one-time analytic services and other costs incurred in providing support, recurring services and onsite customer training to our customers.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customers continue to prefer cloud subscription offerings with integrated AI, analytics, training and payment services. We intend to continue focusing on innovation, quality and integration of our cloud solutions, which we believe will drive future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91540"/>
                <wp:effectExtent l="0" t="0" r="0" b="0"/>
                <wp:wrapNone/>
                <wp:docPr id="88" name="Frame2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9" descr=""/>
                                                <pic:cNvPicPr>
                                                  <a:picLocks noChangeAspect="1" noChangeArrowheads="1"/>
                                                </pic:cNvPicPr>
                                              </pic:nvPicPr>
                                              <pic:blipFill>
                                                <a:blip r:embed="rId64"/>
                                                <a:stretch>
                                                  <a:fillRect/>
                                                </a:stretch>
                                              </pic:blipFill>
                                              <pic:spPr bwMode="auto">
                                                <a:xfrm>
                                                  <a:off x="0" y="0"/>
                                                  <a:ext cx="733425" cy="190500"/>
                                                </a:xfrm>
                                                <a:prstGeom prst="rect">
                                                  <a:avLst/>
                                                </a:prstGeom>
                                              </pic:spPr>
                                            </pic:pic>
                                          </a:graphicData>
                                        </a:graphic>
                                      </wp:inline>
                                    </w:drawing>
                                  </w:r>
                                  <w:bookmarkStart w:id="62" w:name="i-39"/>
                                  <w:bookmarkEnd w:id="6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9" descr=""/>
                                          <pic:cNvPicPr>
                                            <a:picLocks noChangeAspect="1" noChangeArrowheads="1"/>
                                          </pic:cNvPicPr>
                                        </pic:nvPicPr>
                                        <pic:blipFill>
                                          <a:blip r:embed="rId65"/>
                                          <a:stretch>
                                            <a:fillRect/>
                                          </a:stretch>
                                        </pic:blipFill>
                                        <pic:spPr bwMode="auto">
                                          <a:xfrm>
                                            <a:off x="0" y="0"/>
                                            <a:ext cx="733425" cy="190500"/>
                                          </a:xfrm>
                                          <a:prstGeom prst="rect">
                                            <a:avLst/>
                                          </a:prstGeom>
                                        </pic:spPr>
                                      </pic:pic>
                                    </a:graphicData>
                                  </a:graphic>
                                </wp:inline>
                              </w:drawing>
                            </w:r>
                            <w:bookmarkStart w:id="63" w:name="i-39"/>
                            <w:bookmarkEnd w:id="6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pPr>
      <w:r>
        <w:rPr>
          <w:rFonts w:ascii="sans-serif" w:hAnsi="sans-serif"/>
          <w:b w:val="false"/>
          <w:color w:val="51555C"/>
          <w:sz w:val="20"/>
        </w:rPr>
        <w:t xml:space="preserve">Revenue increased by $8.6 million, or 3.0%, and $19.8 million, or 3.6%, during the three and six months ended June 30, 2026, respectively, when compared to the same periods in 2025. For a discussion of our changes in revenue, see "Revenue" above starting on page </w:t>
      </w:r>
      <w:hyperlink w:anchor="ib92e0804446742b2a6dc16cf217592fa_118">
        <w:r>
          <w:rPr>
            <w:rStyle w:val="InternetLink"/>
            <w:rFonts w:ascii="sans-serif" w:hAnsi="sans-serif"/>
            <w:b w:val="false"/>
            <w:strike w:val="false"/>
            <w:dstrike w:val="false"/>
            <w:color w:val="51555C"/>
            <w:sz w:val="20"/>
            <w:u w:val="none"/>
            <w:effect w:val="none"/>
          </w:rPr>
          <w:t>22</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decreased by $1.2 million, or 1.1%, and $1.4 million, or 0.6%, during the three and six months ended June 30, 2026, respectively, when compared to the same periods in 2025,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6"/>
        <w:gridCol w:w="2686"/>
        <w:gridCol w:w="37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amortization of intangible assets from business combinations of $1.6 million and $2.4 million, respectively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third-party contractor costs of $1.4 million and $3.1 million, respectively, primarily related to transition of work to employees in our GCC, decreased use of outside contractors and completion of prior year investments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compensation costs of $1.3 million and $2.7 million, respectively, primarily due to transition of work to employees in our GCC in Hyderabad, India, and a shift in resources from supporting cost of revenue to research and development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hosting and data center costs of $1.4 million and $2.1 million, respectively, as we continue to migrate our cloud infrastructure to leading public cloud service providers and make investments in security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amortization of software development costs of $1.2 million, for the six months ended June 30, 2026, due to our continued investments in the innovation and security of our solutions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Gross margin increased by 160 basis points and 170 basis points for the three and six months ended June 30, 2026, respectively, when compared to the same periods in 2025, due to the increase in revenue combined with the decrease in 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Operating Expenses</w:t>
      </w:r>
    </w:p>
    <w:tbl>
      <w:tblPr>
        <w:tblW w:w="6966"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629"/>
        <w:gridCol w:w="629"/>
        <w:gridCol w:w="631"/>
        <w:gridCol w:w="109"/>
        <w:gridCol w:w="109"/>
        <w:gridCol w:w="109"/>
        <w:gridCol w:w="605"/>
        <w:gridCol w:w="605"/>
        <w:gridCol w:w="859"/>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Sales, marketing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customer success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Research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development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General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administrative ($M)</w:t>
            </w:r>
          </w:p>
        </w:tc>
      </w:tr>
      <w:tr>
        <w:trPr/>
        <w:tc>
          <w:tcPr>
            <w:tcW w:w="6966" w:type="dxa"/>
            <w:gridSpan w:val="15"/>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r>
    </w:tbl>
    <w:p>
      <w:pPr>
        <w:pStyle w:val="TextBody"/>
        <w:bidi w:val="0"/>
        <w:spacing w:before="180" w:after="283"/>
        <w:jc w:val="left"/>
        <w:rPr/>
      </w:pPr>
      <w:r>
        <w:rPr/>
        <w:drawing>
          <wp:inline distT="0" distB="0" distL="0" distR="0">
            <wp:extent cx="2152650" cy="1581150"/>
            <wp:effectExtent l="0" t="0" r="0" b="0"/>
            <wp:docPr id="9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0" descr=""/>
                    <pic:cNvPicPr>
                      <a:picLocks noChangeAspect="1" noChangeArrowheads="1"/>
                    </pic:cNvPicPr>
                  </pic:nvPicPr>
                  <pic:blipFill>
                    <a:blip r:embed="rId66"/>
                    <a:stretch>
                      <a:fillRect/>
                    </a:stretch>
                  </pic:blipFill>
                  <pic:spPr bwMode="auto">
                    <a:xfrm>
                      <a:off x="0" y="0"/>
                      <a:ext cx="2152650" cy="1581150"/>
                    </a:xfrm>
                    <a:prstGeom prst="rect">
                      <a:avLst/>
                    </a:prstGeom>
                  </pic:spPr>
                </pic:pic>
              </a:graphicData>
            </a:graphic>
          </wp:inline>
        </w:drawing>
      </w:r>
      <w:bookmarkStart w:id="64" w:name="i-40"/>
      <w:bookmarkEnd w:id="64"/>
      <w:r>
        <w:rPr/>
        <w:drawing>
          <wp:inline distT="0" distB="0" distL="0" distR="0">
            <wp:extent cx="2152650" cy="1581150"/>
            <wp:effectExtent l="0" t="0" r="0" b="0"/>
            <wp:docPr id="9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1" descr=""/>
                    <pic:cNvPicPr>
                      <a:picLocks noChangeAspect="1" noChangeArrowheads="1"/>
                    </pic:cNvPicPr>
                  </pic:nvPicPr>
                  <pic:blipFill>
                    <a:blip r:embed="rId67"/>
                    <a:stretch>
                      <a:fillRect/>
                    </a:stretch>
                  </pic:blipFill>
                  <pic:spPr bwMode="auto">
                    <a:xfrm>
                      <a:off x="0" y="0"/>
                      <a:ext cx="2152650" cy="1581150"/>
                    </a:xfrm>
                    <a:prstGeom prst="rect">
                      <a:avLst/>
                    </a:prstGeom>
                  </pic:spPr>
                </pic:pic>
              </a:graphicData>
            </a:graphic>
          </wp:inline>
        </w:drawing>
      </w:r>
      <w:bookmarkStart w:id="65" w:name="i-41"/>
      <w:bookmarkEnd w:id="65"/>
      <w:r>
        <w:rPr/>
        <w:drawing>
          <wp:inline distT="0" distB="0" distL="0" distR="0">
            <wp:extent cx="2152650" cy="1581150"/>
            <wp:effectExtent l="0" t="0" r="0" b="0"/>
            <wp:docPr id="9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2" descr=""/>
                    <pic:cNvPicPr>
                      <a:picLocks noChangeAspect="1" noChangeArrowheads="1"/>
                    </pic:cNvPicPr>
                  </pic:nvPicPr>
                  <pic:blipFill>
                    <a:blip r:embed="rId68"/>
                    <a:stretch>
                      <a:fillRect/>
                    </a:stretch>
                  </pic:blipFill>
                  <pic:spPr bwMode="auto">
                    <a:xfrm>
                      <a:off x="0" y="0"/>
                      <a:ext cx="2152650" cy="1581150"/>
                    </a:xfrm>
                    <a:prstGeom prst="rect">
                      <a:avLst/>
                    </a:prstGeom>
                  </pic:spPr>
                </pic:pic>
              </a:graphicData>
            </a:graphic>
          </wp:inline>
        </w:drawing>
      </w:r>
      <w:bookmarkStart w:id="66" w:name="i-42"/>
      <w:bookmarkEnd w:id="66"/>
    </w:p>
    <w:p>
      <w:pPr>
        <w:pStyle w:val="TextBody"/>
        <w:bidi w:val="0"/>
        <w:spacing w:before="180" w:after="283"/>
        <w:jc w:val="left"/>
        <w:rPr/>
      </w:pPr>
      <w:r>
        <w:rPr/>
        <w:drawing>
          <wp:inline distT="0" distB="0" distL="0" distR="0">
            <wp:extent cx="2152650" cy="1581150"/>
            <wp:effectExtent l="0" t="0" r="0" b="0"/>
            <wp:docPr id="9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3" descr=""/>
                    <pic:cNvPicPr>
                      <a:picLocks noChangeAspect="1" noChangeArrowheads="1"/>
                    </pic:cNvPicPr>
                  </pic:nvPicPr>
                  <pic:blipFill>
                    <a:blip r:embed="rId69"/>
                    <a:stretch>
                      <a:fillRect/>
                    </a:stretch>
                  </pic:blipFill>
                  <pic:spPr bwMode="auto">
                    <a:xfrm>
                      <a:off x="0" y="0"/>
                      <a:ext cx="2152650" cy="1581150"/>
                    </a:xfrm>
                    <a:prstGeom prst="rect">
                      <a:avLst/>
                    </a:prstGeom>
                  </pic:spPr>
                </pic:pic>
              </a:graphicData>
            </a:graphic>
          </wp:inline>
        </w:drawing>
      </w:r>
      <w:bookmarkStart w:id="67" w:name="i-43"/>
      <w:bookmarkEnd w:id="67"/>
      <w:r>
        <w:rPr/>
        <w:drawing>
          <wp:inline distT="0" distB="0" distL="0" distR="0">
            <wp:extent cx="2152650" cy="1581150"/>
            <wp:effectExtent l="0" t="0" r="0" b="0"/>
            <wp:docPr id="9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4" descr=""/>
                    <pic:cNvPicPr>
                      <a:picLocks noChangeAspect="1" noChangeArrowheads="1"/>
                    </pic:cNvPicPr>
                  </pic:nvPicPr>
                  <pic:blipFill>
                    <a:blip r:embed="rId70"/>
                    <a:stretch>
                      <a:fillRect/>
                    </a:stretch>
                  </pic:blipFill>
                  <pic:spPr bwMode="auto">
                    <a:xfrm>
                      <a:off x="0" y="0"/>
                      <a:ext cx="2152650" cy="1581150"/>
                    </a:xfrm>
                    <a:prstGeom prst="rect">
                      <a:avLst/>
                    </a:prstGeom>
                  </pic:spPr>
                </pic:pic>
              </a:graphicData>
            </a:graphic>
          </wp:inline>
        </w:drawing>
      </w:r>
      <w:bookmarkStart w:id="68" w:name="i-44"/>
      <w:bookmarkEnd w:id="68"/>
      <w:r>
        <w:rPr/>
        <w:drawing>
          <wp:inline distT="0" distB="0" distL="0" distR="0">
            <wp:extent cx="2152650" cy="1581150"/>
            <wp:effectExtent l="0" t="0" r="0" b="0"/>
            <wp:docPr id="9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5" descr=""/>
                    <pic:cNvPicPr>
                      <a:picLocks noChangeAspect="1" noChangeArrowheads="1"/>
                    </pic:cNvPicPr>
                  </pic:nvPicPr>
                  <pic:blipFill>
                    <a:blip r:embed="rId71"/>
                    <a:stretch>
                      <a:fillRect/>
                    </a:stretch>
                  </pic:blipFill>
                  <pic:spPr bwMode="auto">
                    <a:xfrm>
                      <a:off x="0" y="0"/>
                      <a:ext cx="2152650" cy="1581150"/>
                    </a:xfrm>
                    <a:prstGeom prst="rect">
                      <a:avLst/>
                    </a:prstGeom>
                  </pic:spPr>
                </pic:pic>
              </a:graphicData>
            </a:graphic>
          </wp:inline>
        </w:drawing>
      </w:r>
      <w:bookmarkStart w:id="69" w:name="i-45"/>
      <w:bookmarkEnd w:id="6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91540"/>
                <wp:effectExtent l="0" t="0" r="0" b="0"/>
                <wp:wrapNone/>
                <wp:docPr id="97" name="Frame2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6" descr=""/>
                                                <pic:cNvPicPr>
                                                  <a:picLocks noChangeAspect="1" noChangeArrowheads="1"/>
                                                </pic:cNvPicPr>
                                              </pic:nvPicPr>
                                              <pic:blipFill>
                                                <a:blip r:embed="rId72"/>
                                                <a:stretch>
                                                  <a:fillRect/>
                                                </a:stretch>
                                              </pic:blipFill>
                                              <pic:spPr bwMode="auto">
                                                <a:xfrm>
                                                  <a:off x="0" y="0"/>
                                                  <a:ext cx="723900" cy="190500"/>
                                                </a:xfrm>
                                                <a:prstGeom prst="rect">
                                                  <a:avLst/>
                                                </a:prstGeom>
                                              </pic:spPr>
                                            </pic:pic>
                                          </a:graphicData>
                                        </a:graphic>
                                      </wp:inline>
                                    </w:drawing>
                                  </w:r>
                                  <w:bookmarkStart w:id="70" w:name="i-46"/>
                                  <w:bookmarkEnd w:id="7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6" descr=""/>
                                          <pic:cNvPicPr>
                                            <a:picLocks noChangeAspect="1" noChangeArrowheads="1"/>
                                          </pic:cNvPicPr>
                                        </pic:nvPicPr>
                                        <pic:blipFill>
                                          <a:blip r:embed="rId73"/>
                                          <a:stretch>
                                            <a:fillRect/>
                                          </a:stretch>
                                        </pic:blipFill>
                                        <pic:spPr bwMode="auto">
                                          <a:xfrm>
                                            <a:off x="0" y="0"/>
                                            <a:ext cx="723900" cy="190500"/>
                                          </a:xfrm>
                                          <a:prstGeom prst="rect">
                                            <a:avLst/>
                                          </a:prstGeom>
                                        </pic:spPr>
                                      </pic:pic>
                                    </a:graphicData>
                                  </a:graphic>
                                </wp:inline>
                              </w:drawing>
                            </w:r>
                            <w:bookmarkStart w:id="71" w:name="i-46"/>
                            <w:bookmarkEnd w:id="71"/>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Sales, marketing and customer success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includes compensation costs, variable sales commissions, travel-related expenses, advertising and marketing materials, public relations costs, variable reseller commissions and allocated depreciation, facilities and IT support (including cybersecurity)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intended to reduce our average customer acquisition cost per customer as well as the related payback period while increasing sales velocity.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increased by $2.2 million, or 5.0%, and $4.9 million, or 5.5%, during the three and six months ended June 30, 2026, respectively, when compared to the same periods in 2025. The increases in dollars and as a percentage of revenue were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advertising costs of $2.1 million and $2.8 million, respectively, primarily due to increased digital marketing spend related to our consumer-facing fundraising platform, JustGiving, as well as increased marketing related to raising awareness for our new AI offerings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Research and development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(including cybersecurity)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continue to make investments intended to delight our customers with innovative and secure cloud solutions, including AI technology. Research and development expenses increased by $1.3 million, or 3.8%, and $4.6 million, or 6.9%, during the three and six months ended June 30, 2026, respectively, when compared to the same periods in 2025. The increases in dollars and as a percentage of revenue were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compensation costs of $2.3 million and $5.9 million, respectively, primarily due to transition of work previously performed by third-party contractors to employees in our GCC in Hyderabad, India, and a shift in resources from supporting cost of revenue to research and development and prior year merit-based salary increases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third-party contractor costs of $3.6 million and $5.5 million, respectively, primarily related to transition of work to employees in our GCC (as discussed above) and prior year investments ramping down, partially offset by an increase in investment in AI innovation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software development costs that were capitalized of $1.4 million and $1.6 million,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Not included in research and development expense for the three months ended June 30, 2026 and 2025 were $13.0 million and $14.4 million, respectively, and for the six months ended June 30, 2026 and 2025 were $25.2 million and $26.8 million, respectively, of qualifying costs associated with software development activities that were capitalized, such as those for our cloud solutions. Qualifying capitalized development costs associated with our cloud solutions are subsequently amortized to cost </w:t>
      </w:r>
      <w:r>
        <w:rPr>
          <w:rFonts w:ascii="sans-serif" w:hAnsi="sans-serif"/>
          <w:b w:val="false"/>
          <w:color w:val="51555C"/>
          <w:sz w:val="20"/>
          <w:shd w:fill="FFFFFF" w:val="clear"/>
        </w:rPr>
        <w:t xml:space="preserve">of revenue over the related assets' estimated useful life, which generally range from two to seven years. </w:t>
      </w:r>
      <w:r>
        <w:rPr>
          <w:rFonts w:ascii="sans-serif" w:hAnsi="sans-serif"/>
          <w:b w:val="false"/>
          <w:color w:val="51555C"/>
          <w:sz w:val="20"/>
        </w:rPr>
        <w:t>We expect that the amount of software development costs capitalized will be relatively consistent in the near-term as we continue making investments in innovation, quality, security and the integration of our solutions, which we believe will drive long-term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91540"/>
                <wp:effectExtent l="0" t="0" r="0" b="0"/>
                <wp:wrapNone/>
                <wp:docPr id="100" name="Frame2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7" descr=""/>
                                                <pic:cNvPicPr>
                                                  <a:picLocks noChangeAspect="1" noChangeArrowheads="1"/>
                                                </pic:cNvPicPr>
                                              </pic:nvPicPr>
                                              <pic:blipFill>
                                                <a:blip r:embed="rId74"/>
                                                <a:stretch>
                                                  <a:fillRect/>
                                                </a:stretch>
                                              </pic:blipFill>
                                              <pic:spPr bwMode="auto">
                                                <a:xfrm>
                                                  <a:off x="0" y="0"/>
                                                  <a:ext cx="733425" cy="190500"/>
                                                </a:xfrm>
                                                <a:prstGeom prst="rect">
                                                  <a:avLst/>
                                                </a:prstGeom>
                                              </pic:spPr>
                                            </pic:pic>
                                          </a:graphicData>
                                        </a:graphic>
                                      </wp:inline>
                                    </w:drawing>
                                  </w:r>
                                  <w:bookmarkStart w:id="72" w:name="i-47"/>
                                  <w:bookmarkEnd w:id="7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7" descr=""/>
                                          <pic:cNvPicPr>
                                            <a:picLocks noChangeAspect="1" noChangeArrowheads="1"/>
                                          </pic:cNvPicPr>
                                        </pic:nvPicPr>
                                        <pic:blipFill>
                                          <a:blip r:embed="rId75"/>
                                          <a:stretch>
                                            <a:fillRect/>
                                          </a:stretch>
                                        </pic:blipFill>
                                        <pic:spPr bwMode="auto">
                                          <a:xfrm>
                                            <a:off x="0" y="0"/>
                                            <a:ext cx="733425" cy="190500"/>
                                          </a:xfrm>
                                          <a:prstGeom prst="rect">
                                            <a:avLst/>
                                          </a:prstGeom>
                                        </pic:spPr>
                                      </pic:pic>
                                    </a:graphicData>
                                  </a:graphic>
                                </wp:inline>
                              </w:drawing>
                            </w:r>
                            <w:bookmarkStart w:id="73" w:name="i-47"/>
                            <w:bookmarkEnd w:id="7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General and administrative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(including cybersecurity) costs, acquisition-related expenses and other administrative expenses.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increased by $1.6 million, or 4.8%, during the three months ended June 30, 2026, when compared to the same period in 2025. The increases in dollars and as a percentage of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40"/>
        <w:gridCol w:w="2633"/>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$2.0 million primarily related to internal solutions we use to run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corporate costs of $1.7 million primarily related to an increase in bad debt expense and, to a lesser extent, legal fees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stock-based compensation costs of $3.1 million primarily due to due to estimated overall Company performance against 2026 goals at target levels compared to prior-year expectations above target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decreased by $24.8 million, or 27.7%, during the six months ended June 30, 2026, when compared to the same period in 2025. The decreases in dollars and as a percentage of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acquisition and disposition-related costs of $24.4 million primarily related to our release from our lease for office space in Washington, DC, which occurred during February 2025 and did not reoccur in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stock-based compensation costs of $2.8 million primarily due to estimated overall Company performance against 2026 goals at target levels compared to prior-year expectations above target. The decrease was partially offset by certain executive retirements in the first quarter.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$2.6 million that occurred during 2025 that did not reoccur in 2026. For more information, see Note 11 to our audited consolidated financial statements contained in our Annual Report on Form 10-K filed with the SEC on 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$3.7 million primarily related to internal solutions we use to run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corporate costs of $1.8 million primarily related to an increase in bad debt expense, legal fees and tax-related expense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Interest Expense</w:t>
      </w:r>
    </w:p>
    <w:tbl>
      <w:tblPr>
        <w:tblW w:w="4813" w:type="dxa"/>
        <w:jc w:val="left"/>
        <w:tblInd w:w="0" w:type="dxa"/>
        <w:tblLayout w:type="fixed"/>
        <w:tblCellMar>
          <w:top w:w="28" w:type="dxa"/>
          <w:left w:w="28" w:type="dxa"/>
          <w:bottom w:w="28" w:type="dxa"/>
          <w:right w:w="28" w:type="dxa"/>
        </w:tblCellMar>
      </w:tblPr>
      <w:tblGrid>
        <w:gridCol w:w="573"/>
        <w:gridCol w:w="504"/>
        <w:gridCol w:w="504"/>
        <w:gridCol w:w="504"/>
        <w:gridCol w:w="504"/>
        <w:gridCol w:w="504"/>
        <w:gridCol w:w="504"/>
        <w:gridCol w:w="504"/>
        <w:gridCol w:w="712"/>
      </w:tblGrid>
      <w:tr>
        <w:trPr/>
        <w:tc>
          <w:tcPr>
            <w:tcW w:w="5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813"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Interest expense ($M)</w:t>
            </w:r>
          </w:p>
        </w:tc>
      </w:tr>
      <w:tr>
        <w:trPr/>
        <w:tc>
          <w:tcPr>
            <w:tcW w:w="4813"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0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8" descr=""/>
                    <pic:cNvPicPr>
                      <a:picLocks noChangeAspect="1" noChangeArrowheads="1"/>
                    </pic:cNvPicPr>
                  </pic:nvPicPr>
                  <pic:blipFill>
                    <a:blip r:embed="rId76"/>
                    <a:stretch>
                      <a:fillRect/>
                    </a:stretch>
                  </pic:blipFill>
                  <pic:spPr bwMode="auto">
                    <a:xfrm>
                      <a:off x="0" y="0"/>
                      <a:ext cx="2152650" cy="1581150"/>
                    </a:xfrm>
                    <a:prstGeom prst="rect">
                      <a:avLst/>
                    </a:prstGeom>
                  </pic:spPr>
                </pic:pic>
              </a:graphicData>
            </a:graphic>
          </wp:inline>
        </w:drawing>
      </w:r>
      <w:bookmarkStart w:id="74" w:name="i-48"/>
      <w:bookmarkEnd w:id="74"/>
      <w:r>
        <w:rPr>
          <w:color w:val="51555C"/>
        </w:rPr>
        <w:t>                                          </w:t>
      </w:r>
      <w:r>
        <w:rPr/>
        <w:drawing>
          <wp:inline distT="0" distB="0" distL="0" distR="0">
            <wp:extent cx="2152650" cy="1581150"/>
            <wp:effectExtent l="0" t="0" r="0" b="0"/>
            <wp:docPr id="10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9" descr=""/>
                    <pic:cNvPicPr>
                      <a:picLocks noChangeAspect="1" noChangeArrowheads="1"/>
                    </pic:cNvPicPr>
                  </pic:nvPicPr>
                  <pic:blipFill>
                    <a:blip r:embed="rId77"/>
                    <a:stretch>
                      <a:fillRect/>
                    </a:stretch>
                  </pic:blipFill>
                  <pic:spPr bwMode="auto">
                    <a:xfrm>
                      <a:off x="0" y="0"/>
                      <a:ext cx="2152650" cy="1581150"/>
                    </a:xfrm>
                    <a:prstGeom prst="rect">
                      <a:avLst/>
                    </a:prstGeom>
                  </pic:spPr>
                </pic:pic>
              </a:graphicData>
            </a:graphic>
          </wp:inline>
        </w:drawing>
      </w:r>
      <w:bookmarkStart w:id="75" w:name="i-49"/>
      <w:bookmarkEnd w:id="75"/>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The decreases in interest expense in dollars and as a percentage of total revenue during the three and six months ended June 30, 2026, when compared to the same periods in 2025, were primarily due to a decrease in portfolio effective interest rate on relatively flat average daily borrowing. We currently expect interest expense for the full year 2026 to be approximately $62 million to $66 million. Our interest expense in connection with the variable rate portion of our outstanding debt could increase in a rising interest rate environment. See Note 7 to our unaudited, condensed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605" cy="14605"/>
                <wp:effectExtent l="0" t="0" r="0" b="0"/>
                <wp:wrapNone/>
                <wp:docPr id="105" name="Frame2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0" descr=""/>
                                                <pic:cNvPicPr>
                                                  <a:picLocks noChangeAspect="1" noChangeArrowheads="1"/>
                                                </pic:cNvPicPr>
                                              </pic:nvPicPr>
                                              <pic:blipFill>
                                                <a:blip r:embed="rId78"/>
                                                <a:stretch>
                                                  <a:fillRect/>
                                                </a:stretch>
                                              </pic:blipFill>
                                              <pic:spPr bwMode="auto">
                                                <a:xfrm>
                                                  <a:off x="0" y="0"/>
                                                  <a:ext cx="723900" cy="190500"/>
                                                </a:xfrm>
                                                <a:prstGeom prst="rect">
                                                  <a:avLst/>
                                                </a:prstGeom>
                                              </pic:spPr>
                                            </pic:pic>
                                          </a:graphicData>
                                        </a:graphic>
                                      </wp:inline>
                                    </w:drawing>
                                  </w:r>
                                  <w:bookmarkStart w:id="76" w:name="i-50"/>
                                  <w:bookmarkEnd w:id="76"/>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0" descr=""/>
                                          <pic:cNvPicPr>
                                            <a:picLocks noChangeAspect="1" noChangeArrowheads="1"/>
                                          </pic:cNvPicPr>
                                        </pic:nvPicPr>
                                        <pic:blipFill>
                                          <a:blip r:embed="rId79"/>
                                          <a:stretch>
                                            <a:fillRect/>
                                          </a:stretch>
                                        </pic:blipFill>
                                        <pic:spPr bwMode="auto">
                                          <a:xfrm>
                                            <a:off x="0" y="0"/>
                                            <a:ext cx="723900" cy="190500"/>
                                          </a:xfrm>
                                          <a:prstGeom prst="rect">
                                            <a:avLst/>
                                          </a:prstGeom>
                                        </pic:spPr>
                                      </pic:pic>
                                    </a:graphicData>
                                  </a:graphic>
                                </wp:inline>
                              </w:drawing>
                            </w:r>
                            <w:bookmarkStart w:id="77" w:name="i-50"/>
                            <w:bookmarkEnd w:id="77"/>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Income, Net</w:t>
      </w:r>
    </w:p>
    <w:tbl>
      <w:tblPr>
        <w:tblW w:w="5428" w:type="dxa"/>
        <w:jc w:val="left"/>
        <w:tblInd w:w="0" w:type="dxa"/>
        <w:tblLayout w:type="fixed"/>
        <w:tblCellMar>
          <w:top w:w="28" w:type="dxa"/>
          <w:left w:w="28" w:type="dxa"/>
          <w:bottom w:w="28" w:type="dxa"/>
          <w:right w:w="28" w:type="dxa"/>
        </w:tblCellMar>
      </w:tblPr>
      <w:tblGrid>
        <w:gridCol w:w="647"/>
        <w:gridCol w:w="568"/>
        <w:gridCol w:w="568"/>
        <w:gridCol w:w="568"/>
        <w:gridCol w:w="568"/>
        <w:gridCol w:w="568"/>
        <w:gridCol w:w="568"/>
        <w:gridCol w:w="568"/>
        <w:gridCol w:w="80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5428"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Other income, net ($M)</w:t>
            </w:r>
          </w:p>
        </w:tc>
      </w:tr>
      <w:tr>
        <w:trPr/>
        <w:tc>
          <w:tcPr>
            <w:tcW w:w="5428"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other income, net as a percentage of total revenue</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0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1" descr=""/>
                    <pic:cNvPicPr>
                      <a:picLocks noChangeAspect="1" noChangeArrowheads="1"/>
                    </pic:cNvPicPr>
                  </pic:nvPicPr>
                  <pic:blipFill>
                    <a:blip r:embed="rId80"/>
                    <a:stretch>
                      <a:fillRect/>
                    </a:stretch>
                  </pic:blipFill>
                  <pic:spPr bwMode="auto">
                    <a:xfrm>
                      <a:off x="0" y="0"/>
                      <a:ext cx="2152650" cy="1581150"/>
                    </a:xfrm>
                    <a:prstGeom prst="rect">
                      <a:avLst/>
                    </a:prstGeom>
                  </pic:spPr>
                </pic:pic>
              </a:graphicData>
            </a:graphic>
          </wp:inline>
        </w:drawing>
      </w:r>
      <w:bookmarkStart w:id="78" w:name="i-51"/>
      <w:bookmarkEnd w:id="78"/>
      <w:r>
        <w:rPr>
          <w:color w:val="51555C"/>
        </w:rPr>
        <w:t>                                          </w:t>
      </w:r>
      <w:r>
        <w:rPr/>
        <w:drawing>
          <wp:inline distT="0" distB="0" distL="0" distR="0">
            <wp:extent cx="2152650" cy="1581150"/>
            <wp:effectExtent l="0" t="0" r="0" b="0"/>
            <wp:docPr id="10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2" descr=""/>
                    <pic:cNvPicPr>
                      <a:picLocks noChangeAspect="1" noChangeArrowheads="1"/>
                    </pic:cNvPicPr>
                  </pic:nvPicPr>
                  <pic:blipFill>
                    <a:blip r:embed="rId81"/>
                    <a:stretch>
                      <a:fillRect/>
                    </a:stretch>
                  </pic:blipFill>
                  <pic:spPr bwMode="auto">
                    <a:xfrm>
                      <a:off x="0" y="0"/>
                      <a:ext cx="2152650" cy="1581150"/>
                    </a:xfrm>
                    <a:prstGeom prst="rect">
                      <a:avLst/>
                    </a:prstGeom>
                  </pic:spPr>
                </pic:pic>
              </a:graphicData>
            </a:graphic>
          </wp:inline>
        </w:drawing>
      </w:r>
      <w:bookmarkStart w:id="79" w:name="i-52"/>
      <w:bookmarkEnd w:id="79"/>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increases in other income, net in dollars and as a percentage of total revenue during the three and six months ended June 30, 2026, respectively, when compared to the same periods in 2025, were primarily due to decreases in current year losses in currency revaluation compared to prior year losses. See Note 5 to our unaudited, condensed consolidated financial statements in this report for more information regarding our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Deferred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table below compares the components of deferred revenue from our unaudited, condensed consolidated balance sheets:</w:t>
      </w:r>
    </w:p>
    <w:tbl>
      <w:tblPr>
        <w:tblW w:w="5914" w:type="dxa"/>
        <w:jc w:val="left"/>
        <w:tblInd w:w="0" w:type="dxa"/>
        <w:tblLayout w:type="fixed"/>
        <w:tblCellMar>
          <w:top w:w="28" w:type="dxa"/>
          <w:left w:w="28" w:type="dxa"/>
          <w:bottom w:w="28" w:type="dxa"/>
          <w:right w:w="28" w:type="dxa"/>
        </w:tblCellMar>
      </w:tblPr>
      <w:tblGrid>
        <w:gridCol w:w="879"/>
        <w:gridCol w:w="773"/>
        <w:gridCol w:w="778"/>
        <w:gridCol w:w="226"/>
        <w:gridCol w:w="706"/>
        <w:gridCol w:w="109"/>
        <w:gridCol w:w="299"/>
        <w:gridCol w:w="936"/>
        <w:gridCol w:w="144"/>
        <w:gridCol w:w="277"/>
        <w:gridCol w:w="278"/>
        <w:gridCol w:w="509"/>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06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243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Deferred revenue</w:t>
            </w:r>
            <w:r>
              <w:rPr>
                <w:rFonts w:ascii="sans-serif" w:hAnsi="sans-serif"/>
                <w:b w:val="false"/>
                <w:color w:val="51555C"/>
                <w:sz w:val="13"/>
              </w:rPr>
              <w:t>(1)</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406.4 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371.8 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9.3 </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(0.2)</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Current portion</w:t>
            </w:r>
            <w:r>
              <w:rPr>
                <w:rFonts w:ascii="sans-serif" w:hAnsi="sans-serif"/>
                <w:b w:val="false"/>
                <w:color w:val="51555C"/>
                <w:sz w:val="13"/>
              </w:rPr>
              <w:t>(1)</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403.6 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369.0 </w:t>
            </w:r>
          </w:p>
        </w:tc>
        <w:tc>
          <w:tcPr>
            <w:tcW w:w="1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9.4 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deferred revenue or current portion of deferred revenue due to rounding.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the extent that our customers are billed for our solutions and services in advance of delivery, we record such amounts in deferred revenue. Our recurring revenue contracts are generally for a term of three years at contract inception with three-year renewals thereafter, billed annually in advance and non-cancelable. We now have approximately 90% of our contractual recurring revenue on 3-year or longer contracts and approximately 25% on 4-year or longer contracts. We generally invoice our customers with recurring revenue contracts in annual cycles 30 days prior to the end of each one-year period.</w:t>
      </w:r>
    </w:p>
    <w:p>
      <w:pPr>
        <w:pStyle w:val="TextBody"/>
        <w:bidi w:val="0"/>
        <w:spacing w:lineRule="auto" w:line="288" w:before="180" w:after="283"/>
        <w:jc w:val="both"/>
        <w:rPr/>
      </w:pPr>
      <w:r>
        <w:rPr>
          <w:rFonts w:ascii="sans-serif" w:hAnsi="sans-serif"/>
          <w:b w:val="false"/>
          <w:color w:val="51555C"/>
          <w:sz w:val="20"/>
          <w:shd w:fill="FFFFFF" w:val="clear"/>
        </w:rPr>
        <w:t xml:space="preserve">The increase in deferred revenue during the six months ended June 30, 2026 was primarily due to </w:t>
      </w:r>
      <w:r>
        <w:rPr>
          <w:rFonts w:ascii="sans-serif" w:hAnsi="sans-serif"/>
          <w:b w:val="false"/>
          <w:color w:val="51555C"/>
          <w:sz w:val="20"/>
        </w:rPr>
        <w:t>a seasonal increase in customer contract billings.</w:t>
      </w:r>
      <w:r>
        <w:rPr>
          <w:color w:val="51555C"/>
          <w:shd w:fill="FFFFFF" w:val="clear"/>
        </w:rPr>
        <w:t xml:space="preserve"> </w:t>
      </w:r>
      <w:r>
        <w:rPr>
          <w:rFonts w:ascii="sans-serif" w:hAnsi="sans-serif"/>
          <w:b w:val="false"/>
          <w:color w:val="51555C"/>
          <w:sz w:val="20"/>
          <w:shd w:fill="FFFFFF" w:val="clear"/>
        </w:rPr>
        <w:t xml:space="preserve">Historically, due to the timing of customer budget cycles, we have an increase in billings and customer contract renewals at or near the beginning of our third quarter. Generally, our lowest balance of deferred revenue during the year is at the end of our first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91540"/>
                <wp:effectExtent l="0" t="0" r="0" b="0"/>
                <wp:wrapNone/>
                <wp:docPr id="110" name="Frame3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3" descr=""/>
                                                <pic:cNvPicPr>
                                                  <a:picLocks noChangeAspect="1" noChangeArrowheads="1"/>
                                                </pic:cNvPicPr>
                                              </pic:nvPicPr>
                                              <pic:blipFill>
                                                <a:blip r:embed="rId82"/>
                                                <a:stretch>
                                                  <a:fillRect/>
                                                </a:stretch>
                                              </pic:blipFill>
                                              <pic:spPr bwMode="auto">
                                                <a:xfrm>
                                                  <a:off x="0" y="0"/>
                                                  <a:ext cx="733425" cy="190500"/>
                                                </a:xfrm>
                                                <a:prstGeom prst="rect">
                                                  <a:avLst/>
                                                </a:prstGeom>
                                              </pic:spPr>
                                            </pic:pic>
                                          </a:graphicData>
                                        </a:graphic>
                                      </wp:inline>
                                    </w:drawing>
                                  </w:r>
                                  <w:bookmarkStart w:id="80" w:name="i-53"/>
                                  <w:bookmarkEnd w:id="8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3" descr=""/>
                                          <pic:cNvPicPr>
                                            <a:picLocks noChangeAspect="1" noChangeArrowheads="1"/>
                                          </pic:cNvPicPr>
                                        </pic:nvPicPr>
                                        <pic:blipFill>
                                          <a:blip r:embed="rId83"/>
                                          <a:stretch>
                                            <a:fillRect/>
                                          </a:stretch>
                                        </pic:blipFill>
                                        <pic:spPr bwMode="auto">
                                          <a:xfrm>
                                            <a:off x="0" y="0"/>
                                            <a:ext cx="733425" cy="190500"/>
                                          </a:xfrm>
                                          <a:prstGeom prst="rect">
                                            <a:avLst/>
                                          </a:prstGeom>
                                        </pic:spPr>
                                      </pic:pic>
                                    </a:graphicData>
                                  </a:graphic>
                                </wp:inline>
                              </w:drawing>
                            </w:r>
                            <w:bookmarkStart w:id="81" w:name="i-53"/>
                            <w:bookmarkEnd w:id="8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Income Taxes</w:t>
      </w:r>
    </w:p>
    <w:tbl>
      <w:tblPr>
        <w:tblW w:w="3595" w:type="dxa"/>
        <w:jc w:val="left"/>
        <w:tblInd w:w="0" w:type="dxa"/>
        <w:tblLayout w:type="fixed"/>
        <w:tblCellMar>
          <w:top w:w="28" w:type="dxa"/>
          <w:left w:w="28" w:type="dxa"/>
          <w:bottom w:w="28" w:type="dxa"/>
          <w:right w:w="28" w:type="dxa"/>
        </w:tblCellMar>
      </w:tblPr>
      <w:tblGrid>
        <w:gridCol w:w="426"/>
        <w:gridCol w:w="374"/>
        <w:gridCol w:w="374"/>
        <w:gridCol w:w="374"/>
        <w:gridCol w:w="374"/>
        <w:gridCol w:w="374"/>
        <w:gridCol w:w="374"/>
        <w:gridCol w:w="374"/>
        <w:gridCol w:w="551"/>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595"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tax provision ($M)</w:t>
            </w:r>
          </w:p>
        </w:tc>
      </w:tr>
      <w:tr>
        <w:trPr/>
        <w:tc>
          <w:tcPr>
            <w:tcW w:w="3595"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effective income tax rates</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1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4" descr=""/>
                    <pic:cNvPicPr>
                      <a:picLocks noChangeAspect="1" noChangeArrowheads="1"/>
                    </pic:cNvPicPr>
                  </pic:nvPicPr>
                  <pic:blipFill>
                    <a:blip r:embed="rId84"/>
                    <a:stretch>
                      <a:fillRect/>
                    </a:stretch>
                  </pic:blipFill>
                  <pic:spPr bwMode="auto">
                    <a:xfrm>
                      <a:off x="0" y="0"/>
                      <a:ext cx="2152650" cy="1581150"/>
                    </a:xfrm>
                    <a:prstGeom prst="rect">
                      <a:avLst/>
                    </a:prstGeom>
                  </pic:spPr>
                </pic:pic>
              </a:graphicData>
            </a:graphic>
          </wp:inline>
        </w:drawing>
      </w:r>
      <w:bookmarkStart w:id="82" w:name="i-54"/>
      <w:bookmarkEnd w:id="82"/>
      <w:r>
        <w:rPr>
          <w:color w:val="51555C"/>
        </w:rPr>
        <w:t>                                          </w:t>
      </w:r>
      <w:r>
        <w:rPr/>
        <w:drawing>
          <wp:inline distT="0" distB="0" distL="0" distR="0">
            <wp:extent cx="2152650" cy="1581150"/>
            <wp:effectExtent l="0" t="0" r="0" b="0"/>
            <wp:docPr id="11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5" descr=""/>
                    <pic:cNvPicPr>
                      <a:picLocks noChangeAspect="1" noChangeArrowheads="1"/>
                    </pic:cNvPicPr>
                  </pic:nvPicPr>
                  <pic:blipFill>
                    <a:blip r:embed="rId85"/>
                    <a:stretch>
                      <a:fillRect/>
                    </a:stretch>
                  </pic:blipFill>
                  <pic:spPr bwMode="auto">
                    <a:xfrm>
                      <a:off x="0" y="0"/>
                      <a:ext cx="2152650" cy="1581150"/>
                    </a:xfrm>
                    <a:prstGeom prst="rect">
                      <a:avLst/>
                    </a:prstGeom>
                  </pic:spPr>
                </pic:pic>
              </a:graphicData>
            </a:graphic>
          </wp:inline>
        </w:drawing>
      </w:r>
      <w:bookmarkStart w:id="83" w:name="i-55"/>
      <w:bookmarkEnd w:id="83"/>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decreases in our effective income tax rate for the three and six months ended June 30, 2026 when compared to the same periods in 2025 were primarily due to a decrease in our valuation allowance and increased deductions from OBBBA implementation, partially offset by discrete tax expense recognized in 2026. See Note 9 to our unaudited, condensed consolidated financial statements in this report for more information. We currently expect a material impact from future phases in fiscal years 2026 and 2027, but not beyond, before considering any impacts of any potential future valuation allowance release (described further in Note 9).</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OBBBA's restoration of 100% bonus depreciation and immediate expensing of domestic research and experimental expenditures, together with our utilization of net operating loss carryforwards, meaningfully reduced U.S. cash taxes in 2025 and 2026. U.S. state OBBBA conformity considerations (which continue to evolve as the states address the 2025 Federal tax legislation) and the phase-in of the OBBBA international tax provisions in 2026 are expected to, in part, offset these cash tax reductions in 2026 and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Non-GAAP Financial Measures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91540"/>
                <wp:effectExtent l="0" t="0" r="0" b="0"/>
                <wp:wrapNone/>
                <wp:docPr id="115" name="Frame3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6" descr=""/>
                                                <pic:cNvPicPr>
                                                  <a:picLocks noChangeAspect="1" noChangeArrowheads="1"/>
                                                </pic:cNvPicPr>
                                              </pic:nvPicPr>
                                              <pic:blipFill>
                                                <a:blip r:embed="rId86"/>
                                                <a:stretch>
                                                  <a:fillRect/>
                                                </a:stretch>
                                              </pic:blipFill>
                                              <pic:spPr bwMode="auto">
                                                <a:xfrm>
                                                  <a:off x="0" y="0"/>
                                                  <a:ext cx="723900" cy="190500"/>
                                                </a:xfrm>
                                                <a:prstGeom prst="rect">
                                                  <a:avLst/>
                                                </a:prstGeom>
                                              </pic:spPr>
                                            </pic:pic>
                                          </a:graphicData>
                                        </a:graphic>
                                      </wp:inline>
                                    </w:drawing>
                                  </w:r>
                                  <w:bookmarkStart w:id="84" w:name="i-56"/>
                                  <w:bookmarkEnd w:id="8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6" descr=""/>
                                          <pic:cNvPicPr>
                                            <a:picLocks noChangeAspect="1" noChangeArrowheads="1"/>
                                          </pic:cNvPicPr>
                                        </pic:nvPicPr>
                                        <pic:blipFill>
                                          <a:blip r:embed="rId87"/>
                                          <a:stretch>
                                            <a:fillRect/>
                                          </a:stretch>
                                        </pic:blipFill>
                                        <pic:spPr bwMode="auto">
                                          <a:xfrm>
                                            <a:off x="0" y="0"/>
                                            <a:ext cx="723900" cy="190500"/>
                                          </a:xfrm>
                                          <a:prstGeom prst="rect">
                                            <a:avLst/>
                                          </a:prstGeom>
                                        </pic:spPr>
                                      </pic:pic>
                                    </a:graphicData>
                                  </a:graphic>
                                </wp:inline>
                              </w:drawing>
                            </w:r>
                            <w:bookmarkStart w:id="85" w:name="i-56"/>
                            <w:bookmarkEnd w:id="8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10205" w:type="dxa"/>
        <w:jc w:val="left"/>
        <w:tblInd w:w="0" w:type="dxa"/>
        <w:tblLayout w:type="fixed"/>
        <w:tblCellMar>
          <w:top w:w="28" w:type="dxa"/>
          <w:left w:w="28" w:type="dxa"/>
          <w:bottom w:w="28" w:type="dxa"/>
          <w:right w:w="28" w:type="dxa"/>
        </w:tblCellMar>
      </w:tblPr>
      <w:tblGrid>
        <w:gridCol w:w="1775"/>
        <w:gridCol w:w="1350"/>
        <w:gridCol w:w="1358"/>
        <w:gridCol w:w="275"/>
        <w:gridCol w:w="806"/>
        <w:gridCol w:w="256"/>
        <w:gridCol w:w="275"/>
        <w:gridCol w:w="806"/>
        <w:gridCol w:w="256"/>
        <w:gridCol w:w="109"/>
        <w:gridCol w:w="109"/>
        <w:gridCol w:w="109"/>
        <w:gridCol w:w="275"/>
        <w:gridCol w:w="806"/>
        <w:gridCol w:w="256"/>
        <w:gridCol w:w="275"/>
        <w:gridCol w:w="806"/>
        <w:gridCol w:w="303"/>
      </w:tblGrid>
      <w:tr>
        <w:trPr/>
        <w:tc>
          <w:tcPr>
            <w:tcW w:w="177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48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right w:val="single" w:sz="8" w:space="0" w:color="0040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21" w:type="dxa"/>
            <w:gridSpan w:val="6"/>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448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448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w:t>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290.6 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282.0 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571.7 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30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profit</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178.2 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168.4 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344.7 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323.5 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margin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58.6 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GCC workforce transition costs</w:t>
            </w:r>
            <w:r>
              <w:rPr>
                <w:rFonts w:ascii="sans-serif" w:hAnsi="sans-serif"/>
                <w:b w:val="false"/>
                <w:color w:val="51555C"/>
                <w:sz w:val="10"/>
              </w:rPr>
              <w:t>(1)</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8.4 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10.6 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18.0 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20.3 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gross profit</w:t>
            </w:r>
            <w:r>
              <w:rPr>
                <w:rFonts w:ascii="sans-serif" w:hAnsi="sans-serif"/>
                <w:b/>
                <w:color w:val="51555C"/>
                <w:sz w:val="10"/>
              </w:rPr>
              <w:t>(2)</w:t>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186.5 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179.0 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362.7 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343.8 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gross margin</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64.2 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63.5 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63.4 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62.3 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from operations</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margin</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21.3 </w:t>
            </w:r>
          </w:p>
        </w:tc>
        <w:tc>
          <w:tcPr>
            <w:tcW w:w="25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20.3 </w:t>
            </w:r>
          </w:p>
        </w:tc>
        <w:tc>
          <w:tcPr>
            <w:tcW w:w="25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19.8 </w:t>
            </w:r>
          </w:p>
        </w:tc>
        <w:tc>
          <w:tcPr>
            <w:tcW w:w="25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14.0 </w:t>
            </w:r>
          </w:p>
        </w:tc>
        <w:tc>
          <w:tcPr>
            <w:tcW w:w="30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49.4 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GCC workforce transition costs</w:t>
            </w:r>
            <w:r>
              <w:rPr>
                <w:rFonts w:ascii="sans-serif" w:hAnsi="sans-serif"/>
                <w:b w:val="false"/>
                <w:color w:val="51555C"/>
                <w:sz w:val="10"/>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Acquisition and disposition-related costs</w:t>
            </w:r>
            <w:r>
              <w:rPr>
                <w:rFonts w:ascii="sans-serif" w:hAnsi="sans-serif"/>
                <w:b w:val="false"/>
                <w:color w:val="51555C"/>
                <w:sz w:val="10"/>
              </w:rPr>
              <w:t>(3)</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color w:val="51555C"/>
              </w:rPr>
              <w:t xml:space="preser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Impairment of capitalized software development costs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32.6 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37.6 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64.5 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94.7 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from operations</w:t>
            </w:r>
            <w:r>
              <w:rPr>
                <w:rFonts w:ascii="sans-serif" w:hAnsi="sans-serif"/>
                <w:b/>
                <w:color w:val="51555C"/>
                <w:sz w:val="10"/>
              </w:rPr>
              <w:t>(2)</w:t>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95.0 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178.0 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171.8 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operating margin</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32.6 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before provision for income taxes</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income</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66.5 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30.8 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GAAP diluted earnings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44,884,337 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48,248,057 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45,605,260 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48,786,793 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diluted earnings per share</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0.79 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0.63 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GAAP income tax provision</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Total non-GAAP adjustments affecting income from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before provision for income taxes</w:t>
            </w:r>
            <w:r>
              <w:rPr>
                <w:rFonts w:ascii="sans-serif" w:hAnsi="sans-serif"/>
                <w:b/>
                <w:color w:val="51555C"/>
                <w:sz w:val="10"/>
              </w:rPr>
              <w:t>(2)</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148.7 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139.6 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Assumed non-GAAP income tax provision</w:t>
            </w:r>
            <w:r>
              <w:rPr>
                <w:rFonts w:ascii="sans-serif" w:hAnsi="sans-serif"/>
                <w:b w:val="false"/>
                <w:color w:val="51555C"/>
                <w:sz w:val="10"/>
              </w:rPr>
              <w:t>(4)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net income</w:t>
            </w:r>
            <w:r>
              <w:rPr>
                <w:rFonts w:ascii="sans-serif" w:hAnsi="sans-serif"/>
                <w:b/>
                <w:color w:val="51555C"/>
                <w:sz w:val="10"/>
              </w:rPr>
              <w:t>(2)</w:t>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112.3 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105.4 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non-GAAP diluted earnings per share</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44,884,337 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48,248,057 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45,605,260 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48,786,793 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diluted earnings per share</w:t>
            </w:r>
          </w:p>
        </w:tc>
        <w:tc>
          <w:tcPr>
            <w:tcW w:w="275"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1.33 </w:t>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1.22 </w:t>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2.46 </w:t>
            </w:r>
          </w:p>
        </w:tc>
        <w:tc>
          <w:tcPr>
            <w:tcW w:w="2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2.16 </w:t>
            </w:r>
          </w:p>
        </w:tc>
        <w:tc>
          <w:tcPr>
            <w:tcW w:w="303"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(1)GCC workforce transition costs represent severance and other costs incurred in connection with the transition of certain roles to our Global Capability Center in Hyderabad, India.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individual amounts for each year may not sum to subtotal, non-GAAP gross profit, non-GAAP income from operations, non-GAAP income before provision for income taxes or non-GAAP net income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(3)Includes charges of $24.3 million incurred during the six months ended June 30, 2025 related to the release from our lease for office space in Washington, DC.</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(4)We use a non-GAAP effective tax rate of 24.5% when calculating non-GAAP net income and non-GAAP diluted earnings per share. We base this rate on our estimated annual GAAP income tax rate, adjusted for items excluded from GAAP income when calculating non-GAAP income and for significant nonrecurring tax adjustments. We review this non-GAAP tax rate annually to determine whether it remains appropriate for evaluating our financial performance. In conducting this review, we consider our GAAP annual effective tax rate, changes in tax legislation, non-GAAP adjustments, and shifts in the geographic mix of revenues and expenses. We also evaluate other factors that we deem significant. Because the tax treatment of non-GAAP adjustments differs from GAAP and because of our methodology for estimating the annual tax rate, the non-GAAP tax rate may differ from the GAAP tax rate and from our actual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91540"/>
                <wp:effectExtent l="0" t="0" r="0" b="0"/>
                <wp:wrapNone/>
                <wp:docPr id="118" name="Frame3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7" descr=""/>
                                                <pic:cNvPicPr>
                                                  <a:picLocks noChangeAspect="1" noChangeArrowheads="1"/>
                                                </pic:cNvPicPr>
                                              </pic:nvPicPr>
                                              <pic:blipFill>
                                                <a:blip r:embed="rId88"/>
                                                <a:stretch>
                                                  <a:fillRect/>
                                                </a:stretch>
                                              </pic:blipFill>
                                              <pic:spPr bwMode="auto">
                                                <a:xfrm>
                                                  <a:off x="0" y="0"/>
                                                  <a:ext cx="733425" cy="190500"/>
                                                </a:xfrm>
                                                <a:prstGeom prst="rect">
                                                  <a:avLst/>
                                                </a:prstGeom>
                                              </pic:spPr>
                                            </pic:pic>
                                          </a:graphicData>
                                        </a:graphic>
                                      </wp:inline>
                                    </w:drawing>
                                  </w:r>
                                  <w:bookmarkStart w:id="86" w:name="i-57"/>
                                  <w:bookmarkEnd w:id="8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7" descr=""/>
                                          <pic:cNvPicPr>
                                            <a:picLocks noChangeAspect="1" noChangeArrowheads="1"/>
                                          </pic:cNvPicPr>
                                        </pic:nvPicPr>
                                        <pic:blipFill>
                                          <a:blip r:embed="rId89"/>
                                          <a:stretch>
                                            <a:fillRect/>
                                          </a:stretch>
                                        </pic:blipFill>
                                        <pic:spPr bwMode="auto">
                                          <a:xfrm>
                                            <a:off x="0" y="0"/>
                                            <a:ext cx="733425" cy="190500"/>
                                          </a:xfrm>
                                          <a:prstGeom prst="rect">
                                            <a:avLst/>
                                          </a:prstGeom>
                                        </pic:spPr>
                                      </pic:pic>
                                    </a:graphicData>
                                  </a:graphic>
                                </wp:inline>
                              </w:drawing>
                            </w:r>
                            <w:bookmarkStart w:id="87" w:name="i-57"/>
                            <w:bookmarkEnd w:id="8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Non-GAAP organic revenue growth</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if any,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if any.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 </w:t>
      </w:r>
    </w:p>
    <w:tbl>
      <w:tblPr>
        <w:tblW w:w="10205" w:type="dxa"/>
        <w:jc w:val="left"/>
        <w:tblInd w:w="0" w:type="dxa"/>
        <w:tblLayout w:type="fixed"/>
        <w:tblCellMar>
          <w:top w:w="28" w:type="dxa"/>
          <w:left w:w="28" w:type="dxa"/>
          <w:bottom w:w="28" w:type="dxa"/>
          <w:right w:w="28" w:type="dxa"/>
        </w:tblCellMar>
      </w:tblPr>
      <w:tblGrid>
        <w:gridCol w:w="2112"/>
        <w:gridCol w:w="1820"/>
        <w:gridCol w:w="1831"/>
        <w:gridCol w:w="211"/>
        <w:gridCol w:w="616"/>
        <w:gridCol w:w="271"/>
        <w:gridCol w:w="211"/>
        <w:gridCol w:w="616"/>
        <w:gridCol w:w="109"/>
        <w:gridCol w:w="109"/>
        <w:gridCol w:w="109"/>
        <w:gridCol w:w="109"/>
        <w:gridCol w:w="211"/>
        <w:gridCol w:w="616"/>
        <w:gridCol w:w="271"/>
        <w:gridCol w:w="211"/>
        <w:gridCol w:w="616"/>
        <w:gridCol w:w="156"/>
      </w:tblGrid>
      <w:tr>
        <w:trPr/>
        <w:tc>
          <w:tcPr>
            <w:tcW w:w="2112"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3"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03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081"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5763"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9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576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GAAP revenue</w:t>
            </w:r>
            <w:r>
              <w:rPr>
                <w:color w:val="51555C"/>
              </w:rPr>
              <w:t xml:space="preserve"> </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290.6 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282.0 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571.7 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 growth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3.0</w:t>
            </w: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3.6</w:t>
            </w: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revenue from divested businesses</w:t>
            </w:r>
            <w:r>
              <w:rPr>
                <w:rFonts w:ascii="sans-serif" w:hAnsi="sans-serif"/>
                <w:b w:val="false"/>
                <w:color w:val="51555C"/>
                <w:sz w:val="10"/>
              </w:rPr>
              <w:t>(1)</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290.6 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282.0 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571.7 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3.0</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3.6</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290.6 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282.0 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571.7 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revenue</w:t>
            </w:r>
            <w:r>
              <w:rPr>
                <w:rFonts w:ascii="sans-serif" w:hAnsi="sans-serif"/>
                <w:b w:val="false"/>
                <w:color w:val="51555C"/>
                <w:sz w:val="10"/>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 on constant currency basis</w:t>
            </w:r>
            <w:r>
              <w:rPr>
                <w:rFonts w:ascii="sans-serif" w:hAnsi="sans-serif"/>
                <w:b w:val="false"/>
                <w:color w:val="51555C"/>
                <w:sz w:val="10"/>
              </w:rPr>
              <w:t>(3)</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289.9 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282.0 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568.8 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 on constant currency basis</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2.8</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3.1</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recurring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recurring revenue growth</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3.3</w:t>
            </w: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4.1</w:t>
            </w: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recurring revenue from divested businesses</w:t>
            </w:r>
            <w:r>
              <w:rPr>
                <w:rFonts w:ascii="sans-serif" w:hAnsi="sans-serif"/>
                <w:b w:val="false"/>
                <w:color w:val="51555C"/>
                <w:sz w:val="10"/>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285.3 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561.8 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539.6 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3.3</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4.1</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recurring revenue</w:t>
            </w:r>
            <w:r>
              <w:rPr>
                <w:rFonts w:ascii="sans-serif" w:hAnsi="sans-serif"/>
                <w:b w:val="false"/>
                <w:color w:val="51555C"/>
                <w:sz w:val="10"/>
              </w:rPr>
              <w:t>(3)</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 on constant currency basis</w:t>
            </w:r>
            <w:r>
              <w:rPr>
                <w:rFonts w:ascii="sans-serif" w:hAnsi="sans-serif"/>
                <w:b w:val="false"/>
                <w:color w:val="51555C"/>
                <w:sz w:val="10"/>
              </w:rPr>
              <w:t>(3)</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284.6 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558.9 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539.6 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 on constant currency basis</w:t>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3.0</w:t>
            </w:r>
            <w:r>
              <w:rPr>
                <w:color w:val="51555C"/>
              </w:rPr>
              <w:t> </w:t>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3.6</w:t>
            </w:r>
            <w:r>
              <w:rPr>
                <w:color w:val="51555C"/>
              </w:rPr>
              <w:t> </w:t>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(1)Non-GAAP revenue from divested businesses excludes revenue associated with divested businesses in the prior period. The exclusion of the prior period revenue is to present the results of the divested business with the results of the combined company for the same period of time in both the prior and current periods.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91540"/>
                <wp:effectExtent l="0" t="0" r="0" b="0"/>
                <wp:wrapNone/>
                <wp:docPr id="121" name="Frame3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8" descr=""/>
                                                <pic:cNvPicPr>
                                                  <a:picLocks noChangeAspect="1" noChangeArrowheads="1"/>
                                                </pic:cNvPicPr>
                                              </pic:nvPicPr>
                                              <pic:blipFill>
                                                <a:blip r:embed="rId90"/>
                                                <a:stretch>
                                                  <a:fillRect/>
                                                </a:stretch>
                                              </pic:blipFill>
                                              <pic:spPr bwMode="auto">
                                                <a:xfrm>
                                                  <a:off x="0" y="0"/>
                                                  <a:ext cx="723900" cy="190500"/>
                                                </a:xfrm>
                                                <a:prstGeom prst="rect">
                                                  <a:avLst/>
                                                </a:prstGeom>
                                              </pic:spPr>
                                            </pic:pic>
                                          </a:graphicData>
                                        </a:graphic>
                                      </wp:inline>
                                    </w:drawing>
                                  </w:r>
                                  <w:bookmarkStart w:id="88" w:name="i-58"/>
                                  <w:bookmarkEnd w:id="8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8" descr=""/>
                                          <pic:cNvPicPr>
                                            <a:picLocks noChangeAspect="1" noChangeArrowheads="1"/>
                                          </pic:cNvPicPr>
                                        </pic:nvPicPr>
                                        <pic:blipFill>
                                          <a:blip r:embed="rId91"/>
                                          <a:stretch>
                                            <a:fillRect/>
                                          </a:stretch>
                                        </pic:blipFill>
                                        <pic:spPr bwMode="auto">
                                          <a:xfrm>
                                            <a:off x="0" y="0"/>
                                            <a:ext cx="723900" cy="190500"/>
                                          </a:xfrm>
                                          <a:prstGeom prst="rect">
                                            <a:avLst/>
                                          </a:prstGeom>
                                        </pic:spPr>
                                      </pic:pic>
                                    </a:graphicData>
                                  </a:graphic>
                                </wp:inline>
                              </w:drawing>
                            </w:r>
                            <w:bookmarkStart w:id="89" w:name="i-58"/>
                            <w:bookmarkEnd w:id="8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Rule of 40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employee severance; GCC workforce transition costs; acquisition and disposition-related costs; Security Incident-related costs; and impairment and disposition charges.</w:t>
      </w:r>
    </w:p>
    <w:tbl>
      <w:tblPr>
        <w:tblW w:w="10205" w:type="dxa"/>
        <w:jc w:val="left"/>
        <w:tblInd w:w="0" w:type="dxa"/>
        <w:tblLayout w:type="fixed"/>
        <w:tblCellMar>
          <w:top w:w="28" w:type="dxa"/>
          <w:left w:w="28" w:type="dxa"/>
          <w:bottom w:w="28" w:type="dxa"/>
          <w:right w:w="28" w:type="dxa"/>
        </w:tblCellMar>
      </w:tblPr>
      <w:tblGrid>
        <w:gridCol w:w="2117"/>
        <w:gridCol w:w="1816"/>
        <w:gridCol w:w="1830"/>
        <w:gridCol w:w="211"/>
        <w:gridCol w:w="616"/>
        <w:gridCol w:w="271"/>
        <w:gridCol w:w="211"/>
        <w:gridCol w:w="616"/>
        <w:gridCol w:w="109"/>
        <w:gridCol w:w="109"/>
        <w:gridCol w:w="109"/>
        <w:gridCol w:w="109"/>
        <w:gridCol w:w="211"/>
        <w:gridCol w:w="616"/>
        <w:gridCol w:w="271"/>
        <w:gridCol w:w="211"/>
        <w:gridCol w:w="616"/>
        <w:gridCol w:w="156"/>
      </w:tblGrid>
      <w:tr>
        <w:trPr/>
        <w:tc>
          <w:tcPr>
            <w:tcW w:w="211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right w:val="single" w:sz="8" w:space="0" w:color="00405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81" w:type="dxa"/>
            <w:gridSpan w:val="6"/>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576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98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576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net income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35.4 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66.5 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30.8 </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Interest, net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30.0 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31.7 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GAAP income tax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Depreciation</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Amortization of software development costs</w:t>
            </w:r>
            <w:r>
              <w:rPr>
                <w:rFonts w:ascii="sans-serif" w:hAnsi="sans-serif"/>
                <w:b w:val="false"/>
                <w:color w:val="51555C"/>
                <w:sz w:val="10"/>
              </w:rPr>
              <w:t>(1)</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12.8 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25.2 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24.2 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48.4 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90.9 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90.8 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w:t>
            </w:r>
            <w:r>
              <w:rPr>
                <w:rFonts w:ascii="sans-serif" w:hAnsi="sans-serif"/>
                <w:b w:val="false"/>
                <w:color w:val="51555C"/>
                <w:sz w:val="10"/>
              </w:rPr>
              <w:t>(2)</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83.7 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157.4 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121.6 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 margin</w:t>
            </w:r>
            <w:r>
              <w:rPr>
                <w:rFonts w:ascii="sans-serif" w:hAnsi="sans-serif"/>
                <w:b w:val="false"/>
                <w:color w:val="51555C"/>
                <w:sz w:val="10"/>
              </w:rPr>
              <w:t>(3)</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28.8 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22.7 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46.6 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GCC workforce transition costs</w:t>
            </w:r>
            <w:r>
              <w:rPr>
                <w:rFonts w:ascii="sans-serif" w:hAnsi="sans-serif"/>
                <w:b w:val="false"/>
                <w:color w:val="51555C"/>
                <w:sz w:val="10"/>
              </w:rPr>
              <w:t>(4)</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Acquisition and disposition-related costs</w:t>
            </w:r>
            <w:r>
              <w:rPr>
                <w:rFonts w:ascii="sans-serif" w:hAnsi="sans-serif"/>
                <w:b w:val="false"/>
                <w:color w:val="51555C"/>
                <w:sz w:val="10"/>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rFonts w:ascii="sans-serif" w:hAnsi="sans-serif"/>
                <w:b w:val="false"/>
                <w:color w:val="51555C"/>
                <w:sz w:val="10"/>
              </w:rPr>
              <w:t>(4)</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Impairment of capitalized software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26.6 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51.7 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79.5 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w:t>
            </w:r>
            <w:r>
              <w:rPr>
                <w:rFonts w:ascii="sans-serif" w:hAnsi="sans-serif"/>
                <w:b w:val="false"/>
                <w:color w:val="51555C"/>
                <w:sz w:val="10"/>
              </w:rPr>
              <w:t>(2)</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110.3 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109.1 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209.0 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201.2 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EBITDA margin</w:t>
            </w:r>
            <w:r>
              <w:rPr>
                <w:rFonts w:ascii="sans-serif" w:hAnsi="sans-serif"/>
                <w:b/>
                <w:color w:val="51555C"/>
                <w:sz w:val="10"/>
              </w:rPr>
              <w:t>(5)</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38.0</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36.6</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Rule of 40</w:t>
            </w:r>
            <w:r>
              <w:rPr>
                <w:rFonts w:ascii="sans-serif" w:hAnsi="sans-serif"/>
                <w:b/>
                <w:color w:val="51555C"/>
                <w:sz w:val="10"/>
              </w:rPr>
              <w:t>(6)</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41.0</w:t>
            </w: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40.2</w:t>
            </w: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adjusted EBITDA</w:t>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110.3 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209.0 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201.2 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adjusted EBITDA</w:t>
            </w:r>
            <w:r>
              <w:rPr>
                <w:rFonts w:ascii="sans-serif" w:hAnsi="sans-serif"/>
                <w:b w:val="false"/>
                <w:color w:val="51555C"/>
                <w:sz w:val="10"/>
              </w:rPr>
              <w:t>(7)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 on constant currency basis</w:t>
            </w:r>
            <w:r>
              <w:rPr>
                <w:rFonts w:ascii="sans-serif" w:hAnsi="sans-serif"/>
                <w:b w:val="false"/>
                <w:color w:val="51555C"/>
                <w:sz w:val="10"/>
              </w:rPr>
              <w:t>(7)</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110.2 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108.0 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207.8 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200.3 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adjusted EBITDA margin on constant currency basis</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38.0</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36.5</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sans-serif" w:hAnsi="sans-serif"/>
                <w:b/>
                <w:color w:val="51555C"/>
                <w:sz w:val="16"/>
              </w:rPr>
              <w:t>Rule of 40 on constant currency basis</w:t>
            </w:r>
            <w:r>
              <w:rPr>
                <w:rFonts w:ascii="sans-serif" w:hAnsi="sans-serif"/>
                <w:b/>
                <w:color w:val="51555C"/>
                <w:sz w:val="10"/>
              </w:rPr>
              <w:t>(8)</w:t>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40.8</w:t>
            </w:r>
            <w:r>
              <w:rPr>
                <w:color w:val="51555C"/>
              </w:rPr>
              <w:t> </w:t>
            </w:r>
          </w:p>
        </w:tc>
        <w:tc>
          <w:tcPr>
            <w:tcW w:w="27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39.6</w:t>
            </w:r>
            <w:r>
              <w:rPr>
                <w:color w:val="51555C"/>
              </w:rPr>
              <w:t> </w:t>
            </w:r>
          </w:p>
        </w:tc>
        <w:tc>
          <w:tcPr>
            <w:tcW w:w="27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amortization expense related to software development costs and amortization expense from capitalized cloud computing implementation costs.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individual amounts for each year may not sum to subtotal, non-GAAP EBITDA, non-GAAP adjusted EBITDA or non-GAAP adjusted EBITDA on a constant currency basis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(3)Measured by GAAP revenue divided by non-GAAP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(4)See additional details in the reconciliation of GAAP to Non-GAAP operating income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(5)Measured by non-GAAP organic revenue divided by non-GAAP adjusted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(6)Measured by non-GAAP organic revenue growth plus non-GAAP adjusted EBITDA margin. See Non-GAAP organic revenue growth table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(7)To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(8)Measured by non-GAAP organic revenue growth on constant currency basis plus non-GAAP adjusted EBITDA margin on constant currency basis. See Non-GAAP organic revenue growth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91540"/>
                <wp:effectExtent l="0" t="0" r="0" b="0"/>
                <wp:wrapNone/>
                <wp:docPr id="124" name="Frame3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9" descr=""/>
                                                <pic:cNvPicPr>
                                                  <a:picLocks noChangeAspect="1" noChangeArrowheads="1"/>
                                                </pic:cNvPicPr>
                                              </pic:nvPicPr>
                                              <pic:blipFill>
                                                <a:blip r:embed="rId92"/>
                                                <a:stretch>
                                                  <a:fillRect/>
                                                </a:stretch>
                                              </pic:blipFill>
                                              <pic:spPr bwMode="auto">
                                                <a:xfrm>
                                                  <a:off x="0" y="0"/>
                                                  <a:ext cx="733425" cy="190500"/>
                                                </a:xfrm>
                                                <a:prstGeom prst="rect">
                                                  <a:avLst/>
                                                </a:prstGeom>
                                              </pic:spPr>
                                            </pic:pic>
                                          </a:graphicData>
                                        </a:graphic>
                                      </wp:inline>
                                    </w:drawing>
                                  </w:r>
                                  <w:bookmarkStart w:id="90" w:name="i-59"/>
                                  <w:bookmarkEnd w:id="9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9" descr=""/>
                                          <pic:cNvPicPr>
                                            <a:picLocks noChangeAspect="1" noChangeArrowheads="1"/>
                                          </pic:cNvPicPr>
                                        </pic:nvPicPr>
                                        <pic:blipFill>
                                          <a:blip r:embed="rId93"/>
                                          <a:stretch>
                                            <a:fillRect/>
                                          </a:stretch>
                                        </pic:blipFill>
                                        <pic:spPr bwMode="auto">
                                          <a:xfrm>
                                            <a:off x="0" y="0"/>
                                            <a:ext cx="733425" cy="190500"/>
                                          </a:xfrm>
                                          <a:prstGeom prst="rect">
                                            <a:avLst/>
                                          </a:prstGeom>
                                        </pic:spPr>
                                      </pic:pic>
                                    </a:graphicData>
                                  </a:graphic>
                                </wp:inline>
                              </w:drawing>
                            </w:r>
                            <w:bookmarkStart w:id="91" w:name="i-59"/>
                            <w:bookmarkEnd w:id="9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bookmarkStart w:id="92" w:name="ifa7c637965dd416c9bed0bc39aab25ec_430"/>
      <w:bookmarkEnd w:id="92"/>
      <w:r>
        <w:rPr>
          <w:rFonts w:ascii="sans-serif" w:hAnsi="sans-serif"/>
          <w:b w:val="false"/>
          <w:i/>
          <w:color w:val="51555C"/>
          <w:sz w:val="20"/>
        </w:rPr>
        <w:t>Non-GAAP free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Non-GAAP free cash flow is defined as operating cash flow less capital expenditures, including costs required to be capitalized for software development, and capital expenditures for property and equipment. We believe non-GAAP free cash flow provides a useful measure of the Company's operating performance.</w:t>
      </w:r>
    </w:p>
    <w:tbl>
      <w:tblPr>
        <w:tblW w:w="6650" w:type="dxa"/>
        <w:jc w:val="left"/>
        <w:tblInd w:w="0" w:type="dxa"/>
        <w:tblLayout w:type="fixed"/>
        <w:tblCellMar>
          <w:top w:w="28" w:type="dxa"/>
          <w:left w:w="28" w:type="dxa"/>
          <w:bottom w:w="28" w:type="dxa"/>
          <w:right w:w="28" w:type="dxa"/>
        </w:tblCellMar>
      </w:tblPr>
      <w:tblGrid>
        <w:gridCol w:w="1644"/>
        <w:gridCol w:w="1445"/>
        <w:gridCol w:w="1455"/>
        <w:gridCol w:w="211"/>
        <w:gridCol w:w="616"/>
        <w:gridCol w:w="256"/>
        <w:gridCol w:w="211"/>
        <w:gridCol w:w="511"/>
        <w:gridCol w:w="301"/>
      </w:tblGrid>
      <w:tr>
        <w:trPr/>
        <w:tc>
          <w:tcPr>
            <w:tcW w:w="164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45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8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02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45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cash provided by operating activities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142.5 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68.3 </w:t>
            </w:r>
          </w:p>
        </w:tc>
        <w:tc>
          <w:tcPr>
            <w:tcW w:w="30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cash flow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0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purchase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capitalized software development costs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(26.1)</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(27.8)</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free cash flow</w:t>
            </w:r>
            <w:r>
              <w:rPr>
                <w:rFonts w:ascii="sans-serif" w:hAnsi="sans-serif"/>
                <w:b/>
                <w:color w:val="51555C"/>
                <w:sz w:val="10"/>
              </w:rPr>
              <w:t>(1)</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112.3 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39.2 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free cash flow margin</w:t>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19.6 </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72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7.1 </w:t>
            </w:r>
          </w:p>
        </w:tc>
        <w:tc>
          <w:tcPr>
            <w:tcW w:w="30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non-GAAP free cash flow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Seasonality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cash flow from operations normally fluctuates quarterly due to the combination of the timing of customer contract billings and renewals,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December. In addition, deferred revenues can vary on a seasonal basis due to the timing of customer contract billings and renewals and student enrollments or significant acquisitions. Our cash flow from financing is negatively impacted in our first quarter when most of our equity awards vest, as we pay taxes on behalf of our employees related to the settlement or exercise of equity awards.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These patterns may change as a result of the continued shift to online giving, growth in volume of transactions for which we process payments, large dollar customer bookings and contract renewals, fluctuations in the timing of vendor payments, or as a result of acquisitions, new market opportunities, new solution introductions or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91540"/>
                <wp:effectExtent l="0" t="0" r="0" b="0"/>
                <wp:wrapNone/>
                <wp:docPr id="127" name="Frame3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0" descr=""/>
                                                <pic:cNvPicPr>
                                                  <a:picLocks noChangeAspect="1" noChangeArrowheads="1"/>
                                                </pic:cNvPicPr>
                                              </pic:nvPicPr>
                                              <pic:blipFill>
                                                <a:blip r:embed="rId94"/>
                                                <a:stretch>
                                                  <a:fillRect/>
                                                </a:stretch>
                                              </pic:blipFill>
                                              <pic:spPr bwMode="auto">
                                                <a:xfrm>
                                                  <a:off x="0" y="0"/>
                                                  <a:ext cx="723900" cy="190500"/>
                                                </a:xfrm>
                                                <a:prstGeom prst="rect">
                                                  <a:avLst/>
                                                </a:prstGeom>
                                              </pic:spPr>
                                            </pic:pic>
                                          </a:graphicData>
                                        </a:graphic>
                                      </wp:inline>
                                    </w:drawing>
                                  </w:r>
                                  <w:bookmarkStart w:id="93" w:name="i-60"/>
                                  <w:bookmarkEnd w:id="93"/>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0" descr=""/>
                                          <pic:cNvPicPr>
                                            <a:picLocks noChangeAspect="1" noChangeArrowheads="1"/>
                                          </pic:cNvPicPr>
                                        </pic:nvPicPr>
                                        <pic:blipFill>
                                          <a:blip r:embed="rId95"/>
                                          <a:stretch>
                                            <a:fillRect/>
                                          </a:stretch>
                                        </pic:blipFill>
                                        <pic:spPr bwMode="auto">
                                          <a:xfrm>
                                            <a:off x="0" y="0"/>
                                            <a:ext cx="723900" cy="190500"/>
                                          </a:xfrm>
                                          <a:prstGeom prst="rect">
                                            <a:avLst/>
                                          </a:prstGeom>
                                        </pic:spPr>
                                      </pic:pic>
                                    </a:graphicData>
                                  </a:graphic>
                                </wp:inline>
                              </w:drawing>
                            </w:r>
                            <w:bookmarkStart w:id="94" w:name="i-60"/>
                            <w:bookmarkEnd w:id="9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4409" w:type="dxa"/>
        <w:jc w:val="left"/>
        <w:tblInd w:w="0" w:type="dxa"/>
        <w:tblLayout w:type="fixed"/>
        <w:tblCellMar>
          <w:top w:w="28" w:type="dxa"/>
          <w:left w:w="28" w:type="dxa"/>
          <w:bottom w:w="28" w:type="dxa"/>
          <w:right w:w="28" w:type="dxa"/>
        </w:tblCellMar>
      </w:tblPr>
      <w:tblGrid>
        <w:gridCol w:w="1412"/>
        <w:gridCol w:w="1240"/>
        <w:gridCol w:w="1757"/>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Liquidity and Capital Resources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financial position:</w:t>
      </w:r>
    </w:p>
    <w:tbl>
      <w:tblPr>
        <w:tblW w:w="6903" w:type="dxa"/>
        <w:jc w:val="left"/>
        <w:tblInd w:w="0" w:type="dxa"/>
        <w:tblLayout w:type="fixed"/>
        <w:tblCellMar>
          <w:top w:w="28" w:type="dxa"/>
          <w:left w:w="28" w:type="dxa"/>
          <w:bottom w:w="28" w:type="dxa"/>
          <w:right w:w="28" w:type="dxa"/>
        </w:tblCellMar>
      </w:tblPr>
      <w:tblGrid>
        <w:gridCol w:w="1211"/>
        <w:gridCol w:w="1063"/>
        <w:gridCol w:w="1070"/>
        <w:gridCol w:w="246"/>
        <w:gridCol w:w="640"/>
        <w:gridCol w:w="109"/>
        <w:gridCol w:w="338"/>
        <w:gridCol w:w="877"/>
        <w:gridCol w:w="165"/>
        <w:gridCol w:w="337"/>
        <w:gridCol w:w="338"/>
        <w:gridCol w:w="509"/>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9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2026</w:t>
            </w:r>
          </w:p>
        </w:tc>
        <w:tc>
          <w:tcPr>
            <w:tcW w:w="13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18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33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Cash and cash equivalents</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38.9 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(11.6)</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Property and equipment,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0.5 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Software development costs, net</w:t>
            </w:r>
          </w:p>
        </w:tc>
        <w:tc>
          <w:tcPr>
            <w:tcW w:w="88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155.8 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2.0 </w:t>
            </w:r>
          </w:p>
        </w:tc>
        <w:tc>
          <w:tcPr>
            <w:tcW w:w="50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carrying value of debt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Working capital</w:t>
            </w:r>
          </w:p>
        </w:tc>
        <w:tc>
          <w:tcPr>
            <w:tcW w:w="8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(232.2)</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(252.0)</w:t>
            </w:r>
          </w:p>
        </w:tc>
        <w:tc>
          <w:tcPr>
            <w:tcW w:w="16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7.9 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cash flows:</w:t>
      </w:r>
    </w:p>
    <w:tbl>
      <w:tblPr>
        <w:tblW w:w="7428" w:type="dxa"/>
        <w:jc w:val="left"/>
        <w:tblInd w:w="0" w:type="dxa"/>
        <w:tblLayout w:type="fixed"/>
        <w:tblCellMar>
          <w:top w:w="28" w:type="dxa"/>
          <w:left w:w="28" w:type="dxa"/>
          <w:bottom w:w="28" w:type="dxa"/>
          <w:right w:w="28" w:type="dxa"/>
        </w:tblCellMar>
      </w:tblPr>
      <w:tblGrid>
        <w:gridCol w:w="1498"/>
        <w:gridCol w:w="1317"/>
        <w:gridCol w:w="1325"/>
        <w:gridCol w:w="239"/>
        <w:gridCol w:w="746"/>
        <w:gridCol w:w="115"/>
        <w:gridCol w:w="239"/>
        <w:gridCol w:w="619"/>
        <w:gridCol w:w="115"/>
        <w:gridCol w:w="353"/>
        <w:gridCol w:w="353"/>
        <w:gridCol w:w="509"/>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 June 30,</w:t>
            </w:r>
          </w:p>
        </w:tc>
      </w:tr>
      <w:tr>
        <w:trPr/>
        <w:tc>
          <w:tcPr>
            <w:tcW w:w="41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10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97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1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41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provided by operating activities</w:t>
            </w:r>
          </w:p>
        </w:tc>
        <w:tc>
          <w:tcPr>
            <w:tcW w:w="23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142.5 </w:t>
            </w:r>
          </w:p>
        </w:tc>
        <w:tc>
          <w:tcPr>
            <w:tcW w:w="11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1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68.3 </w:t>
            </w:r>
          </w:p>
        </w:tc>
        <w:tc>
          <w:tcPr>
            <w:tcW w:w="11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108.6 </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used in investing activities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(5.8)</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1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provided by financing activities</w:t>
            </w:r>
          </w:p>
        </w:tc>
        <w:tc>
          <w:tcPr>
            <w:tcW w:w="98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19.1 </w:t>
            </w:r>
          </w:p>
        </w:tc>
        <w:tc>
          <w:tcPr>
            <w:tcW w:w="11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68.1 </w:t>
            </w:r>
          </w:p>
        </w:tc>
        <w:tc>
          <w:tcPr>
            <w:tcW w:w="11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(72.0)</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principal sources of liquidity are our operating cash flow, funds available under the 2024 Credit Facilities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we may require additional capital. In that context, we regularly evaluate opportunities to enhance our capital structure, including through potential debt or equity issuances.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a well-known seasoned issuer, we filed an automatic shelf registration statement for an undetermined amount of debt and equity securities with the SEC on January 10, 2025. Under this universal shelf registration statement we may offer and sell, from time to time, debt securities, common stock, preferred stock, depositary shares, warrants, stock purchase contracts and stock purchase units. Subject to certain conditions and pursuant to applicable SEC regulations, this registration statement is effective for three years from its date of filing with the SEC, or through January 9, 2028.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June 30, 2026, our total cash and cash equivalents balance included approximately $14.9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91540"/>
                <wp:effectExtent l="0" t="0" r="0" b="0"/>
                <wp:wrapNone/>
                <wp:docPr id="130" name="Frame3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1" descr=""/>
                                                <pic:cNvPicPr>
                                                  <a:picLocks noChangeAspect="1" noChangeArrowheads="1"/>
                                                </pic:cNvPicPr>
                                              </pic:nvPicPr>
                                              <pic:blipFill>
                                                <a:blip r:embed="rId96"/>
                                                <a:stretch>
                                                  <a:fillRect/>
                                                </a:stretch>
                                              </pic:blipFill>
                                              <pic:spPr bwMode="auto">
                                                <a:xfrm>
                                                  <a:off x="0" y="0"/>
                                                  <a:ext cx="733425" cy="190500"/>
                                                </a:xfrm>
                                                <a:prstGeom prst="rect">
                                                  <a:avLst/>
                                                </a:prstGeom>
                                              </pic:spPr>
                                            </pic:pic>
                                          </a:graphicData>
                                        </a:graphic>
                                      </wp:inline>
                                    </w:drawing>
                                  </w:r>
                                  <w:bookmarkStart w:id="95" w:name="i-61"/>
                                  <w:bookmarkEnd w:id="9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1" descr=""/>
                                          <pic:cNvPicPr>
                                            <a:picLocks noChangeAspect="1" noChangeArrowheads="1"/>
                                          </pic:cNvPicPr>
                                        </pic:nvPicPr>
                                        <pic:blipFill>
                                          <a:blip r:embed="rId97"/>
                                          <a:stretch>
                                            <a:fillRect/>
                                          </a:stretch>
                                        </pic:blipFill>
                                        <pic:spPr bwMode="auto">
                                          <a:xfrm>
                                            <a:off x="0" y="0"/>
                                            <a:ext cx="733425" cy="190500"/>
                                          </a:xfrm>
                                          <a:prstGeom prst="rect">
                                            <a:avLst/>
                                          </a:prstGeom>
                                        </pic:spPr>
                                      </pic:pic>
                                    </a:graphicData>
                                  </a:graphic>
                                </wp:inline>
                              </w:drawing>
                            </w:r>
                            <w:bookmarkStart w:id="96" w:name="i-61"/>
                            <w:bookmarkEnd w:id="9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Operating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Working capital changes are composed of changes in accounts receivable, prepaid expenses and other assets, trade accounts payable, accrued expenses and other liabilities, and deferred revenue.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Net cash provided by operating activities increased by $74.2 million during the six months ended June 30, 2026, when compared to the same period in 2025, primarily due to a $47.5 million increase in net income adjusted for non-cash expenses and a $26.6 million increase in cash flow from operations associated with working capital.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 in cash flow from operations associated with working capital during the six months ended June 30, 2026, when compared to the same period in 2025, was primarily due to:</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fluctuations in the timing of vendor payments; and</w:t>
      </w:r>
    </w:p>
    <w:p>
      <w:pPr>
        <w:pStyle w:val="TextBody"/>
        <w:bidi w:val="0"/>
        <w:spacing w:lineRule="auto" w:line="288" w:before="180" w:after="283"/>
        <w:ind w:left="0" w:right="0" w:hanging="360"/>
        <w:jc w:val="left"/>
        <w:rPr/>
      </w:pPr>
      <w:r>
        <w:rPr>
          <w:color w:val="51555C"/>
        </w:rPr>
        <w:t>•</w:t>
      </w:r>
      <w:r>
        <w:rPr>
          <w:rFonts w:ascii="sans-serif" w:hAnsi="sans-serif"/>
          <w:b w:val="false"/>
          <w:color w:val="51555C"/>
          <w:sz w:val="20"/>
        </w:rPr>
        <w:t>a smaller increase in prepaid income taxes and a modest increase in income taxes payable.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OBBBA's restoration of 100% bonus depreciation and immediate expensing of domestic research and experimental expenditures, together with our utilization of net operating loss carryforwards, meaningfully reduced U.S. cash taxes in 2025 and 2026. U.S. state OBBBA conformity considerations (which continue to evolve as the states address the 2025 Federal tax legislation) and the phase-in of the OBBBA international tax provisions in 2026 are expected to, in part, offset these cash tax reductions in 2026 and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Investing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Net cash used in investing activities of $38.9 million decreased by $2.4 million during the six months ended June 30, 2026, when compared to the same period in 2025.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2026, we used cash of $26.1 million for software development costs, which was a decrease of $1.7 million when compared to the same period in 2025. We spent $4.1 million for purchases of property and equipment during the six months ended June 30, 2026, which was an increase of $2.8 million when compared to the same period in 2025. Also, we used $8.7 million for a minor investment in a business during the six months ended June 30, 2026.</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2025, we used net cash of $12.2 million for the disposition of a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Financing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2026, we had a net increase in borrowings of $28.6 million, primarily due to our stock repurchase program and to satisfy tax obligations of employees upon settlement of equity awards (see discussion below).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paid $25.3 million to satisfy tax obligations of employees upon settlement of equity awards during the six months ended June 30, 2026 compared to $38.7 million during the same period in 2025.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2026, cash flow from financing activities associated with changes in restricted cash due to customers increased $132.6 million, compared to an increase of $128.6 million during the same period in 2025. This line in the statement of cash flows represents the change in the amount of restricted cash held and payable by us to customers from one period to the next. This restricted cash due to customers is not available to us for operational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91540"/>
                <wp:effectExtent l="0" t="0" r="0" b="0"/>
                <wp:wrapNone/>
                <wp:docPr id="133" name="Frame3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2" descr=""/>
                                                <pic:cNvPicPr>
                                                  <a:picLocks noChangeAspect="1" noChangeArrowheads="1"/>
                                                </pic:cNvPicPr>
                                              </pic:nvPicPr>
                                              <pic:blipFill>
                                                <a:blip r:embed="rId98"/>
                                                <a:stretch>
                                                  <a:fillRect/>
                                                </a:stretch>
                                              </pic:blipFill>
                                              <pic:spPr bwMode="auto">
                                                <a:xfrm>
                                                  <a:off x="0" y="0"/>
                                                  <a:ext cx="723900" cy="190500"/>
                                                </a:xfrm>
                                                <a:prstGeom prst="rect">
                                                  <a:avLst/>
                                                </a:prstGeom>
                                              </pic:spPr>
                                            </pic:pic>
                                          </a:graphicData>
                                        </a:graphic>
                                      </wp:inline>
                                    </w:drawing>
                                  </w:r>
                                  <w:bookmarkStart w:id="97" w:name="i-62"/>
                                  <w:bookmarkEnd w:id="97"/>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2" descr=""/>
                                          <pic:cNvPicPr>
                                            <a:picLocks noChangeAspect="1" noChangeArrowheads="1"/>
                                          </pic:cNvPicPr>
                                        </pic:nvPicPr>
                                        <pic:blipFill>
                                          <a:blip r:embed="rId99"/>
                                          <a:stretch>
                                            <a:fillRect/>
                                          </a:stretch>
                                        </pic:blipFill>
                                        <pic:spPr bwMode="auto">
                                          <a:xfrm>
                                            <a:off x="0" y="0"/>
                                            <a:ext cx="723900" cy="190500"/>
                                          </a:xfrm>
                                          <a:prstGeom prst="rect">
                                            <a:avLst/>
                                          </a:prstGeom>
                                        </pic:spPr>
                                      </pic:pic>
                                    </a:graphicData>
                                  </a:graphic>
                                </wp:inline>
                              </w:drawing>
                            </w:r>
                            <w:bookmarkStart w:id="98" w:name="i-62"/>
                            <w:bookmarkEnd w:id="9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Stock repurchase program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On December 1, 2025, our Board of Directors reauthorized, expanded and replenished our stock repurchase program by expanding the total capacity under the program to $1.0 billion available for repurchases.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2026, we announced our intention to repurchase between 5% and 10% of our outstanding common stock as of December 31, 2025 during the course of 2026 under our stock repurchase program. During the three months ended June 30, 2026, we repurchased an aggregate of 797,795 shares for $28.0 million. During the six months ended June 30, 2026, we repurchased an aggregate of 2,398,852 shares for $110.1 million. Including net share settlement of employee stock compensation, these repurchases represent approximately 6.2% of our outstanding common stock as of December 31, 2025. As of June 30, 2026, $850.4 million remained available under our stock repurchase program. Over the long term, we expect stock repurchases to remain an important component of our capital allocation strategy, subject to market conditions, business performance, leverage considerations, U.S. excise taxes and other factors. We anticipate utilizing at least 50% of our free cash flow from 2026 to 2030 for stock repurchases. See discussion of our Non</w:t>
        <w:noBreakHyphen/>
        <w:t>GAAP Financial Measures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Historically, we have drawn on our credit facility from time to time to help us meet financial needs, primarily due to the seasonality of our cash flows from operations and financing for business acquisitions. At June 30, 2026, our available borrowing capacity under the 2024 Credit Facilities was $374.0 million. The 2024 Credit Facilities mature in April 2029.</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June 30, 2026, the carrying amount of our debt under the 2024 Credit Facilities was $1.1 billion. Our average daily borrowings during the three and six months ended June 30, 2026 were $1.1 billion and $1.1 billion, respectively.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is a summary of the financial covenants under the 2024 Credit Facilities:</w:t>
      </w:r>
    </w:p>
    <w:tbl>
      <w:tblPr>
        <w:tblW w:w="6313" w:type="dxa"/>
        <w:jc w:val="left"/>
        <w:tblInd w:w="0" w:type="dxa"/>
        <w:tblLayout w:type="fixed"/>
        <w:tblCellMar>
          <w:top w:w="28" w:type="dxa"/>
          <w:left w:w="28" w:type="dxa"/>
          <w:bottom w:w="28" w:type="dxa"/>
          <w:right w:w="28" w:type="dxa"/>
        </w:tblCellMar>
      </w:tblPr>
      <w:tblGrid>
        <w:gridCol w:w="846"/>
        <w:gridCol w:w="746"/>
        <w:gridCol w:w="748"/>
        <w:gridCol w:w="484"/>
        <w:gridCol w:w="484"/>
        <w:gridCol w:w="486"/>
        <w:gridCol w:w="737"/>
        <w:gridCol w:w="737"/>
        <w:gridCol w:w="1045"/>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Financial covenant</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Requirement</w:t>
            </w:r>
          </w:p>
        </w:tc>
        <w:tc>
          <w:tcPr>
            <w:tcW w:w="251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Ratio as of June 30, 2026</w:t>
            </w:r>
          </w:p>
        </w:tc>
      </w:tr>
      <w:tr>
        <w:trPr/>
        <w:tc>
          <w:tcPr>
            <w:tcW w:w="23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Net leverage ratio</w:t>
            </w:r>
            <w:r>
              <w:rPr>
                <w:rFonts w:ascii="sans-serif" w:hAnsi="sans-serif"/>
                <w:b w:val="false"/>
                <w:color w:val="51555C"/>
                <w:sz w:val="13"/>
              </w:rPr>
              <w:t>(1)</w:t>
            </w:r>
          </w:p>
        </w:tc>
        <w:tc>
          <w:tcPr>
            <w:tcW w:w="14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color w:val="51555C"/>
              </w:rPr>
            </w:pPr>
            <w:r>
              <w:rPr>
                <w:color w:val="51555C"/>
              </w:rPr>
              <w:t xml:space="preserve">≤ </w:t>
            </w:r>
            <w:r>
              <w:rPr>
                <w:rFonts w:ascii="sans-serif" w:hAnsi="sans-serif"/>
                <w:b w:val="false"/>
                <w:color w:val="51555C"/>
                <w:sz w:val="20"/>
              </w:rPr>
              <w:t>3.75 to 1.00</w:t>
            </w:r>
          </w:p>
        </w:tc>
        <w:tc>
          <w:tcPr>
            <w:tcW w:w="251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2.58 to 1.00</w:t>
            </w:r>
          </w:p>
        </w:tc>
      </w:tr>
      <w:tr>
        <w:trPr/>
        <w:tc>
          <w:tcPr>
            <w:tcW w:w="23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coverage ratio</w:t>
            </w:r>
          </w:p>
        </w:tc>
        <w:tc>
          <w:tcPr>
            <w:tcW w:w="145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color w:val="51555C"/>
              </w:rPr>
            </w:pPr>
            <w:r>
              <w:rPr>
                <w:color w:val="51555C"/>
              </w:rPr>
              <w:t xml:space="preserve">≥ </w:t>
            </w:r>
            <w:r>
              <w:rPr>
                <w:rFonts w:ascii="sans-serif" w:hAnsi="sans-serif"/>
                <w:b w:val="false"/>
                <w:color w:val="51555C"/>
                <w:sz w:val="20"/>
              </w:rPr>
              <w:t>2.50 to 1.00</w:t>
            </w:r>
          </w:p>
        </w:tc>
        <w:tc>
          <w:tcPr>
            <w:tcW w:w="251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6.56 to 1.00</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(1)Under the terms of the 2024 Credit Facilities, the Net Leverage Ratio requirement may be increased by up to 0.50 provided we satisfy certain requirements, including a permitted business acquisition, and provided that the maximum Net Leverage Ratio shall not exceed 4.25 to 1.00.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Under the 2024 Credit Facilities,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2024 Credit Facilities, and (ii) our pro forma net leverage ratio, as set forth in the 2024 Credit Facilities, must be 0.25 less than the net leverage ratio requirement at the time of dividend declaration or share repurchase. At June 30, 2026, we were in compliance with our debt covenants under the 2024 Credit Facilities. See Note 6 to our unaudited, condensed consolidated financial statements in this report for additional information regarding the 2024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91540"/>
                <wp:effectExtent l="0" t="0" r="0" b="0"/>
                <wp:wrapNone/>
                <wp:docPr id="136" name="Frame3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3" descr=""/>
                                                <pic:cNvPicPr>
                                                  <a:picLocks noChangeAspect="1" noChangeArrowheads="1"/>
                                                </pic:cNvPicPr>
                                              </pic:nvPicPr>
                                              <pic:blipFill>
                                                <a:blip r:embed="rId100"/>
                                                <a:stretch>
                                                  <a:fillRect/>
                                                </a:stretch>
                                              </pic:blipFill>
                                              <pic:spPr bwMode="auto">
                                                <a:xfrm>
                                                  <a:off x="0" y="0"/>
                                                  <a:ext cx="733425" cy="190500"/>
                                                </a:xfrm>
                                                <a:prstGeom prst="rect">
                                                  <a:avLst/>
                                                </a:prstGeom>
                                              </pic:spPr>
                                            </pic:pic>
                                          </a:graphicData>
                                        </a:graphic>
                                      </wp:inline>
                                    </w:drawing>
                                  </w:r>
                                  <w:bookmarkStart w:id="99" w:name="i-63"/>
                                  <w:bookmarkEnd w:id="9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3" descr=""/>
                                          <pic:cNvPicPr>
                                            <a:picLocks noChangeAspect="1" noChangeArrowheads="1"/>
                                          </pic:cNvPicPr>
                                        </pic:nvPicPr>
                                        <pic:blipFill>
                                          <a:blip r:embed="rId101"/>
                                          <a:stretch>
                                            <a:fillRect/>
                                          </a:stretch>
                                        </pic:blipFill>
                                        <pic:spPr bwMode="auto">
                                          <a:xfrm>
                                            <a:off x="0" y="0"/>
                                            <a:ext cx="733425" cy="190500"/>
                                          </a:xfrm>
                                          <a:prstGeom prst="rect">
                                            <a:avLst/>
                                          </a:prstGeom>
                                        </pic:spPr>
                                      </pic:pic>
                                    </a:graphicData>
                                  </a:graphic>
                                </wp:inline>
                              </w:drawing>
                            </w:r>
                            <w:bookmarkStart w:id="100" w:name="i-63"/>
                            <w:bookmarkEnd w:id="10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Commitments and Contingencies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June 30, 2026, we had contractual obligations with future minimum commitments as follows:</w:t>
      </w:r>
    </w:p>
    <w:tbl>
      <w:tblPr>
        <w:tblW w:w="7592" w:type="dxa"/>
        <w:jc w:val="left"/>
        <w:tblInd w:w="0" w:type="dxa"/>
        <w:tblLayout w:type="fixed"/>
        <w:tblCellMar>
          <w:top w:w="28" w:type="dxa"/>
          <w:left w:w="28" w:type="dxa"/>
          <w:bottom w:w="28" w:type="dxa"/>
          <w:right w:w="28" w:type="dxa"/>
        </w:tblCellMar>
      </w:tblPr>
      <w:tblGrid>
        <w:gridCol w:w="1470"/>
        <w:gridCol w:w="1291"/>
        <w:gridCol w:w="1303"/>
        <w:gridCol w:w="226"/>
        <w:gridCol w:w="706"/>
        <w:gridCol w:w="109"/>
        <w:gridCol w:w="226"/>
        <w:gridCol w:w="886"/>
        <w:gridCol w:w="109"/>
        <w:gridCol w:w="226"/>
        <w:gridCol w:w="886"/>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Payments due by period</w:t>
            </w:r>
          </w:p>
        </w:tc>
      </w:tr>
      <w:tr>
        <w:trPr/>
        <w:tc>
          <w:tcPr>
            <w:tcW w:w="40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millions)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Less than</w:t>
              <w:br/>
              <w:t>1 year</w:t>
            </w:r>
          </w:p>
        </w:tc>
        <w:tc>
          <w:tcPr>
            <w:tcW w:w="122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More than</w:t>
              <w:br/>
              <w:t>1 year</w:t>
            </w:r>
          </w:p>
        </w:tc>
        <w:tc>
          <w:tcPr>
            <w:tcW w:w="126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sans-serif" w:hAnsi="sans-serif"/>
                <w:b/>
                <w:color w:val="FFFFFF"/>
                <w:sz w:val="16"/>
              </w:rPr>
              <w:t>Total</w:t>
            </w:r>
            <w:r>
              <w:rPr>
                <w:rFonts w:ascii="sans-serif" w:hAnsi="sans-serif"/>
                <w:b/>
                <w:color w:val="FFFFFF"/>
                <w:sz w:val="10"/>
              </w:rPr>
              <w:t>(1)</w:t>
            </w:r>
          </w:p>
        </w:tc>
      </w:tr>
      <w:tr>
        <w:trPr/>
        <w:tc>
          <w:tcPr>
            <w:tcW w:w="40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Recorded contractual obligations:</w:t>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Debt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Unrecorded contractual obligations: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Purchase obligations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color w:val="51555C"/>
                <w:sz w:val="20"/>
              </w:rPr>
              <w:t>Total contractual obligations</w:t>
            </w:r>
            <w:r>
              <w:rPr>
                <w:rFonts w:ascii="sans-serif" w:hAnsi="sans-serif"/>
                <w:b/>
                <w:color w:val="51555C"/>
                <w:sz w:val="13"/>
              </w:rPr>
              <w:t>(1)</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138.7 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1,301.3 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1,440.0 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may not sum to the total due to rounding.</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June 30, 2026, we had total remaining principal payments of approximately $1.2 billion. These payments represent principal payments only, under the following assumptions: (i) that the amounts outstanding under the 2024 Credit Facilities, our real estate loans and our other debt at June 30, 2026 will remain outstanding until maturity, with minimum payments occurring as currently scheduled, and (ii) that there are no assumed future borrowings on the revolving credit loans under the 2024 Revolving Facility for the purposes of determining minimum commitment amounts. See Note 6 to our unaudited,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Interest payments on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to principal payments, as of June 30, 2026, we expect to pay interest expense over the life of our debt obligations of approximately $194.7 million. These payments represent our estimated future interest payments on debt using our debt balances and the related weighted average effective interest rates as of June 30, 2026, which includes the effect of interest rate swap agreements. The actual interest expense recognized in our unaudited, condensed consolidated statements of comprehensive income will depend on the amount of debt, the length of time the debt is outstanding and the interest rate, which could be different from our assumptions on our remaining principal payments described above.</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Operating leases</w:t>
      </w:r>
    </w:p>
    <w:p>
      <w:pPr>
        <w:pStyle w:val="TextBody"/>
        <w:bidi w:val="0"/>
        <w:spacing w:lineRule="auto" w:line="288" w:before="180" w:after="283"/>
        <w:jc w:val="both"/>
        <w:rPr/>
      </w:pPr>
      <w:r>
        <w:rPr>
          <w:rFonts w:ascii="sans-serif" w:hAnsi="sans-serif"/>
          <w:b w:val="false"/>
          <w:color w:val="51555C"/>
          <w:sz w:val="20"/>
        </w:rPr>
        <w:t>As of June 30, 2026, we had remaining operating lease payments of $8.6 million. These payments have not been reduced by sublease income, incentive payments, reimbursement of leasehold improvements or the amount representing imputed interest. Our operating leases are generally for corporate offices, subleased offices and certain equipment and furnit</w:t>
      </w:r>
      <w:r>
        <w:rPr>
          <w:rFonts w:ascii="sans-serif" w:hAnsi="sans-serif"/>
          <w:b w:val="false"/>
          <w:color w:val="51555C"/>
          <w:sz w:val="20"/>
          <w:shd w:fill="FFFFFF" w:val="clear"/>
        </w:rPr>
        <w:t>ure. Given our remote-first workforce strategy and real estate footprint optimization efforts, we do not anticipate entering any new, material operating leases for offices for the foreseeable future. See Note 8 to our unaud</w:t>
      </w:r>
      <w:r>
        <w:rPr>
          <w:rFonts w:ascii="sans-serif" w:hAnsi="sans-serif"/>
          <w:b w:val="false"/>
          <w:color w:val="51555C"/>
          <w:sz w:val="20"/>
        </w:rPr>
        <w:t>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Purchase obligations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June 30, 2026, we had remaining purchase obligations of $84.5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unaudited, condensed consolidated balance sheets as of June 30, 2026, as we had not received the related services. See Note 8 to our unaudited, condensed consolidated financial statements in this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91540"/>
                <wp:effectExtent l="0" t="0" r="0" b="0"/>
                <wp:wrapNone/>
                <wp:docPr id="139" name="Frame3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4" descr=""/>
                                                <pic:cNvPicPr>
                                                  <a:picLocks noChangeAspect="1" noChangeArrowheads="1"/>
                                                </pic:cNvPicPr>
                                              </pic:nvPicPr>
                                              <pic:blipFill>
                                                <a:blip r:embed="rId102"/>
                                                <a:stretch>
                                                  <a:fillRect/>
                                                </a:stretch>
                                              </pic:blipFill>
                                              <pic:spPr bwMode="auto">
                                                <a:xfrm>
                                                  <a:off x="0" y="0"/>
                                                  <a:ext cx="723900" cy="190500"/>
                                                </a:xfrm>
                                                <a:prstGeom prst="rect">
                                                  <a:avLst/>
                                                </a:prstGeom>
                                              </pic:spPr>
                                            </pic:pic>
                                          </a:graphicData>
                                        </a:graphic>
                                      </wp:inline>
                                    </w:drawing>
                                  </w:r>
                                  <w:bookmarkStart w:id="101" w:name="i-64"/>
                                  <w:bookmarkEnd w:id="101"/>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4" descr=""/>
                                          <pic:cNvPicPr>
                                            <a:picLocks noChangeAspect="1" noChangeArrowheads="1"/>
                                          </pic:cNvPicPr>
                                        </pic:nvPicPr>
                                        <pic:blipFill>
                                          <a:blip r:embed="rId103"/>
                                          <a:stretch>
                                            <a:fillRect/>
                                          </a:stretch>
                                        </pic:blipFill>
                                        <pic:spPr bwMode="auto">
                                          <a:xfrm>
                                            <a:off x="0" y="0"/>
                                            <a:ext cx="723900" cy="190500"/>
                                          </a:xfrm>
                                          <a:prstGeom prst="rect">
                                            <a:avLst/>
                                          </a:prstGeom>
                                        </pic:spPr>
                                      </pic:pic>
                                    </a:graphicData>
                                  </a:graphic>
                                </wp:inline>
                              </w:drawing>
                            </w:r>
                            <w:bookmarkStart w:id="102" w:name="i-64"/>
                            <w:bookmarkEnd w:id="102"/>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Other commitments</w:t>
      </w:r>
    </w:p>
    <w:p>
      <w:pPr>
        <w:pStyle w:val="TextBody"/>
        <w:bidi w:val="0"/>
        <w:spacing w:lineRule="auto" w:line="288" w:before="180" w:after="283"/>
        <w:jc w:val="both"/>
        <w:rPr/>
      </w:pPr>
      <w:r>
        <w:rPr>
          <w:rFonts w:ascii="sans-serif" w:hAnsi="sans-serif"/>
          <w:b w:val="false"/>
          <w:color w:val="51555C"/>
          <w:sz w:val="20"/>
        </w:rPr>
        <w:t xml:space="preserve">In connection with the settlement of the multi-state Attorneys General investigation, the California Attorney General investigation and the FTC investigation relating to the Security Incident, as discussed </w:t>
      </w:r>
      <w:r>
        <w:rPr>
          <w:rFonts w:ascii="sans-serif" w:hAnsi="sans-serif"/>
          <w:b w:val="false"/>
          <w:color w:val="51555C"/>
          <w:sz w:val="20"/>
          <w:shd w:fill="FFFFFF" w:val="clear"/>
        </w:rPr>
        <w:t xml:space="preserve">in </w:t>
      </w:r>
      <w:r>
        <w:rPr>
          <w:rFonts w:ascii="sans-serif" w:hAnsi="sans-serif"/>
          <w:b w:val="false"/>
          <w:color w:val="51555C"/>
          <w:sz w:val="20"/>
        </w:rPr>
        <w:t>Note 11 to our audited consolidated financial statements contained in our Annual Report on Form 10-K for the fiscal year ended December 31, 2024, we have agreed to implement and improve certain of our cybersecurity programs and tools through May 2044. The currently anticipated costs in connection with these efforts are primarily expected to be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10" w:type="dxa"/>
        <w:jc w:val="left"/>
        <w:tblInd w:w="0" w:type="dxa"/>
        <w:tblLayout w:type="fixed"/>
        <w:tblCellMar>
          <w:top w:w="28" w:type="dxa"/>
          <w:left w:w="28" w:type="dxa"/>
          <w:bottom w:w="28" w:type="dxa"/>
          <w:right w:w="28" w:type="dxa"/>
        </w:tblCellMar>
      </w:tblPr>
      <w:tblGrid>
        <w:gridCol w:w="1507"/>
        <w:gridCol w:w="1324"/>
        <w:gridCol w:w="1879"/>
      </w:tblGrid>
      <w:tr>
        <w:trPr/>
        <w:tc>
          <w:tcPr>
            <w:tcW w:w="15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Foreign Currency Exchange Rates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Approximately 18% of our total revenue for the six months ended June 30, 2026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$5.4 million as of June 30, 2026 and a loss of $3.8 million as of December 31, 2025. We have entered into foreign currency forward contracts to hedge a portion of the foreign currency exposure that arises on translation of our investments denominated in British Pounds into U.S. dollars.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the six months ended June 30, 2026,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six months ended June 30, 2026, the fluctuation in foreign currency exchange rates increased our total revenue and our income from operations by $2.9 million and $2.5 million, respectively.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19" w:type="dxa"/>
        <w:jc w:val="left"/>
        <w:tblInd w:w="0" w:type="dxa"/>
        <w:tblLayout w:type="fixed"/>
        <w:tblCellMar>
          <w:top w:w="28" w:type="dxa"/>
          <w:left w:w="28" w:type="dxa"/>
          <w:bottom w:w="28" w:type="dxa"/>
          <w:right w:w="28" w:type="dxa"/>
        </w:tblCellMar>
      </w:tblPr>
      <w:tblGrid>
        <w:gridCol w:w="1864"/>
        <w:gridCol w:w="1636"/>
        <w:gridCol w:w="2319"/>
      </w:tblGrid>
      <w:tr>
        <w:trPr/>
        <w:tc>
          <w:tcPr>
            <w:tcW w:w="186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Critical Accounting Policies and Estimates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have been no significant changes in our critical accounting policies and estimates during the six months ended June 30, 2026 as compared to those disclosed in “Management’s Discussion and Analysis of Financial Condition and Results of Operations” included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25" w:type="dxa"/>
        <w:jc w:val="left"/>
        <w:tblInd w:w="0" w:type="dxa"/>
        <w:tblLayout w:type="fixed"/>
        <w:tblCellMar>
          <w:top w:w="28" w:type="dxa"/>
          <w:left w:w="28" w:type="dxa"/>
          <w:bottom w:w="28" w:type="dxa"/>
          <w:right w:w="28" w:type="dxa"/>
        </w:tblCellMar>
      </w:tblPr>
      <w:tblGrid>
        <w:gridCol w:w="1993"/>
        <w:gridCol w:w="1751"/>
        <w:gridCol w:w="2481"/>
      </w:tblGrid>
      <w:tr>
        <w:trPr/>
        <w:tc>
          <w:tcPr>
            <w:tcW w:w="199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Recently Issued Accounting Pronouncements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91540"/>
                <wp:effectExtent l="0" t="0" r="0" b="0"/>
                <wp:wrapNone/>
                <wp:docPr id="142" name="Frame4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5" descr=""/>
                                                <pic:cNvPicPr>
                                                  <a:picLocks noChangeAspect="1" noChangeArrowheads="1"/>
                                                </pic:cNvPicPr>
                                              </pic:nvPicPr>
                                              <pic:blipFill>
                                                <a:blip r:embed="rId104"/>
                                                <a:stretch>
                                                  <a:fillRect/>
                                                </a:stretch>
                                              </pic:blipFill>
                                              <pic:spPr bwMode="auto">
                                                <a:xfrm>
                                                  <a:off x="0" y="0"/>
                                                  <a:ext cx="733425" cy="190500"/>
                                                </a:xfrm>
                                                <a:prstGeom prst="rect">
                                                  <a:avLst/>
                                                </a:prstGeom>
                                              </pic:spPr>
                                            </pic:pic>
                                          </a:graphicData>
                                        </a:graphic>
                                      </wp:inline>
                                    </w:drawing>
                                  </w:r>
                                  <w:bookmarkStart w:id="103" w:name="i-65"/>
                                  <w:bookmarkEnd w:id="10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5" descr=""/>
                                          <pic:cNvPicPr>
                                            <a:picLocks noChangeAspect="1" noChangeArrowheads="1"/>
                                          </pic:cNvPicPr>
                                        </pic:nvPicPr>
                                        <pic:blipFill>
                                          <a:blip r:embed="rId105"/>
                                          <a:stretch>
                                            <a:fillRect/>
                                          </a:stretch>
                                        </pic:blipFill>
                                        <pic:spPr bwMode="auto">
                                          <a:xfrm>
                                            <a:off x="0" y="0"/>
                                            <a:ext cx="733425" cy="190500"/>
                                          </a:xfrm>
                                          <a:prstGeom prst="rect">
                                            <a:avLst/>
                                          </a:prstGeom>
                                        </pic:spPr>
                                      </pic:pic>
                                    </a:graphicData>
                                  </a:graphic>
                                </wp:inline>
                              </w:drawing>
                            </w:r>
                            <w:bookmarkStart w:id="104" w:name="i-65"/>
                            <w:bookmarkEnd w:id="10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3. QUANTITATIVE AND QUALITATIVE DISCLOSURES ABOUT MARKET RISK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market rate sensitivity for interest rates and foreign currency exchange rates.</w:t>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Interest Rate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Additionally, our interest income that we primarily earn on restricted cash due to customers for our payment processing solutions acts as a partial natural hedge against our interest rate risk. Our primary interest rate exposure is related to changes in SOFR rates. Due to the nature of our debt, the materiality of the fair values of the derivative instruments and the highly liquid, short-term nature and level of our cash and cash equivalents as of June 30, 2026, we believe that the risk of exposure to changing interest rates for those positions is immaterial. There were no significant changes in how we manage interest rate risk between December 31, 2025 and June 30, 2026.</w:t>
      </w:r>
    </w:p>
    <w:tbl>
      <w:tblPr>
        <w:tblW w:w="3135" w:type="dxa"/>
        <w:jc w:val="lef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Foreign Currency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exposure to foreign currency exchange rate fluctuations, see “Management’s Discussion and Analysis of Financial Condition and Results of Operations — Foreign Currency Exchange Rates”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4. CONTROLS AND PROCEDURES</w:t>
      </w:r>
    </w:p>
    <w:tbl>
      <w:tblPr>
        <w:tblW w:w="6855" w:type="dxa"/>
        <w:jc w:val="left"/>
        <w:tblInd w:w="0" w:type="dxa"/>
        <w:tblLayout w:type="fixed"/>
        <w:tblCellMar>
          <w:top w:w="28" w:type="dxa"/>
          <w:left w:w="28" w:type="dxa"/>
          <w:bottom w:w="28" w:type="dxa"/>
          <w:right w:w="28" w:type="dxa"/>
        </w:tblCellMar>
      </w:tblPr>
      <w:tblGrid>
        <w:gridCol w:w="2195"/>
        <w:gridCol w:w="1928"/>
        <w:gridCol w:w="2732"/>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Evaluation of Disclosure Controls and Procedures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tbl>
      <w:tblPr>
        <w:tblW w:w="7305" w:type="dxa"/>
        <w:jc w:val="left"/>
        <w:tblInd w:w="0" w:type="dxa"/>
        <w:tblLayout w:type="fixed"/>
        <w:tblCellMar>
          <w:top w:w="28" w:type="dxa"/>
          <w:left w:w="28" w:type="dxa"/>
          <w:bottom w:w="28" w:type="dxa"/>
          <w:right w:w="28" w:type="dxa"/>
        </w:tblCellMar>
      </w:tblPr>
      <w:tblGrid>
        <w:gridCol w:w="2340"/>
        <w:gridCol w:w="2055"/>
        <w:gridCol w:w="2910"/>
      </w:tblGrid>
      <w:tr>
        <w:trPr/>
        <w:tc>
          <w:tcPr>
            <w:tcW w:w="23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Changes in Internal Control Over Financial Reporting</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 changes in internal control over financial reporting occurred during the most recent fiscal quarter ended June 30, 2026 with respect to our operations, which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91540"/>
                <wp:effectExtent l="0" t="0" r="0" b="0"/>
                <wp:wrapNone/>
                <wp:docPr id="145" name="Frame4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6" descr=""/>
                                                <pic:cNvPicPr>
                                                  <a:picLocks noChangeAspect="1" noChangeArrowheads="1"/>
                                                </pic:cNvPicPr>
                                              </pic:nvPicPr>
                                              <pic:blipFill>
                                                <a:blip r:embed="rId106"/>
                                                <a:stretch>
                                                  <a:fillRect/>
                                                </a:stretch>
                                              </pic:blipFill>
                                              <pic:spPr bwMode="auto">
                                                <a:xfrm>
                                                  <a:off x="0" y="0"/>
                                                  <a:ext cx="723900" cy="190500"/>
                                                </a:xfrm>
                                                <a:prstGeom prst="rect">
                                                  <a:avLst/>
                                                </a:prstGeom>
                                              </pic:spPr>
                                            </pic:pic>
                                          </a:graphicData>
                                        </a:graphic>
                                      </wp:inline>
                                    </w:drawing>
                                  </w:r>
                                  <w:bookmarkStart w:id="105" w:name="i-66"/>
                                  <w:bookmarkEnd w:id="10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6" descr=""/>
                                          <pic:cNvPicPr>
                                            <a:picLocks noChangeAspect="1" noChangeArrowheads="1"/>
                                          </pic:cNvPicPr>
                                        </pic:nvPicPr>
                                        <pic:blipFill>
                                          <a:blip r:embed="rId107"/>
                                          <a:stretch>
                                            <a:fillRect/>
                                          </a:stretch>
                                        </pic:blipFill>
                                        <pic:spPr bwMode="auto">
                                          <a:xfrm>
                                            <a:off x="0" y="0"/>
                                            <a:ext cx="723900" cy="190500"/>
                                          </a:xfrm>
                                          <a:prstGeom prst="rect">
                                            <a:avLst/>
                                          </a:prstGeom>
                                        </pic:spPr>
                                      </pic:pic>
                                    </a:graphicData>
                                  </a:graphic>
                                </wp:inline>
                              </w:drawing>
                            </w:r>
                            <w:bookmarkStart w:id="106" w:name="i-66"/>
                            <w:bookmarkEnd w:id="106"/>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tbl>
      <w:tblPr>
        <w:tblW w:w="8393"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2206"/>
        <w:gridCol w:w="2206"/>
        <w:gridCol w:w="31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4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7" descr=""/>
                          <pic:cNvPicPr>
                            <a:picLocks noChangeAspect="1" noChangeArrowheads="1"/>
                          </pic:cNvPicPr>
                        </pic:nvPicPr>
                        <pic:blipFill>
                          <a:blip r:embed="rId108"/>
                          <a:stretch>
                            <a:fillRect/>
                          </a:stretch>
                        </pic:blipFill>
                        <pic:spPr bwMode="auto">
                          <a:xfrm>
                            <a:off x="0" y="0"/>
                            <a:ext cx="276225" cy="276225"/>
                          </a:xfrm>
                          <a:prstGeom prst="rect">
                            <a:avLst/>
                          </a:prstGeom>
                        </pic:spPr>
                      </pic:pic>
                    </a:graphicData>
                  </a:graphic>
                </wp:inline>
              </w:drawing>
            </w:r>
            <w:bookmarkStart w:id="107" w:name="i-67"/>
            <w:bookmarkEnd w:id="107"/>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PART II.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legal proceedings, see Note 8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UNREGISTERED SALES OF EQUITY SECURITIES AND USE OF PROCEEDS</w:t>
      </w:r>
    </w:p>
    <w:tbl>
      <w:tblPr>
        <w:tblW w:w="5220" w:type="dxa"/>
        <w:jc w:val="left"/>
        <w:tblInd w:w="0" w:type="dxa"/>
        <w:tblLayout w:type="fixed"/>
        <w:tblCellMar>
          <w:top w:w="28" w:type="dxa"/>
          <w:left w:w="28" w:type="dxa"/>
          <w:bottom w:w="28" w:type="dxa"/>
          <w:right w:w="28" w:type="dxa"/>
        </w:tblCellMar>
      </w:tblPr>
      <w:tblGrid>
        <w:gridCol w:w="1672"/>
        <w:gridCol w:w="1468"/>
        <w:gridCol w:w="2080"/>
      </w:tblGrid>
      <w:tr>
        <w:trPr/>
        <w:tc>
          <w:tcPr>
            <w:tcW w:w="167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Issuer Purchases of Equity Securities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provides information about shares of common stock acquired or repurchased during the three months ended June 30, 2026 under the stock repurchase program then in effect, as well as common stock withheld by us to satisfy the minimum tax obligations of employees due upon vesting of restricted stock awards and units.</w:t>
      </w:r>
    </w:p>
    <w:tbl>
      <w:tblPr>
        <w:tblW w:w="10046" w:type="dxa"/>
        <w:jc w:val="left"/>
        <w:tblInd w:w="0" w:type="dxa"/>
        <w:tblLayout w:type="fixed"/>
        <w:tblCellMar>
          <w:top w:w="28" w:type="dxa"/>
          <w:left w:w="28" w:type="dxa"/>
          <w:bottom w:w="28" w:type="dxa"/>
          <w:right w:w="28" w:type="dxa"/>
        </w:tblCellMar>
      </w:tblPr>
      <w:tblGrid>
        <w:gridCol w:w="1290"/>
        <w:gridCol w:w="1133"/>
        <w:gridCol w:w="1147"/>
        <w:gridCol w:w="473"/>
        <w:gridCol w:w="473"/>
        <w:gridCol w:w="416"/>
        <w:gridCol w:w="109"/>
        <w:gridCol w:w="109"/>
        <w:gridCol w:w="109"/>
        <w:gridCol w:w="226"/>
        <w:gridCol w:w="706"/>
        <w:gridCol w:w="109"/>
        <w:gridCol w:w="109"/>
        <w:gridCol w:w="109"/>
        <w:gridCol w:w="109"/>
        <w:gridCol w:w="473"/>
        <w:gridCol w:w="473"/>
        <w:gridCol w:w="451"/>
        <w:gridCol w:w="109"/>
        <w:gridCol w:w="109"/>
        <w:gridCol w:w="109"/>
        <w:gridCol w:w="288"/>
        <w:gridCol w:w="1209"/>
        <w:gridCol w:w="198"/>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Period</w:t>
            </w:r>
          </w:p>
        </w:tc>
        <w:tc>
          <w:tcPr>
            <w:tcW w:w="136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Total</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number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pPr>
            <w:r>
              <w:rPr>
                <w:rFonts w:ascii="sans-serif" w:hAnsi="sans-serif"/>
                <w:b/>
                <w:color w:val="FFFFFF"/>
                <w:sz w:val="16"/>
              </w:rPr>
              <w:t>purchased</w:t>
            </w:r>
            <w:r>
              <w:rPr>
                <w:rFonts w:ascii="sans-serif" w:hAnsi="sans-serif"/>
                <w:b/>
                <w:color w:val="FFFFFF"/>
                <w:sz w:val="10"/>
              </w:rPr>
              <w:t>(1)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Average</w:t>
              <w:br/>
              <w:t>price</w:t>
              <w:br/>
              <w:t>paid</w:t>
              <w:br/>
              <w:t>per</w:t>
              <w:br/>
              <w:t>share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number</w:t>
              <w:br/>
              <w:t>of shares</w:t>
              <w:br/>
              <w:t>purchased as</w:t>
              <w:br/>
              <w:t>part of</w:t>
              <w:br/>
              <w:t>publicly</w:t>
              <w:br/>
              <w:t>announced</w:t>
              <w:br/>
              <w:t>plans or</w:t>
              <w:br/>
              <w:t>programs</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Approximate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dollar value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that may yet</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be purchased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under the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plans or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programs</w:t>
            </w:r>
          </w:p>
          <w:p>
            <w:pPr>
              <w:pStyle w:val="TableContents"/>
              <w:bidi w:val="0"/>
              <w:spacing w:lineRule="auto" w:line="288" w:before="0" w:after="0"/>
              <w:jc w:val="right"/>
              <w:rPr/>
            </w:pPr>
            <w:r>
              <w:rPr>
                <w:rFonts w:ascii="sans-serif" w:hAnsi="sans-serif"/>
                <w:b/>
                <w:color w:val="FFFFFF"/>
                <w:sz w:val="16"/>
              </w:rPr>
              <w:t>(in thousands)</w:t>
            </w:r>
            <w:r>
              <w:rPr>
                <w:rFonts w:ascii="sans-serif" w:hAnsi="sans-serif"/>
                <w:b/>
                <w:color w:val="FFFFFF"/>
                <w:sz w:val="10"/>
              </w:rPr>
              <w:t>(2)</w:t>
            </w:r>
          </w:p>
        </w:tc>
      </w:tr>
      <w:tr>
        <w:trPr/>
        <w:tc>
          <w:tcPr>
            <w:tcW w:w="35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Beginning balance, April 1, 2026</w:t>
            </w:r>
          </w:p>
        </w:tc>
        <w:tc>
          <w:tcPr>
            <w:tcW w:w="136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878,466 </w:t>
            </w:r>
          </w:p>
        </w:tc>
        <w:tc>
          <w:tcPr>
            <w:tcW w:w="19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April 1, 2026 through April 30, 2026</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419,900 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419,900 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862,627 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May 1, 2026 through May 31, 2026</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237,166 </w:t>
            </w:r>
          </w:p>
        </w:tc>
        <w:tc>
          <w:tcPr>
            <w:tcW w:w="4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34.81 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230,895 </w:t>
            </w:r>
          </w:p>
        </w:tc>
        <w:tc>
          <w:tcPr>
            <w:tcW w:w="4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854,579 </w:t>
            </w:r>
          </w:p>
        </w:tc>
        <w:tc>
          <w:tcPr>
            <w:tcW w:w="1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June 1, 2026 through June 30, 2026</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147,000 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147,000 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850,430 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Total</w:t>
            </w:r>
          </w:p>
        </w:tc>
        <w:tc>
          <w:tcPr>
            <w:tcW w:w="94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804,066 </w:t>
            </w:r>
          </w:p>
        </w:tc>
        <w:tc>
          <w:tcPr>
            <w:tcW w:w="4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35.13 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797,795 </w:t>
            </w:r>
          </w:p>
        </w:tc>
        <w:tc>
          <w:tcPr>
            <w:tcW w:w="45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850,430 </w:t>
            </w:r>
          </w:p>
        </w:tc>
        <w:tc>
          <w:tcPr>
            <w:tcW w:w="19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6,271 shares in May withheld by us to satisfy the minimum tax obligations of employees due upon vesting of restricted stock awards and units. The level of this acquisition activity varies from period to period based upon the timing of award grants and vesting.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 December 2025, our Board of Directors reauthorized, expanded and replenished our stock repurchase program by raising the total capacity under the program to $1.0 billion available for repurchases. The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91540"/>
                <wp:effectExtent l="0" t="0" r="0" b="0"/>
                <wp:wrapNone/>
                <wp:docPr id="149" name="Frame4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8" descr=""/>
                                                <pic:cNvPicPr>
                                                  <a:picLocks noChangeAspect="1" noChangeArrowheads="1"/>
                                                </pic:cNvPicPr>
                                              </pic:nvPicPr>
                                              <pic:blipFill>
                                                <a:blip r:embed="rId109"/>
                                                <a:stretch>
                                                  <a:fillRect/>
                                                </a:stretch>
                                              </pic:blipFill>
                                              <pic:spPr bwMode="auto">
                                                <a:xfrm>
                                                  <a:off x="0" y="0"/>
                                                  <a:ext cx="733425" cy="190500"/>
                                                </a:xfrm>
                                                <a:prstGeom prst="rect">
                                                  <a:avLst/>
                                                </a:prstGeom>
                                              </pic:spPr>
                                            </pic:pic>
                                          </a:graphicData>
                                        </a:graphic>
                                      </wp:inline>
                                    </w:drawing>
                                  </w:r>
                                  <w:bookmarkStart w:id="108" w:name="i-68"/>
                                  <w:bookmarkEnd w:id="10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8" descr=""/>
                                          <pic:cNvPicPr>
                                            <a:picLocks noChangeAspect="1" noChangeArrowheads="1"/>
                                          </pic:cNvPicPr>
                                        </pic:nvPicPr>
                                        <pic:blipFill>
                                          <a:blip r:embed="rId110"/>
                                          <a:stretch>
                                            <a:fillRect/>
                                          </a:stretch>
                                        </pic:blipFill>
                                        <pic:spPr bwMode="auto">
                                          <a:xfrm>
                                            <a:off x="0" y="0"/>
                                            <a:ext cx="733425" cy="190500"/>
                                          </a:xfrm>
                                          <a:prstGeom prst="rect">
                                            <a:avLst/>
                                          </a:prstGeom>
                                        </pic:spPr>
                                      </pic:pic>
                                    </a:graphicData>
                                  </a:graphic>
                                </wp:inline>
                              </w:drawing>
                            </w:r>
                            <w:bookmarkStart w:id="109" w:name="i-68"/>
                            <w:bookmarkEnd w:id="10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49" w:type="dxa"/>
        <w:jc w:val="left"/>
        <w:tblInd w:w="0" w:type="dxa"/>
        <w:tblLayout w:type="fixed"/>
        <w:tblCellMar>
          <w:top w:w="28" w:type="dxa"/>
          <w:left w:w="28" w:type="dxa"/>
          <w:bottom w:w="28" w:type="dxa"/>
          <w:right w:w="28" w:type="dxa"/>
        </w:tblCellMar>
      </w:tblPr>
      <w:tblGrid>
        <w:gridCol w:w="2066"/>
        <w:gridCol w:w="1814"/>
        <w:gridCol w:w="2569"/>
      </w:tblGrid>
      <w:tr>
        <w:trPr/>
        <w:tc>
          <w:tcPr>
            <w:tcW w:w="206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Trading Arrangements Adopted or Terminated</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provides information about trading arrangements adopted or terminated by certain of our officers and directors during the three months ended June 30, 2026.</w:t>
      </w:r>
    </w:p>
    <w:tbl>
      <w:tblPr>
        <w:tblW w:w="10205" w:type="dxa"/>
        <w:jc w:val="left"/>
        <w:tblInd w:w="0" w:type="dxa"/>
        <w:tblLayout w:type="fixed"/>
        <w:tblCellMar>
          <w:top w:w="28" w:type="dxa"/>
          <w:left w:w="28" w:type="dxa"/>
          <w:bottom w:w="28" w:type="dxa"/>
          <w:right w:w="28" w:type="dxa"/>
        </w:tblCellMar>
      </w:tblPr>
      <w:tblGrid>
        <w:gridCol w:w="866"/>
        <w:gridCol w:w="551"/>
        <w:gridCol w:w="546"/>
        <w:gridCol w:w="429"/>
        <w:gridCol w:w="429"/>
        <w:gridCol w:w="433"/>
        <w:gridCol w:w="462"/>
        <w:gridCol w:w="462"/>
        <w:gridCol w:w="463"/>
        <w:gridCol w:w="300"/>
        <w:gridCol w:w="300"/>
        <w:gridCol w:w="301"/>
        <w:gridCol w:w="192"/>
        <w:gridCol w:w="192"/>
        <w:gridCol w:w="193"/>
        <w:gridCol w:w="304"/>
        <w:gridCol w:w="304"/>
        <w:gridCol w:w="305"/>
        <w:gridCol w:w="262"/>
        <w:gridCol w:w="261"/>
        <w:gridCol w:w="261"/>
        <w:gridCol w:w="410"/>
        <w:gridCol w:w="410"/>
        <w:gridCol w:w="296"/>
        <w:gridCol w:w="369"/>
        <w:gridCol w:w="369"/>
        <w:gridCol w:w="371"/>
        <w:gridCol w:w="164"/>
      </w:tblGrid>
      <w:tr>
        <w:trPr/>
        <w:tc>
          <w:tcPr>
            <w:tcW w:w="86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center"/>
              <w:rPr/>
            </w:pPr>
            <w:r>
              <w:rPr>
                <w:rFonts w:ascii="sans-serif" w:hAnsi="sans-serif"/>
                <w:b/>
                <w:color w:val="FFFFFF"/>
                <w:sz w:val="16"/>
              </w:rPr>
              <w:t>Trading arrangement</w:t>
            </w:r>
            <w:r>
              <w:rPr>
                <w:rFonts w:ascii="sans-serif" w:hAnsi="sans-serif"/>
                <w:b/>
                <w:color w:val="FFFFFF"/>
                <w:sz w:val="10"/>
              </w:rPr>
              <w:t>(1)</w:t>
            </w:r>
          </w:p>
        </w:tc>
        <w:tc>
          <w:tcPr>
            <w:tcW w:w="1109"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Aggregate</w:t>
              <w:br/>
              <w:t>number of</w:t>
              <w:br/>
              <w:t>securities to</w:t>
              <w:br/>
              <w:t>be sold</w:t>
              <w:br/>
              <w:t>under plan</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left"/>
              <w:rPr>
                <w:rFonts w:ascii="sans-serif" w:hAnsi="sans-serif"/>
                <w:b/>
                <w:color w:val="FFFFFF"/>
                <w:sz w:val="16"/>
              </w:rPr>
            </w:pPr>
            <w:r>
              <w:rPr>
                <w:rFonts w:ascii="sans-serif" w:hAnsi="sans-serif"/>
                <w:b/>
                <w:color w:val="FFFFFF"/>
                <w:sz w:val="16"/>
              </w:rPr>
              <w:t>Name and Title</w:t>
            </w:r>
          </w:p>
        </w:tc>
        <w:tc>
          <w:tcPr>
            <w:tcW w:w="129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Action</w:t>
            </w:r>
          </w:p>
        </w:tc>
        <w:tc>
          <w:tcPr>
            <w:tcW w:w="138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Date of Termination</w:t>
            </w:r>
          </w:p>
        </w:tc>
        <w:tc>
          <w:tcPr>
            <w:tcW w:w="90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effective</w:t>
              <w:br/>
              <w:t>date</w:t>
            </w:r>
          </w:p>
        </w:tc>
        <w:tc>
          <w:tcPr>
            <w:tcW w:w="57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end</w:t>
              <w:br/>
              <w:t>date</w:t>
            </w:r>
          </w:p>
        </w:tc>
        <w:tc>
          <w:tcPr>
            <w:tcW w:w="91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duration</w:t>
              <w:br/>
              <w:t>(months)</w:t>
            </w:r>
          </w:p>
        </w:tc>
        <w:tc>
          <w:tcPr>
            <w:tcW w:w="7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Rule 10b5-1</w:t>
            </w:r>
          </w:p>
        </w:tc>
        <w:tc>
          <w:tcPr>
            <w:tcW w:w="111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Non-Rule 10b5-1</w:t>
            </w:r>
          </w:p>
        </w:tc>
        <w:tc>
          <w:tcPr>
            <w:tcW w:w="1109"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64" w:type="dxa"/>
            <w:tcBorders/>
          </w:tcPr>
          <w:p>
            <w:pPr>
              <w:pStyle w:val="TableContents"/>
              <w:bidi w:val="0"/>
              <w:spacing w:before="0" w:after="283"/>
              <w:jc w:val="left"/>
              <w:rPr>
                <w:sz w:val="4"/>
                <w:szCs w:val="4"/>
              </w:rPr>
            </w:pPr>
            <w:r>
              <w:rPr>
                <w:sz w:val="4"/>
                <w:szCs w:val="4"/>
              </w:rPr>
            </w:r>
          </w:p>
        </w:tc>
      </w:tr>
      <w:tr>
        <w:trPr/>
        <w:tc>
          <w:tcPr>
            <w:tcW w:w="1963"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Michael P. Gianoni</w:t>
            </w:r>
          </w:p>
          <w:p>
            <w:pPr>
              <w:pStyle w:val="TableContents"/>
              <w:bidi w:val="0"/>
              <w:spacing w:lineRule="auto" w:line="288" w:before="60" w:after="283"/>
              <w:jc w:val="left"/>
              <w:rPr>
                <w:rFonts w:ascii="sans-serif" w:hAnsi="sans-serif"/>
                <w:b w:val="false"/>
                <w:color w:val="51555C"/>
                <w:sz w:val="16"/>
              </w:rPr>
            </w:pPr>
            <w:r>
              <w:rPr>
                <w:rFonts w:ascii="sans-serif" w:hAnsi="sans-serif"/>
                <w:b w:val="false"/>
                <w:color w:val="51555C"/>
                <w:sz w:val="16"/>
              </w:rPr>
              <w:t>Chief Executive Officer, President and Vice Chairman of the Board</w:t>
            </w:r>
          </w:p>
        </w:tc>
        <w:tc>
          <w:tcPr>
            <w:tcW w:w="1291"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Termination</w:t>
            </w:r>
          </w:p>
        </w:tc>
        <w:tc>
          <w:tcPr>
            <w:tcW w:w="1387"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5/11/26</w:t>
            </w:r>
          </w:p>
        </w:tc>
        <w:tc>
          <w:tcPr>
            <w:tcW w:w="901"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6/15/26</w:t>
            </w:r>
          </w:p>
        </w:tc>
        <w:tc>
          <w:tcPr>
            <w:tcW w:w="577"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3/31/27</w:t>
            </w:r>
          </w:p>
        </w:tc>
        <w:tc>
          <w:tcPr>
            <w:tcW w:w="913"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Ten</w:t>
            </w:r>
          </w:p>
        </w:tc>
        <w:tc>
          <w:tcPr>
            <w:tcW w:w="78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1116" w:type="dxa"/>
            <w:gridSpan w:val="3"/>
            <w:tcBorders>
              <w:top w:val="single" w:sz="8" w:space="0" w:color="004054"/>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80,000</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(1)An SEC "Rule 10b5-1(c) trading arrangement" is a trading arrangement made by a person through entering into a binding contract, verbal instruction or adoption of a written plan prior to becoming aware of material non-public information. The contract, instruction or written plan must specify the amount, price and date of securities to be sold; include the means for determining the amount, price and date of the sale or sales; and not permit the person to have subsequent influence over the sale or sales. The compliant plan must be entered into and operated in good faith, include a specified cooling off period, be certified by an authorized officer and is restricted from having multiple or overlapping plans. A non-compliant trading arrangement, or a "non-Rule 10b5-1 trading arrangement," is a trading arrangement that has similar requirements to a Rule 10b5-1(c) trading arrangement except that it must be in written form and does not require a cooling off period or certification of an authorized officer and there is no restriction from having multiple or overlapping plans.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None of our officers or directors adopted or terminated a non-Rule 10b5-1 trading arrangement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91540"/>
                <wp:effectExtent l="0" t="0" r="0" b="0"/>
                <wp:wrapNone/>
                <wp:docPr id="152" name="Frame4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9" descr=""/>
                                                <pic:cNvPicPr>
                                                  <a:picLocks noChangeAspect="1" noChangeArrowheads="1"/>
                                                </pic:cNvPicPr>
                                              </pic:nvPicPr>
                                              <pic:blipFill>
                                                <a:blip r:embed="rId111"/>
                                                <a:stretch>
                                                  <a:fillRect/>
                                                </a:stretch>
                                              </pic:blipFill>
                                              <pic:spPr bwMode="auto">
                                                <a:xfrm>
                                                  <a:off x="0" y="0"/>
                                                  <a:ext cx="723900" cy="190500"/>
                                                </a:xfrm>
                                                <a:prstGeom prst="rect">
                                                  <a:avLst/>
                                                </a:prstGeom>
                                              </pic:spPr>
                                            </pic:pic>
                                          </a:graphicData>
                                        </a:graphic>
                                      </wp:inline>
                                    </w:drawing>
                                  </w:r>
                                  <w:bookmarkStart w:id="110" w:name="i-69"/>
                                  <w:bookmarkEnd w:id="11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9" descr=""/>
                                          <pic:cNvPicPr>
                                            <a:picLocks noChangeAspect="1" noChangeArrowheads="1"/>
                                          </pic:cNvPicPr>
                                        </pic:nvPicPr>
                                        <pic:blipFill>
                                          <a:blip r:embed="rId112"/>
                                          <a:stretch>
                                            <a:fillRect/>
                                          </a:stretch>
                                        </pic:blipFill>
                                        <pic:spPr bwMode="auto">
                                          <a:xfrm>
                                            <a:off x="0" y="0"/>
                                            <a:ext cx="723900" cy="190500"/>
                                          </a:xfrm>
                                          <a:prstGeom prst="rect">
                                            <a:avLst/>
                                          </a:prstGeom>
                                        </pic:spPr>
                                      </pic:pic>
                                    </a:graphicData>
                                  </a:graphic>
                                </wp:inline>
                              </w:drawing>
                            </w:r>
                            <w:bookmarkStart w:id="111" w:name="i-69"/>
                            <w:bookmarkEnd w:id="111"/>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left"/>
        <w:rPr>
          <w:rFonts w:ascii="sans-serif" w:hAnsi="sans-serif"/>
          <w:b/>
          <w:color w:val="004054"/>
          <w:sz w:val="32"/>
        </w:rPr>
      </w:pPr>
      <w:r>
        <w:rPr>
          <w:rFonts w:ascii="sans-serif" w:hAnsi="sans-serif"/>
          <w:b/>
          <w:color w:val="004054"/>
          <w:sz w:val="32"/>
        </w:rPr>
        <w:t>ITEM 6. EXHIBITS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exhibits listed below are filed or incorporated by reference as part of this Quarterly Report on Form 10-Q:</w:t>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1649"/>
        <w:gridCol w:w="1261"/>
        <w:gridCol w:w="1264"/>
        <w:gridCol w:w="109"/>
        <w:gridCol w:w="109"/>
        <w:gridCol w:w="109"/>
        <w:gridCol w:w="338"/>
        <w:gridCol w:w="338"/>
        <w:gridCol w:w="340"/>
        <w:gridCol w:w="109"/>
        <w:gridCol w:w="109"/>
        <w:gridCol w:w="109"/>
        <w:gridCol w:w="213"/>
        <w:gridCol w:w="213"/>
        <w:gridCol w:w="214"/>
        <w:gridCol w:w="109"/>
        <w:gridCol w:w="109"/>
        <w:gridCol w:w="109"/>
        <w:gridCol w:w="477"/>
        <w:gridCol w:w="314"/>
        <w:gridCol w:w="315"/>
        <w:gridCol w:w="109"/>
        <w:gridCol w:w="109"/>
        <w:gridCol w:w="109"/>
        <w:gridCol w:w="225"/>
        <w:gridCol w:w="225"/>
        <w:gridCol w:w="327"/>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In</w:t>
            </w:r>
          </w:p>
        </w:tc>
      </w:tr>
      <w:tr>
        <w:trPr/>
        <w:tc>
          <w:tcPr>
            <w:tcW w:w="8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Herewith</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Exhibit 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Filing Date</w:t>
            </w:r>
          </w:p>
        </w:tc>
      </w:tr>
      <w:tr>
        <w:trPr/>
        <w:tc>
          <w:tcPr>
            <w:tcW w:w="85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pPr>
            <w:r>
              <w:fldChar w:fldCharType="begin"/>
            </w:r>
            <w:r>
              <w:rPr>
                <w:rStyle w:val="InternetLink"/>
                <w:sz w:val="20"/>
                <w:u w:val="single"/>
                <w:b w:val="false"/>
                <w:rFonts w:ascii="sans-serif" w:hAnsi="sans-serif"/>
                <w:color w:val="7A04DD"/>
              </w:rPr>
              <w:instrText xml:space="preserve"> HYPERLINK "https://www.sec.gov/ix?doc=/Archives/edgar/data/1280058/000128005826000009/blkb-20260418.htm" \l "iae063f0d67b6438eb6b83e9f08ea86ce_346"</w:instrText>
            </w:r>
            <w:r>
              <w:rPr>
                <w:rStyle w:val="InternetLink"/>
                <w:sz w:val="20"/>
                <w:u w:val="single"/>
                <w:b w:val="false"/>
                <w:rFonts w:ascii="sans-serif" w:hAnsi="sans-serif"/>
                <w:color w:val="7A04DD"/>
              </w:rPr>
              <w:fldChar w:fldCharType="separate"/>
            </w:r>
            <w:r>
              <w:rPr>
                <w:rStyle w:val="InternetLink"/>
                <w:rFonts w:ascii="sans-serif" w:hAnsi="sans-serif"/>
                <w:b w:val="false"/>
                <w:color w:val="7A04DD"/>
                <w:sz w:val="20"/>
                <w:u w:val="single"/>
              </w:rPr>
              <w:t>10.1</w:t>
            </w:r>
            <w:r>
              <w:rPr>
                <w:rStyle w:val="InternetLink"/>
                <w:sz w:val="20"/>
                <w:u w:val="single"/>
                <w:b w:val="false"/>
                <w:rFonts w:ascii="sans-serif" w:hAnsi="sans-serif"/>
                <w:color w:val="7A04DD"/>
              </w:rPr>
              <w:fldChar w:fldCharType="end"/>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fldChar w:fldCharType="begin"/>
            </w:r>
            <w:r>
              <w:rPr>
                <w:rStyle w:val="InternetLink"/>
                <w:sz w:val="20"/>
                <w:u w:val="single"/>
                <w:b w:val="false"/>
                <w:rFonts w:ascii="sans-serif" w:hAnsi="sans-serif"/>
                <w:color w:val="7A04DD"/>
              </w:rPr>
              <w:instrText xml:space="preserve"> HYPERLINK "https://www.sec.gov/ix?doc=/Archives/edgar/data/1280058/000128005826000009/blkb-20260418.htm" \l "iae063f0d67b6438eb6b83e9f08ea86ce_346"</w:instrText>
            </w:r>
            <w:r>
              <w:rPr>
                <w:rStyle w:val="InternetLink"/>
                <w:sz w:val="20"/>
                <w:u w:val="single"/>
                <w:b w:val="false"/>
                <w:rFonts w:ascii="sans-serif" w:hAnsi="sans-serif"/>
                <w:color w:val="7A04DD"/>
              </w:rPr>
              <w:fldChar w:fldCharType="separate"/>
            </w:r>
            <w:r>
              <w:rPr>
                <w:rStyle w:val="InternetLink"/>
                <w:rFonts w:ascii="sans-serif" w:hAnsi="sans-serif"/>
                <w:b w:val="false"/>
                <w:color w:val="7A04DD"/>
                <w:sz w:val="20"/>
                <w:u w:val="single"/>
              </w:rPr>
              <w:t>Amended and Restated Blackbaud, Inc. 2016 Equity and Incentive Compensation Plan.</w:t>
            </w:r>
            <w:r>
              <w:rPr>
                <w:rStyle w:val="InternetLink"/>
                <w:sz w:val="20"/>
                <w:u w:val="single"/>
                <w:b w:val="false"/>
                <w:rFonts w:ascii="sans-serif" w:hAnsi="sans-serif"/>
                <w:color w:val="7A04DD"/>
              </w:rPr>
              <w:fldChar w:fldCharType="end"/>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DEF 14A</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Appendix B</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4/21/2026</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2202610-qexx311.htm">
              <w:r>
                <w:rPr>
                  <w:rStyle w:val="InternetLink"/>
                  <w:rFonts w:ascii="sans-serif" w:hAnsi="sans-serif"/>
                  <w:b w:val="false"/>
                  <w:color w:val="7A04DD"/>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2202610-qexx311.htm">
              <w:r>
                <w:rPr>
                  <w:rStyle w:val="InternetLink"/>
                  <w:rFonts w:ascii="sans-serif" w:hAnsi="sans-serif"/>
                  <w:b w:val="false"/>
                  <w:color w:val="7A04DD"/>
                  <w:sz w:val="20"/>
                  <w:u w:val="single"/>
                </w:rPr>
                <w:t>Certification by the Chief Executive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2202610-qexx312.htm">
              <w:r>
                <w:rPr>
                  <w:rStyle w:val="InternetLink"/>
                  <w:rFonts w:ascii="sans-serif" w:hAnsi="sans-serif"/>
                  <w:b w:val="false"/>
                  <w:color w:val="7A04DD"/>
                  <w:sz w:val="20"/>
                  <w:u w:val="single"/>
                </w:rPr>
                <w:t>31.2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2202610-qexx312.htm">
              <w:r>
                <w:rPr>
                  <w:rStyle w:val="InternetLink"/>
                  <w:rFonts w:ascii="sans-serif" w:hAnsi="sans-serif"/>
                  <w:b w:val="false"/>
                  <w:color w:val="7A04DD"/>
                  <w:sz w:val="20"/>
                  <w:u w:val="single"/>
                </w:rPr>
                <w:t>Certification by the Chief Financial Officer pursuant to Section 302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2202610-qexx321.htm">
              <w:r>
                <w:rPr>
                  <w:rStyle w:val="InternetLink"/>
                  <w:rFonts w:ascii="sans-serif" w:hAnsi="sans-serif"/>
                  <w:b w:val="false"/>
                  <w:color w:val="7A04DD"/>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2202610-qexx321.htm">
              <w:r>
                <w:rPr>
                  <w:rStyle w:val="InternetLink"/>
                  <w:rFonts w:ascii="sans-serif" w:hAnsi="sans-serif"/>
                  <w:b w:val="false"/>
                  <w:color w:val="7A04DD"/>
                  <w:sz w:val="20"/>
                  <w:u w:val="single"/>
                </w:rPr>
                <w:t>Certification by the Chief Executive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2202610-qexx322.htm">
              <w:r>
                <w:rPr>
                  <w:rStyle w:val="InternetLink"/>
                  <w:rFonts w:ascii="sans-serif" w:hAnsi="sans-serif"/>
                  <w:b w:val="false"/>
                  <w:color w:val="7A04DD"/>
                  <w:sz w:val="20"/>
                  <w:u w:val="single"/>
                </w:rPr>
                <w:t>32.2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2202610-qexx322.htm">
              <w:r>
                <w:rPr>
                  <w:rStyle w:val="InternetLink"/>
                  <w:rFonts w:ascii="sans-serif" w:hAnsi="sans-serif"/>
                  <w:b w:val="false"/>
                  <w:color w:val="7A04DD"/>
                  <w:sz w:val="20"/>
                  <w:u w:val="single"/>
                </w:rPr>
                <w:t>Certification by the Chief Financial Officer pursuant to 18 U.S.C. 1350 as adopted pursuant to Section 906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101.SCH</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Schema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101.DEF</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Definition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101.PRE</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Presentation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104</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Cover Page Interactive Data File (formatted as Inline XBRL and contained in Exhibit 101).</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91540"/>
                <wp:effectExtent l="0" t="0" r="0" b="0"/>
                <wp:wrapNone/>
                <wp:docPr id="155" name="Frame4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left"/>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0" descr=""/>
                                                <pic:cNvPicPr>
                                                  <a:picLocks noChangeAspect="1" noChangeArrowheads="1"/>
                                                </pic:cNvPicPr>
                                              </pic:nvPicPr>
                                              <pic:blipFill>
                                                <a:blip r:embed="rId113"/>
                                                <a:stretch>
                                                  <a:fillRect/>
                                                </a:stretch>
                                              </pic:blipFill>
                                              <pic:spPr bwMode="auto">
                                                <a:xfrm>
                                                  <a:off x="0" y="0"/>
                                                  <a:ext cx="733425" cy="190500"/>
                                                </a:xfrm>
                                                <a:prstGeom prst="rect">
                                                  <a:avLst/>
                                                </a:prstGeom>
                                              </pic:spPr>
                                            </pic:pic>
                                          </a:graphicData>
                                        </a:graphic>
                                      </wp:inline>
                                    </w:drawing>
                                  </w:r>
                                  <w:bookmarkStart w:id="112" w:name="i-70"/>
                                  <w:bookmarkEnd w:id="11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left"/>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0" descr=""/>
                                          <pic:cNvPicPr>
                                            <a:picLocks noChangeAspect="1" noChangeArrowheads="1"/>
                                          </pic:cNvPicPr>
                                        </pic:nvPicPr>
                                        <pic:blipFill>
                                          <a:blip r:embed="rId114"/>
                                          <a:stretch>
                                            <a:fillRect/>
                                          </a:stretch>
                                        </pic:blipFill>
                                        <pic:spPr bwMode="auto">
                                          <a:xfrm>
                                            <a:off x="0" y="0"/>
                                            <a:ext cx="733425" cy="190500"/>
                                          </a:xfrm>
                                          <a:prstGeom prst="rect">
                                            <a:avLst/>
                                          </a:prstGeom>
                                        </pic:spPr>
                                      </pic:pic>
                                    </a:graphicData>
                                  </a:graphic>
                                </wp:inline>
                              </w:drawing>
                            </w:r>
                            <w:bookmarkStart w:id="113" w:name="i-70"/>
                            <w:bookmarkEnd w:id="11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b92e0804446742b2a6dc16cf217592fa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tbl>
      <w:tblPr>
        <w:tblW w:w="4149"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962"/>
        <w:gridCol w:w="962"/>
        <w:gridCol w:w="1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5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1" descr=""/>
                          <pic:cNvPicPr>
                            <a:picLocks noChangeAspect="1" noChangeArrowheads="1"/>
                          </pic:cNvPicPr>
                        </pic:nvPicPr>
                        <pic:blipFill>
                          <a:blip r:embed="rId115"/>
                          <a:stretch>
                            <a:fillRect/>
                          </a:stretch>
                        </pic:blipFill>
                        <pic:spPr bwMode="auto">
                          <a:xfrm>
                            <a:off x="0" y="0"/>
                            <a:ext cx="276225" cy="276225"/>
                          </a:xfrm>
                          <a:prstGeom prst="rect">
                            <a:avLst/>
                          </a:prstGeom>
                        </pic:spPr>
                      </pic:pic>
                    </a:graphicData>
                  </a:graphic>
                </wp:inline>
              </w:drawing>
            </w:r>
            <w:bookmarkStart w:id="114" w:name="i-71"/>
            <w:bookmarkEnd w:id="114"/>
          </w:p>
        </w:tc>
        <w:tc>
          <w:tcPr>
            <w:tcW w:w="3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SIGNATURES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Pursuant to the requirements of the Securities Exchange Act of 1934, the Registrant has duly caused this Report to be signed on its behalf by the undersigned thereunto duly authorized.</w:t>
      </w:r>
    </w:p>
    <w:tbl>
      <w:tblPr>
        <w:tblW w:w="9579" w:type="dxa"/>
        <w:jc w:val="center"/>
        <w:tblInd w:w="0" w:type="dxa"/>
        <w:tblLayout w:type="fixed"/>
        <w:tblCellMar>
          <w:top w:w="28" w:type="dxa"/>
          <w:left w:w="28" w:type="dxa"/>
          <w:bottom w:w="28" w:type="dxa"/>
          <w:right w:w="28" w:type="dxa"/>
        </w:tblCellMar>
      </w:tblPr>
      <w:tblGrid>
        <w:gridCol w:w="233"/>
        <w:gridCol w:w="205"/>
        <w:gridCol w:w="207"/>
        <w:gridCol w:w="454"/>
        <w:gridCol w:w="454"/>
        <w:gridCol w:w="457"/>
        <w:gridCol w:w="328"/>
        <w:gridCol w:w="328"/>
        <w:gridCol w:w="328"/>
        <w:gridCol w:w="1916"/>
        <w:gridCol w:w="1916"/>
        <w:gridCol w:w="2753"/>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9"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BLACKBAUD,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July 29, 2026</w:t>
            </w:r>
          </w:p>
        </w:tc>
        <w:tc>
          <w:tcPr>
            <w:tcW w:w="98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By:</w:t>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(Principal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July 29, 2026</w:t>
            </w:r>
          </w:p>
        </w:tc>
        <w:tc>
          <w:tcPr>
            <w:tcW w:w="98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By:</w:t>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91540"/>
                <wp:effectExtent l="0" t="0" r="0" b="0"/>
                <wp:wrapNone/>
                <wp:docPr id="159" name="Frame4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2" descr=""/>
                                                <pic:cNvPicPr>
                                                  <a:picLocks noChangeAspect="1" noChangeArrowheads="1"/>
                                                </pic:cNvPicPr>
                                              </pic:nvPicPr>
                                              <pic:blipFill>
                                                <a:blip r:embed="rId116"/>
                                                <a:stretch>
                                                  <a:fillRect/>
                                                </a:stretch>
                                              </pic:blipFill>
                                              <pic:spPr bwMode="auto">
                                                <a:xfrm>
                                                  <a:off x="0" y="0"/>
                                                  <a:ext cx="723900" cy="190500"/>
                                                </a:xfrm>
                                                <a:prstGeom prst="rect">
                                                  <a:avLst/>
                                                </a:prstGeom>
                                              </pic:spPr>
                                            </pic:pic>
                                          </a:graphicData>
                                        </a:graphic>
                                      </wp:inline>
                                    </w:drawing>
                                  </w:r>
                                  <w:bookmarkStart w:id="115" w:name="i-72"/>
                                  <w:bookmarkEnd w:id="11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2" descr=""/>
                                          <pic:cNvPicPr>
                                            <a:picLocks noChangeAspect="1" noChangeArrowheads="1"/>
                                          </pic:cNvPicPr>
                                        </pic:nvPicPr>
                                        <pic:blipFill>
                                          <a:blip r:embed="rId117"/>
                                          <a:stretch>
                                            <a:fillRect/>
                                          </a:stretch>
                                        </pic:blipFill>
                                        <pic:spPr bwMode="auto">
                                          <a:xfrm>
                                            <a:off x="0" y="0"/>
                                            <a:ext cx="723900" cy="190500"/>
                                          </a:xfrm>
                                          <a:prstGeom prst="rect">
                                            <a:avLst/>
                                          </a:prstGeom>
                                        </pic:spPr>
                                      </pic:pic>
                                    </a:graphicData>
                                  </a:graphic>
                                </wp:inline>
                              </w:drawing>
                            </w:r>
                            <w:bookmarkStart w:id="116" w:name="i-72"/>
                            <w:bookmarkEnd w:id="116"/>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Michael P. Gianoni,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9341" w:type="dxa"/>
        <w:jc w:val="center"/>
        <w:tblInd w:w="0" w:type="dxa"/>
        <w:tblLayout w:type="fixed"/>
        <w:tblCellMar>
          <w:top w:w="28" w:type="dxa"/>
          <w:left w:w="28" w:type="dxa"/>
          <w:bottom w:w="28" w:type="dxa"/>
          <w:right w:w="28" w:type="dxa"/>
        </w:tblCellMar>
      </w:tblPr>
      <w:tblGrid>
        <w:gridCol w:w="233"/>
        <w:gridCol w:w="205"/>
        <w:gridCol w:w="207"/>
        <w:gridCol w:w="454"/>
        <w:gridCol w:w="454"/>
        <w:gridCol w:w="457"/>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July 29,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62"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Chad M. Anderson,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7946" w:type="dxa"/>
        <w:jc w:val="center"/>
        <w:tblInd w:w="0" w:type="dxa"/>
        <w:tblLayout w:type="fixed"/>
        <w:tblCellMar>
          <w:top w:w="28" w:type="dxa"/>
          <w:left w:w="28" w:type="dxa"/>
          <w:bottom w:w="28" w:type="dxa"/>
          <w:right w:w="28" w:type="dxa"/>
        </w:tblCellMar>
      </w:tblPr>
      <w:tblGrid>
        <w:gridCol w:w="233"/>
        <w:gridCol w:w="205"/>
        <w:gridCol w:w="207"/>
        <w:gridCol w:w="454"/>
        <w:gridCol w:w="454"/>
        <w:gridCol w:w="457"/>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July 29,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63"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Quarterly Report on Form 10-Q of Blackbaud, Inc. (the “Company”) for the period ended June 30, 2026 as filed with the Securities and Exchange Commission on or about the date hereof (the “Report”), I, Michael P. Gianoni, Chief Executive Officer, President and Vice Chairman of the Board,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9341" w:type="dxa"/>
        <w:jc w:val="left"/>
        <w:tblInd w:w="0" w:type="dxa"/>
        <w:tblLayout w:type="fixed"/>
        <w:tblCellMar>
          <w:top w:w="28" w:type="dxa"/>
          <w:left w:w="28" w:type="dxa"/>
          <w:bottom w:w="28" w:type="dxa"/>
          <w:right w:w="28" w:type="dxa"/>
        </w:tblCellMar>
      </w:tblPr>
      <w:tblGrid>
        <w:gridCol w:w="233"/>
        <w:gridCol w:w="205"/>
        <w:gridCol w:w="207"/>
        <w:gridCol w:w="454"/>
        <w:gridCol w:w="454"/>
        <w:gridCol w:w="457"/>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July 29,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64"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Quarterly Report on Form 10-Q of Blackbaud, Inc. (the “Company”) for the period ended June 30, 2026 as filed with the Securities and Exchange Commission on or about the date hereof (the “Report”), I, Chad M. Anderson, Executive Vice President and Chief Financial Officer,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7946" w:type="dxa"/>
        <w:jc w:val="left"/>
        <w:tblInd w:w="0" w:type="dxa"/>
        <w:tblLayout w:type="fixed"/>
        <w:tblCellMar>
          <w:top w:w="28" w:type="dxa"/>
          <w:left w:w="28" w:type="dxa"/>
          <w:bottom w:w="28" w:type="dxa"/>
          <w:right w:w="28" w:type="dxa"/>
        </w:tblCellMar>
      </w:tblPr>
      <w:tblGrid>
        <w:gridCol w:w="233"/>
        <w:gridCol w:w="205"/>
        <w:gridCol w:w="207"/>
        <w:gridCol w:w="454"/>
        <w:gridCol w:w="454"/>
        <w:gridCol w:w="457"/>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July 29,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65"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4.jpeg"/><Relationship Id="rId48" Type="http://schemas.openxmlformats.org/officeDocument/2006/relationships/image" Target="media/image5.jpeg"/><Relationship Id="rId49" Type="http://schemas.openxmlformats.org/officeDocument/2006/relationships/image" Target="media/image6.jpeg"/><Relationship Id="rId50" Type="http://schemas.openxmlformats.org/officeDocument/2006/relationships/image" Target="media/image7.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8.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9.jpeg"/><Relationship Id="rId59" Type="http://schemas.openxmlformats.org/officeDocument/2006/relationships/image" Target="media/image10.jpeg"/><Relationship Id="rId60" Type="http://schemas.openxmlformats.org/officeDocument/2006/relationships/image" Target="media/image11.jpeg"/><Relationship Id="rId61" Type="http://schemas.openxmlformats.org/officeDocument/2006/relationships/image" Target="media/image12.jpeg"/><Relationship Id="rId62" Type="http://schemas.openxmlformats.org/officeDocument/2006/relationships/image" Target="media/image13.jpeg"/><Relationship Id="rId63" Type="http://schemas.openxmlformats.org/officeDocument/2006/relationships/image" Target="media/image14.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15.jpeg"/><Relationship Id="rId67" Type="http://schemas.openxmlformats.org/officeDocument/2006/relationships/image" Target="media/image16.jpeg"/><Relationship Id="rId68" Type="http://schemas.openxmlformats.org/officeDocument/2006/relationships/image" Target="media/image17.jpeg"/><Relationship Id="rId69" Type="http://schemas.openxmlformats.org/officeDocument/2006/relationships/image" Target="media/image18.jpeg"/><Relationship Id="rId70" Type="http://schemas.openxmlformats.org/officeDocument/2006/relationships/image" Target="media/image19.jpeg"/><Relationship Id="rId71" Type="http://schemas.openxmlformats.org/officeDocument/2006/relationships/image" Target="media/image20.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1.jpeg"/><Relationship Id="rId77" Type="http://schemas.openxmlformats.org/officeDocument/2006/relationships/image" Target="media/image2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3.jpeg"/><Relationship Id="rId81" Type="http://schemas.openxmlformats.org/officeDocument/2006/relationships/image" Target="media/image24.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5.jpeg"/><Relationship Id="rId85" Type="http://schemas.openxmlformats.org/officeDocument/2006/relationships/image" Target="media/image26.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3.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3.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fontTable" Target="fontTable.xml"/><Relationship Id="rId1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20590</Words>
  <Characters>116204</Characters>
  <CharactersWithSpaces>135701</CharactersWithSpaces>
  <Paragraphs>3128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