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8"/>
          <w:szCs w:val="18"/>
          <w:b w:val="1"/>
          <w:bCs w:val="1"/>
          <w:color w:val="51555C"/>
        </w:rPr>
        <w:t>UNITED STATES</w:t>
      </w:r>
    </w:p>
    <w:p>
      <w:pPr>
        <w:jc w:val="center"/>
        <w:spacing w:after="0" w:line="235" w:lineRule="auto"/>
        <w:rPr>
          <w:sz w:val="20"/>
          <w:szCs w:val="20"/>
          <w:color w:val="auto"/>
        </w:rPr>
      </w:pPr>
      <w:r>
        <w:rPr>
          <w:rFonts w:ascii="Calibri" w:cs="Calibri" w:eastAsia="Calibri" w:hAnsi="Calibri"/>
          <w:sz w:val="18"/>
          <w:szCs w:val="18"/>
          <w:b w:val="1"/>
          <w:bCs w:val="1"/>
          <w:color w:val="51555C"/>
        </w:rPr>
        <w:t>SECURITIES AND EXCHANGE COMMISSION</w:t>
      </w:r>
    </w:p>
    <w:p>
      <w:pPr>
        <w:jc w:val="center"/>
        <w:spacing w:after="0" w:line="236" w:lineRule="auto"/>
        <w:rPr>
          <w:sz w:val="20"/>
          <w:szCs w:val="20"/>
          <w:color w:val="auto"/>
        </w:rPr>
      </w:pPr>
      <w:r>
        <w:rPr>
          <w:rFonts w:ascii="Calibri" w:cs="Calibri" w:eastAsia="Calibri" w:hAnsi="Calibri"/>
          <w:sz w:val="18"/>
          <w:szCs w:val="18"/>
          <w:color w:val="51555C"/>
        </w:rPr>
        <w:t>Washington, D.C. 20549</w:t>
      </w:r>
    </w:p>
    <w:p>
      <w:pPr>
        <w:spacing w:after="0" w:line="9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51555C"/>
        </w:rPr>
        <w:t>FORM 10-K</w:t>
      </w:r>
    </w:p>
    <w:p>
      <w:pPr>
        <w:spacing w:after="0" w:line="167" w:lineRule="exact"/>
        <w:rPr>
          <w:sz w:val="24"/>
          <w:szCs w:val="24"/>
          <w:color w:val="auto"/>
        </w:rPr>
      </w:pPr>
    </w:p>
    <w:p>
      <w:pPr>
        <w:ind w:left="660" w:right="3680" w:hanging="524"/>
        <w:spacing w:after="0" w:line="223" w:lineRule="auto"/>
        <w:tabs>
          <w:tab w:leader="none" w:pos="444" w:val="left"/>
        </w:tabs>
        <w:numPr>
          <w:ilvl w:val="0"/>
          <w:numId w:val="1"/>
        </w:numPr>
        <w:rPr>
          <w:rFonts w:ascii="MS PGothic" w:cs="MS PGothic" w:eastAsia="MS PGothic" w:hAnsi="MS PGothic"/>
          <w:sz w:val="36"/>
          <w:szCs w:val="36"/>
          <w:color w:val="51555C"/>
          <w:vertAlign w:val="superscript"/>
        </w:rPr>
      </w:pPr>
      <w:r>
        <w:rPr>
          <w:rFonts w:ascii="Calibri" w:cs="Calibri" w:eastAsia="Calibri" w:hAnsi="Calibri"/>
          <w:sz w:val="18"/>
          <w:szCs w:val="18"/>
          <w:b w:val="1"/>
          <w:bCs w:val="1"/>
          <w:color w:val="51555C"/>
        </w:rPr>
        <w:t xml:space="preserve">ANNUAL REPORT PURSUANT TO SECTION 13 OR 15(d) OF THE SECURITIES EXCHANGE ACT OF 1934 </w:t>
      </w:r>
      <w:r>
        <w:rPr>
          <w:rFonts w:ascii="Calibri" w:cs="Calibri" w:eastAsia="Calibri" w:hAnsi="Calibri"/>
          <w:sz w:val="18"/>
          <w:szCs w:val="18"/>
          <w:color w:val="51555C"/>
        </w:rPr>
        <w:t>For the fscal year ended December 31, 2024</w:t>
      </w:r>
    </w:p>
    <w:p>
      <w:pPr>
        <w:spacing w:after="0" w:line="116"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51555C"/>
        </w:rPr>
        <w:t>or</w:t>
      </w:r>
    </w:p>
    <w:p>
      <w:pPr>
        <w:spacing w:after="0" w:line="168" w:lineRule="exact"/>
        <w:rPr>
          <w:sz w:val="24"/>
          <w:szCs w:val="24"/>
          <w:color w:val="auto"/>
        </w:rPr>
      </w:pPr>
    </w:p>
    <w:p>
      <w:pPr>
        <w:ind w:left="440" w:hanging="304"/>
        <w:spacing w:after="0"/>
        <w:tabs>
          <w:tab w:leader="none" w:pos="440" w:val="left"/>
        </w:tabs>
        <w:numPr>
          <w:ilvl w:val="0"/>
          <w:numId w:val="2"/>
        </w:numPr>
        <w:rPr>
          <w:rFonts w:ascii="MS PGothic" w:cs="MS PGothic" w:eastAsia="MS PGothic" w:hAnsi="MS PGothic"/>
          <w:sz w:val="18"/>
          <w:szCs w:val="18"/>
          <w:color w:val="51555C"/>
        </w:rPr>
      </w:pPr>
      <w:r>
        <w:rPr>
          <w:rFonts w:ascii="Calibri" w:cs="Calibri" w:eastAsia="Calibri" w:hAnsi="Calibri"/>
          <w:sz w:val="18"/>
          <w:szCs w:val="18"/>
          <w:b w:val="1"/>
          <w:bCs w:val="1"/>
          <w:color w:val="51555C"/>
        </w:rPr>
        <w:t>TRANSITION REPORT PURSUANT TO SECTION 13 OR 15(d) OF THE SECURITIES EXCHANGE ACT OF 1934</w:t>
      </w:r>
    </w:p>
    <w:p>
      <w:pPr>
        <w:spacing w:after="0" w:line="50" w:lineRule="exact"/>
        <w:rPr>
          <w:sz w:val="24"/>
          <w:szCs w:val="24"/>
          <w:color w:val="auto"/>
        </w:rPr>
      </w:pPr>
    </w:p>
    <w:p>
      <w:pPr>
        <w:ind w:left="660"/>
        <w:spacing w:after="0"/>
        <w:tabs>
          <w:tab w:leader="none" w:pos="3600" w:val="left"/>
          <w:tab w:leader="none" w:pos="4580" w:val="left"/>
        </w:tabs>
        <w:rPr>
          <w:sz w:val="20"/>
          <w:szCs w:val="20"/>
          <w:color w:val="auto"/>
        </w:rPr>
      </w:pPr>
      <w:r>
        <w:rPr>
          <w:rFonts w:ascii="Calibri" w:cs="Calibri" w:eastAsia="Calibri" w:hAnsi="Calibri"/>
          <w:sz w:val="18"/>
          <w:szCs w:val="18"/>
          <w:color w:val="51555C"/>
        </w:rPr>
        <w:t>For the transiton period from</w:t>
      </w:r>
      <w:r>
        <w:rPr>
          <w:sz w:val="20"/>
          <w:szCs w:val="20"/>
          <w:color w:val="auto"/>
        </w:rPr>
        <w:tab/>
      </w:r>
      <w:r>
        <w:rPr>
          <w:rFonts w:ascii="Calibri" w:cs="Calibri" w:eastAsia="Calibri" w:hAnsi="Calibri"/>
          <w:sz w:val="18"/>
          <w:szCs w:val="18"/>
          <w:color w:val="51555C"/>
        </w:rPr>
        <w:t>to</w:t>
      </w:r>
      <w:r>
        <w:rPr>
          <w:sz w:val="20"/>
          <w:szCs w:val="20"/>
          <w:color w:val="auto"/>
        </w:rPr>
        <w:tab/>
      </w:r>
      <w:r>
        <w:rPr>
          <w:rFonts w:ascii="Calibri" w:cs="Calibri" w:eastAsia="Calibri" w:hAnsi="Calibri"/>
          <w:sz w:val="15"/>
          <w:szCs w:val="15"/>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-19050</wp:posOffset>
            </wp:positionV>
            <wp:extent cx="1127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Calibri" w:cs="Calibri" w:eastAsia="Calibri" w:hAnsi="Calibri"/>
          <w:sz w:val="18"/>
          <w:szCs w:val="18"/>
          <w:color w:val="51555C"/>
        </w:rPr>
        <w:t xml:space="preserve">Commission fle number: </w:t>
      </w:r>
      <w:r>
        <w:rPr>
          <w:rFonts w:ascii="Calibri" w:cs="Calibri" w:eastAsia="Calibri" w:hAnsi="Calibri"/>
          <w:sz w:val="18"/>
          <w:szCs w:val="18"/>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66675</wp:posOffset>
            </wp:positionV>
            <wp:extent cx="163703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51555C"/>
        </w:rPr>
        <w:t>Blackbaud, Inc.</w:t>
      </w:r>
    </w:p>
    <w:p>
      <w:pPr>
        <w:jc w:val="center"/>
        <w:spacing w:after="0" w:line="237" w:lineRule="auto"/>
        <w:rPr>
          <w:sz w:val="20"/>
          <w:szCs w:val="20"/>
          <w:color w:val="auto"/>
        </w:rPr>
      </w:pPr>
      <w:r>
        <w:rPr>
          <w:rFonts w:ascii="Calibri" w:cs="Calibri" w:eastAsia="Calibri" w:hAnsi="Calibri"/>
          <w:sz w:val="14"/>
          <w:szCs w:val="14"/>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2160" w:type="dxa"/>
            <w:vAlign w:val="bottom"/>
            <w:gridSpan w:val="2"/>
          </w:tcPr>
          <w:p>
            <w:pPr>
              <w:jc w:val="center"/>
              <w:ind w:left="490"/>
              <w:spacing w:after="0"/>
              <w:rPr>
                <w:sz w:val="20"/>
                <w:szCs w:val="20"/>
                <w:color w:val="auto"/>
              </w:rPr>
            </w:pPr>
            <w:r>
              <w:rPr>
                <w:rFonts w:ascii="Calibri" w:cs="Calibri" w:eastAsia="Calibri" w:hAnsi="Calibri"/>
                <w:sz w:val="18"/>
                <w:szCs w:val="18"/>
                <w:b w:val="1"/>
                <w:bCs w:val="1"/>
                <w:color w:val="51555C"/>
                <w:w w:val="97"/>
              </w:rPr>
              <w:t>Delaware</w:t>
            </w: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60" w:type="dxa"/>
            <w:vAlign w:val="bottom"/>
            <w:gridSpan w:val="2"/>
          </w:tcPr>
          <w:p>
            <w:pPr>
              <w:jc w:val="right"/>
              <w:ind w:right="1890"/>
              <w:spacing w:after="0"/>
              <w:rPr>
                <w:sz w:val="20"/>
                <w:szCs w:val="20"/>
                <w:color w:val="auto"/>
              </w:rPr>
            </w:pPr>
            <w:r>
              <w:rPr>
                <w:rFonts w:ascii="Calibri" w:cs="Calibri" w:eastAsia="Calibri" w:hAnsi="Calibri"/>
                <w:sz w:val="18"/>
                <w:szCs w:val="18"/>
                <w:b w:val="1"/>
                <w:bCs w:val="1"/>
                <w:color w:val="51555C"/>
              </w:rPr>
              <w:t>11-2617163</w:t>
            </w:r>
          </w:p>
        </w:tc>
        <w:tc>
          <w:tcPr>
            <w:tcW w:w="420" w:type="dxa"/>
            <w:vAlign w:val="bottom"/>
          </w:tcPr>
          <w:p>
            <w:pPr>
              <w:spacing w:after="0"/>
              <w:rPr>
                <w:sz w:val="19"/>
                <w:szCs w:val="19"/>
                <w:color w:val="auto"/>
              </w:rPr>
            </w:pPr>
          </w:p>
        </w:tc>
      </w:tr>
      <w:tr>
        <w:trPr>
          <w:trHeight w:val="220"/>
        </w:trPr>
        <w:tc>
          <w:tcPr>
            <w:tcW w:w="7360" w:type="dxa"/>
            <w:vAlign w:val="bottom"/>
            <w:gridSpan w:val="6"/>
          </w:tcPr>
          <w:p>
            <w:pPr>
              <w:jc w:val="center"/>
              <w:ind w:right="1760"/>
              <w:spacing w:after="0"/>
              <w:rPr>
                <w:sz w:val="20"/>
                <w:szCs w:val="20"/>
                <w:color w:val="auto"/>
              </w:rPr>
            </w:pPr>
            <w:r>
              <w:rPr>
                <w:rFonts w:ascii="Calibri" w:cs="Calibri" w:eastAsia="Calibri" w:hAnsi="Calibri"/>
                <w:sz w:val="14"/>
                <w:szCs w:val="14"/>
                <w:color w:val="51555C"/>
              </w:rPr>
              <w:t>(State or other jurisdicton of incorporaton or organizaton)</w:t>
            </w:r>
          </w:p>
        </w:tc>
        <w:tc>
          <w:tcPr>
            <w:tcW w:w="3880" w:type="dxa"/>
            <w:vAlign w:val="bottom"/>
            <w:gridSpan w:val="3"/>
          </w:tcPr>
          <w:p>
            <w:pPr>
              <w:jc w:val="center"/>
              <w:ind w:right="1760"/>
              <w:spacing w:after="0"/>
              <w:rPr>
                <w:sz w:val="20"/>
                <w:szCs w:val="20"/>
                <w:color w:val="auto"/>
              </w:rPr>
            </w:pPr>
            <w:r>
              <w:rPr>
                <w:rFonts w:ascii="Calibri" w:cs="Calibri" w:eastAsia="Calibri" w:hAnsi="Calibri"/>
                <w:sz w:val="14"/>
                <w:szCs w:val="14"/>
                <w:color w:val="51555C"/>
              </w:rPr>
              <w:t>(I.R.S. Employer Identfcaton No.)</w:t>
            </w:r>
          </w:p>
        </w:tc>
      </w:tr>
      <w:tr>
        <w:trPr>
          <w:trHeight w:val="348"/>
        </w:trPr>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gridSpan w:val="3"/>
          </w:tcPr>
          <w:p>
            <w:pPr>
              <w:jc w:val="center"/>
              <w:ind w:left="197"/>
              <w:spacing w:after="0"/>
              <w:rPr>
                <w:sz w:val="20"/>
                <w:szCs w:val="20"/>
                <w:color w:val="auto"/>
              </w:rPr>
            </w:pPr>
            <w:r>
              <w:rPr>
                <w:rFonts w:ascii="Calibri" w:cs="Calibri" w:eastAsia="Calibri" w:hAnsi="Calibri"/>
                <w:sz w:val="18"/>
                <w:szCs w:val="18"/>
                <w:b w:val="1"/>
                <w:bCs w:val="1"/>
                <w:color w:val="51555C"/>
                <w:w w:val="97"/>
              </w:rPr>
              <w:t>65 Fairchild Street</w:t>
            </w: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60" w:type="dxa"/>
            <w:vAlign w:val="bottom"/>
            <w:gridSpan w:val="3"/>
          </w:tcPr>
          <w:p>
            <w:pPr>
              <w:jc w:val="center"/>
              <w:ind w:left="217"/>
              <w:spacing w:after="0" w:line="212" w:lineRule="exact"/>
              <w:rPr>
                <w:sz w:val="20"/>
                <w:szCs w:val="20"/>
                <w:color w:val="auto"/>
              </w:rPr>
            </w:pPr>
            <w:r>
              <w:rPr>
                <w:rFonts w:ascii="Calibri" w:cs="Calibri" w:eastAsia="Calibri" w:hAnsi="Calibri"/>
                <w:sz w:val="18"/>
                <w:szCs w:val="18"/>
                <w:b w:val="1"/>
                <w:bCs w:val="1"/>
                <w:color w:val="51555C"/>
                <w:w w:val="97"/>
              </w:rPr>
              <w:t>Charleston, South Carolina 29492</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67"/>
        </w:trPr>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60" w:type="dxa"/>
            <w:vAlign w:val="bottom"/>
            <w:gridSpan w:val="3"/>
          </w:tcPr>
          <w:p>
            <w:pPr>
              <w:jc w:val="center"/>
              <w:ind w:left="197"/>
              <w:spacing w:after="0" w:line="168" w:lineRule="exact"/>
              <w:rPr>
                <w:sz w:val="20"/>
                <w:szCs w:val="20"/>
                <w:color w:val="auto"/>
              </w:rPr>
            </w:pPr>
            <w:r>
              <w:rPr>
                <w:rFonts w:ascii="Calibri" w:cs="Calibri" w:eastAsia="Calibri" w:hAnsi="Calibri"/>
                <w:sz w:val="14"/>
                <w:szCs w:val="14"/>
                <w:color w:val="51555C"/>
              </w:rPr>
              <w:t>(Address of principal executve ofces, including zip code)</w:t>
            </w: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11"/>
        </w:trPr>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gridSpan w:val="2"/>
          </w:tcPr>
          <w:p>
            <w:pPr>
              <w:jc w:val="center"/>
              <w:ind w:left="1277"/>
              <w:spacing w:after="0" w:line="210" w:lineRule="exact"/>
              <w:rPr>
                <w:sz w:val="20"/>
                <w:szCs w:val="20"/>
                <w:color w:val="auto"/>
              </w:rPr>
            </w:pPr>
            <w:r>
              <w:rPr>
                <w:rFonts w:ascii="Calibri" w:cs="Calibri" w:eastAsia="Calibri" w:hAnsi="Calibri"/>
                <w:sz w:val="18"/>
                <w:szCs w:val="18"/>
                <w:b w:val="1"/>
                <w:bCs w:val="1"/>
                <w:color w:val="51555C"/>
                <w:w w:val="98"/>
              </w:rPr>
              <w:t>(843) 216-6200</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70"/>
        </w:trPr>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60" w:type="dxa"/>
            <w:vAlign w:val="bottom"/>
            <w:gridSpan w:val="3"/>
          </w:tcPr>
          <w:p>
            <w:pPr>
              <w:jc w:val="center"/>
              <w:ind w:left="197"/>
              <w:spacing w:after="0"/>
              <w:rPr>
                <w:sz w:val="20"/>
                <w:szCs w:val="20"/>
                <w:color w:val="auto"/>
              </w:rPr>
            </w:pPr>
            <w:r>
              <w:rPr>
                <w:rFonts w:ascii="Calibri" w:cs="Calibri" w:eastAsia="Calibri" w:hAnsi="Calibri"/>
                <w:sz w:val="14"/>
                <w:szCs w:val="14"/>
                <w:color w:val="51555C"/>
              </w:rPr>
              <w:t>(Registrant's telephone number, including area code)</w:t>
            </w: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14"/>
        </w:trPr>
        <w:tc>
          <w:tcPr>
            <w:tcW w:w="1440" w:type="dxa"/>
            <w:vAlign w:val="bottom"/>
            <w:tcBorders>
              <w:bottom w:val="single" w:sz="8" w:color="51555C"/>
            </w:tcBorders>
          </w:tcPr>
          <w:p>
            <w:pPr>
              <w:spacing w:after="0"/>
              <w:rPr>
                <w:sz w:val="9"/>
                <w:szCs w:val="9"/>
                <w:color w:val="auto"/>
              </w:rPr>
            </w:pPr>
          </w:p>
        </w:tc>
        <w:tc>
          <w:tcPr>
            <w:tcW w:w="1260" w:type="dxa"/>
            <w:vAlign w:val="bottom"/>
            <w:tcBorders>
              <w:bottom w:val="single" w:sz="8" w:color="51555C"/>
            </w:tcBorders>
          </w:tcPr>
          <w:p>
            <w:pPr>
              <w:spacing w:after="0"/>
              <w:rPr>
                <w:sz w:val="9"/>
                <w:szCs w:val="9"/>
                <w:color w:val="auto"/>
              </w:rPr>
            </w:pPr>
          </w:p>
        </w:tc>
        <w:tc>
          <w:tcPr>
            <w:tcW w:w="2340" w:type="dxa"/>
            <w:vAlign w:val="bottom"/>
            <w:tcBorders>
              <w:bottom w:val="single" w:sz="8" w:color="51555C"/>
            </w:tcBorders>
            <w:gridSpan w:val="2"/>
          </w:tcPr>
          <w:p>
            <w:pPr>
              <w:spacing w:after="0"/>
              <w:rPr>
                <w:sz w:val="9"/>
                <w:szCs w:val="9"/>
                <w:color w:val="auto"/>
              </w:rPr>
            </w:pPr>
          </w:p>
        </w:tc>
        <w:tc>
          <w:tcPr>
            <w:tcW w:w="1260" w:type="dxa"/>
            <w:vAlign w:val="bottom"/>
            <w:tcBorders>
              <w:bottom w:val="single" w:sz="8" w:color="51555C"/>
            </w:tcBorders>
          </w:tcPr>
          <w:p>
            <w:pPr>
              <w:spacing w:after="0"/>
              <w:rPr>
                <w:sz w:val="9"/>
                <w:szCs w:val="9"/>
                <w:color w:val="auto"/>
              </w:rPr>
            </w:pPr>
          </w:p>
        </w:tc>
        <w:tc>
          <w:tcPr>
            <w:tcW w:w="1060" w:type="dxa"/>
            <w:vAlign w:val="bottom"/>
            <w:tcBorders>
              <w:bottom w:val="single" w:sz="8" w:color="51555C"/>
            </w:tcBorders>
          </w:tcPr>
          <w:p>
            <w:pPr>
              <w:spacing w:after="0"/>
              <w:rPr>
                <w:sz w:val="9"/>
                <w:szCs w:val="9"/>
                <w:color w:val="auto"/>
              </w:rPr>
            </w:pPr>
          </w:p>
        </w:tc>
        <w:tc>
          <w:tcPr>
            <w:tcW w:w="280" w:type="dxa"/>
            <w:vAlign w:val="bottom"/>
            <w:tcBorders>
              <w:bottom w:val="single" w:sz="8" w:color="51555C"/>
            </w:tcBorders>
          </w:tcPr>
          <w:p>
            <w:pPr>
              <w:spacing w:after="0"/>
              <w:rPr>
                <w:sz w:val="9"/>
                <w:szCs w:val="9"/>
                <w:color w:val="auto"/>
              </w:rPr>
            </w:pPr>
          </w:p>
        </w:tc>
        <w:tc>
          <w:tcPr>
            <w:tcW w:w="3180" w:type="dxa"/>
            <w:vAlign w:val="bottom"/>
            <w:tcBorders>
              <w:bottom w:val="single" w:sz="8" w:color="51555C"/>
            </w:tcBorders>
          </w:tcPr>
          <w:p>
            <w:pPr>
              <w:spacing w:after="0"/>
              <w:rPr>
                <w:sz w:val="9"/>
                <w:szCs w:val="9"/>
                <w:color w:val="auto"/>
              </w:rPr>
            </w:pPr>
          </w:p>
        </w:tc>
        <w:tc>
          <w:tcPr>
            <w:tcW w:w="420" w:type="dxa"/>
            <w:vAlign w:val="bottom"/>
            <w:tcBorders>
              <w:bottom w:val="single" w:sz="8" w:color="51555C"/>
            </w:tcBorders>
          </w:tcPr>
          <w:p>
            <w:pPr>
              <w:spacing w:after="0"/>
              <w:rPr>
                <w:sz w:val="9"/>
                <w:szCs w:val="9"/>
                <w:color w:val="auto"/>
              </w:rPr>
            </w:pPr>
          </w:p>
        </w:tc>
      </w:tr>
      <w:tr>
        <w:trPr>
          <w:trHeight w:val="254"/>
        </w:trPr>
        <w:tc>
          <w:tcPr>
            <w:tcW w:w="7360" w:type="dxa"/>
            <w:vAlign w:val="bottom"/>
            <w:gridSpan w:val="6"/>
          </w:tcPr>
          <w:p>
            <w:pPr>
              <w:jc w:val="center"/>
              <w:ind w:right="3200"/>
              <w:spacing w:after="0"/>
              <w:rPr>
                <w:sz w:val="20"/>
                <w:szCs w:val="20"/>
                <w:color w:val="auto"/>
              </w:rPr>
            </w:pPr>
            <w:r>
              <w:rPr>
                <w:rFonts w:ascii="Calibri" w:cs="Calibri" w:eastAsia="Calibri" w:hAnsi="Calibri"/>
                <w:sz w:val="18"/>
                <w:szCs w:val="18"/>
                <w:color w:val="51555C"/>
                <w:w w:val="99"/>
              </w:rPr>
              <w:t>Securites Registered Pursuant to Secton 12(b) of the Act:</w:t>
            </w:r>
          </w:p>
        </w:tc>
        <w:tc>
          <w:tcPr>
            <w:tcW w:w="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9"/>
        </w:trPr>
        <w:tc>
          <w:tcPr>
            <w:tcW w:w="1440" w:type="dxa"/>
            <w:vAlign w:val="bottom"/>
          </w:tcPr>
          <w:p>
            <w:pPr>
              <w:spacing w:after="0"/>
              <w:rPr>
                <w:sz w:val="20"/>
                <w:szCs w:val="20"/>
                <w:color w:val="auto"/>
              </w:rPr>
            </w:pPr>
          </w:p>
        </w:tc>
        <w:tc>
          <w:tcPr>
            <w:tcW w:w="2160" w:type="dxa"/>
            <w:vAlign w:val="bottom"/>
            <w:gridSpan w:val="2"/>
          </w:tcPr>
          <w:p>
            <w:pPr>
              <w:jc w:val="center"/>
              <w:ind w:right="900"/>
              <w:spacing w:after="0"/>
              <w:rPr>
                <w:sz w:val="20"/>
                <w:szCs w:val="20"/>
                <w:color w:val="auto"/>
              </w:rPr>
            </w:pPr>
            <w:r>
              <w:rPr>
                <w:rFonts w:ascii="Calibri" w:cs="Calibri" w:eastAsia="Calibri" w:hAnsi="Calibri"/>
                <w:sz w:val="18"/>
                <w:szCs w:val="18"/>
                <w:color w:val="51555C"/>
                <w:w w:val="96"/>
              </w:rPr>
              <w:t>Title of Each Class</w:t>
            </w:r>
          </w:p>
        </w:tc>
        <w:tc>
          <w:tcPr>
            <w:tcW w:w="1440" w:type="dxa"/>
            <w:vAlign w:val="bottom"/>
          </w:tcPr>
          <w:p>
            <w:pPr>
              <w:spacing w:after="0"/>
              <w:rPr>
                <w:sz w:val="20"/>
                <w:szCs w:val="20"/>
                <w:color w:val="auto"/>
              </w:rPr>
            </w:pPr>
          </w:p>
        </w:tc>
        <w:tc>
          <w:tcPr>
            <w:tcW w:w="2320" w:type="dxa"/>
            <w:vAlign w:val="bottom"/>
            <w:gridSpan w:val="2"/>
          </w:tcPr>
          <w:p>
            <w:pPr>
              <w:jc w:val="center"/>
              <w:ind w:right="1060"/>
              <w:spacing w:after="0"/>
              <w:rPr>
                <w:sz w:val="20"/>
                <w:szCs w:val="20"/>
                <w:color w:val="auto"/>
              </w:rPr>
            </w:pPr>
            <w:r>
              <w:rPr>
                <w:rFonts w:ascii="Calibri" w:cs="Calibri" w:eastAsia="Calibri" w:hAnsi="Calibri"/>
                <w:sz w:val="18"/>
                <w:szCs w:val="18"/>
                <w:color w:val="51555C"/>
                <w:w w:val="96"/>
              </w:rPr>
              <w:t>Trading Symbol(s)</w:t>
            </w:r>
          </w:p>
        </w:tc>
        <w:tc>
          <w:tcPr>
            <w:tcW w:w="3880" w:type="dxa"/>
            <w:vAlign w:val="bottom"/>
            <w:gridSpan w:val="3"/>
          </w:tcPr>
          <w:p>
            <w:pPr>
              <w:jc w:val="center"/>
              <w:ind w:right="140"/>
              <w:spacing w:after="0"/>
              <w:rPr>
                <w:sz w:val="20"/>
                <w:szCs w:val="20"/>
                <w:color w:val="auto"/>
              </w:rPr>
            </w:pPr>
            <w:r>
              <w:rPr>
                <w:rFonts w:ascii="Calibri" w:cs="Calibri" w:eastAsia="Calibri" w:hAnsi="Calibri"/>
                <w:sz w:val="18"/>
                <w:szCs w:val="18"/>
                <w:color w:val="51555C"/>
                <w:w w:val="97"/>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60" w:type="dxa"/>
            <w:vAlign w:val="bottom"/>
            <w:shd w:val="clear" w:color="auto" w:fill="51555C"/>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51555C"/>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shd w:val="clear" w:color="auto" w:fill="51555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1"/>
        </w:trPr>
        <w:tc>
          <w:tcPr>
            <w:tcW w:w="3600" w:type="dxa"/>
            <w:vAlign w:val="bottom"/>
            <w:gridSpan w:val="3"/>
          </w:tcPr>
          <w:p>
            <w:pPr>
              <w:jc w:val="center"/>
              <w:ind w:left="435"/>
              <w:spacing w:after="0"/>
              <w:rPr>
                <w:sz w:val="20"/>
                <w:szCs w:val="20"/>
                <w:color w:val="auto"/>
              </w:rPr>
            </w:pPr>
            <w:r>
              <w:rPr>
                <w:rFonts w:ascii="Calibri" w:cs="Calibri" w:eastAsia="Calibri" w:hAnsi="Calibri"/>
                <w:sz w:val="18"/>
                <w:szCs w:val="18"/>
                <w:b w:val="1"/>
                <w:bCs w:val="1"/>
                <w:color w:val="51555C"/>
                <w:w w:val="97"/>
              </w:rPr>
              <w:t>Common Stock, $0.001 Par Value</w:t>
            </w:r>
          </w:p>
        </w:tc>
        <w:tc>
          <w:tcPr>
            <w:tcW w:w="1440" w:type="dxa"/>
            <w:vAlign w:val="bottom"/>
          </w:tcPr>
          <w:p>
            <w:pPr>
              <w:spacing w:after="0"/>
              <w:rPr>
                <w:sz w:val="24"/>
                <w:szCs w:val="24"/>
                <w:color w:val="auto"/>
              </w:rPr>
            </w:pPr>
          </w:p>
        </w:tc>
        <w:tc>
          <w:tcPr>
            <w:tcW w:w="2320" w:type="dxa"/>
            <w:vAlign w:val="bottom"/>
            <w:gridSpan w:val="2"/>
          </w:tcPr>
          <w:p>
            <w:pPr>
              <w:jc w:val="center"/>
              <w:ind w:right="1060"/>
              <w:spacing w:after="0"/>
              <w:rPr>
                <w:sz w:val="20"/>
                <w:szCs w:val="20"/>
                <w:color w:val="auto"/>
              </w:rPr>
            </w:pPr>
            <w:r>
              <w:rPr>
                <w:rFonts w:ascii="Calibri" w:cs="Calibri" w:eastAsia="Calibri" w:hAnsi="Calibri"/>
                <w:sz w:val="18"/>
                <w:szCs w:val="18"/>
                <w:b w:val="1"/>
                <w:bCs w:val="1"/>
                <w:color w:val="51555C"/>
              </w:rPr>
              <w:t>BLKB</w:t>
            </w:r>
          </w:p>
        </w:tc>
        <w:tc>
          <w:tcPr>
            <w:tcW w:w="280" w:type="dxa"/>
            <w:vAlign w:val="bottom"/>
          </w:tcPr>
          <w:p>
            <w:pPr>
              <w:spacing w:after="0"/>
              <w:rPr>
                <w:sz w:val="24"/>
                <w:szCs w:val="24"/>
                <w:color w:val="auto"/>
              </w:rPr>
            </w:pPr>
          </w:p>
        </w:tc>
        <w:tc>
          <w:tcPr>
            <w:tcW w:w="3600" w:type="dxa"/>
            <w:vAlign w:val="bottom"/>
            <w:gridSpan w:val="2"/>
          </w:tcPr>
          <w:p>
            <w:pPr>
              <w:jc w:val="center"/>
              <w:ind w:right="420"/>
              <w:spacing w:after="0"/>
              <w:rPr>
                <w:sz w:val="20"/>
                <w:szCs w:val="20"/>
                <w:color w:val="auto"/>
              </w:rPr>
            </w:pPr>
            <w:r>
              <w:rPr>
                <w:rFonts w:ascii="Calibri" w:cs="Calibri" w:eastAsia="Calibri" w:hAnsi="Calibri"/>
                <w:sz w:val="18"/>
                <w:szCs w:val="18"/>
                <w:b w:val="1"/>
                <w:bCs w:val="1"/>
                <w:color w:val="51555C"/>
                <w:w w:val="96"/>
              </w:rPr>
              <w:t>Nasdaq Global Select Market</w:t>
            </w:r>
          </w:p>
        </w:tc>
      </w:tr>
      <w:tr>
        <w:trPr>
          <w:trHeight w:val="270"/>
        </w:trPr>
        <w:tc>
          <w:tcPr>
            <w:tcW w:w="7360" w:type="dxa"/>
            <w:vAlign w:val="bottom"/>
            <w:gridSpan w:val="6"/>
          </w:tcPr>
          <w:p>
            <w:pPr>
              <w:ind w:left="20"/>
              <w:spacing w:after="0"/>
              <w:rPr>
                <w:sz w:val="20"/>
                <w:szCs w:val="20"/>
                <w:color w:val="auto"/>
              </w:rPr>
            </w:pPr>
            <w:r>
              <w:rPr>
                <w:rFonts w:ascii="Calibri" w:cs="Calibri" w:eastAsia="Calibri" w:hAnsi="Calibri"/>
                <w:sz w:val="18"/>
                <w:szCs w:val="18"/>
                <w:color w:val="51555C"/>
              </w:rPr>
              <w:t xml:space="preserve">Securites Registered Pursuant to Secton 12(g) of the Act: </w:t>
            </w:r>
            <w:r>
              <w:rPr>
                <w:rFonts w:ascii="Calibri" w:cs="Calibri" w:eastAsia="Calibri" w:hAnsi="Calibri"/>
                <w:sz w:val="18"/>
                <w:szCs w:val="18"/>
                <w:b w:val="1"/>
                <w:bCs w:val="1"/>
                <w:color w:val="51555C"/>
              </w:rPr>
              <w:t>None</w:t>
            </w:r>
          </w:p>
        </w:tc>
        <w:tc>
          <w:tcPr>
            <w:tcW w:w="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4"/>
          <w:szCs w:val="24"/>
          <w:color w:val="auto"/>
        </w:rPr>
      </w:pPr>
    </w:p>
    <w:p>
      <w:pPr>
        <w:ind w:right="1760"/>
        <w:spacing w:after="0" w:line="320" w:lineRule="exact"/>
        <w:rPr>
          <w:sz w:val="20"/>
          <w:szCs w:val="20"/>
          <w:color w:val="auto"/>
        </w:rPr>
      </w:pPr>
      <w:r>
        <w:rPr>
          <w:rFonts w:ascii="Calibri" w:cs="Calibri" w:eastAsia="Calibri" w:hAnsi="Calibri"/>
          <w:sz w:val="17"/>
          <w:szCs w:val="17"/>
          <w:color w:val="51555C"/>
        </w:rPr>
        <w:t xml:space="preserve">Indicate by check mark if the registrant is a well-known seasoned issuer, as defned in Rule 405 of the Securites Act. Yes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No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Indicate by check mark if the registrant is not required to fle reports pursuant to Secton 13 or Secton 15(d) of the Act. Yes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No </w:t>
      </w:r>
      <w:r>
        <w:rPr>
          <w:rFonts w:ascii="MS PGothic" w:cs="MS PGothic" w:eastAsia="MS PGothic" w:hAnsi="MS PGothic"/>
          <w:sz w:val="17"/>
          <w:szCs w:val="17"/>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has submited electronically every Interactve Data File required to be submited pursuant to Rule 405 of Regulaton S-T (Secton 232.405 of this chapter) during the preceding 12 months (or for such shorter period that the registrant was required to submit such fles).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5" w:lineRule="auto"/>
        <w:rPr>
          <w:sz w:val="20"/>
          <w:szCs w:val="20"/>
          <w:color w:val="auto"/>
        </w:rPr>
      </w:pPr>
      <w:r>
        <w:rPr>
          <w:rFonts w:ascii="Calibri" w:cs="Calibri" w:eastAsia="Calibri" w:hAnsi="Calibri"/>
          <w:sz w:val="18"/>
          <w:szCs w:val="18"/>
          <w:color w:val="51555C"/>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80" w:type="dxa"/>
            <w:vAlign w:val="bottom"/>
          </w:tcPr>
          <w:p>
            <w:pPr>
              <w:spacing w:after="0"/>
              <w:rPr>
                <w:sz w:val="20"/>
                <w:szCs w:val="20"/>
                <w:color w:val="auto"/>
              </w:rPr>
            </w:pPr>
            <w:r>
              <w:rPr>
                <w:rFonts w:ascii="Calibri" w:cs="Calibri" w:eastAsia="Calibri" w:hAnsi="Calibri"/>
                <w:sz w:val="18"/>
                <w:szCs w:val="18"/>
                <w:color w:val="51555C"/>
              </w:rPr>
              <w:t>Large accelerated fler</w:t>
            </w:r>
          </w:p>
        </w:tc>
        <w:tc>
          <w:tcPr>
            <w:tcW w:w="3400" w:type="dxa"/>
            <w:vAlign w:val="bottom"/>
          </w:tcPr>
          <w:p>
            <w:pPr>
              <w:ind w:left="420"/>
              <w:spacing w:after="0" w:line="181" w:lineRule="exact"/>
              <w:rPr>
                <w:sz w:val="20"/>
                <w:szCs w:val="20"/>
                <w:color w:val="auto"/>
              </w:rPr>
            </w:pPr>
            <w:r>
              <w:rPr>
                <w:rFonts w:ascii="MS PGothic" w:cs="MS PGothic" w:eastAsia="MS PGothic" w:hAnsi="MS PGothic"/>
                <w:sz w:val="18"/>
                <w:szCs w:val="18"/>
                <w:color w:val="51555C"/>
              </w:rPr>
              <w:t>☑</w:t>
            </w: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Accelerated fler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270"/>
        </w:trPr>
        <w:tc>
          <w:tcPr>
            <w:tcW w:w="1980" w:type="dxa"/>
            <w:vAlign w:val="bottom"/>
          </w:tcPr>
          <w:p>
            <w:pPr>
              <w:spacing w:after="0"/>
              <w:rPr>
                <w:sz w:val="20"/>
                <w:szCs w:val="20"/>
                <w:color w:val="auto"/>
              </w:rPr>
            </w:pPr>
            <w:r>
              <w:rPr>
                <w:rFonts w:ascii="Calibri" w:cs="Calibri" w:eastAsia="Calibri" w:hAnsi="Calibri"/>
                <w:sz w:val="18"/>
                <w:szCs w:val="18"/>
                <w:color w:val="51555C"/>
              </w:rPr>
              <w:t>Non-accelerated fler</w:t>
            </w:r>
          </w:p>
        </w:tc>
        <w:tc>
          <w:tcPr>
            <w:tcW w:w="3400" w:type="dxa"/>
            <w:vAlign w:val="bottom"/>
          </w:tcPr>
          <w:p>
            <w:pPr>
              <w:ind w:left="420"/>
              <w:spacing w:after="0" w:line="181" w:lineRule="exact"/>
              <w:rPr>
                <w:sz w:val="20"/>
                <w:szCs w:val="20"/>
                <w:color w:val="auto"/>
              </w:rPr>
            </w:pPr>
            <w:r>
              <w:rPr>
                <w:rFonts w:ascii="MS PGothic" w:cs="MS PGothic" w:eastAsia="MS PGothic" w:hAnsi="MS PGothic"/>
                <w:sz w:val="18"/>
                <w:szCs w:val="18"/>
                <w:color w:val="51555C"/>
              </w:rPr>
              <w:t>☐</w:t>
            </w: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Smaller reportng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303"/>
        </w:trPr>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bl>
    <w:p>
      <w:pPr>
        <w:spacing w:after="0" w:line="179" w:lineRule="exact"/>
        <w:rPr>
          <w:sz w:val="24"/>
          <w:szCs w:val="24"/>
          <w:color w:val="auto"/>
        </w:rPr>
      </w:pPr>
    </w:p>
    <w:p>
      <w:pPr>
        <w:jc w:val="both"/>
        <w:ind w:right="20"/>
        <w:spacing w:after="0" w:line="241" w:lineRule="exact"/>
        <w:rPr>
          <w:sz w:val="20"/>
          <w:szCs w:val="20"/>
          <w:color w:val="auto"/>
        </w:rPr>
      </w:pPr>
      <w:r>
        <w:rPr>
          <w:rFonts w:ascii="Calibri" w:cs="Calibri" w:eastAsia="Calibri" w:hAnsi="Calibri"/>
          <w:sz w:val="18"/>
          <w:szCs w:val="18"/>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41" w:lineRule="exact"/>
        <w:rPr>
          <w:sz w:val="20"/>
          <w:szCs w:val="20"/>
          <w:color w:val="auto"/>
        </w:rPr>
      </w:pPr>
      <w:r>
        <w:rPr>
          <w:rFonts w:ascii="Calibri" w:cs="Calibri" w:eastAsia="Calibri" w:hAnsi="Calibri"/>
          <w:sz w:val="18"/>
          <w:szCs w:val="18"/>
          <w:color w:val="51555C"/>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41" w:lineRule="exact"/>
        <w:rPr>
          <w:sz w:val="20"/>
          <w:szCs w:val="20"/>
          <w:color w:val="auto"/>
        </w:rPr>
      </w:pPr>
      <w:r>
        <w:rPr>
          <w:rFonts w:ascii="Calibri" w:cs="Calibri" w:eastAsia="Calibri" w:hAnsi="Calibri"/>
          <w:sz w:val="18"/>
          <w:szCs w:val="18"/>
          <w:color w:val="51555C"/>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8"/>
          <w:szCs w:val="18"/>
          <w:color w:val="51555C"/>
        </w:rPr>
        <w:t>☐</w:t>
      </w:r>
    </w:p>
    <w:p>
      <w:pPr>
        <w:spacing w:after="0" w:line="35"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51555C"/>
        </w:rPr>
        <w:t xml:space="preserve">Indicate by check mark whether registrant is a shell company (as defned in Rule 12b-2 of the Exchange Act).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154" w:lineRule="exact"/>
        <w:rPr>
          <w:sz w:val="24"/>
          <w:szCs w:val="24"/>
          <w:color w:val="auto"/>
        </w:rPr>
      </w:pPr>
    </w:p>
    <w:p>
      <w:pPr>
        <w:jc w:val="both"/>
        <w:spacing w:after="0" w:line="235" w:lineRule="auto"/>
        <w:rPr>
          <w:sz w:val="20"/>
          <w:szCs w:val="20"/>
          <w:color w:val="auto"/>
        </w:rPr>
      </w:pPr>
      <w:r>
        <w:rPr>
          <w:rFonts w:ascii="Calibri" w:cs="Calibri" w:eastAsia="Calibri" w:hAnsi="Calibri"/>
          <w:sz w:val="18"/>
          <w:szCs w:val="18"/>
          <w:color w:val="51555C"/>
        </w:rPr>
        <w:t>The aggregate market value of the registrant's common stock held by non-afliates of the registrant on June 28, 2024 (based on the closing sale price of $76.17 on that date) was approximately $2,269,744,966. Common stock held by each ofcer and director and by each person known to the registrant who owned 10% or more of the outstanding common stock have been excluded in that such persons may be deemed to be afliates. This determinaton of afliate status is not necessarily a conclusive determinaton for other purposes.</w:t>
      </w:r>
    </w:p>
    <w:p>
      <w:pPr>
        <w:spacing w:after="0" w:line="107" w:lineRule="exact"/>
        <w:rPr>
          <w:sz w:val="24"/>
          <w:szCs w:val="24"/>
          <w:color w:val="auto"/>
        </w:rPr>
      </w:pPr>
    </w:p>
    <w:p>
      <w:pPr>
        <w:spacing w:after="0"/>
        <w:rPr>
          <w:sz w:val="20"/>
          <w:szCs w:val="20"/>
          <w:color w:val="auto"/>
        </w:rPr>
      </w:pPr>
      <w:r>
        <w:rPr>
          <w:rFonts w:ascii="Calibri" w:cs="Calibri" w:eastAsia="Calibri" w:hAnsi="Calibri"/>
          <w:sz w:val="18"/>
          <w:szCs w:val="18"/>
          <w:color w:val="51555C"/>
        </w:rPr>
        <w:t>The number of shares of the registrant’s common stock outstanding as of February 18, 2025 was 49,236,495.</w:t>
      </w:r>
    </w:p>
    <w:p>
      <w:pPr>
        <w:sectPr>
          <w:pgSz w:w="11900" w:h="16838" w:orient="portrait"/>
          <w:cols w:equalWidth="0" w:num="1">
            <w:col w:w="11240"/>
          </w:cols>
          <w:pgMar w:left="320" w:top="1030" w:right="339" w:bottom="0" w:gutter="0" w:footer="0" w:header="0"/>
        </w:sectPr>
      </w:pPr>
    </w:p>
    <w:bookmarkStart w:id="1" w:name="page2"/>
    <w:bookmarkEnd w:id="1"/>
    <w:p>
      <w:pPr>
        <w:jc w:val="center"/>
        <w:ind w:right="-19"/>
        <w:spacing w:after="0"/>
        <w:rPr>
          <w:sz w:val="20"/>
          <w:szCs w:val="20"/>
          <w:color w:val="auto"/>
        </w:rPr>
      </w:pPr>
      <w:r>
        <w:rPr>
          <w:rFonts w:ascii="Calibri" w:cs="Calibri" w:eastAsia="Calibri" w:hAnsi="Calibri"/>
          <w:sz w:val="18"/>
          <w:szCs w:val="18"/>
          <w:b w:val="1"/>
          <w:bCs w:val="1"/>
          <w:color w:val="51555C"/>
        </w:rPr>
        <w:t>DOCUMENTS INCORPORATED BY REFERENCE</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Portons of the registrant's defnitve Proxy Statement for the 2025 Annual Meetng of Stockholders currently scheduled to be held June 11, 2025 are incorporated by reference into Part III hereof. Such defnitve Proxy Statement will be fled with the U.S. Securites and Exchange Commission no later than 120 days afer the conclusion of the registrant's fscal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Calibri" w:cs="Calibri" w:eastAsia="Calibri" w:hAnsi="Calibri"/>
          <w:sz w:val="43"/>
          <w:szCs w:val="43"/>
          <w:b w:val="1"/>
          <w:bCs w:val="1"/>
          <w:color w:val="50535A"/>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40" w:type="dxa"/>
            <w:vAlign w:val="bottom"/>
            <w:gridSpan w:val="2"/>
          </w:tcPr>
          <w:p>
            <w:pPr>
              <w:ind w:left="20"/>
              <w:spacing w:after="0"/>
              <w:rPr>
                <w:sz w:val="20"/>
                <w:szCs w:val="20"/>
                <w:color w:val="auto"/>
              </w:rPr>
            </w:pPr>
            <w:r>
              <w:rPr>
                <w:rFonts w:ascii="Calibri" w:cs="Calibri" w:eastAsia="Calibri" w:hAnsi="Calibri"/>
                <w:sz w:val="20"/>
                <w:szCs w:val="20"/>
                <w:b w:val="1"/>
                <w:bCs w:val="1"/>
                <w:color w:val="004054"/>
              </w:rPr>
              <w:t>CAUTIONARY STATEMENT REGARDING FORWARD-LOOKING STATEMENTS</w:t>
            </w: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2</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501"/>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3</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Business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Risk factors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17</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1B.</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Unresolved staf comments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1C.</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Cybersecurity</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2.</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Propertes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3.</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Legal proceedings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4.</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Mine safety disclosures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33</w:t>
            </w:r>
          </w:p>
        </w:tc>
      </w:tr>
      <w:tr>
        <w:trPr>
          <w:trHeight w:val="558"/>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34</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5.</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Market for registrant's common equity, related stockholder maters and issuer purchases of equity securites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6.</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[Reserved]</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35</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7.</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Management's discussion and analysis of fnancial conditon and results of operatons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36</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7A.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Quanttatve and qualitatve disclosures about market risk</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64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8.</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Financial statements and supplementary data</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65</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Changes in and disagreements with accountants on accountng and fnancial disclosure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109</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Controls and procedures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109</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9B.</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Other informaton</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110</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9C.</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Disclosure regarding foreign jurisdictons that prevent inspectons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110</w:t>
            </w:r>
          </w:p>
        </w:tc>
      </w:tr>
      <w:tr>
        <w:trPr>
          <w:trHeight w:val="558"/>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III.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111</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10.</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Directors, executve ofcers and corporate governance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11.</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Executve compensaton</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12.</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Security ownership of certain benefcial owners and management and related stockholder maters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13.</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Certain relatonships and related transactons, and director independence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111</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14.</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Principal accountant fees and services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111</w:t>
            </w:r>
          </w:p>
        </w:tc>
      </w:tr>
      <w:tr>
        <w:trPr>
          <w:trHeight w:val="557"/>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IV.</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112</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15.</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Exhibits and fnancial statement schedules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112</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16.</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Form 10-K Summary</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117</w:t>
            </w:r>
          </w:p>
        </w:tc>
      </w:tr>
      <w:tr>
        <w:trPr>
          <w:trHeight w:val="557"/>
        </w:trPr>
        <w:tc>
          <w:tcPr>
            <w:tcW w:w="9640" w:type="dxa"/>
            <w:vAlign w:val="bottom"/>
            <w:gridSpan w:val="2"/>
          </w:tcPr>
          <w:p>
            <w:pPr>
              <w:ind w:left="20"/>
              <w:spacing w:after="0"/>
              <w:rPr>
                <w:sz w:val="20"/>
                <w:szCs w:val="20"/>
                <w:color w:val="auto"/>
              </w:rPr>
            </w:pPr>
            <w:r>
              <w:rPr>
                <w:rFonts w:ascii="Calibri" w:cs="Calibri" w:eastAsia="Calibri" w:hAnsi="Calibri"/>
                <w:sz w:val="20"/>
                <w:szCs w:val="20"/>
                <w:b w:val="1"/>
                <w:bCs w:val="1"/>
                <w:color w:val="004054"/>
              </w:rPr>
              <w:t>SIGNATURES</w:t>
            </w: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118</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522605</wp:posOffset>
            </wp:positionV>
            <wp:extent cx="7289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right="1580"/>
        <w:spacing w:after="0" w:line="235" w:lineRule="auto"/>
        <w:rPr>
          <w:sz w:val="20"/>
          <w:szCs w:val="20"/>
          <w:color w:val="auto"/>
        </w:rPr>
      </w:pPr>
      <w:r>
        <w:rPr>
          <w:rFonts w:ascii="Calibri" w:cs="Calibri" w:eastAsia="Calibri" w:hAnsi="Calibri"/>
          <w:sz w:val="43"/>
          <w:szCs w:val="43"/>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-434340</wp:posOffset>
            </wp:positionV>
            <wp:extent cx="24828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9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This Annual Report on Form 10-K, including the documents incorporated herein by reference, contains forward-looking statements that antcipate results based on our estmates, assumptons and plans that are subject to uncertainty. These "forward-looking statements" are made subject to the safe-harbor provisions of the Private Securites Litgaton Reform Act of 1995, Secton 27A of the Securites Act of 1933, as amended, and Secton 21E of the Securites Exchange Act of 1934, as amended. Forward-looking statements consist of, among other things, trend analyses, statements regarding future events, future fnancial performance, our antcipated growth, the efect of general economic and market conditons, our business strategy and our plan to build and grow our business, our operatng results, our ability to successfully integrate developed and acquired businesses and technologies, including generatve artfcial intelligence ("AI"), the efect of our stock repurchase program, the efect of foreign currency exchange rate and interest rate fuctuatons on our fnancial results, the impact of expensing stock-based compensaton, the sufciency of our capital resources, our ability to meet our ongoing debt and obligatons as they become due, cybersecurity and data protecton risks and related liabilites, and current or potental legal proceedings involving us, all of which are based on current expectatons, estmates, and forecasts, and the beliefs and assumptons of our management. Words such as “believes,” “seeks,” “expects,” “may,” “might,” “should,” “intends,” “could,” “would,” “likely,” “will,” “targets,” “plans,” “antcipates,” “aims,” “projects,” “estmates,” or any variatons of such words and similar expressions are also intended to identfy such forward-looking statements. These forward-looking statements are subject to risks, uncertaintes and assumptons that are difcult to predict. Accordingly, they should not be viewed as assurances of future performance, and actual results may difer materially and adversely from those expressed in any forward-looking statements.</w:t>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Important factors that could cause actual results to difer materially from our expectatons expressed in forward-looking statements include, but are not limited to, those summarized under “Item 1A. Risk factors” and elsewhere in this report and in our other SEC flings. Forward-looking statements represent our management's beliefs and assumptons only as of the date of this Annual Report on Form 10-K. We undertake no obligaton to update or revise any forward-looking statements, or to update the reasons actual results could difer materially from those antcipated in any forward-looking statements, whether as a result of new informaton, future events or otherwise.</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w:t>
      </w:r>
      <w:r>
        <w:rPr>
          <w:sz w:val="20"/>
          <w:szCs w:val="20"/>
          <w:color w:val="auto"/>
        </w:rPr>
        <w:tab/>
      </w:r>
      <w:r>
        <w:rPr>
          <w:sz w:val="1"/>
          <w:szCs w:val="1"/>
          <w:color w:val="auto"/>
        </w:rPr>
        <w:drawing>
          <wp:inline distT="0" distB="0" distL="0" distR="0">
            <wp:extent cx="728345" cy="1885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 BUSINESS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Descripton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Blackbaud brings over four decades of leadership to this sector: since originally incorporatng in New York in 1982 and later reincorporatng as a South Carolina corporaton in 1991 and as a Delaware corporaton in 2004. Millions of people across more than 100 countries connect, give, learn and engage through Blackbaud platorms. During 2024, we had nearly 100,000 customers that paid Blackbaud through transactonal fees and approximately 40,000 customers with contractual billing arrangements. We are deeply proud to play a part in our customers’ success in their missions to provide healthcare and cure diseases, advance educaton, preserve and share arts and culture, protect the environment, support those in need and much more.</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The social impact market is signifcant, spanning far beyond philanthropy, and our addressable market is substantal</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millions of organizatons globally focused on social impact including nonprofts, foundatons, educaton insttutons and healthcare organizatons. In the corporate sector, demonstratng positve social impact has become a business imperatve. Countless individuals also engage in social impact by donatng funds, volunteering their tme, advocatng for a cause, receiving services from or otherwise engaging with social impact organizatons.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Traditonal methods of fundraising and organizatonal management are ofen costly and inefcient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Many social impact organizatons use manual methods or sofware applicatons not specifcally designed for fundraising or nonproft business operatons. Such methods are ofen costly and inefcient because of the difcultes in efectvely collectng, sharing and using donaton-related informaton. Furthermore, general purpose sofware applicatons frequently have limited functonality for the unique needs of our customer base and do not efciently integrate multple databases. Some social impact organizatons have developed proprietary sofware, but doing so is expensive, requiring on-site technical personnel for development, implementaton and maintenance.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The nonproft industry faces partcular operatonal challenges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Nonproft organizatons — and any other entty that includes fundraising as a revenue source, including educaton insttutons, healthcare organizatons and houses of worship — must efciently:</w:t>
      </w:r>
    </w:p>
    <w:p>
      <w:pPr>
        <w:spacing w:after="0" w:line="51" w:lineRule="exact"/>
        <w:rPr>
          <w:sz w:val="20"/>
          <w:szCs w:val="20"/>
          <w:color w:val="auto"/>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Solicit funds and build relatonships with major and insttutonal donors;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Garner small cash contributons from numerous contributors;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Manage and develop complex relatonships with large numbers of consttuents;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Communicate their accomplishments and the importance of their mission online and ofine;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Comply with complex accountng, tax and reportng requirements that difer from those for for-proft businesses;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Solicit cash and in-kind contributons from businesses to help raise money or deliver products and services;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Provide a wide array of programs and services to individual consttuents and benefciaries; and</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Improve the data collecton and informaton sharing capabilites of their employees, volunteers and donors by creatng and providing distributed access to centralized databases.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of these challenges, we believe nonprofts, educaton insttutons, healthcare organizatons and houses of worship can beneft from sofware applicatons and services specifcally designed to serve their partcular needs and workfows to grow revenue, work efectvely and accomplish their 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3</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Companies, grantmaking insttutons and foundatons also face unique challenges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Companies, grantmaking insttutons and foundatons, face their own unique challenges in their social impact eforts, including the need to:</w:t>
      </w:r>
    </w:p>
    <w:p>
      <w:pPr>
        <w:spacing w:after="0" w:line="5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Quantfy and improve the impact of their grants;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Cultvate beter relatonships with grantees;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Achieve beter internal collaboraton and alignment with board members, reviewers and other stakeholders;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Illustrate the impact of their corporate philanthropy and educaton eforts to the communites they serve;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Engage employees in meaningful volunteering, giving and other actvites;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Ensure that their philanthropic eforts align with their business initatves;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Manage all of a foundaton's actvites, including fundraising and accountng;</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Expand the reach of their fundraising eforts;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Cultvate new and existng donors.</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Our objectve is to maintain and extend our positon as the leading provider of cloud sofware and services essental for the core business operatons unique to social impact organizatons, teams, and schools. Our key strategies for achieving this objectve are described below.</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Execute on our Five Key Operatonal Initatves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In early 2023, we outlined fve key operatonal initatves targeted to drive innovaton, bookings growth, revenue expansion and lower costs. During 2024, we contnued to execute on these key initatves.</w:t>
      </w:r>
    </w:p>
    <w:p>
      <w:pPr>
        <w:spacing w:after="0" w:line="159" w:lineRule="exact"/>
        <w:rPr>
          <w:sz w:val="20"/>
          <w:szCs w:val="20"/>
          <w:color w:val="auto"/>
        </w:rPr>
      </w:pPr>
    </w:p>
    <w:p>
      <w:pPr>
        <w:ind w:left="320" w:hanging="312"/>
        <w:spacing w:after="0"/>
        <w:tabs>
          <w:tab w:leader="none" w:pos="320" w:val="left"/>
        </w:tabs>
        <w:numPr>
          <w:ilvl w:val="0"/>
          <w:numId w:val="5"/>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Product Innovaton and Delivery</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To maintain our market leadership positon, we are acceleratng the pace of innovaton and new feature delivery to our customers. Our focus has been on two areas, artfcial intelligence (AI) and enhancements that contnue to improve the connectvity of our suite of solutons. These enhancements are aimed at improving fundraising outcomes while reducing the administratve burden of our end users. Some examples include:</w:t>
      </w:r>
    </w:p>
    <w:p>
      <w:pPr>
        <w:spacing w:after="0" w:line="164" w:lineRule="exact"/>
        <w:rPr>
          <w:rFonts w:ascii="Calibri" w:cs="Calibri" w:eastAsia="Calibri" w:hAnsi="Calibri"/>
          <w:sz w:val="18"/>
          <w:szCs w:val="18"/>
          <w:i w:val="1"/>
          <w:iCs w:val="1"/>
          <w:color w:val="51555C"/>
        </w:rPr>
      </w:pPr>
    </w:p>
    <w:p>
      <w:pPr>
        <w:jc w:val="both"/>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We have released a number of AI capabilites in our solutons, including generatve AI functonality for our JustGiving platorm. During 2024, we released generatve AI capabilites for Raiser’s Edge NXT®, and we expect that Blackbaud Copilot will be available to our Raiser's Edge NXT customers soon. Using Blackbaud Copilot, users can ask ad hoc questons such as “How can I improve my average donaton size?” and the tool will provide intelligent responses as well as recommended actons intended to drive that outcome.</w:t>
      </w:r>
    </w:p>
    <w:p>
      <w:pPr>
        <w:spacing w:after="0" w:line="165"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During 2024, our Online Giving and Prospect Insights capabilites were natvely integrated into Raiser's Edge NXT. With these integratons, fundraising administrators can now drive a giving campaign, keep records of each donor interacton, identfy new donaton opportunites, and provide personalized messaging, all in one integrated experience.</w:t>
      </w:r>
    </w:p>
    <w:p>
      <w:pPr>
        <w:spacing w:after="0" w:line="164"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During 2024, we released our new optmized donaton forms for Raiser's Edge NXT, Blackbaud CRM and Blackbaud Altru that fully integrate with our payment processing and CRM sofware. We expect these forms to drive higher revenue for our customers and for Blackbaud.</w:t>
      </w:r>
    </w:p>
    <w:p>
      <w:pPr>
        <w:spacing w:after="0" w:line="159"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We are delivering more innovaton, evolving our products and ensuring our customers receive more value from our solutons.</w:t>
      </w:r>
    </w:p>
    <w:p>
      <w:pPr>
        <w:spacing w:after="0" w:line="158" w:lineRule="exact"/>
        <w:rPr>
          <w:sz w:val="20"/>
          <w:szCs w:val="20"/>
          <w:color w:val="auto"/>
        </w:rPr>
      </w:pPr>
    </w:p>
    <w:p>
      <w:pPr>
        <w:ind w:left="320" w:hanging="312"/>
        <w:spacing w:after="0"/>
        <w:tabs>
          <w:tab w:leader="none" w:pos="320" w:val="left"/>
        </w:tabs>
        <w:numPr>
          <w:ilvl w:val="0"/>
          <w:numId w:val="6"/>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Bookings Growth and Acceleraton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maintain a keen focus on acceleratng bookings growth by signing new logos as well as upselling and cross-selling our existng customer base. Our sales team is split between prospect account executves dedicated to prospectng for new clients and customer account executves who focus on selling additonal products to current customers. Given the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w:t>
      </w:r>
      <w:r>
        <w:rPr>
          <w:sz w:val="20"/>
          <w:szCs w:val="20"/>
          <w:color w:val="auto"/>
        </w:rPr>
        <w:tab/>
      </w:r>
      <w:r>
        <w:rPr>
          <w:sz w:val="1"/>
          <w:szCs w:val="1"/>
          <w:color w:val="auto"/>
        </w:rPr>
        <w:drawing>
          <wp:inline distT="0" distB="0" distL="0" distR="0">
            <wp:extent cx="728345"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51555C"/>
        </w:rPr>
        <w:t>breadth of our product portolio, this “land and expand” model has proven successful for us over tme. As previously disclosed, there can be volatlity quarter-to-quarter on bookings.</w:t>
      </w:r>
    </w:p>
    <w:p>
      <w:pPr>
        <w:spacing w:after="0" w:line="159" w:lineRule="exact"/>
        <w:rPr>
          <w:sz w:val="20"/>
          <w:szCs w:val="20"/>
          <w:color w:val="auto"/>
        </w:rPr>
      </w:pPr>
    </w:p>
    <w:p>
      <w:pPr>
        <w:ind w:left="320" w:hanging="312"/>
        <w:spacing w:after="0"/>
        <w:tabs>
          <w:tab w:leader="none" w:pos="320" w:val="left"/>
        </w:tabs>
        <w:numPr>
          <w:ilvl w:val="0"/>
          <w:numId w:val="7"/>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Transactonal Revenue Optmizaton and Expansion</w:t>
      </w:r>
    </w:p>
    <w:p>
      <w:pPr>
        <w:spacing w:after="0" w:line="163" w:lineRule="exact"/>
        <w:rPr>
          <w:rFonts w:ascii="Calibri" w:cs="Calibri" w:eastAsia="Calibri" w:hAnsi="Calibri"/>
          <w:sz w:val="18"/>
          <w:szCs w:val="18"/>
          <w:i w:val="1"/>
          <w:iCs w:val="1"/>
          <w:color w:val="51555C"/>
        </w:rPr>
      </w:pPr>
    </w:p>
    <w:p>
      <w:pPr>
        <w:jc w:val="both"/>
        <w:ind w:left="340"/>
        <w:spacing w:after="0" w:line="251" w:lineRule="auto"/>
        <w:rPr>
          <w:rFonts w:ascii="Calibri" w:cs="Calibri" w:eastAsia="Calibri" w:hAnsi="Calibri"/>
          <w:sz w:val="18"/>
          <w:szCs w:val="18"/>
          <w:i w:val="1"/>
          <w:iCs w:val="1"/>
          <w:color w:val="51555C"/>
        </w:rPr>
      </w:pPr>
      <w:r>
        <w:rPr>
          <w:rFonts w:ascii="Calibri" w:cs="Calibri" w:eastAsia="Calibri" w:hAnsi="Calibri"/>
          <w:sz w:val="17"/>
          <w:szCs w:val="17"/>
          <w:color w:val="51555C"/>
        </w:rPr>
        <w:t>Transactonal revenue, which is about one-third of total revenue, is comprised of four primary components: donaton processing (~55% of total transactonal revenue); consumer giving (~20%); tuiton management (~20%); and event-based usage (~5%). The diversity of the underlying transacton volumes from these four sources has resulted in consistent transactonal recurring revenue growth in the mid-to-high single digits over the past several years. We contnue to see strong momentum in consumer giving and tuiton management, we have implemented rate increases across select areas of our payments portolio, and we contnue to implement additonal payments solutons optmizaton to drive enhanced donor experience.</w:t>
      </w:r>
    </w:p>
    <w:p>
      <w:pPr>
        <w:spacing w:after="0" w:line="152"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7"/>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Modernized Approach to Pricing and Mult-Year Contracts</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In the summer of 2022, we put in place an updated pricing policy primarily for our social sector customers that directly refects the value we provide to them, is in-line with the broader market and refects the infatonary pressures that all businesses are facing. This program is designed to deliver sustained revenue growth beyond the inital three-year renewal cycle and will provide us with improved revenue visibility. As previously disclosed, this new approach has three main components: ofering 3-year contract renewal terms as our standard, which the vast majority of customers are adoptng; embedded annual price increases within the 3-year renewal term, which we have not had previously and are beginning to take efect; and a larger frst year price increase to bring our pricing in-line with the broader market.</w:t>
      </w:r>
    </w:p>
    <w:p>
      <w:pPr>
        <w:spacing w:after="0" w:line="167" w:lineRule="exact"/>
        <w:rPr>
          <w:rFonts w:ascii="Calibri" w:cs="Calibri" w:eastAsia="Calibri" w:hAnsi="Calibri"/>
          <w:sz w:val="18"/>
          <w:szCs w:val="18"/>
          <w:i w:val="1"/>
          <w:iCs w:val="1"/>
          <w:color w:val="51555C"/>
        </w:rPr>
      </w:pPr>
    </w:p>
    <w:p>
      <w:pPr>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The frst two components, as well as a porton of the third, will contnue on beyond the inital renewal cycle, creatng what we believe will be a sustainable source of revenue growth.</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have now completed the 2023 and 2024 renewal cohorts, which represented approximately 65% of the total contractual revenue eligible for this program. Approximately another 25% of the renewable base is up for renewal in 2025, and the remaining 10% in the beginning of 2026. The close day-to-day management of renewals, the mix of 3-year and 1-year contracts, and the impact of pricing are progressing well. Additonally, the adopton of 3-year renewals as a standard, with more customers optng for this opton than we originally expected, is expected to have an added beneft of higher retenton which provides greater revenue assurance and predictability.</w:t>
      </w:r>
    </w:p>
    <w:p>
      <w:pPr>
        <w:spacing w:after="0" w:line="161"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7"/>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Keen Atenton to Cost Management</w:t>
      </w:r>
    </w:p>
    <w:p>
      <w:pPr>
        <w:spacing w:after="0" w:line="158" w:lineRule="exact"/>
        <w:rPr>
          <w:rFonts w:ascii="Calibri" w:cs="Calibri" w:eastAsia="Calibri" w:hAnsi="Calibri"/>
          <w:sz w:val="18"/>
          <w:szCs w:val="18"/>
          <w:i w:val="1"/>
          <w:iCs w:val="1"/>
          <w:color w:val="51555C"/>
        </w:rPr>
      </w:pPr>
    </w:p>
    <w:p>
      <w:pPr>
        <w:ind w:left="340"/>
        <w:spacing w:after="0"/>
        <w:rPr>
          <w:rFonts w:ascii="Calibri" w:cs="Calibri" w:eastAsia="Calibri" w:hAnsi="Calibri"/>
          <w:sz w:val="18"/>
          <w:szCs w:val="18"/>
          <w:i w:val="1"/>
          <w:iCs w:val="1"/>
          <w:color w:val="51555C"/>
        </w:rPr>
      </w:pPr>
      <w:r>
        <w:rPr>
          <w:rFonts w:ascii="Calibri" w:cs="Calibri" w:eastAsia="Calibri" w:hAnsi="Calibri"/>
          <w:sz w:val="18"/>
          <w:szCs w:val="18"/>
          <w:color w:val="51555C"/>
        </w:rPr>
        <w:t>Cost management initatves already completed drove a signifcant improvement in proftability during 2023. These initatves included:</w:t>
      </w:r>
    </w:p>
    <w:p>
      <w:pPr>
        <w:spacing w:after="0" w:line="104" w:lineRule="exact"/>
        <w:rPr>
          <w:rFonts w:ascii="Calibri" w:cs="Calibri" w:eastAsia="Calibri" w:hAnsi="Calibri"/>
          <w:sz w:val="18"/>
          <w:szCs w:val="18"/>
          <w:i w:val="1"/>
          <w:iCs w:val="1"/>
          <w:color w:val="51555C"/>
        </w:rPr>
      </w:pPr>
    </w:p>
    <w:p>
      <w:pPr>
        <w:ind w:left="640" w:hanging="308"/>
        <w:spacing w:after="0"/>
        <w:tabs>
          <w:tab w:leader="none" w:pos="640" w:val="left"/>
        </w:tabs>
        <w:numPr>
          <w:ilvl w:val="1"/>
          <w:numId w:val="7"/>
        </w:numPr>
        <w:rPr>
          <w:rFonts w:ascii="Calibri" w:cs="Calibri" w:eastAsia="Calibri" w:hAnsi="Calibri"/>
          <w:sz w:val="18"/>
          <w:szCs w:val="18"/>
          <w:color w:val="51555C"/>
        </w:rPr>
      </w:pPr>
      <w:r>
        <w:rPr>
          <w:rFonts w:ascii="Calibri" w:cs="Calibri" w:eastAsia="Calibri" w:hAnsi="Calibri"/>
          <w:sz w:val="18"/>
          <w:szCs w:val="18"/>
          <w:color w:val="51555C"/>
        </w:rPr>
        <w:t>A reducton in headcount from approximately 3,600 in the third quarter of 2022 to approximately 3,000 as of December 31, 2023</w:t>
      </w:r>
    </w:p>
    <w:p>
      <w:pPr>
        <w:spacing w:after="0" w:line="109"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7"/>
        </w:numPr>
        <w:rPr>
          <w:rFonts w:ascii="Calibri" w:cs="Calibri" w:eastAsia="Calibri" w:hAnsi="Calibri"/>
          <w:sz w:val="18"/>
          <w:szCs w:val="18"/>
          <w:color w:val="51555C"/>
        </w:rPr>
      </w:pPr>
      <w:r>
        <w:rPr>
          <w:rFonts w:ascii="Calibri" w:cs="Calibri" w:eastAsia="Calibri" w:hAnsi="Calibri"/>
          <w:sz w:val="18"/>
          <w:szCs w:val="18"/>
          <w:color w:val="51555C"/>
        </w:rPr>
        <w:t>Contnued IT consolidaton as we migrate customers from legacy private data centers to leading public cloud service providers. We closed four legacy data centers during 2022 and two in 2023.</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1"/>
          <w:numId w:val="7"/>
        </w:numPr>
        <w:rPr>
          <w:rFonts w:ascii="Calibri" w:cs="Calibri" w:eastAsia="Calibri" w:hAnsi="Calibri"/>
          <w:sz w:val="18"/>
          <w:szCs w:val="18"/>
          <w:color w:val="51555C"/>
        </w:rPr>
      </w:pPr>
      <w:r>
        <w:rPr>
          <w:rFonts w:ascii="Calibri" w:cs="Calibri" w:eastAsia="Calibri" w:hAnsi="Calibri"/>
          <w:sz w:val="18"/>
          <w:szCs w:val="18"/>
          <w:color w:val="51555C"/>
        </w:rPr>
        <w:t>Renegotated key vendor contracts including Microsof Azure and AWS</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1"/>
          <w:numId w:val="7"/>
        </w:numPr>
        <w:rPr>
          <w:rFonts w:ascii="Calibri" w:cs="Calibri" w:eastAsia="Calibri" w:hAnsi="Calibri"/>
          <w:sz w:val="18"/>
          <w:szCs w:val="18"/>
          <w:color w:val="51555C"/>
        </w:rPr>
      </w:pPr>
      <w:r>
        <w:rPr>
          <w:rFonts w:ascii="Calibri" w:cs="Calibri" w:eastAsia="Calibri" w:hAnsi="Calibri"/>
          <w:sz w:val="18"/>
          <w:szCs w:val="18"/>
          <w:color w:val="51555C"/>
        </w:rPr>
        <w:t>Reduced our real estate footprint as part of the shif to a remote-frst workforce</w:t>
      </w:r>
    </w:p>
    <w:p>
      <w:pPr>
        <w:spacing w:after="0" w:line="158"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During 2024, we contnued to run the business at about the same headcount level, while contnuing to drive efciencies in other areas of the business.</w:t>
      </w:r>
    </w:p>
    <w:p>
      <w:pPr>
        <w:ind w:left="340"/>
        <w:spacing w:after="0" w:line="235" w:lineRule="auto"/>
        <w:rPr>
          <w:sz w:val="20"/>
          <w:szCs w:val="20"/>
          <w:color w:val="auto"/>
        </w:rPr>
      </w:pPr>
      <w:r>
        <w:rPr>
          <w:rFonts w:ascii="Calibri" w:cs="Calibri" w:eastAsia="Calibri" w:hAnsi="Calibri"/>
          <w:sz w:val="18"/>
          <w:szCs w:val="18"/>
          <w:color w:val="51555C"/>
        </w:rPr>
        <w:t>Afer the divestture of EVERFI on December 31, 2024, we had approximately 2,600 employees.</w:t>
      </w:r>
    </w:p>
    <w:p>
      <w:pPr>
        <w:spacing w:after="0" w:line="164"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51555C"/>
        </w:rPr>
        <w:t>As a remote-frst workforce company, we can be strategic about selectng the appropriate geographic region for various functons in order to reduce costs without negatvely impactng the quality of our products and services. For example, we are currently expanding our operatons in India, which we expect will give us greater access to talent, and increase the number of our employees, including management, in India. We have rented ofce space in India to accommodate those new operatons, although we do not currently expect to generate revenue in India in the foreseeable future.</w:t>
      </w:r>
    </w:p>
    <w:p>
      <w:pPr>
        <w:spacing w:after="0" w:line="161"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There are two remaining legacy data centers that we are currently working towards closing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289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Delight Our Customers</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intend to make our customers' experience with us efectve, efcient and satsfying from their inital interest in our solutons and services through their decision to purchase, engage with customer support and implement and use our solutons. We contnue to focus on initatves aimed at improving the consistency and quality of user experience across our oferings. We also contnue to evolve the way we package and sell our oferings to provide high quality and value combined with fexibility to meet the unique needs of our existng and prospectve customers. In additon, we are contnuing to integrate value-adding capabilites such as payment services, analytcs and business intelligence into our suite of solutons to beter address our customers' needs to raise more revenue with comprehensive oferings. We will contnue to focus on providing the highest level of soluton support, enhancing our existng solutons, extending our solutons through open APIs and developing new solutons and services designed to help our customers be more efectve and achieve their missions. (See “Solutons and Services” below for additonal informaton regarding the development and integraton of AI into our solutons and services.)</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Atract and Retain Top Talent and Actvely Engage Employee Base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employees are energized by our opportunity to fuel social impact. Collaboraton, innovaton, authentc passion for the customers we serve and high standards are core to our culture and help to enable the great work we do. We strive to hire, develop and retain the best employees and provide a supportve and inclusive environment where their talents and potental are realized. In 2021, we formally rolled out a remote work strategy as a company, which supports Blackbaud's goal to atract top talent globally. For additonal informaton, see “Human Capital Resources” below.</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Drive Strength in Our Sector as an Industry Thought Leader</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 xml:space="preserve">In our over 40 years of operaton, we have gained signifcant insight into the overall market and industry segments in which we operate. We produce a wide range of thought leadership resources, including blogs, webinars and white papers, which provide insights and guidance to the social impact community. We also partcipate in and convene industry forums, where we exchange views and engage with industry and government leaders. Our annual user conference, </w:t>
      </w:r>
      <w:r>
        <w:rPr>
          <w:rFonts w:ascii="Calibri" w:cs="Calibri" w:eastAsia="Calibri" w:hAnsi="Calibri"/>
          <w:sz w:val="17"/>
          <w:szCs w:val="17"/>
          <w:b w:val="1"/>
          <w:bCs w:val="1"/>
          <w:i w:val="1"/>
          <w:iCs w:val="1"/>
          <w:color w:val="51555C"/>
        </w:rPr>
        <w:t>bbcon</w:t>
      </w:r>
      <w:r>
        <w:rPr>
          <w:rFonts w:ascii="Calibri" w:cs="Calibri" w:eastAsia="Calibri" w:hAnsi="Calibri"/>
          <w:sz w:val="17"/>
          <w:szCs w:val="17"/>
          <w:i w:val="1"/>
          <w:iCs w:val="1"/>
          <w:color w:val="51555C"/>
        </w:rPr>
        <w:t>®</w:t>
      </w:r>
      <w:r>
        <w:rPr>
          <w:rFonts w:ascii="Calibri" w:cs="Calibri" w:eastAsia="Calibri" w:hAnsi="Calibri"/>
          <w:sz w:val="17"/>
          <w:szCs w:val="17"/>
          <w:color w:val="51555C"/>
        </w:rPr>
        <w:t>, serves in part as a forum to ofer thought leadership to our customers, as do other market-specifc user conferences, events and customer</w:t>
      </w:r>
      <w:r>
        <w:rPr>
          <w:rFonts w:ascii="Calibri" w:cs="Calibri" w:eastAsia="Calibri" w:hAnsi="Calibri"/>
          <w:sz w:val="17"/>
          <w:szCs w:val="17"/>
          <w:b w:val="1"/>
          <w:bCs w:val="1"/>
          <w:i w:val="1"/>
          <w:iCs w:val="1"/>
          <w:color w:val="51555C"/>
        </w:rPr>
        <w:t xml:space="preserve"> </w:t>
      </w:r>
      <w:r>
        <w:rPr>
          <w:rFonts w:ascii="Calibri" w:cs="Calibri" w:eastAsia="Calibri" w:hAnsi="Calibri"/>
          <w:sz w:val="17"/>
          <w:szCs w:val="17"/>
          <w:color w:val="51555C"/>
        </w:rPr>
        <w:t>gatherings. The Blackbaud Insttute is a research lab that leverages Blackbaud's unique data resources, along with original research, to drive insight that accelerates the impact of the social impact community. The research and reports the Blackbaud Insttute produces serve to strengthen the social impact community as a whole. ENGAGE, our blog and podcast, provides free best practces resources that drive impact across the social impact community, as well.</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Blackbaud Social Good Startup Program is a year-long accelerator designed to support innovatve startups with the potental to drive social impact. In alignment with our commitment to diversity in the tech community, we emphasize supportng founders from underrepresented backgrounds.</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Solutons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build sofware for our customers' essental business operatons to free them to focus on what maters most: delivering impact. With powerful data intelligence and expertse inside, and an ever-growing network of partners and developers outside, our sofware is the foundatonal infrastructure that expands what is possible for anyone dedicated to purpose-driven work.</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augment our sofware with a range of payment processing, analytc and business intelligence services, consultng, training and professional services, as well as maintenance and technical support. The Blackbaud portolio is delivered primarily through cloud solutons tailored to the unique needs of nonprofts and foundatons, educatonal insttutons, individual change makers and corporate social impact programs. Our solutons are built specifcally for fundraising and relatonship management, marketng and engagement, fnancial management, grant and award management, educaton management, tcketng, social responsibility, payment services and analytcs.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developing and implementng AI features in certain of our solutons and services as a key element of our strategy to delight our customers and remain a market leader in the social impact sector. For example, our “Intelligence for Good” program integrates several machine learning and AI capabilites that help our customers streamline workfows, enhance efciency and achieve beter outcomes. We have introduced generatve AI features across multple products, mainly for composing outreach communicatons, and will soon be ofering the ability for our customers to provide contextual responses to queston and answer actons. We are also leveraging AI to transform the way we work at Blackbaud and intend to contnue</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w:t>
      </w:r>
      <w:r>
        <w:rPr>
          <w:sz w:val="20"/>
          <w:szCs w:val="20"/>
          <w:color w:val="auto"/>
        </w:rPr>
        <w:tab/>
      </w:r>
      <w:r>
        <w:rPr>
          <w:sz w:val="1"/>
          <w:szCs w:val="1"/>
          <w:color w:val="auto"/>
        </w:rPr>
        <w:drawing>
          <wp:inline distT="0" distB="0" distL="0" distR="0">
            <wp:extent cx="728345" cy="1885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to identfy, experiment and scale a range of solutons across marketng, customer success and engineering through applied AI. We are commited to developing and using AI responsibly and in accordance with rapidly developing laws and regulatons, including with regard to the processing of personal data. The technologies underpinning these features are in the early stages of commercial use, and we are mindful that the success of any enhancements or new products depends on many factors, including its relevance to our customers, tmely implementaton and market acceptance. In additon, we regularly monitor new regulatory developments in applicable jurisdictons in order to identfy and mitgate ethical and legal issues presented by our use of AI. Furthermore, many of our AI features may rely on third-party service providers, which requires that we contnuously evaluate the quality and legality of their products and operatons, as well as copyright and intellectual property issues. Our commitment to new and emerging AI technologies requires that we invest in the development and maintenance of various models, approaches and processes, as well as the development of protectons and safeguards for the use of AI technologies and requires that we hire persons with specialized expertse. As a result, we regularly monitor all aspects of our AI strategy to ensure that it is implemented in a manner consistent with our enterprise risk management processes and other company policies and procedures. (See “Risk Factors” below for more informaton regarding the risks associated with our use of AI and the descripton below of our current uses of AI in our solutons and services.)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Our specifc solutons and services include: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Fundraising and Engagement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Raiser's Edge NXT® </w:t>
      </w:r>
      <w:r>
        <w:rPr>
          <w:rFonts w:ascii="Calibri" w:cs="Calibri" w:eastAsia="Calibri" w:hAnsi="Calibri"/>
          <w:sz w:val="18"/>
          <w:szCs w:val="18"/>
          <w:color w:val="51555C"/>
        </w:rPr>
        <w:t>is our fagship fundraising and relatonship management soluton. Raiser's Edge NXT is the frst and only cloud fundraising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relatonship management soluton that is all-inclusive, fully integrated with data health, predictve analytcs, email marketng, donaton forms, event management, payment processing and process automaton to create tailored, user-specifc experiences. We believe Raiser's Edge NXT is the most advanced technology available to nonprofts seeking to operate more efciently and raise more support for their missions.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CRM™ </w:t>
      </w:r>
      <w:r>
        <w:rPr>
          <w:rFonts w:ascii="Calibri" w:cs="Calibri" w:eastAsia="Calibri" w:hAnsi="Calibri"/>
          <w:sz w:val="18"/>
          <w:szCs w:val="18"/>
          <w:color w:val="51555C"/>
        </w:rPr>
        <w:t>is a comprehensive, confgurable fundraising and relatonship management soluton. It is our lead ofering for enterprise-level organizatons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seeking a powerful, yet adaptable soluton for fundraising, marketng and program management across the engagement lifecycle, specializing in supportng sophistcated major giving, membership and high-volume direct marketng programs. Blackbaud CRM helps organizatons build deeper and more personalized relatonships with consttuents, build their brands through online engagement and multchannel communicaton tools, and more efectvely fundraise, leveraging campaign management, business intelligence and predictve analytcs. Blackbaud CRM can be integrated with enterprise online solutons to enable mult-channel marketng, online engagement and event fundraising.</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eTapestry® </w:t>
      </w:r>
      <w:r>
        <w:rPr>
          <w:rFonts w:ascii="Calibri" w:cs="Calibri" w:eastAsia="Calibri" w:hAnsi="Calibri"/>
          <w:sz w:val="18"/>
          <w:szCs w:val="18"/>
          <w:color w:val="51555C"/>
        </w:rPr>
        <w:t>is a simple, cloud fundraising and donor management soluton built specifcally for smaller, developing nonprofts in need of a cloud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soluton to support basic fundraising needs. It ofers nonproft organizatons a cost-efectve way to manage donors, process gifs, create reports, accept online donatons and communicate with consttuents. This technology provides a system that is simple to maintain, efcient to operate and is intuitvely easy to learn without extensive training.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Luminate Online®, </w:t>
      </w:r>
      <w:r>
        <w:rPr>
          <w:rFonts w:ascii="Calibri" w:cs="Calibri" w:eastAsia="Calibri" w:hAnsi="Calibri"/>
          <w:sz w:val="18"/>
          <w:szCs w:val="18"/>
          <w:color w:val="51555C"/>
        </w:rPr>
        <w:t>delivered in the cloud, helps our customers beter understand their online supporters, make the right ask at the right tme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raise more money online. It includes tools to build online fundraising campaigns as part of an organizaton's existng website or as a stand-alone fundraising site. Donaton forms, gif processing and tools for communicatng through web pages and email give our customers the essentals for building sustainable donor relatonships.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TeamRaiser® </w:t>
      </w:r>
      <w:r>
        <w:rPr>
          <w:rFonts w:ascii="Calibri" w:cs="Calibri" w:eastAsia="Calibri" w:hAnsi="Calibri"/>
          <w:sz w:val="18"/>
          <w:szCs w:val="18"/>
          <w:color w:val="51555C"/>
        </w:rPr>
        <w:t>is the industry’s most comprehensive peer-to-peer fundraising event soluton. Powering thousands of major events each year,</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TeamRaiser allows nonprofts’ supporters to create personal or team fundraising web pages and send email donaton appeals in support of events such as walks, runs and rides.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JustGiving® from Blackbaud® </w:t>
      </w:r>
      <w:r>
        <w:rPr>
          <w:rFonts w:ascii="Calibri" w:cs="Calibri" w:eastAsia="Calibri" w:hAnsi="Calibri"/>
          <w:sz w:val="18"/>
          <w:szCs w:val="18"/>
          <w:color w:val="51555C"/>
        </w:rPr>
        <w:t>is a world-class social fundraising platorm for online peer-to-peer giving. JustGiving provides innovatve tools enabling</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individuals to engage their own peer networks to raise donatons directly for the causes they care most about. By making giving simpler and putng storytelling in the hands of fundraisers, JustGiving helps individuals reach more people to raise more money for charites of all sizes.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Fundraiser Performance Management™ </w:t>
      </w:r>
      <w:r>
        <w:rPr>
          <w:rFonts w:ascii="Calibri" w:cs="Calibri" w:eastAsia="Calibri" w:hAnsi="Calibri"/>
          <w:sz w:val="18"/>
          <w:szCs w:val="18"/>
          <w:color w:val="51555C"/>
        </w:rPr>
        <w:t>is a mult-pronged soluton that augments the capabilites of an organizaton’s primary database with</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fexible, detailed and transparent goal and acton tracking. Built for higher educaton insttutons, healthcare and large nonproft organizatons with structured gif ofcer teams, the soluton combines a dedicated SaaS platorm for gif ofcer tracking with a dedicated business consultant. Both fundraisers and leaders beneft from tailored consultng to address weaknesses and enhance strengths to comprehensively improve fundraising team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7</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51555C"/>
        </w:rPr>
        <w:t xml:space="preserve">Blackbaud Altru® </w:t>
      </w:r>
      <w:r>
        <w:rPr>
          <w:rFonts w:ascii="Calibri" w:cs="Calibri" w:eastAsia="Calibri" w:hAnsi="Calibri"/>
          <w:sz w:val="17"/>
          <w:szCs w:val="17"/>
          <w:color w:val="51555C"/>
        </w:rPr>
        <w:t>is a cloud soluton that helps arts and cultural organizatons consolidate admissions, membership, fundraising, merchandise, marketng and</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more, giving users a comprehensive view of their supporters. By helping general admissions arts and cultural organizatons gain a clear, 360-degree view of their organizaton, it enables them to operate more efciently, engage and cultvate patrons and supporters, streamline external and internal communicaton eforts, and reduce IT costs. Blackbaud Altru contains tools for consttuent and membership management, program sales, retail sales and tcketng, volunteer management and events management. It also has sophistcated reportng functonality and tools to manage marketng, communicatons and fundraising.</w:t>
      </w:r>
    </w:p>
    <w:p>
      <w:pPr>
        <w:spacing w:after="0" w:line="15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i w:val="1"/>
          <w:iCs w:val="1"/>
          <w:color w:val="51555C"/>
        </w:rPr>
        <w:t xml:space="preserve">Blackbaud Guided Fundraising™ </w:t>
      </w:r>
      <w:r>
        <w:rPr>
          <w:rFonts w:ascii="Calibri" w:cs="Calibri" w:eastAsia="Calibri" w:hAnsi="Calibri"/>
          <w:sz w:val="17"/>
          <w:szCs w:val="17"/>
          <w:color w:val="51555C"/>
        </w:rPr>
        <w:t>and</w:t>
      </w:r>
      <w:r>
        <w:rPr>
          <w:rFonts w:ascii="Calibri" w:cs="Calibri" w:eastAsia="Calibri" w:hAnsi="Calibri"/>
          <w:sz w:val="17"/>
          <w:szCs w:val="17"/>
          <w:i w:val="1"/>
          <w:iCs w:val="1"/>
          <w:color w:val="51555C"/>
        </w:rPr>
        <w:t xml:space="preserve"> Blackbaud Volunteer Network Fundraising™ </w:t>
      </w:r>
      <w:r>
        <w:rPr>
          <w:rFonts w:ascii="Calibri" w:cs="Calibri" w:eastAsia="Calibri" w:hAnsi="Calibri"/>
          <w:sz w:val="17"/>
          <w:szCs w:val="17"/>
          <w:color w:val="51555C"/>
        </w:rPr>
        <w:t>can work together with Fundraiser Performance Management or</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independently to help higher educaton insttutons meet their advancement targets and development campaign goals. Blackbaud Guided Fundraising is used by insttutons seeking to manage all the details behind the sophistcated, person-to-person solicitaton strategies that drive fundraising results. Blackbaud Volunteer Network Fundraising helps insttutons manage volunteer fundraising campaigns with tools for project management, communicaton and reportng.</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Financial Management</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51555C"/>
        </w:rPr>
        <w:t xml:space="preserve">Blackbaud Financial Edge NXT® </w:t>
      </w:r>
      <w:r>
        <w:rPr>
          <w:rFonts w:ascii="Calibri" w:cs="Calibri" w:eastAsia="Calibri" w:hAnsi="Calibri"/>
          <w:sz w:val="17"/>
          <w:szCs w:val="17"/>
          <w:color w:val="51555C"/>
        </w:rPr>
        <w:t>is the market leading soluton for fund and sub fund accountng to ensure stewardship for donated funds and compliance for</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government grants and contracts. Blackbaud Financial Edge NXT has powerful reportng tools to help fnance teams drive transparency and open modern APIs to support data integratons or enhanced workfows. It seamlessly integrates with multple Blackbaud products including Raiser's Edge NXT, Blackbaud Tuiton Management, Blackbaud Billing Management and Blackbaud Grantmaking so nonproft organizatons can connect their business ofces and workfows across the organizaton. Financial Edge NXT eliminates redundant tasks and manual processes across the organizaton and within the fnancial ofce itself through Payment Assistant, natve functonality for automated bill pay and Expense Management, functonality for submission of expenses.</w:t>
      </w:r>
    </w:p>
    <w:p>
      <w:pPr>
        <w:spacing w:after="0" w:line="15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i w:val="1"/>
          <w:iCs w:val="1"/>
          <w:color w:val="51555C"/>
        </w:rPr>
        <w:t xml:space="preserve">Blackbaud Purchase Cards </w:t>
      </w:r>
      <w:r>
        <w:rPr>
          <w:rFonts w:ascii="Calibri" w:cs="Calibri" w:eastAsia="Calibri" w:hAnsi="Calibri"/>
          <w:sz w:val="17"/>
          <w:szCs w:val="17"/>
          <w:color w:val="51555C"/>
        </w:rPr>
        <w:t>provide an efcient and convenient alternatve to traditonal procurement methods and paper-based payables processes such as</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checks, purchase orders and invoices for travel and operatonal purchases. Organizatons can also set spend controls for individual cardholders, track business expenses across the organizaton and ensure that policies are being enforced—all managed online and integrated with Blackbaud Financial Edge NXT.</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Tuiton Management™ </w:t>
      </w:r>
      <w:r>
        <w:rPr>
          <w:rFonts w:ascii="Calibri" w:cs="Calibri" w:eastAsia="Calibri" w:hAnsi="Calibri"/>
          <w:sz w:val="18"/>
          <w:szCs w:val="18"/>
          <w:color w:val="51555C"/>
        </w:rPr>
        <w:t>benefts schools by giving administrators beter access to fnancial data and payment services, and by giving parents more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ways to remit tuiton payments. The soluton is fully integrated with Blackbaud Financial Edge NXT and helps ease the burden for administratve staf by ofering invoicing, payment processing, customer service, enhanced communicaton with parents and later payer follow-up services.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Financial Aid Management™ </w:t>
      </w:r>
      <w:r>
        <w:rPr>
          <w:rFonts w:ascii="Calibri" w:cs="Calibri" w:eastAsia="Calibri" w:hAnsi="Calibri"/>
          <w:sz w:val="18"/>
          <w:szCs w:val="18"/>
          <w:color w:val="51555C"/>
        </w:rPr>
        <w:t>ofers schools the ability to accept online, customized applicatons for fnancial aid and to make beter fnancial aid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decisions with a proprietary Hobbies, Interest and Lifestyles ("HIL") profle. The HIL profle provides in-depth informaton on an applicant, delivering to the school a way to make more informed decisions on how they distribute fnancial aid awards.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Billing Management™ </w:t>
      </w:r>
      <w:r>
        <w:rPr>
          <w:rFonts w:ascii="Calibri" w:cs="Calibri" w:eastAsia="Calibri" w:hAnsi="Calibri"/>
          <w:sz w:val="18"/>
          <w:szCs w:val="18"/>
          <w:color w:val="51555C"/>
        </w:rPr>
        <w:t>makes it easy for school administrators to manage tuiton and billing processes and for parents to manage their payments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the school. It gives families fexible payment optons, provides the school visibility into payments and billing with metrics for supportng cash fow, one view of fnancial performance, 24/7 bill access on all devices, and removes manual processes from admissions to fnance and merchant services.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Grant and Award Management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Grantmaking™ </w:t>
      </w:r>
      <w:r>
        <w:rPr>
          <w:rFonts w:ascii="Calibri" w:cs="Calibri" w:eastAsia="Calibri" w:hAnsi="Calibri"/>
          <w:sz w:val="18"/>
          <w:szCs w:val="18"/>
          <w:color w:val="51555C"/>
        </w:rPr>
        <w:t>is a modern cloud soluton that supports the end-to-end grantmaking process from applicaton through review and resoluton.</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Blackbaud Grantmaking provides core functonality to efciently disperse funds, maintain compliance with due diligence requirements and measure and demonstrate impact. The system has collaboratve tools to help strengthen relatonships with grantees and other community partners. Blackbaud Grantmaking supports collaboraton between funders and nonprofts around intended outcomes to drive desired impact. Both the funder and the nonproft can tell an impact story using ROI-focused results and a common outcomes measurement language.</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Award Management™ </w:t>
      </w:r>
      <w:r>
        <w:rPr>
          <w:rFonts w:ascii="Calibri" w:cs="Calibri" w:eastAsia="Calibri" w:hAnsi="Calibri"/>
          <w:sz w:val="18"/>
          <w:szCs w:val="18"/>
          <w:color w:val="51555C"/>
        </w:rPr>
        <w:t>is a comprehensive, integrated scholarship management platorm for higher educaton and K-12 insttutons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foundatons, allowing students to apply for all awards using one intuitve and streamlined applicaton</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w:t>
      </w:r>
      <w:r>
        <w:rPr>
          <w:sz w:val="20"/>
          <w:szCs w:val="20"/>
          <w:color w:val="auto"/>
        </w:rPr>
        <w:tab/>
      </w:r>
      <w:r>
        <w:rPr>
          <w:sz w:val="1"/>
          <w:szCs w:val="1"/>
          <w:color w:val="auto"/>
        </w:rPr>
        <w:drawing>
          <wp:inline distT="0" distB="0" distL="0" distR="0">
            <wp:extent cx="728345" cy="188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process and eliminatng many tme-consuming administratve tasks. This leads to improved awarding, reportng, compliance, communicaton and stewardship.</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Educaton Solutons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Student Informaton System™ </w:t>
      </w:r>
      <w:r>
        <w:rPr>
          <w:rFonts w:ascii="Calibri" w:cs="Calibri" w:eastAsia="Calibri" w:hAnsi="Calibri"/>
          <w:sz w:val="18"/>
          <w:szCs w:val="18"/>
          <w:color w:val="51555C"/>
        </w:rPr>
        <w:t>makes it easy for schools to manage schedules, transcripts and GPAs. A new Student Informaton System that works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directly with Blackbaud Learning Management System™, Blackbaud Student Informaton System simplifes the process of sharing student data and academic records securely.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Learning Management System™ </w:t>
      </w:r>
      <w:r>
        <w:rPr>
          <w:rFonts w:ascii="Calibri" w:cs="Calibri" w:eastAsia="Calibri" w:hAnsi="Calibri"/>
          <w:sz w:val="18"/>
          <w:szCs w:val="18"/>
          <w:color w:val="51555C"/>
        </w:rPr>
        <w:t>is a learning management system that makes it easy to manage, connect, and share informaton with students,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parents, and an entre school community. Developed with direct input from our customers, Blackbaud Learning Management System gives teachers the tools to meet the demands of a modern private school.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Enrollment Management System™ </w:t>
      </w:r>
      <w:r>
        <w:rPr>
          <w:rFonts w:ascii="Calibri" w:cs="Calibri" w:eastAsia="Calibri" w:hAnsi="Calibri"/>
          <w:sz w:val="18"/>
          <w:szCs w:val="18"/>
          <w:color w:val="51555C"/>
        </w:rPr>
        <w:t>is an enrollment management system that simplifes a school’s admissions process. Blackbaud Enrollment</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Management System helps admissions teams and prospectve families manage and track their progress, from inquiry and applicaton through acceptance and enrollment.</w:t>
      </w:r>
    </w:p>
    <w:p>
      <w:pPr>
        <w:spacing w:after="0" w:line="165"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i w:val="1"/>
          <w:iCs w:val="1"/>
          <w:color w:val="51555C"/>
        </w:rPr>
        <w:t xml:space="preserve">Blackbaud School Website System™ </w:t>
      </w:r>
      <w:r>
        <w:rPr>
          <w:rFonts w:ascii="Calibri" w:cs="Calibri" w:eastAsia="Calibri" w:hAnsi="Calibri"/>
          <w:sz w:val="17"/>
          <w:szCs w:val="17"/>
          <w:color w:val="51555C"/>
        </w:rPr>
        <w:t>is a content management system that gives schools the fexibility to build and edit webpages, with easy access to content</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types including photos, videos, downloads, text and more. It allows users to share material and contribute content across an entre school community.</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Social Responsibility, Employee Giving and Volunteering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YourCause GrantsConnect® </w:t>
      </w:r>
      <w:r>
        <w:rPr>
          <w:rFonts w:ascii="Calibri" w:cs="Calibri" w:eastAsia="Calibri" w:hAnsi="Calibri"/>
          <w:sz w:val="18"/>
          <w:szCs w:val="18"/>
          <w:color w:val="51555C"/>
        </w:rPr>
        <w:t>and</w:t>
      </w:r>
      <w:r>
        <w:rPr>
          <w:rFonts w:ascii="Calibri" w:cs="Calibri" w:eastAsia="Calibri" w:hAnsi="Calibri"/>
          <w:sz w:val="18"/>
          <w:szCs w:val="18"/>
          <w:i w:val="1"/>
          <w:iCs w:val="1"/>
          <w:color w:val="51555C"/>
        </w:rPr>
        <w:t xml:space="preserve"> YourCause CSRconnect® </w:t>
      </w:r>
      <w:r>
        <w:rPr>
          <w:rFonts w:ascii="Calibri" w:cs="Calibri" w:eastAsia="Calibri" w:hAnsi="Calibri"/>
          <w:sz w:val="18"/>
          <w:szCs w:val="18"/>
          <w:color w:val="51555C"/>
        </w:rPr>
        <w:t>are cloud solutons for employee giving, volunteering, and grantmaking used to support corporate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philanthropy by building meaningful connectons between corporatons, employees and nonprofts. Afer implementng YourCause solutons, customers typically show signifcant growth in volunteers, donatons, engagement and more. These reported successes demonstrate a larger trend: overall ability to atract employees and customers alike by strengthening a company's reputaton.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Impact Edge™ </w:t>
      </w:r>
      <w:r>
        <w:rPr>
          <w:rFonts w:ascii="Calibri" w:cs="Calibri" w:eastAsia="Calibri" w:hAnsi="Calibri"/>
          <w:sz w:val="18"/>
          <w:szCs w:val="18"/>
          <w:color w:val="51555C"/>
        </w:rPr>
        <w:t>is an AI-powered soluton designed for social impact reportng and storytelling, tailored for corporate social responsibility (CSR)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social impact teams of all sizes. This innovatve technology utlizes responsible generatve AI to help impact professionals create a compelling picture of their organizaton’s social impact. It seamlessly integrates data captured safely and securely from employee engagement programs, philanthropic initatves, educatonal projects, and other trusted external sources.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Payment Services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solutons provide our customers payment processing capabilites that enable their donors to make donatons and purchase goods and services using numerous payment optons, including credit card and automated clearing house (“ACH”) checking transactons, through secure online transactons.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Merchant Services™ </w:t>
      </w:r>
      <w:r>
        <w:rPr>
          <w:rFonts w:ascii="Calibri" w:cs="Calibri" w:eastAsia="Calibri" w:hAnsi="Calibri"/>
          <w:sz w:val="18"/>
          <w:szCs w:val="18"/>
          <w:color w:val="51555C"/>
        </w:rPr>
        <w:t>is a value-added service integrated with our solutons that makes credit card processing simple and secure. Customers are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charged one rate for credit card transactons, making Blackbaud Merchant Services a compettve opton. The service also provides customers with a payment card industry (“PCI”) compliant process and streamlined bank reconciliaton. We also provide our K-12 private school customers with student tuiton payment processing services.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Data Intelligence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data intelligence oferings provide solutons for data health, predictve insights and fundraising performance, enabling nonprofts to defne efectve campaign strategies and maximize fundraising results. These services either integrate with or are already integrated into our sofware solutons to give our customers a comprehensive view of their supporters and the market and provide informaton essental to making well-informed operatng decisions.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Blackbaud’s Intelligence for Good® is our comprehensive strategy to deliver AI that is accessible, powerful and responsible. Our AI capabilites enable social impact organizatons to transform data into insights and outcomes.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Blackbaud's data intelligence solutons and services use data science and AI to turn customer data into valuable insights that inform decision-making and help them achieve their goals efciently. Blackbaud's data intelligence portolio consists of three key outcome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9</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Data Health </w:t>
      </w:r>
      <w:r>
        <w:rPr>
          <w:rFonts w:ascii="Calibri" w:cs="Calibri" w:eastAsia="Calibri" w:hAnsi="Calibri"/>
          <w:sz w:val="18"/>
          <w:szCs w:val="18"/>
          <w:color w:val="51555C"/>
        </w:rPr>
        <w:t>solutons enhance and maintain consttuent data so the customer is always working with accurate and up-to-date informaton. Examples of these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solutons include: identfying outdated or invalid consttuent addresses in the database and making correctons based on United States Postal Service data and using name and address matching to append additonal contact or demographic data points to consttuent records to support beter segmentaton and engagement.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Predictve Insights </w:t>
      </w:r>
      <w:r>
        <w:rPr>
          <w:rFonts w:ascii="Calibri" w:cs="Calibri" w:eastAsia="Calibri" w:hAnsi="Calibri"/>
          <w:sz w:val="18"/>
          <w:szCs w:val="18"/>
          <w:color w:val="51555C"/>
        </w:rPr>
        <w:t>inform strategic decision-making and actons that increase efciency and drive successful outcomes. Insights are extracted by combining</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customer data with licensed and proprietary data before leveraging advanced AI capabilites and expertse from Blackbaud’s dedicated team of data scientsts. Examples of consttuent insights include: predictve modeling that indicates the likelihood and capacity of a consttuent making a gif, wealth screening sofware that uses publicly available records to build detailed wealth profles of consttuents and persona cluster segmentaton that groups consttuents based on shared traits with guidance for optmizing messaging to each group.</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Fundraising Performance </w:t>
      </w:r>
      <w:r>
        <w:rPr>
          <w:rFonts w:ascii="Calibri" w:cs="Calibri" w:eastAsia="Calibri" w:hAnsi="Calibri"/>
          <w:sz w:val="18"/>
          <w:szCs w:val="18"/>
          <w:color w:val="51555C"/>
        </w:rPr>
        <w:t>solutons help customers to assess their fundraising performance across donor segments, benchmark themselves against peer</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organizatons and understand industry trends. These solutons provide a holistc view of donor performance that goes beyond standard campaign-based reportng, with key performance indicators related to acquisiton, upgrading, retenton and reactvaton. Customers use our performance solutons to identfy areas of weakness and opportunites for improvement, track the donor impact of strategic initatves, understand and respond to industry trends, set realistc benchmarks and fundraising goals and maintain a consistent reportng methodology to assess growth over tme.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Customer Success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Customer Success organizaton is responsible for ensuring our customers achieve their desired outcomes through Blackbaud solutons, startng at onboarding and contnuing through the customer lifecycle. Our Customer Success team develops and fosters relatonships within all levels of the customer organizaton to help ensure that customers get the most value out of our solutons and services, while helping them achieve their desired outcomes. Our customer success resources work to proactvely communicate to drive overall satsfacton and retenton of our customers' business. They work to collect and analyze actonable informaton, whether that is through direct customer relatonships or through aggregated analytcs that drive future one-to-one or one-to-many interactons. Their goal is to partner with customers to ensure that they are fully engaged and have an advocate within Blackbaud who works to meet their needs. Customer success resources bring industry knowledge and expertse to the customer relatonship and strive to help our customers achieve positve growth and outcomes.</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Customer Support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Customer Support provides assistance to customers using Blackbaud Solutons, helping them understand the capabilites of their subscripton, including how to navigate their subscripton and answering related questons for core concepts of features and functonality. Benefts, such as priority routng or additonal support channels, are contnuously enhanced. Customers enrolled in the programs enjoy fast, reliable customer support, receive regular sofware updates, stay up-to-date with regular communicaton and can leverage a unifed customer portal for quick and easy access to these resources. Customers also are empowered with self-help resources such as Knowledgebase artcles, user guides, Blackbaud Community, our on-demand library of enablement sessions and have around-the-clock access to support resources for mission-critcal needs.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Professional and Managed Services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expert consultants, and those in our partner program, provide implementaton, optmizaton, data conversion and customizaton services for our sofware solutons. These services include:</w:t>
      </w:r>
    </w:p>
    <w:p>
      <w:pPr>
        <w:spacing w:after="0" w:line="51" w:lineRule="exact"/>
        <w:rPr>
          <w:sz w:val="20"/>
          <w:szCs w:val="20"/>
          <w:color w:val="auto"/>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System implementaton;</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Data conversion, business process analysis and applicaton customizaton;</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Database merging and enrichment;</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Secure credit card transacton processing;</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Database producton actvites;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Website design services;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8"/>
        </w:numPr>
        <w:rPr>
          <w:rFonts w:ascii="Calibri" w:cs="Calibri" w:eastAsia="Calibri" w:hAnsi="Calibri"/>
          <w:sz w:val="18"/>
          <w:szCs w:val="18"/>
          <w:color w:val="51555C"/>
        </w:rPr>
      </w:pPr>
      <w:r>
        <w:rPr>
          <w:rFonts w:ascii="Calibri" w:cs="Calibri" w:eastAsia="Calibri" w:hAnsi="Calibri"/>
          <w:sz w:val="18"/>
          <w:szCs w:val="18"/>
          <w:color w:val="51555C"/>
        </w:rPr>
        <w:t>Outcome-based and prescriptve services.</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w:t>
      </w:r>
      <w:r>
        <w:rPr>
          <w:sz w:val="20"/>
          <w:szCs w:val="20"/>
          <w:color w:val="auto"/>
        </w:rPr>
        <w:tab/>
      </w:r>
      <w:r>
        <w:rPr>
          <w:sz w:val="1"/>
          <w:szCs w:val="1"/>
          <w:color w:val="auto"/>
        </w:rPr>
        <w:drawing>
          <wp:inline distT="0" distB="0" distL="0" distR="0">
            <wp:extent cx="728345" cy="1885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and our delivery partners, apply our industry knowledge and experience, combined with expert knowledge of our solutons, to evaluate an organizaton's needs and consult on how to improve a business process.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Training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University helps organizatons unlock the full potental of their solutons. Our training emphasizes newly released features and real-world applicaton, to help customers build confdence and optmize the use of Blackbaud solutons. Our array of learning modalites makes it easy for users to take training that fts their schedule, whether quickly upskilling new hires or expanding the knowledge and efciency of existng staf. This expertly designed product training empowers users to learn fast and work smart!</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Millions of people across more than 100 countries connect, give, learn and engage through Blackbaud platorms. During 2024, we had nearly 100,000 customers that paid Blackbaud through transactonal fees and approximately 40,000 customers with contractual billing arrangements. Our largest single customer accounted for less than 1% of our 2024 consolidated revenue.</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Sales and 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Most of our solutons and related services are sold through our direct sales force. Our direct sales force is complemented by a team of sales development representatves responsible for sales lead generaton and qualifcaton. In additon, lead generaton is supplemented by our customer success organizaton via employee-generated sales leads. Our partner program also includes optonal engagements around referrals, technical integratons, and implementaton services which also support and supplement our go-to-market eforts by promotng customer choice and facilitatng extensible capabilites. These sales, partners and customer success professionals are primarily located throughout the United States, the U.K., Canada and Australia. As of December 31, 2024, we had approximately 210 direct sales employees.</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marketng organizaton, which includes brand, digital, content, product, event and demand generaton marketng and corporate communicatons, develops and launches mult-channel campaigns designed to create brand recogniton and market awareness for our solutons and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digital demand generaton moton focuses on targeted account-based marketng plays, as well as intent-based programs including paid search, retargetng, social and content syndicaton programs. We supplement the digital moton with our annual user conference, </w:t>
      </w:r>
      <w:r>
        <w:rPr>
          <w:rFonts w:ascii="Calibri" w:cs="Calibri" w:eastAsia="Calibri" w:hAnsi="Calibri"/>
          <w:sz w:val="18"/>
          <w:szCs w:val="18"/>
          <w:b w:val="1"/>
          <w:bCs w:val="1"/>
          <w:i w:val="1"/>
          <w:iCs w:val="1"/>
          <w:color w:val="51555C"/>
        </w:rPr>
        <w:t>bbcon</w:t>
      </w:r>
      <w:r>
        <w:rPr>
          <w:rFonts w:ascii="Calibri" w:cs="Calibri" w:eastAsia="Calibri" w:hAnsi="Calibri"/>
          <w:sz w:val="18"/>
          <w:szCs w:val="18"/>
          <w:i w:val="1"/>
          <w:iCs w:val="1"/>
          <w:color w:val="51555C"/>
        </w:rPr>
        <w:t>®</w:t>
      </w:r>
      <w:r>
        <w:rPr>
          <w:rFonts w:ascii="Calibri" w:cs="Calibri" w:eastAsia="Calibri" w:hAnsi="Calibri"/>
          <w:sz w:val="18"/>
          <w:szCs w:val="18"/>
          <w:color w:val="51555C"/>
        </w:rPr>
        <w:t>, select partcipaton at virtual and in-person third-party trade shows, technical conferences, and technology seminars. We also target publicaton of our thought leadership content and positon our subject mater experts in industry journals and publicatons. We have a large base of loyal customers and strategic partners that provide references and recommendatons ofen featured in our advertsing and promotonal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231140</wp:posOffset>
            </wp:positionV>
            <wp:extent cx="7289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11</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Competton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market for sofware and related services targetng philanthropic-focused for-proft and nonproft organizatons is compettve and highly fragmented. For certain areas of the market, entry barriers are low, as general tools for small businesses can usually be confgured to manage the most basic marketng, contact management, and accountng needs of social impact organizatons. In parallel, as sofware development evolves from a highly-complex tradecraf with nuanced understanding of architectural paterns and discrete languages, to click-to-code and drag-and-drop development with natvely cloud-based infrastructure, it becomes easier for compettors to quickly spin up basic applicatons to solve common problems. However, once basic needs are met, programs unique to social impact organizatons like the stewardship of relatonships and partnerships critcal to major gif fundraising and community educaton; the cultvaton and management of gifs and grants sponsorship; the intricacies of not-for-proft specifc fund accountng; the mult-level networking required for peer-to-peer actvism and employee engagement; and the sensitve data and reportng behind critcal programs run by and for healthcare and educaton insttutons ensure the ongoing need for highly specialized tools. These specialized applicatons have a higher barrier of entry as they require industry insight to accurately artculate the business workfow that generates the requirements for sofware products. Moreover, because social impact organizatons rely heavily on relatonships with and among their supporters, integraton of systems drives value beyond mere efciency. Hence, we believe our insight, the full spectrum of our current solutons and our ability to deliver future solutons make us a strong compettor. We expect to contnue to see new entrants as focus on social investment solutons increases to satsfy Millennial and Gen Z donors, customers and employees, the barriers of entry contnue to decline with natvely cloud solutons and social impact organizatons more readily require digital transformaton of business processes and data-driven decision making.</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color w:val="51555C"/>
        </w:rPr>
        <w:t>Our competton falls into four primary categories:</w:t>
      </w:r>
    </w:p>
    <w:p>
      <w:pPr>
        <w:spacing w:after="0" w:line="55" w:lineRule="exact"/>
        <w:rPr>
          <w:sz w:val="20"/>
          <w:szCs w:val="20"/>
          <w:color w:val="auto"/>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 xml:space="preserve">Niche products </w:t>
      </w:r>
      <w:r>
        <w:rPr>
          <w:rFonts w:ascii="Calibri" w:cs="Calibri" w:eastAsia="Calibri" w:hAnsi="Calibri"/>
          <w:sz w:val="18"/>
          <w:szCs w:val="18"/>
          <w:color w:val="51555C"/>
        </w:rPr>
        <w:t>are usually developed as a soluton for a single problem at an organizaton and are adopted by similar organizatons to solve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specialized need. These are typically ofered by vendors who may have deep industry expertse but may not have the resources to expand beyond a specialized area. We believe we compete against these solutons by ofering a set of integrated solutons rather than a single point soluton, which we believe improves the overall customer experience and reduces organizatonal risk. In additon, our open platorm allows integraton to specialized applicatons so the opportunity for disrupton from these compettors is minimized.</w:t>
      </w:r>
    </w:p>
    <w:p>
      <w:pPr>
        <w:spacing w:after="0" w:line="58"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 xml:space="preserve">Vertcal-specifc solutons </w:t>
      </w:r>
      <w:r>
        <w:rPr>
          <w:rFonts w:ascii="Calibri" w:cs="Calibri" w:eastAsia="Calibri" w:hAnsi="Calibri"/>
          <w:sz w:val="18"/>
          <w:szCs w:val="18"/>
          <w:color w:val="51555C"/>
        </w:rPr>
        <w:t>are ofered by compettors seeking to meet the enterprise-wide needs of a specifc sub-segment of the social impact</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community. Typically, these solutons are ofered by vendors who may ofer either a point soluton or integrated suite of products used by a vertcal. We believe we compete successfully against these compettors through a combinaton of our integrated suite of oferings and natonwide community networks within vertcals where we compete, ofering solutons with market leading robustness and reportng as well as the scale, reach, and reputaton of our organizaton.</w:t>
      </w:r>
    </w:p>
    <w:p>
      <w:pPr>
        <w:spacing w:after="0" w:line="58"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General business sofware vendors</w:t>
      </w:r>
      <w:r>
        <w:rPr>
          <w:rFonts w:ascii="Calibri" w:cs="Calibri" w:eastAsia="Calibri" w:hAnsi="Calibri"/>
          <w:sz w:val="18"/>
          <w:szCs w:val="18"/>
          <w:color w:val="51555C"/>
        </w:rPr>
        <w:t>, such as Microsof, Oracle and Salesforce.com, compete with us in certain areas of our business. While there is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growing trend toward social investment that is promptng philanthropic solutons from these general business vendors, most do not have a complete nonproft specifc focus and, therefore, do not ofer, or to our knowledge do not intend to ofer, nonproft-specifc versions. However, there is a subset of general business sofware compettors who have introduced nonproft-specifc versions of their products. These products generally do not satsfy the needs of nonprofts from end-to-end as they were not designed to support the specifc needs of nonprofts during the original architecture, design, and requirements elicitaton phases; and several of the products introduced by general business sofware vendors have been subsequently pulled from market based on lack of adopton and customer satsfacton. We believe that the products that remain are not yet fully capable of meetng market needs without signifcant customizaton to transform general business products into nonproft solutons ofen requiring the use of consultants to guide the implementaton, without which, leave the adopton of general business sofware limited to very basic operatons and simple needs. We believe our solutons compete successfully against general business sofware as a nonproft’s needs grow more complex. As a result, we believe we can compete successfully to meet nonproft-specifc requirements, ofen integratng with general business platorms used for their more generalized operatons.</w:t>
      </w:r>
    </w:p>
    <w:p>
      <w:pPr>
        <w:spacing w:after="0" w:line="64"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Consumer-oriented fundraising platorms</w:t>
      </w:r>
      <w:r>
        <w:rPr>
          <w:rFonts w:ascii="Calibri" w:cs="Calibri" w:eastAsia="Calibri" w:hAnsi="Calibri"/>
          <w:sz w:val="18"/>
          <w:szCs w:val="18"/>
          <w:color w:val="51555C"/>
        </w:rPr>
        <w:t>, such as GoFundMe and Facebook compete with our business where consumers raise funds directly.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drive adopton of their platorms, these vendors rely on a combinaton of direct-to-consumer marketng, marketng to nonprofts who in turn market to their supporters, and marketng to intermediate enttes such as an event sponsor who will market to partcipants. We believe we compete well in this market through a combinaton of positve brand recogniton among all three of these groups and the combinaton of our consumer- and organizaton-oriented tools relatve to those of the competton.</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12</w:t>
      </w:r>
      <w:r>
        <w:rPr>
          <w:sz w:val="20"/>
          <w:szCs w:val="20"/>
          <w:color w:val="auto"/>
        </w:rPr>
        <w:tab/>
      </w:r>
      <w:r>
        <w:rPr>
          <w:sz w:val="1"/>
          <w:szCs w:val="1"/>
          <w:color w:val="auto"/>
        </w:rPr>
        <w:drawing>
          <wp:inline distT="0" distB="0" distL="0" distR="0">
            <wp:extent cx="728345" cy="1885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Less frequently, we compete with providers of traditonal, non-automated fundraising service providers, including partes providing services in support of traditonal direct mail or email campaigns, special events fundraising, peer-to-peer, telemarketng and personal solicitatons. We believe we compete successfully against these traditonal fundraising service providers, primarily because our solutons and services are more automated, more robust, more tailored to the needs of nonproft organizatons and more efcient.</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Technology and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technology strategy consists of several key building blocks including cloud operatons, developer tools, data intelligence and core services. We leverage multple clouds in our architectures (including AWS and Azure) and have both single and mult-tenant solutons. The best-in-class infrastructure enables rapid innovaton with high levels of reliability, availability and security, and lets Blackbaud evolve services over tme at independent paces as tech trends and tools emerge. Blackbaud also provides a toolset for customers, partners, and developers to extend the Blackbaud SKY ecosystem. SKY API enables developers to augment Blackbaud solutons with industry-standard REST APIs, standards-based authentcaton protocols, and a best-in-class developer experience. SKY UX allows developers to create applicatons with the same consistent, cohesive user interface as Blackbaud’s natve solutons using an open-source framework that implements Blackbaud design paterns and provides guidelines and tooling for the entre applicaton lifecycle. Our Intelligence for Good® strategy afrms our commitment to AI that is convenient, powerful and responsible.</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development strategy for all Blackbaud cloud solutons emphasizes:</w:t>
      </w:r>
    </w:p>
    <w:p>
      <w:pPr>
        <w:spacing w:after="0" w:line="55" w:lineRule="exact"/>
        <w:rPr>
          <w:sz w:val="20"/>
          <w:szCs w:val="20"/>
          <w:color w:val="auto"/>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Flexibility</w:t>
      </w:r>
      <w:r>
        <w:rPr>
          <w:rFonts w:ascii="Calibri" w:cs="Calibri" w:eastAsia="Calibri" w:hAnsi="Calibri"/>
          <w:sz w:val="18"/>
          <w:szCs w:val="18"/>
          <w:color w:val="51555C"/>
        </w:rPr>
        <w:t>: Customers and partners can extend our component-based architecture to accommodate changing demands without modifying source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code.</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Adaptability</w:t>
      </w:r>
      <w:r>
        <w:rPr>
          <w:rFonts w:ascii="Calibri" w:cs="Calibri" w:eastAsia="Calibri" w:hAnsi="Calibri"/>
          <w:sz w:val="18"/>
          <w:szCs w:val="18"/>
          <w:color w:val="51555C"/>
        </w:rPr>
        <w:t>: The architecture of our applicatons allows us to easily add functonality or integrate with third-party applicatons to adapt to customer</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needs and market demands.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Scalability</w:t>
      </w:r>
      <w:r>
        <w:rPr>
          <w:rFonts w:ascii="Calibri" w:cs="Calibri" w:eastAsia="Calibri" w:hAnsi="Calibri"/>
          <w:sz w:val="18"/>
          <w:szCs w:val="18"/>
          <w:color w:val="51555C"/>
        </w:rPr>
        <w:t>: Scalable architecture and the performance, capacity and load balancing of our customers' industry-standard web servers and databases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ensure that applicatons can scale to meet the needs of large organizatons.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protect our intellectual property, we rely on a combinaton of patent, trademark, copyright and trade secret laws in various jurisdictons, as well as employee and third-party nondisclosure agreements and confdentality procedures. We maintain many trademarks, including, but not limited to “Blackbaud,” “Raiser's Edge NXT” and “Luminate.” We currently have one actve patent on our technology and have one pending patent applicaton.</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approximately 2,600 employees, none of whom are represented by unions or are covered by collectve bargaining agreements. This number refects the decrease in headcount following our dispositon of our EVERFI business in December 2024. We are not involved in any material disputes with any of our employees, and we believe that relatons with our employees are strong.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beneft from an engaged and driven employee base motvated to join the Company by our work to support organizatons and individuals driving social impact. Our purpose atracts and retains talented, compettve applicants, with approximately 90% of employees citng the fact that Blackbaud operates in a socially responsible manner is important to them. This diferentator not only builds strong employee engagement but also helps us provide a higher level of service to our customers. With over 76% of employees volunteering with nonprofts annually and one in seven serving on a nonproft board or commitee, our direct experience enables our teams to beter serve our customer base.</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also atracts and promotes talented employees through efectve and targeted recruitng strategies. In 2021, we formally rolled out a remote work strategy which expanded our pool of qualifed applicants for roles and internal career progression and enabled Blackbaud's goal to atract and develop talent globally. We contnue to fnd top talent that want the fexibility of this work strategy, and it serves as a cornerstone of our culture focused on trust and productvity.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Employee engagement is a focus at Blackbaud, and we contnually work to understand what maters and to make our workplace beter to atract, develop, and retain talent. Every manager at Blackbaud is required to take a mult-course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"Engagement Labs" training designed to equip them with the practcal skills to ensure their teams are highly engaged. We assess and measure progress on engagement and growth opportunites at the individual level through quarterly check-ins focused on impact and learnings, as well as through a global career framework that guides employee progression on both management and individual contributor career paths. We also assess engagement on the team and company level through regular employee surveys as well as "Ask Anything" sessions with senior leaders and dedicated Q&amp;A sessions during our global, company-wide Connect and Engage meetngs. We enable employees to have opportunites for career development through on-demand and company-led trainings via our Learning Management System platorm, DevelopU.</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compensaton framework is designed so that employees are compensated equitably and compettvely, through base salary, variable pay, equity award opportunites and comprehensive beneft oferings. We also seek to support the whole person, through increased benefts and focus on overall well-being. Our employee populaton has embraced a digital frst mindset, and we contnue to enhance our oferings and educaton to drive employees to make consumer driven decisions to be proactve in their healthcare journey.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Ultmately, we believe that Blackbaud is an excellent place to work because we are energized by our opportunity to fuel social impact and commited to running our business in a way that amplifes the diference we make in the world. We govern our business ethically and contribute to causes and communites that mater to our employees through corporate philanthropy. We pursue sustainability, and we work every day to ensure our workplace is supportve, inclusive and engaging.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ofer an array of philanthropy programs aimed at engaging our employees in fueling social impact, including matching gifs, compettve grants that honor noteworthy examples of volunteerism, employee-led grant commitees, skills-based volunteerism initatves, as well as science, technology, engineering and mathematcs (STEM) focused community programs.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commitment to inclusion and sustainability supports our eforts to atract, develop and retain a high-performing employee base. In 2023, we brought together the Talent Acquisiton team with Inclusion and Corporate Social Responsibility teams under one leader within People and Culture. The company believes that it is essental to foster inclusion from the moment a candidate considers Blackbaud. This alignment contnues our focus to amplify and accelerate the signifcant initatves already in place at Blackbaud, including: a focus on allyship, mentoring and afnity groups. We have 11 employee-led afnity groups, including, but not limited to those that represent veterans, LGBTQ+, women in technology, women in sales, people of color, sustainability and/or those with a disability.</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takes proactve measures to protect the environment, both in our internal sustainable business practces and our external engagements. As we did in 2021, 2022 and 2023, in 2024 we plan to achieve carbon neutrality across our business operatons. We are commited to our contnued eforts to reduce our emissions footprint and provide transparent annual social responsibility and sustainability reportng. Blackbaud was recognized by USA Today as one of America’s Climate Leaders in 2024.</w:t>
      </w:r>
    </w:p>
    <w:p>
      <w:pPr>
        <w:spacing w:after="0" w:line="16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Blackbaud was recognized by Newsweek as one of America's Most Responsible Companies 2024, Built In's Best Places to Work 2024, Time’s list of America’s Best Mid-size Companies 2024 and was distnguished as an OutLeadership Certfed Supporter and 2024 Disability Employer by Disability Solutons. Our People and Culture Team was recognized by Phenom highlightng our talent experience with the 2024 award for Best Use of Talent Acquisiton.</w:t>
      </w:r>
    </w:p>
    <w:p>
      <w:pPr>
        <w:spacing w:after="0" w:line="15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Additonal informaton related to our human capital strategy can be found in our 2023 Fueling Impact Report which is available on the Corporate Social Responsibility secton of our website. Informaton contained on or accessible through our websites is not incorporated into, and does not form a part of, this Annual Report or any other report or document we fle with the SEC, and any references to our websites are intended to be inactve textual references only.</w:t>
      </w:r>
    </w:p>
    <w:p>
      <w:pPr>
        <w:spacing w:after="0" w:line="18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seasonal variatons in our business, see “Management’s Discussion and Analysis of Financial Conditons and Results of Operatons — Seasonality” in Item 7 in this report.</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our working capital practces, see “Management’s Discussion and Analysis of Financial Conditons and Results of Operatons — Liquidity and Capital Resources” in Item 7 in this report.</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14</w:t>
      </w:r>
      <w:r>
        <w:rPr>
          <w:sz w:val="20"/>
          <w:szCs w:val="20"/>
          <w:color w:val="auto"/>
        </w:rPr>
        <w:tab/>
      </w:r>
      <w:r>
        <w:rPr>
          <w:sz w:val="1"/>
          <w:szCs w:val="1"/>
          <w:color w:val="auto"/>
        </w:rPr>
        <w:drawing>
          <wp:inline distT="0" distB="0" distL="0" distR="0">
            <wp:extent cx="728345" cy="1885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Available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website address is </w:t>
      </w:r>
      <w:r>
        <w:rPr>
          <w:rFonts w:ascii="Calibri" w:cs="Calibri" w:eastAsia="Calibri" w:hAnsi="Calibri"/>
          <w:sz w:val="18"/>
          <w:szCs w:val="18"/>
          <w:u w:val="single" w:color="auto"/>
          <w:color w:val="51555C"/>
        </w:rPr>
        <w:t>www.blackbaud.com</w:t>
      </w:r>
      <w:r>
        <w:rPr>
          <w:rFonts w:ascii="Calibri" w:cs="Calibri" w:eastAsia="Calibri" w:hAnsi="Calibri"/>
          <w:sz w:val="18"/>
          <w:szCs w:val="18"/>
          <w:color w:val="51555C"/>
        </w:rPr>
        <w:t xml:space="preserve">. We make available, free of charge through our website, our annual report on Form 10-K, quarterly reports on Form 10-Q, current reports on Form 8-K and all amendments to those reports pursuant to Secton 13(a) or 15(d) of the Exchange Act as soon as reasonably practcable afer we electronically fle such material with, or furnish it to, the SEC, but other informaton on our website is not incorporated into this report. The SEC maintains an Internet site that contains these reports, proxy and informaton statements, and other informaton regarding issuers that fle electronically with the SEC at </w:t>
      </w:r>
      <w:r>
        <w:rPr>
          <w:rFonts w:ascii="Calibri" w:cs="Calibri" w:eastAsia="Calibri" w:hAnsi="Calibri"/>
          <w:sz w:val="18"/>
          <w:szCs w:val="18"/>
          <w:u w:val="single" w:color="auto"/>
          <w:color w:val="51555C"/>
        </w:rPr>
        <w:t>www.sec.gov</w:t>
      </w:r>
      <w:r>
        <w:rPr>
          <w:rFonts w:ascii="Calibri" w:cs="Calibri" w:eastAsia="Calibri" w:hAnsi="Calibri"/>
          <w:sz w:val="18"/>
          <w:szCs w:val="18"/>
          <w:color w:val="51555C"/>
        </w:rPr>
        <w:t>.</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Informaton About Our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informaton concerning our executve ofcers as of February 15,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Name</w:t>
            </w:r>
          </w:p>
        </w:tc>
        <w:tc>
          <w:tcPr>
            <w:tcW w:w="933" w:type="dxa"/>
            <w:vAlign w:val="bottom"/>
            <w:shd w:val="clear" w:color="auto" w:fill="004054"/>
          </w:tcPr>
          <w:p>
            <w:pPr>
              <w:ind w:left="420"/>
              <w:spacing w:after="0"/>
              <w:rPr>
                <w:sz w:val="20"/>
                <w:szCs w:val="20"/>
                <w:color w:val="auto"/>
              </w:rPr>
            </w:pPr>
            <w:r>
              <w:rPr>
                <w:rFonts w:ascii="Calibri" w:cs="Calibri" w:eastAsia="Calibri" w:hAnsi="Calibri"/>
                <w:sz w:val="14"/>
                <w:szCs w:val="14"/>
                <w:b w:val="1"/>
                <w:bCs w:val="1"/>
                <w:color w:val="FFFFFF"/>
              </w:rPr>
              <w:t>Age</w:t>
            </w:r>
          </w:p>
        </w:tc>
        <w:tc>
          <w:tcPr>
            <w:tcW w:w="7148" w:type="dxa"/>
            <w:vAlign w:val="bottom"/>
            <w:shd w:val="clear" w:color="auto" w:fill="004054"/>
          </w:tcPr>
          <w:p>
            <w:pPr>
              <w:ind w:left="108"/>
              <w:spacing w:after="0"/>
              <w:rPr>
                <w:sz w:val="20"/>
                <w:szCs w:val="20"/>
                <w:color w:val="auto"/>
              </w:rPr>
            </w:pPr>
            <w:r>
              <w:rPr>
                <w:rFonts w:ascii="Calibri" w:cs="Calibri" w:eastAsia="Calibri" w:hAnsi="Calibri"/>
                <w:sz w:val="14"/>
                <w:szCs w:val="14"/>
                <w:b w:val="1"/>
                <w:bCs w:val="1"/>
                <w:color w:val="FFFFFF"/>
              </w:rPr>
              <w:t>Title</w:t>
            </w:r>
          </w:p>
        </w:tc>
      </w:tr>
      <w:tr>
        <w:trPr>
          <w:trHeight w:val="67"/>
        </w:trPr>
        <w:tc>
          <w:tcPr>
            <w:tcW w:w="3140" w:type="dxa"/>
            <w:vAlign w:val="bottom"/>
            <w:shd w:val="clear" w:color="auto" w:fill="004054"/>
          </w:tcPr>
          <w:p>
            <w:pPr>
              <w:spacing w:after="0"/>
              <w:rPr>
                <w:sz w:val="5"/>
                <w:szCs w:val="5"/>
                <w:color w:val="auto"/>
              </w:rPr>
            </w:pPr>
          </w:p>
        </w:tc>
        <w:tc>
          <w:tcPr>
            <w:tcW w:w="933" w:type="dxa"/>
            <w:vAlign w:val="bottom"/>
            <w:shd w:val="clear" w:color="auto" w:fill="004054"/>
          </w:tcPr>
          <w:p>
            <w:pPr>
              <w:spacing w:after="0"/>
              <w:rPr>
                <w:sz w:val="5"/>
                <w:szCs w:val="5"/>
                <w:color w:val="auto"/>
              </w:rPr>
            </w:pPr>
          </w:p>
        </w:tc>
        <w:tc>
          <w:tcPr>
            <w:tcW w:w="7148" w:type="dxa"/>
            <w:vAlign w:val="bottom"/>
            <w:shd w:val="clear" w:color="auto" w:fill="004054"/>
          </w:tcPr>
          <w:p>
            <w:pPr>
              <w:spacing w:after="0"/>
              <w:rPr>
                <w:sz w:val="5"/>
                <w:szCs w:val="5"/>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Michael P. Gianoni</w:t>
            </w:r>
          </w:p>
        </w:tc>
        <w:tc>
          <w:tcPr>
            <w:tcW w:w="933" w:type="dxa"/>
            <w:vAlign w:val="bottom"/>
            <w:tcBorders>
              <w:bottom w:val="single" w:sz="8" w:color="EBFBFF"/>
            </w:tcBorders>
            <w:shd w:val="clear" w:color="auto" w:fill="EBFBFF"/>
          </w:tcPr>
          <w:p>
            <w:pPr>
              <w:ind w:left="420"/>
              <w:spacing w:after="0"/>
              <w:rPr>
                <w:sz w:val="20"/>
                <w:szCs w:val="20"/>
                <w:color w:val="auto"/>
              </w:rPr>
            </w:pPr>
            <w:r>
              <w:rPr>
                <w:rFonts w:ascii="Calibri" w:cs="Calibri" w:eastAsia="Calibri" w:hAnsi="Calibri"/>
                <w:sz w:val="18"/>
                <w:szCs w:val="18"/>
                <w:color w:val="51555C"/>
              </w:rPr>
              <w:t>64</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20"/>
        </w:trPr>
        <w:tc>
          <w:tcPr>
            <w:tcW w:w="3140" w:type="dxa"/>
            <w:vAlign w:val="bottom"/>
          </w:tcPr>
          <w:p>
            <w:pPr>
              <w:ind w:left="20"/>
              <w:spacing w:after="0"/>
              <w:rPr>
                <w:sz w:val="20"/>
                <w:szCs w:val="20"/>
                <w:color w:val="auto"/>
              </w:rPr>
            </w:pPr>
            <w:r>
              <w:rPr>
                <w:rFonts w:ascii="Calibri" w:cs="Calibri" w:eastAsia="Calibri" w:hAnsi="Calibri"/>
                <w:sz w:val="18"/>
                <w:szCs w:val="18"/>
                <w:color w:val="51555C"/>
              </w:rPr>
              <w:t>Anthony W. Boor</w:t>
            </w:r>
          </w:p>
        </w:tc>
        <w:tc>
          <w:tcPr>
            <w:tcW w:w="933" w:type="dxa"/>
            <w:vAlign w:val="bottom"/>
          </w:tcPr>
          <w:p>
            <w:pPr>
              <w:ind w:left="420"/>
              <w:spacing w:after="0"/>
              <w:rPr>
                <w:sz w:val="20"/>
                <w:szCs w:val="20"/>
                <w:color w:val="auto"/>
              </w:rPr>
            </w:pPr>
            <w:r>
              <w:rPr>
                <w:rFonts w:ascii="Calibri" w:cs="Calibri" w:eastAsia="Calibri" w:hAnsi="Calibri"/>
                <w:sz w:val="18"/>
                <w:szCs w:val="18"/>
                <w:color w:val="51555C"/>
              </w:rPr>
              <w:t>62</w:t>
            </w:r>
          </w:p>
        </w:tc>
        <w:tc>
          <w:tcPr>
            <w:tcW w:w="7148" w:type="dxa"/>
            <w:vAlign w:val="bottom"/>
          </w:tcPr>
          <w:p>
            <w:pPr>
              <w:ind w:left="108"/>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50"/>
        </w:trPr>
        <w:tc>
          <w:tcPr>
            <w:tcW w:w="3140" w:type="dxa"/>
            <w:vAlign w:val="bottom"/>
          </w:tcPr>
          <w:p>
            <w:pPr>
              <w:spacing w:after="0"/>
              <w:rPr>
                <w:sz w:val="4"/>
                <w:szCs w:val="4"/>
                <w:color w:val="auto"/>
              </w:rPr>
            </w:pPr>
          </w:p>
        </w:tc>
        <w:tc>
          <w:tcPr>
            <w:tcW w:w="933" w:type="dxa"/>
            <w:vAlign w:val="bottom"/>
          </w:tcPr>
          <w:p>
            <w:pPr>
              <w:spacing w:after="0"/>
              <w:rPr>
                <w:sz w:val="4"/>
                <w:szCs w:val="4"/>
                <w:color w:val="auto"/>
              </w:rPr>
            </w:pPr>
          </w:p>
        </w:tc>
        <w:tc>
          <w:tcPr>
            <w:tcW w:w="7148" w:type="dxa"/>
            <w:vAlign w:val="bottom"/>
          </w:tcPr>
          <w:p>
            <w:pPr>
              <w:spacing w:after="0"/>
              <w:rPr>
                <w:sz w:val="4"/>
                <w:szCs w:val="4"/>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David J. Benjamin</w:t>
            </w:r>
          </w:p>
        </w:tc>
        <w:tc>
          <w:tcPr>
            <w:tcW w:w="933" w:type="dxa"/>
            <w:vAlign w:val="bottom"/>
            <w:tcBorders>
              <w:bottom w:val="single" w:sz="8" w:color="EBFBFF"/>
            </w:tcBorders>
            <w:shd w:val="clear" w:color="auto" w:fill="EBFBFF"/>
          </w:tcPr>
          <w:p>
            <w:pPr>
              <w:ind w:left="420"/>
              <w:spacing w:after="0"/>
              <w:rPr>
                <w:sz w:val="20"/>
                <w:szCs w:val="20"/>
                <w:color w:val="auto"/>
              </w:rPr>
            </w:pPr>
            <w:r>
              <w:rPr>
                <w:rFonts w:ascii="Calibri" w:cs="Calibri" w:eastAsia="Calibri" w:hAnsi="Calibri"/>
                <w:sz w:val="18"/>
                <w:szCs w:val="18"/>
                <w:color w:val="51555C"/>
              </w:rPr>
              <w:t>53</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Calibri" w:cs="Calibri" w:eastAsia="Calibri" w:hAnsi="Calibri"/>
                <w:sz w:val="18"/>
                <w:szCs w:val="18"/>
                <w:color w:val="51555C"/>
              </w:rPr>
              <w:t>Executve Vice President and Chief Commercial Ofcer</w:t>
            </w:r>
          </w:p>
        </w:tc>
      </w:tr>
      <w:tr>
        <w:trPr>
          <w:trHeight w:val="220"/>
        </w:trPr>
        <w:tc>
          <w:tcPr>
            <w:tcW w:w="3140" w:type="dxa"/>
            <w:vAlign w:val="bottom"/>
          </w:tcPr>
          <w:p>
            <w:pPr>
              <w:ind w:left="20"/>
              <w:spacing w:after="0"/>
              <w:rPr>
                <w:sz w:val="20"/>
                <w:szCs w:val="20"/>
                <w:color w:val="auto"/>
              </w:rPr>
            </w:pPr>
            <w:r>
              <w:rPr>
                <w:rFonts w:ascii="Calibri" w:cs="Calibri" w:eastAsia="Calibri" w:hAnsi="Calibri"/>
                <w:sz w:val="18"/>
                <w:szCs w:val="18"/>
                <w:color w:val="51555C"/>
              </w:rPr>
              <w:t>Kevin P. Gregoire</w:t>
            </w:r>
          </w:p>
        </w:tc>
        <w:tc>
          <w:tcPr>
            <w:tcW w:w="933" w:type="dxa"/>
            <w:vAlign w:val="bottom"/>
          </w:tcPr>
          <w:p>
            <w:pPr>
              <w:ind w:left="420"/>
              <w:spacing w:after="0"/>
              <w:rPr>
                <w:sz w:val="20"/>
                <w:szCs w:val="20"/>
                <w:color w:val="auto"/>
              </w:rPr>
            </w:pPr>
            <w:r>
              <w:rPr>
                <w:rFonts w:ascii="Calibri" w:cs="Calibri" w:eastAsia="Calibri" w:hAnsi="Calibri"/>
                <w:sz w:val="18"/>
                <w:szCs w:val="18"/>
                <w:color w:val="51555C"/>
              </w:rPr>
              <w:t>57</w:t>
            </w:r>
          </w:p>
        </w:tc>
        <w:tc>
          <w:tcPr>
            <w:tcW w:w="7148" w:type="dxa"/>
            <w:vAlign w:val="bottom"/>
          </w:tcPr>
          <w:p>
            <w:pPr>
              <w:ind w:left="108"/>
              <w:spacing w:after="0"/>
              <w:rPr>
                <w:sz w:val="20"/>
                <w:szCs w:val="20"/>
                <w:color w:val="auto"/>
              </w:rPr>
            </w:pPr>
            <w:r>
              <w:rPr>
                <w:rFonts w:ascii="Calibri" w:cs="Calibri" w:eastAsia="Calibri" w:hAnsi="Calibri"/>
                <w:sz w:val="18"/>
                <w:szCs w:val="18"/>
                <w:color w:val="51555C"/>
              </w:rPr>
              <w:t>Executve Vice President and Chief Operatng Ofcer</w:t>
            </w:r>
          </w:p>
        </w:tc>
      </w:tr>
      <w:tr>
        <w:trPr>
          <w:trHeight w:val="50"/>
        </w:trPr>
        <w:tc>
          <w:tcPr>
            <w:tcW w:w="3140" w:type="dxa"/>
            <w:vAlign w:val="bottom"/>
          </w:tcPr>
          <w:p>
            <w:pPr>
              <w:spacing w:after="0"/>
              <w:rPr>
                <w:sz w:val="4"/>
                <w:szCs w:val="4"/>
                <w:color w:val="auto"/>
              </w:rPr>
            </w:pPr>
          </w:p>
        </w:tc>
        <w:tc>
          <w:tcPr>
            <w:tcW w:w="933" w:type="dxa"/>
            <w:vAlign w:val="bottom"/>
          </w:tcPr>
          <w:p>
            <w:pPr>
              <w:spacing w:after="0"/>
              <w:rPr>
                <w:sz w:val="4"/>
                <w:szCs w:val="4"/>
                <w:color w:val="auto"/>
              </w:rPr>
            </w:pPr>
          </w:p>
        </w:tc>
        <w:tc>
          <w:tcPr>
            <w:tcW w:w="7148" w:type="dxa"/>
            <w:vAlign w:val="bottom"/>
          </w:tcPr>
          <w:p>
            <w:pPr>
              <w:spacing w:after="0"/>
              <w:rPr>
                <w:sz w:val="4"/>
                <w:szCs w:val="4"/>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Kevin R. McDearis</w:t>
            </w:r>
          </w:p>
        </w:tc>
        <w:tc>
          <w:tcPr>
            <w:tcW w:w="933" w:type="dxa"/>
            <w:vAlign w:val="bottom"/>
            <w:tcBorders>
              <w:bottom w:val="single" w:sz="8" w:color="EBFBFF"/>
            </w:tcBorders>
            <w:shd w:val="clear" w:color="auto" w:fill="EBFBFF"/>
          </w:tcPr>
          <w:p>
            <w:pPr>
              <w:ind w:left="420"/>
              <w:spacing w:after="0"/>
              <w:rPr>
                <w:sz w:val="20"/>
                <w:szCs w:val="20"/>
                <w:color w:val="auto"/>
              </w:rPr>
            </w:pPr>
            <w:r>
              <w:rPr>
                <w:rFonts w:ascii="Calibri" w:cs="Calibri" w:eastAsia="Calibri" w:hAnsi="Calibri"/>
                <w:sz w:val="18"/>
                <w:szCs w:val="18"/>
                <w:color w:val="51555C"/>
              </w:rPr>
              <w:t>57</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Calibri" w:cs="Calibri" w:eastAsia="Calibri" w:hAnsi="Calibri"/>
                <w:sz w:val="18"/>
                <w:szCs w:val="18"/>
                <w:color w:val="51555C"/>
              </w:rPr>
              <w:t>Executve Vice President and Chief Technology Ofcer</w:t>
            </w:r>
          </w:p>
        </w:tc>
      </w:tr>
      <w:tr>
        <w:trPr>
          <w:trHeight w:val="220"/>
        </w:trPr>
        <w:tc>
          <w:tcPr>
            <w:tcW w:w="3140" w:type="dxa"/>
            <w:vAlign w:val="bottom"/>
          </w:tcPr>
          <w:p>
            <w:pPr>
              <w:ind w:left="20"/>
              <w:spacing w:after="0"/>
              <w:rPr>
                <w:sz w:val="20"/>
                <w:szCs w:val="20"/>
                <w:color w:val="auto"/>
              </w:rPr>
            </w:pPr>
            <w:r>
              <w:rPr>
                <w:rFonts w:ascii="Calibri" w:cs="Calibri" w:eastAsia="Calibri" w:hAnsi="Calibri"/>
                <w:sz w:val="18"/>
                <w:szCs w:val="18"/>
                <w:color w:val="51555C"/>
              </w:rPr>
              <w:t>Jon W. Olson</w:t>
            </w:r>
          </w:p>
        </w:tc>
        <w:tc>
          <w:tcPr>
            <w:tcW w:w="933" w:type="dxa"/>
            <w:vAlign w:val="bottom"/>
          </w:tcPr>
          <w:p>
            <w:pPr>
              <w:ind w:left="420"/>
              <w:spacing w:after="0"/>
              <w:rPr>
                <w:sz w:val="20"/>
                <w:szCs w:val="20"/>
                <w:color w:val="auto"/>
              </w:rPr>
            </w:pPr>
            <w:r>
              <w:rPr>
                <w:rFonts w:ascii="Calibri" w:cs="Calibri" w:eastAsia="Calibri" w:hAnsi="Calibri"/>
                <w:sz w:val="18"/>
                <w:szCs w:val="18"/>
                <w:color w:val="51555C"/>
              </w:rPr>
              <w:t>61</w:t>
            </w:r>
          </w:p>
        </w:tc>
        <w:tc>
          <w:tcPr>
            <w:tcW w:w="7148" w:type="dxa"/>
            <w:vAlign w:val="bottom"/>
          </w:tcPr>
          <w:p>
            <w:pPr>
              <w:ind w:left="108"/>
              <w:spacing w:after="0"/>
              <w:rPr>
                <w:sz w:val="20"/>
                <w:szCs w:val="20"/>
                <w:color w:val="auto"/>
              </w:rPr>
            </w:pPr>
            <w:r>
              <w:rPr>
                <w:rFonts w:ascii="Calibri" w:cs="Calibri" w:eastAsia="Calibri" w:hAnsi="Calibri"/>
                <w:sz w:val="18"/>
                <w:szCs w:val="18"/>
                <w:color w:val="51555C"/>
              </w:rPr>
              <w:t>Senior Vice President and General Counsel</w:t>
            </w:r>
          </w:p>
        </w:tc>
      </w:tr>
      <w:tr>
        <w:trPr>
          <w:trHeight w:val="50"/>
        </w:trPr>
        <w:tc>
          <w:tcPr>
            <w:tcW w:w="3140" w:type="dxa"/>
            <w:vAlign w:val="bottom"/>
            <w:tcBorders>
              <w:bottom w:val="single" w:sz="8" w:color="0CD973"/>
            </w:tcBorders>
          </w:tcPr>
          <w:p>
            <w:pPr>
              <w:spacing w:after="0"/>
              <w:rPr>
                <w:sz w:val="4"/>
                <w:szCs w:val="4"/>
                <w:color w:val="auto"/>
              </w:rPr>
            </w:pPr>
          </w:p>
        </w:tc>
        <w:tc>
          <w:tcPr>
            <w:tcW w:w="933" w:type="dxa"/>
            <w:vAlign w:val="bottom"/>
            <w:tcBorders>
              <w:bottom w:val="single" w:sz="8" w:color="0CD973"/>
            </w:tcBorders>
          </w:tcPr>
          <w:p>
            <w:pPr>
              <w:spacing w:after="0"/>
              <w:rPr>
                <w:sz w:val="4"/>
                <w:szCs w:val="4"/>
                <w:color w:val="auto"/>
              </w:rPr>
            </w:pPr>
          </w:p>
        </w:tc>
        <w:tc>
          <w:tcPr>
            <w:tcW w:w="7148" w:type="dxa"/>
            <w:vAlign w:val="bottom"/>
            <w:tcBorders>
              <w:bottom w:val="single" w:sz="8" w:color="0CD973"/>
            </w:tcBorders>
          </w:tcPr>
          <w:p>
            <w:pPr>
              <w:spacing w:after="0"/>
              <w:rPr>
                <w:sz w:val="4"/>
                <w:szCs w:val="4"/>
                <w:color w:val="auto"/>
              </w:rPr>
            </w:pPr>
          </w:p>
        </w:tc>
      </w:tr>
    </w:tbl>
    <w:p>
      <w:pPr>
        <w:spacing w:after="0" w:line="23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i w:val="1"/>
          <w:iCs w:val="1"/>
          <w:color w:val="51555C"/>
        </w:rPr>
        <w:t xml:space="preserve">Michael P. Gianoni </w:t>
      </w:r>
      <w:r>
        <w:rPr>
          <w:rFonts w:ascii="Calibri" w:cs="Calibri" w:eastAsia="Calibri" w:hAnsi="Calibri"/>
          <w:sz w:val="17"/>
          <w:szCs w:val="17"/>
          <w:color w:val="51555C"/>
        </w:rPr>
        <w:t>joined us as Chief Executve Ofcer and President in January 2014 and was appointed Vice Chairman of the Board in January 2024. Prior to</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joining us, he served as Executve Vice President and Group President, Financial Insttutons at Fiserv, Inc., a global technology provider serving the fnancial services industry, from January 2010 to December 2013. He joined Fiserv as President of its Investment Services division in December 2007. Mr. Gianoni was Executve Vice President and General Manager of CheckFree Investment Services, which provided investment management solutons to fnancial services organizatons, from June 2006 untl December 2007 when CheckFree was acquired by Fiserv. From May 1994 to November 2005, he served as Senior Vice President of DST Systems Inc., a global provider of technology-based service solutons. Mr. Gianoni is a member of the Board of Directors of Teradata Corporaton, a publicly traded global big data analytcs company, and has been Chairman of the Board since February 2020. Mr. Gianoni has served on several nonproft boards across several segments, including relief organizatons, hospitals and higher educaton and he currently is a member of the President's Advisory Group at the Medical University of South Carolina. He holds an AS in electrical engineering from Waterbury State Technical College, a BS with a business concentraton from Charter Oak State College, and an MBA and an honorary Doctorate from the University of New Haven.</w:t>
      </w:r>
    </w:p>
    <w:p>
      <w:pPr>
        <w:spacing w:after="0" w:line="16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Anthony W. Boor </w:t>
      </w:r>
      <w:r>
        <w:rPr>
          <w:rFonts w:ascii="Calibri" w:cs="Calibri" w:eastAsia="Calibri" w:hAnsi="Calibri"/>
          <w:sz w:val="18"/>
          <w:szCs w:val="18"/>
          <w:color w:val="51555C"/>
        </w:rPr>
        <w:t>joined us as Executve Vice President and Chief Financial Ofcer in November 2011 and served as our interim President and Chief Executve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Ofcer from August 2013 to January 2014. Prior to joining us, he served as an executve with Brightpoint, Inc., a global provider of device lifecycle services to the wireless industry, beginning in 1999, most recently as its Executve Vice President, Chief Financial Ofcer and Treasurer. He also served as the interim President of Europe, Middle East and Africa during Brightpoint's signifcant restructuring of that region. Mr. Boor served as Director of Business Operatons for Brightpoint North America from August 1998 to July 1999. Prior to joining Brightpoint, Mr. Boor was employed in various fnancial positons with Macmillan Computer Publishing, Inc., a Viacom owned book publishing company specializing in computer hardware and sofware related topics, Day Dream Publishing, Inc., a publishing company specializing in calendars, posters and tme management materials, Ernst &amp; Young LLP, an accountng frm, Expo New Mexico, a state-owned fair and expo grounds and live pari-mutual horse racing venue, KPMG LLP, an accountng frm, and Ernst &amp; Whinney LLP, an accountng frm. He holds a BS in Accountng from New Mexico State University.</w:t>
      </w:r>
    </w:p>
    <w:p>
      <w:pPr>
        <w:spacing w:after="0" w:line="17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51555C"/>
        </w:rPr>
        <w:t xml:space="preserve">David J. Benjamin </w:t>
      </w:r>
      <w:r>
        <w:rPr>
          <w:rFonts w:ascii="Calibri" w:cs="Calibri" w:eastAsia="Calibri" w:hAnsi="Calibri"/>
          <w:sz w:val="17"/>
          <w:szCs w:val="17"/>
          <w:color w:val="51555C"/>
        </w:rPr>
        <w:t>has served as our Executve Vice President and Chief Commercial Ofcer since July 2022. He joined us as Executve Vice President and</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President, Internatonal Markets Group in April 2018. Prior to joining us, Mr. Benjamin was Senior Vice President and General Manager at Box, a cloud content management platorm for businesses, from October 2016 to March 2018. Prior to that, he was Vice President of Global Services at Britsh Telecom, a multnatonal telecommunicatons holding company, from October 2007 to September 2016. Prior to that, he was at Guardian Media Group, a mass media company owning various media operatons company, where he served as Divisional Chief Operatng Ofcer, among other leadership roles, from June 1995 to September 2007. He holds a BA in European Business from London Metropolitan University and an MBA from The Manchester Metropolitan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215900</wp:posOffset>
            </wp:positionV>
            <wp:extent cx="7289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Kevin P. Gregoire </w:t>
      </w:r>
      <w:r>
        <w:rPr>
          <w:rFonts w:ascii="Calibri" w:cs="Calibri" w:eastAsia="Calibri" w:hAnsi="Calibri"/>
          <w:sz w:val="18"/>
          <w:szCs w:val="18"/>
          <w:color w:val="51555C"/>
        </w:rPr>
        <w:t>has served as our Executve Vice President and Chief Operatng Ofcer since July 2022. Prior to that, he was the Executve Vice President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President of U.S. Markets since April 2021. He joined us as Executve Vice President and President, Enterprise Markets Group in April 2018. Prior to joining us, Mr. Gregoire was Group President of the Financial Insttutons Group at Fiserv, a global technology provider serving the fnancial services industry, from March 2014 untl February 2018. He joined Fiserv in December 2002 and served in other key leadership roles including Division President and Chief Operatng Ofcer, Card Services, and Senior Vice President of Product and Network Strategy. Mr. Gregoire is also a veteran of the United States Army, where he served as Lieutenant in the Corps of Engineers and was awarded three Army Commendaton Medals. He holds a BS from the United States Military Academy at West Point, and an MBA from the F.W. Olin School of Business at Babson College.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Kevin R. McDearis </w:t>
      </w:r>
      <w:r>
        <w:rPr>
          <w:rFonts w:ascii="Calibri" w:cs="Calibri" w:eastAsia="Calibri" w:hAnsi="Calibri"/>
          <w:sz w:val="18"/>
          <w:szCs w:val="18"/>
          <w:color w:val="51555C"/>
        </w:rPr>
        <w:t>has served as our Executve Vice President and Chief Technology Ofcer since October 2016 and is responsible for the company’s global</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product and technology portolio, including cybersecurity. He joined us in August 2014 as our Senior Vice President of Global Product Development. Prior to joining us, Mr. McDearis was the Chief Informaton Ofcer at Manhatan Associates, Inc., a technology leader in supply chain and omnichannel commerce, from August 2012 to July 2014. He was responsible for leading a global IT organizaton in strategy development, organizaton development, portolio and project management, sofware and infrastructure engineering, service delivery and operatons. Prior to that, Mr. McDearis served as Chief Technology Ofcer for the Enterprise Technology Group and other key leadership positons at Fiserv (formerly CheckFree), a global technology provider serving the fnancial services industry, from October 1996 to August 2012. Mr. McDearis serves on the Board of Directors for the USS Yorktown Foundaton. He also served on the Board of Directors of the Technology Associaton of Georgia from 2011 to 2016 and as Vice Chairman of the Board in 2014. He holds a BS in Management from The Georgia Insttute of Technology.</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Jon W. Olson </w:t>
      </w:r>
      <w:r>
        <w:rPr>
          <w:rFonts w:ascii="Calibri" w:cs="Calibri" w:eastAsia="Calibri" w:hAnsi="Calibri"/>
          <w:sz w:val="18"/>
          <w:szCs w:val="18"/>
          <w:color w:val="51555C"/>
        </w:rPr>
        <w:t>joined us as Senior Vice President and General Counsel in September 2008. Mr. Olson is responsible for Blackbaud's legal actvites. Prior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joining us, he was an atorney with Alcatel-Lucent USA, the U.S. subsidiary of Alcatel-Lucent (now owned by Nokia Corporaton) that designs, develops, and builds wireline, wireless, and converged communicatons networks, from July 1997 to September 2008. Prior to joining Alcatel-Lucent, Mr. Olson was employed in legal positons with MCI, Inc., a global business and residental communicatons company, from September 1996 to July 1997, and Unisys Corporaton, a global informaton technology company, from July 1992 to September 1996. Mr. Olson is a member of the MUSC (Medical University of South Carolina) Hollings Cancer Center Advisory Board and is on the board of Charleston Jazz. He holds a BS from Georgetown University, a JD from Dickinson School of Law and an MBA from Seton Hall University.</w:t>
      </w:r>
    </w:p>
    <w:p>
      <w:pPr>
        <w:spacing w:after="0" w:line="31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16</w:t>
      </w:r>
      <w:r>
        <w:rPr>
          <w:sz w:val="20"/>
          <w:szCs w:val="20"/>
          <w:color w:val="auto"/>
        </w:rPr>
        <w:tab/>
      </w:r>
      <w:r>
        <w:rPr>
          <w:sz w:val="1"/>
          <w:szCs w:val="1"/>
          <w:color w:val="auto"/>
        </w:rPr>
        <w:drawing>
          <wp:inline distT="0" distB="0" distL="0" distR="0">
            <wp:extent cx="728345" cy="1885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1A. RISK FACTORS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Our business operatons face a number of risks. These risks should be read and considered with other informaton provided in this report.</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51555C"/>
        </w:rPr>
        <w:t>Our failure to compete successfully, including through technology innovatons or new and improved solutons, could cause our revenue or market share to decline.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market is highly compettve and rapidly evolving, and there are limited barriers to entry for many segments of this market. The companies we compete with and other potental compettors may have greater fnancial, technical and marketng resources, generate greater revenue and have beter name recogniton than we do. Also, a large, diversifed sofware enterprise could decide to enter the market directly, including through acquisitons. Compettve pressures can adversely impact our business by limitng the prices we can charge our customers and making the adopton and renewal of our solutons more difcult. Our compettors might also establish or strengthen cooperatve relatonships with resellers and third-party consultng frms or other partes with whom we have had relatonships, thereby limitng our ability to promote our solutons. These compettve pressures could cause our revenue and market share to decline.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the introducton of solutons encompassing new technologies, such as AI, can render existng solutons obsolete and unmarketable. As a result, our future success will depend, in part, upon our ability to contnue to enhance existng solutons and develop and introduce in a tmely manner or acquire new solutons that keep pace with technological developments, satsfy increasingly sophistcated customer requirements and achieve market acceptance. If we are unable to develop or acquire on a tmely and cost-efectve basis new sofware solutons or enhancements to existng solutons or if such new solutons or enhancements do not achieve market acceptance, we may be unable to compete successfully and our business, results of operatons and fnancial conditon may be materially adversely afected.</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Because competton for highly qualifed personnel is intense, we might not be able to atract and retain key personnel needed to support our planned growth.</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meet our objectves successfully, we must atract and retain highly qualifed personnel with specialized skill sets. If we are unable to atract and retain suitably qualifed management, there could be a material adverse impact on our business.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 we use equity incentve programs and equity awards in lieu of cash as part of our overall employee compensaton agreements to both atract and retain personnel. A decline in our stock price could negatvely impact the efectveness of these equity incentve and related compensaton programs as retenton and recruitng tools. We may need to create new or additonal equity incentve programs and/or compensaton packages to remain compettve, which could be dilutve to our existng stockholders and/or adversely afect our results of operatons.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The market for sofware and services for the social impact community might not grow and the organizatons in that community might not contnue to adopt, or renew their subscriptons for, our solutons and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Many organizatons in the social impact community, including nonprofts, foundatons, companies, educaton insttutons, and healthcare organizatons, have not traditonally used integrated and comprehensive sofware and services for their specifc needs. We cannot be certain that the market for such solutons and services will contnue to develop and grow or that these organizatons will elect to adopt our solutons and services rather than contnue to use traditonal, less automated methods, atempt to develop sofware internally, rely upon legacy sofware systems, or use sofware solutons not specifcally designed for this market. Organizatons that have already invested substantal resources in other fundraising methods or other non-integrated sofware solutons might be reluctant to adopt our solutons and services to supplement or replace their existng systems or methods. In additon, the implementaton of one or more of our sofware solutons can involve signifcant capital commitments by our customers, which they may be unwilling or unable to make. If demand for and market acceptance of our solutons and services does not increase, we might not grow our business as we expect.</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our subscripton arrangements are generally for a term of three years at contract incepton with three-year renewals thereafer. Our maintenance arrangement renewals are generally for a term of three years. As the end of the contract term approaches, we seek the renewal of the agreement with the customer. Historically, subscripton and maintenance renewals have represented a signifcant porton of our total revenue. Because of this characteristc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230505</wp:posOffset>
            </wp:positionV>
            <wp:extent cx="7289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17</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business, if our customers choose not to renew their subscriptons or maintenance arrangements with us on benefcial terms or at all, our business, operatng results and fnancial conditon could be harmed. Our customers' renewal rates may decline or fuctuate as a result of a number of factors, including their level of satsfacton with our solutons and services and their ability to contnue their operatons and spending levels due to general economic conditons, extraordinary business interruptons, client-specifc fnancial issues or otherwise.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Changes in the US federal or state governmental grant, award or other funding programs could negatvely impact the operatons of our nonproft customers, which could have a material adverse efect on our business, results of operatons, fnancial conditon and liquidity.</w:t>
      </w:r>
    </w:p>
    <w:p>
      <w:pPr>
        <w:spacing w:after="0" w:line="16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Many of our customers depend in signifcant part on the US federal and state governments for grants, awards and other funding to maintain their operatons. Changes in, or uncertainty regarding, the availability, amount or conditons and restrictons related to such funding could negatvely impact our customers’ willingness or ability to purchase our various sofware solutons due to resultng budgetary or investment capital concerns. Our customers and we must identfy, assess and respond to new developments and trends in the legislatve, regulatory and politcal environment while federal and state governments and agencies consider and implement potental funding changes that could materially impact various aspects of the nonprofts’ operatons and fnancial health. We cannot predict the specifc terms of any such proposals or changes, whether or when they will be implemented, or their efect on our operatons. Certain proposals or changes could, if implemented, have an adverse, material impact on our business, results of operatons, fnancial conditon or liquidity.</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are incorporatng generatve AI technology into certain of our solutons and services. This technology is new and developing, and while we aim to adopt known best practces, it may result in operatonal, fnancial and reputatonal harm and other adverse consequences to our business.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implementng AI features in certain of our solutons and services. The technologies underpinning these features are in the early stages of commercial use and exist in an emerging regulatory environment, which presents regulatory, litgaton, ethical, reputatonal, operatonal and fnancial risks. Many U.S. and internatonal governmental bodies and regulators have adopted, or are in the process of developing, new regulatons related to the use of AI and machine learning technologies. These have imposed, and may in the future further impose, obligatons related to our development, ofering and use of AI technologies and expose us to increased risk of regulatory enforcement and litgaton. Many of our generatve AI features include the processing of personal data and are, and may be further, subject to laws, policies, legal obligatons and codes of conduct related to privacy and data protecton. There is uncertainty about the extent to which privacy and data protecton laws apply to AI technologies, and any delay in addressing privacy or data protecton concerns relatng to our AI features may result in liability or regulatory investgatons and fnes, as well as harm to our sales and reputaton. In additon, issues relatng to intellectual property rights in AI-generated content have not been fully addressed by the courts, laws or regulatons. Accordingly, the implementaton of generatve AI technologies into our products and services may result in exposure to claims related to copyright infringement or other intellectual property misappropriaton.</w:t>
      </w:r>
    </w:p>
    <w:p>
      <w:pPr>
        <w:spacing w:after="0" w:line="1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many of our AI features may rely on third-party service providers. As such, any improper processing of personal data by these service providers could harm our reputaton, business or customers, or expose us to legal liability. Any disrupton or failure in our AI systems or infrastructure could result in delays or errors in our operatons, which could harm our business and fnancial results.</w:t>
      </w:r>
    </w:p>
    <w:p>
      <w:pPr>
        <w:spacing w:after="0" w:line="16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Our generatve AI technology features may also generate output that is misleading, insecure, inaccurate, harmful or otherwise fawed, which may harm our reputaton, business or customers, or expose us to legal liability. Also, some AI scenarios present ethical issues. If we enable or ofer AI solutons that are controversial because of their purported or actual impact on human rights, privacy, employment or other social issues, we may experience reputatonal harm.</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New and emerging AI technologies may require additonal investment in the development and maintenance of various models, approaches and processes, as well as development of protectons and safeguards for the use of AI technologies, which may be expensive and could impact our fnancial results if we decide to further expand generatve AI into our products and services. Likewise, the use of AI involves signifcant technical complexity and requires specialized expertse. The success of any enhancement or new product depends on many factors, including its relevance to our customers, tmely implementaton and market acceptance. If our enhanced products and services do not achieve widespread market adopton or there is a reducton in demand due to a lack of customer acceptance, technology challenges, strengthening competton, weakening economic conditons, or security or privacy concerns, our business could be harmed and our fnancial results could be adversely afected.</w:t>
      </w:r>
    </w:p>
    <w:p>
      <w:pPr>
        <w:spacing w:after="0" w:line="31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18</w:t>
      </w:r>
      <w:r>
        <w:rPr>
          <w:sz w:val="20"/>
          <w:szCs w:val="20"/>
          <w:color w:val="auto"/>
        </w:rPr>
        <w:tab/>
      </w:r>
      <w:r>
        <w:rPr>
          <w:sz w:val="1"/>
          <w:szCs w:val="1"/>
          <w:color w:val="auto"/>
        </w:rPr>
        <w:drawing>
          <wp:inline distT="0" distB="0" distL="0" distR="0">
            <wp:extent cx="728345" cy="188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Although we aim to develop and use AI responsibly and atempt to identfy and mitgate ethical and legal issues presented by its use, we may be unsuccessful in identfying or resolving issues before they arise.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If we do not successfully address the risks inherent in the expansion of our internatonal operatons, our business could sufer.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currently have non-U.S. operatons primarily in the U.K., Canada, Australia, Costa Rica and India, and we intend to expand further into internatonal markets. Expansion of our internatonal operatons has required, and will contnue to require, a signifcant amount of atenton from our management and substantal fnancial resources and might require us to add qualifed management in these markets. For example, we are currently expanding our operatons in India, which we expect will give us greater access to talent, and increase the number of our employees, including management, in India. We have rented ofce space in India to accommodate those new operatons, although we do not currently expect to generate revenue in India in the foreseeable future. Our direct sales model requires us to atract, retain and manage qualifed sales personnel capable of selling into markets outside the United States. In some cases, our costs of sales might increase if our customers require us to sell through local distributors. If we are unable to grow our internatonal operatons in a cost-efectve and tmely manner, our business and operatng results could be harmed.</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Increases in our internatonal revenues denominated in foreign currencies subject us to fuctuatons in foreign currency exchange rates. The expansion of our internatonal operatons has increased, and is expected to contnue to increase, our exposures to gains and losses on foreign currency transactons. (See Foreign Currency Exchange Rates on page 59 for more informaton regarding the impact of foreign currency exchange rates on our operatons.)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Doing business internatonally involves additonal risks that could harm our operatng results. Along with risks similar to those faced by our U.S. operatons, our internatonal operatons are also subject to risks related to difering legal, politcal, social and regulatory requirements and economic conditons, including:</w:t>
      </w:r>
    </w:p>
    <w:p>
      <w:pPr>
        <w:spacing w:after="0" w:line="57" w:lineRule="exact"/>
        <w:rPr>
          <w:sz w:val="20"/>
          <w:szCs w:val="20"/>
          <w:color w:val="auto"/>
        </w:rPr>
      </w:pPr>
    </w:p>
    <w:p>
      <w:pPr>
        <w:ind w:left="660" w:right="2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the impositon of additonal withholding taxes or other tax on our foreign income, tarifs or restrictons on foreign trade or investment, including currency exchange and capital expropriaton controls;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greater risk of a failure of our employees and partners to comply with both U.S. and foreign laws, including anttrust regulatons, the U.S. Foreign Corrupt Practces Act, the U.K. Bribery Act of 2010, and any trade regulatons ensuring fair trade practces;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greater risk of failure to comply with foreign country employment or other human resources laws and regulatons;</w:t>
      </w:r>
    </w:p>
    <w:p>
      <w:pPr>
        <w:spacing w:after="0" w:line="55" w:lineRule="exact"/>
        <w:rPr>
          <w:rFonts w:ascii="Calibri" w:cs="Calibri" w:eastAsia="Calibri" w:hAnsi="Calibri"/>
          <w:sz w:val="18"/>
          <w:szCs w:val="18"/>
          <w:color w:val="51555C"/>
        </w:rPr>
      </w:pPr>
    </w:p>
    <w:p>
      <w:pPr>
        <w:ind w:left="660" w:right="2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the impositon of, or unexpected adverse changes in, foreign laws or regulatory requirements, including those pertaining to export restrictons, privacy and data protecton, trade and employment restrictons and intellectual protectons;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general business disruptons caused by geopolitcal situatons and developments.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Unfavorable media coverage related to peer-to-peer fundraising campaigns on our social platorms could negatvely impact our business.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online social giving platorms receive a high degree of media coverage for partcularly news-worthy or controversial fundraising campaigns, as well as for our fee-based business model. Although our terms of service provide express limitatons on the platorms' user-initated fundraising campaigns and reserve our right to remove content that violates our terms of service, it may not always be possible to remove such content prior to it receiving atenton in the media. Negatve publicity related to our online social giving platorms could have an adverse efect on the size, engagement and loyalty of our user base and could result in decreased revenue, which could adversely afect our business and fnancial results.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Acquisitons could be difcult to consummate and integrate into our operatons, and they could disrupt our business, dilute stockholder value or impair our fnancial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part of our business strategy, we, from tme to tme, seek to grow our business through acquisitons of new or complementary businesses, technologies or products that we believe can improve our ability to compete in our existng customer markets or allow us to enter new markets. The potental risks associated with acquisitons and investment transactons include, but are not limited to:</w:t>
      </w:r>
    </w:p>
    <w:p>
      <w:pPr>
        <w:spacing w:after="0" w:line="52" w:lineRule="exact"/>
        <w:rPr>
          <w:sz w:val="20"/>
          <w:szCs w:val="20"/>
          <w:color w:val="auto"/>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failure to realize antcipated returns on investment, cost savings and synergies;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difculty in assimilatng the operatons, policies and personnel of the acquired company;</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unantcipated costs associated with acquisitons;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289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challenges in combining product oferings and entering into new markets in which we may not have experience;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distracton of management’s atenton from normal business operatons;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potental loss of key employees of the acquired company;</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difculty implementng efectve internal controls over fnancial reportng, disclosure controls and procedures and cybersecurity and data protecton procedures;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impairment of relatonships with customers or suppliers;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issues not discovered in due diligence, which may include product quality issues or legal or other contngencies.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example, following our acquisiton of EVERFI, Inc ("EVERFI") in December 2021, we experienced the loss of certain employees and were unable to realize the antcipated returns on our investment prior to our dispositon of the business in December 2024.</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Acquisitons may also result in potentally dilutve issuances of equity securites, the incurrence of debt and contngent liabilites, the expenditure of available cash, and amortzaton expenses or write-downs related to intangible assets such as goodwill, any of which could have a material adverse efect on our operatng results or fnancial conditon. For example, in December 2024, we recorded a material noncash impairment charge related to EVERFI (See Note 3 to our consolidated fnancial statements in this report for more informaton).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experience risks relatng to the challenges and costs of closing a business combinaton and the risk that an announced business combinaton may not close. There can be no assurance that we will be successful in making additonal acquisitons in the future or in integratng or executng on our business plan for existng or future acquisitons.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A reducton in the growth or amount of charitable giving due to deterioratng general economic conditons, a recession or otherwise could adversely afect our operatng results and fnancial conditon.</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large percentage of our customers are nonprofts, foundatons, educaton insttutons, healthcare organizatons and other members of the social impact community that fully or partally rely on charitable donatons. If charitable giving, including online giving, does not contnue to grow or declines, it could limit our current and potental customers' ability to use and pay for our solutons and services, which could adversely afect our operatng results and fnancial conditon.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derive a signifcant porton of our revenue from transacton-based payment processing fees that we collect from our customers through our Blackbaud Merchant Services soluton, which enables our customers' donors to make donatons and purchase goods and services using various payment optons. A reducton in the growth of, or a decline in, charitable giving to these customers, whether due to deterioratng general economic conditons, the impact of past or future changes to applicable tax laws, or otherwise, could negatvely impact the volume and size of such payment processing transactons and thereby adversely afect our operatng results and fnancial conditon.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Our failure to obtain licenses for, or our use of, third-party technologies could harm our business.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expect to contnue licensing technologies from third partes, including applicatons used in our research and development actvites, technologies that are integrated into our solutons and solutons that we resell. We believe that the loss of any third-party technologies currently integrated into our solutons could have a material adverse efect on our business. Our inability in the future to obtain any third-party licenses on commercially reasonable terms, or at all, could delay future soluton development untl equivalent technology can be identfed, licensed or developed and integrated. This inability in turn could harm our business and operatng results.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use of third-party technologies also exposes us to increased risks including, but not limited to, risks associated with the integraton of new technology into our solutons, the diversion of our resources from development of our own proprietary technology and our inability to generate revenue from licensed technology sufcient to ofset associated acquisiton and maintenance costs.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20</w:t>
      </w:r>
      <w:r>
        <w:rPr>
          <w:sz w:val="20"/>
          <w:szCs w:val="20"/>
          <w:color w:val="auto"/>
        </w:rPr>
        <w:tab/>
      </w:r>
      <w:r>
        <w:rPr>
          <w:sz w:val="1"/>
          <w:szCs w:val="1"/>
          <w:color w:val="auto"/>
        </w:rPr>
        <w:drawing>
          <wp:inline distT="0" distB="0" distL="0" distR="0">
            <wp:extent cx="728345" cy="1885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Operatonal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Breaches of our sofware, our failure to securely collect, store and transmit customer informaton, or our failure to safeguard confdental donor data, including, for example, the Security Incident described below, exposes us to liability, litgaton, government investgatons, penaltes and remedial costs and our reputaton and business could sufer.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Fundamental to the use of our solutons is the secure collecton, storage and transmission of confdental donor, customer and end user data, personally identfable informaton and transacton data, including in our payment services. Despite the network, applicaton and physical security procedures and internal control measures we employ to safeguard our systems, we have been, and in the future may be, vulnerable to a security breach, intrusion, loss or thef of confdental donor data and transacton data, which has in the past harmed and may in the future harm our business, reputaton and future fnancial results. Furthermore, our reliance on remote access to informaton systems increases our exposure to potental cybersecurity incidents.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Like virtually all major businesses, we are, from tme to tme, a target of cyberatacks, such as the Security Incident (as described below and in Note 11 to our consolidated fnancial statements in this report), informaton systems interruptons, phishing, social engineering schemes and other systems disruptons. We expect these threats to contnue, some of which have been, and in the future may be, successful to varying degrees. Because the numerous and evolving cybersecurity threats used to obtain unauthorized access, disable, degrade or sabotage systems have become increasingly more complex and sophistcated, it may be difcult to antcipate these acts or to detect them for periods of tme, as with the Security Incident, and we may be unable to respond adequately or tmely. As these threats contnue to evolve and increase, we have already devoted and expect to contnue to devote signifcant resources in order to modify and enhance our security controls and to identfy and remediate any security vulnerabilites.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compromise of our data security, such as the Security Incident, that results in customer or customer consttuent personal or payment card data being obtained by unauthorized persons could adversely afect our reputaton with our customers and others, as well as our operatons, results of operatons, fnancial conditon and liquidity and has resulted in, and could in the future result in, litgaton against us, government investgatons or the impositon of fnes and penaltes. (See Note 11 to our consolidated fnancial statements in this report for informaton regarding litgaton, government investgatons, fnes and penaltes related to the Security Incident.) We have been, and in the future might be, required to expend signifcant additonal capital and other resources to rectfy problems caused by a security breach, including notfcaton under data privacy laws and regulatons, and incur expenses related to remediatng our informaton security systems.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Even though we may carry cyber-technology insurance policies that provide insurance coverage under certain circumstances, we have in the past sufered losses and may in the future sufer losses as a result of a security breach that exceed the coverage available under our insurance policies or for which we do not have coverage. (See Note 11 to our consolidated fnancial statements in this report for expense and insurance coverage informaton related to the Security Incident.) Furthermore, in the future such insurance may not be available on commercially reasonable terms, or at all. A security breach and any eforts we make to address such breach could also result in a disrupton of our operatons, partcularly our online sales operatons.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occurrence of actual cyber security events, such as the Security Incident, could magnify the severity of the adverse efects of future incidents on our business. The techniques used to obtain unauthorized access, disable or degrade service, or sabotage informaton systems can be difcult to detect for long periods of tme and can involve difcult or prolonged assessment or remediaton periods even once detected. We, therefore, cannot assure you that all potental causes of past signifcant incidents, including the Security Incident, have been fully identfed and remediated. The steps we take may not be sufcient to prevent future signifcant incidents and, as a result, such incidents may occur again.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The Security Incident has had, and may contnue to have, numerous adverse efects on our business, results of operatons, fnancial conditon and cash fows.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As previously disclosed, on July 16, 2020, we contacted certain customers to inform them about the Security Incident.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date, we have received approximately 260 specifc requests from customers for reimbursement of expenses incurred by them related to the Security Incident, all of which have been 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none of which resulted in claims submited to us and are considered by us to have been abandoned by the customers. We have also received notces of proposed claims on behalf of a number of U.K. data subjects, which have been fully resolved and closed or are inactve and are considered by us to have been abandoned by the data subjects. In additon, insurance companies representng various customers’ interests through subrogaton claims have contacted us, and certain insurance companies have fled subrogaton claims in court, of which two cases remain actve and unresolved. We also were a defendant in putatve consumer class acton cases in Canadian courts alleging harm from the Security Incident which have now been resolved. In additon, presently, we are a defendant in putatve consumer class acton cases in U.S. federal courts (most of which have been consolidated under mult district litgaton to a single federal court) alleging harm from the Security Incident. The plaintfs in these cases, who generally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 On May 14, 2024, the Court issued a memorandum opinion and order (1) denying the mult district litgaton plaintfs' moton for class certfcaton, (2) grantng our moton to exclude the mult district litgaton plaintfs' expert, (3) denying the mult district litgaton plaintfs' moton to exclude our expert and (4) denying all other pending motons. On July 30, 2024, the Fourth Circuit Court of Appeals denied the plaintfs' petton for permission to appeal the Court's ruling. This litgaton remains ongoing.</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color w:val="51555C"/>
        </w:rPr>
        <w:t>In additon,</w:t>
      </w:r>
    </w:p>
    <w:p>
      <w:pPr>
        <w:spacing w:after="0" w:line="163" w:lineRule="exact"/>
        <w:rPr>
          <w:sz w:val="20"/>
          <w:szCs w:val="20"/>
          <w:color w:val="auto"/>
        </w:rPr>
      </w:pPr>
    </w:p>
    <w:p>
      <w:pPr>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On March 9, 2023, the Company reached a setlement with the SEC that fully resolved the previously disclosed SEC investgaton of the Security Incident;</w:t>
      </w:r>
    </w:p>
    <w:p>
      <w:pPr>
        <w:spacing w:after="0" w:line="163"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On October 5, 2023, the Company entered into separate, substantally similar Administratve Orders with each of 49 state Atorneys General and the District of Columbia that fully resolved the previously disclosed mult-state Civil Investgatve Demand and the separate Civil Investgatve Demand from the Ofce of the Indiana Atorney General relatng to the Security Incident;</w:t>
      </w:r>
    </w:p>
    <w:p>
      <w:pPr>
        <w:spacing w:after="0" w:line="164"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On May 20, 2024, the U.S. Federal Trade Commission (the "FTC") fnalized an Order (the “FTC Order”) evidencing its setlement with us in connecton with the Security Incident;</w:t>
      </w:r>
    </w:p>
    <w:p>
      <w:pPr>
        <w:spacing w:after="0" w:line="163"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On June 13, 2024, we agreed to a Final Judgment and Permanent Injuncton with the Atorney General of the State of California (the "California Judgment") relatng to the Security Incident; and</w:t>
      </w:r>
    </w:p>
    <w:p>
      <w:pPr>
        <w:spacing w:after="0" w:line="163"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We previously received notces of governmental actons or investgatons by the U.S. Department of Health and Human Services, the Ofce of the Australian Informaton Commissioner and the Ofce of the Privacy Commissioner of Canada, each of which we now believe are now longer actve actons or investgatons.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See Note 11 to our consolidated fnancial statements included in this report for a more detailed descripton of the Security Incident and related maters.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terms of the California Judgment, FTC Order, the Atorneys General Administratve Orders and our setlement with the SEC require that we implement and maintain certain processes and programs and comply with certain legal requirements related to cybersecurity and data protecton. Any future regulatory investgaton or litgaton setlements may also contain such requirements. Efectvely implementng, monitoring and updatng these requirements has been, and is expected to be over an extended period of tme, expensive and tme-consuming. Our failure to do so in accordance with the terms of our agreements with FTC, the Atorneys General and with the SEC, and possibly others, could expose us to additonal material liability under the terms of the Administratve Orders, the SEC setlement, or otherwise.</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be named as a party in additonal lawsuits, other claims may be asserted by or on behalf of our customers or their consttuents, and we may be subject to additonal governmental inquiries, requests or investgatons. Responding to and resolving these current and any future lawsuits, claims and/or investgatons could result in material remedial and other expenses that will not be covered by insurance. It is reasonably possible that our estmated or actual losses may change in the near term for those maters and be materially in excess of the amounts accrued. Certain governmental authorites have imposed, and others may in the future impose, undertakings, injunctve relief, consent decrees, or other civil or criminal penaltes, which have materially increased our data security costs or otherwise required us to alter how we operate our business, and could further do so in the future. Although we intend to defend ourselves vigorously against the claims asserted against us, we cannot predict the potental outcomes, cost and expenses associated with current and any future claims, lawsuits, inquiries and investgatons.</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22</w:t>
      </w:r>
      <w:r>
        <w:rPr>
          <w:sz w:val="20"/>
          <w:szCs w:val="20"/>
          <w:color w:val="auto"/>
        </w:rPr>
        <w:tab/>
      </w:r>
      <w:r>
        <w:rPr>
          <w:sz w:val="1"/>
          <w:szCs w:val="1"/>
          <w:color w:val="auto"/>
        </w:rPr>
        <w:drawing>
          <wp:inline distT="0" distB="0" distL="0" distR="0">
            <wp:extent cx="728345" cy="18859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any legislatve or regulatory changes adopted in reacton to the Security Incident or other companies’ data breaches could require us to make modifcatons to the operaton of our business that could have an adverse efect and/or increase or accelerate our compliance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Signifcant management tme and Company resources have been, and are expected to contnue to be, devoted to the Security Incident. For example, for full year 2024, we incurred net pre-tax expenses of $13.7 million related to the Security Incident, which included $7.0 million for ongoing legal fees and $6.8 million for setlements and recorded liabilites for loss contngencies. During 2024, we had net cash outlays of $15.9 million related to the Security Incident, which included ongoing legal fees, and the $6.8 million paid during the third quarter of 2024 related to our setlement with the Atorney General of the State of California (as discussed in Note 11). Although we carry insurance against certain losses related to the Security Incident, we exceeded the limit of that insurance coverage in the frst quarter of 2022. As a result, we will be responsible for all expenses or other losses (including penaltes, fnes or other judgments) or all types of claims that may arise in connecton with the Security Incident, which could materially and adversely afect our liquidity and results of operatons. (See Note 11 to our consolidated fnancial statements included in this report.) If any such fnes or penaltes were great enough that we could not pay them through funds generated from operatng actvites and/or cause a default under the 2024 Credit Facilites, we may be forced to renegotate or obtain a waiver under the 2024 Credit Facilites and/or seek additonal debt or equity fnancing. Such renegotaton or fnancing may not be available on acceptable terms, or at all. In these circumstances, if we were unable to obtain sufcient fnancing, we may not be able to meet our obligatons as they come due.</w:t>
      </w:r>
    </w:p>
    <w:p>
      <w:pPr>
        <w:spacing w:after="0" w:line="1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publicity or developments related to the Security Incident could in the future have a range of other adverse efects on our business or prospects, including causing or contributng to loss of customer confdence, reduced customer demand, reduced customer retenton, strategic growth opportunites, and associated retenton and recruitng difcultes, some or all of which could be material.</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51555C"/>
        </w:rPr>
        <w:t>Climate change and other natural disasters, new regulatons and standards and climate-related goals have impacted, and may in the future impact, our operatons and fnancial performance.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long-term efects of climate change on the global economy and our industry may impact our business operatons and those of our suppliers, customers and partners. Climate change increases the severity and frequency of extreme weather events such as hurricanes, wildfres, foods, heat waves or power shortages, all of which could lead to business disruptons. The locatons of our principal executve ofces and our data centers are vulnerable to the efects of climate events and other natural disasters, including hurricanes, heat waves and earthquakes, which we have experienced in the past. In additon, the efects of climate change are harder to mitgate for our remote-frst workforce, which exposes the Company to business disrupton. Even though we carry business interrupton insurance policies and typically have provisions in our commercial contracts that protect us in certain events, we might sufer losses as a result of business interruptons that exceed the coverage available under our insurance policies or for which we do not have coverage. Any natural disaster or catastrophic event afectng us could have a signifcant negatve impact on our operatons.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New regulatons and standards relatng to public disclosure, including proposed new rules related to climate change, could adversely impose signifcant costs on us to comply with such regulatons.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Finally, a failure to meet our climate-related goals, such as our commitment and progress towards reducton of greenhouse gas emissions, could damage our reputaton, afect our fnancial performance and impact our ability to atract and retain talent.</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51555C"/>
        </w:rPr>
        <w:t>Defects, delays or interruptons in our cloud solutons and hostng services could diminish demand for these services and subject us to substantal liability.</w:t>
      </w:r>
    </w:p>
    <w:p>
      <w:pPr>
        <w:spacing w:after="0" w:line="17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currently utlize data center hostng facilites to provide cloud solutons to a signifcant number of our subscripton customers and hostng services to our on-premise license customers. Any damage to, or failure of, these data center systems generally could result in interruptons in service to our customers, notwithstanding any business contnuity or disaster recovery agreements that may currently be in place at these facilites. As noted above, our executve ofces and some of our data centers are located in areas that are vulnerable to the efects of climate change and could be subject to increased interruptons as a result of the severity and increased frequency of extreme weather events such as hurricanes, wildfres, foods, heat waves, or power shortages. Because our cloud solutons and hostng service oferings are complex and we have incorporated a variety of new computer hardware and sofware systems at our data centers, our services might have errors or defects that users identfy afer they begin using our services. This could result in unantcipated downtme for our customers and harm to our reputaton and business results. Internet-based services sometmes contain undetected errors when frst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214630</wp:posOffset>
            </wp:positionV>
            <wp:extent cx="7289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introduced or when new versions or enhancements are released. We have from tme to tme found defects in our web-based services and new errors might again be detected in the future. In additon, our customers might use our Internet-based oferings in unantcipated ways that cause a disrupton in service for other customers atemptng to access their data.</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example, on July 19, 2024, CrowdStrike Holdings, Inc. (“CrowdStrike”), which provides cybersecurity services to millions of Microsof Windows systems worldwide, including to certain Windows systems operated by Blackbaud, implemented a sofware update to its Falcon sensor sofware that was fawed and caused Falcon to crash, thereby causing widespread crashes of Windows systems into which it was integrated, including certain Windows systems used by us and certain of our customers (the “CrowdStrike Event”). As a result, some of our customers were unable to access certain of our services and solutons, including our payments processing solutons. We evaluated the actual impact of the CrowdStrike Event on Blackbaud, both directly and indirectly due to the impact on our customers, and deemed it to be immaterial.</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our customers use these services for important aspects of their businesses, any defects, delays or disruptons in service or other performance problems with our services, such as the CrowdStrike Event, could hurt our reputaton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collecton cycles for accounts receivable or the expense and risk of litgaton. Any of these could harm our business and reputaton.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Material defects or errors in the sofware we use to deliver our services could harm our reputaton, result in signifcant costs to us and impair our ability to sell our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sofware applicatons underlying our services are inherently complex and may contain material defects or errors, partcularly when frst introduced or when new versions or enhancements are released. We have from tme to tme found defects in our sofware, and new errors in our existng sofware may be detected in the future.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Afer the release of our sofware, defects or errors may also be identfed from tme to tme by our internal team and our customers. The costs incurred in correctng any material defects or errors in our sofware may be substantal and could harm our operatng results. Furthermore, our customers may use our sofware together with solutons from other companies. As a result, when problems occur, it might be difcult to identfy the source of the problem. Even when our sofware does not cause these problems, the existence of these errors might cause us to incur signifcant costs, divert the atenton of our technical personnel from our soluton development eforts, impact our reputaton and cause signifcant customer relatons problems.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If we are unable, or our customers believe we may be unable, to detect and prevent unauthorized use of payment card or other private fnancial or personal informaton, or are otherwise unable to efectvely manage our payment processing business, we could be subject to fnancial liability, our reputaton could be harmed and customers may be reluctant to use our solutons and services.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solutons provide our customers payment processing capabilites that enable their consttuents to make donatons and purchase services using numerous payment optons, including credit card and automated clearing house (“ACH”) checking transactons, through secure online transactons. The provision of convenient, trusted, fast and efectve payment processing services to our customers and potental customers is critcal to our business, and revenue from payments processing consttutes a signifcant percentage of our total revenue. Increases in payment processing fees, material changes in our payment processing systems, changes to rules or regulatons concerning payments or disruptons or failures in our payment processing systems or payment products, including products we use to update payment informaton, could materially adversely impact our customer retenton and results of operaton. In additon, from tme to tme, we encounter fraudulent use of payment methods that could result in substantal additonal costs or delay, preclude planned transactons, product launches or improvements, require signifcant and costly operatonal changes, impose restrictons, limitatons, or additonal requirements on our business, products and services, prevent or limit us from providing our products or services in a given market and adversely impact customer retenton. Furthermore, we contnue to undertake system upgrades designed to improve the availability, reliability, resiliency and speed of our payments systems. These eforts are costly and tme-consuming, involve signifcant technical complexity and risk, may divert our resources from new features and products and may ultmately not be efectve.</w:t>
      </w:r>
    </w:p>
    <w:p>
      <w:pPr>
        <w:spacing w:after="0" w:line="1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rules of payment card associatons in which we partcipate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24</w:t>
      </w:r>
      <w:r>
        <w:rPr>
          <w:sz w:val="20"/>
          <w:szCs w:val="20"/>
          <w:color w:val="auto"/>
        </w:rPr>
        <w:tab/>
      </w:r>
      <w:r>
        <w:rPr>
          <w:sz w:val="1"/>
          <w:szCs w:val="1"/>
          <w:color w:val="auto"/>
        </w:rPr>
        <w:drawing>
          <wp:inline distT="0" distB="0" distL="0" distR="0">
            <wp:extent cx="728345" cy="18859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solutons and services to PCI DSS or other payment services related regulatons or requirements imposed by payment networks or our customers or payment processing partners is expensive and tme-consuming. However, failure to comply may subject us to fnes, penaltes, damages and civil liability, may impair the security of payment card data in our possession, and may harm our reputaton and our business prospects, including by limitng our ability to process transactons. All Blackbaud products in scope for PCI DSS compliance meet applicable PCI DSS security requirements.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routnely subject our various data protecton processes and controls to voluntary third-party review, audit or reportng, including, for example, the American Insttute of Certfed Public Accountants’ System and Organizaton Controls reportng. Failure to conduct these voluntary data protecton process and control reviews or to obtain and maintain audits or reports covering our data protecton processes and controls may harm our reputaton or our business prospects and our ability to market our solutons to our customers.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Because a signifcant porton of our revenue is recognized over tme on a ratable basis over the contract term, downturns in sales may not be immediately refected in our revenue.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generally recognize our subscripton and maintenance revenue ratably over tme over the contract term. Our subscripton arrangements are generally for a term of three years at contract incepton with three-year renewals thereafer. Our maintenance arrangement renewals are generally for a term of three years. As a result, much of the revenue we report in each quarter is atributable to arrangements entered into during previous quarters. Consequently, a decline in sales to new customers, renewals by existng customers or market acceptance of our solutons in any one quarter will not necessarily be fully refected in the revenues in that quarter and could negatvely afect our revenues and proftability in future quarters.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signifcantly increased our leverage in connecton with stock repurchases, and may increase our leverage in the future in connecton with acquisitons, Security Incident costs or other business purposes, which could adversely impact our business and fnancial performance.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incurred a substantal amount of indebtedness to fund the ASR Transacton (as defned on page 105) and other stock repurchases. As a result of this indebtedness and other borrowings, our interest payment obligatons have increased. In additon, we have been named as a party in various lawsuits in connecton with the Security Incident, claims have been asserted by or on behalf of our customers or their consttuents, and we are subject to various governmental inquiries, requests or investgatons. Responding to and resolving these current and any future lawsuits, claims and/or investgatons has resulted, and may contnue to result, in material remedial and other expenses. Although we have defended, and intend to contnue to defend, ourselves vigorously against the claims asserted against us, we cannot predict the potental outcomes, cost and expenses associated with current and any future claims, lawsuits, inquiries and investgatons, which could require that we incur additonal indebtedness to fund. (See Note 11 to our consolidated fnancial statements in this report for additonal informaton regarding the Security Incident.)</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degree to which we are leveraged could have adverse efects on our business, including the following:</w:t>
      </w:r>
    </w:p>
    <w:p>
      <w:pPr>
        <w:spacing w:after="0" w:line="55" w:lineRule="exact"/>
        <w:rPr>
          <w:sz w:val="20"/>
          <w:szCs w:val="20"/>
          <w:color w:val="auto"/>
        </w:rPr>
      </w:pPr>
    </w:p>
    <w:p>
      <w:pPr>
        <w:ind w:left="660" w:hanging="328"/>
        <w:spacing w:after="0" w:line="235" w:lineRule="auto"/>
        <w:tabs>
          <w:tab w:leader="none" w:pos="653"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Requiring us to dedicate a substantal porton of our cash fow from operatons to payments on our indebtedness, thereby reducing the availability of our cash fow to fund working capital, capital expenditures, acquisitons, dividends, stock repurchases and other general corporate purposes;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Increasing the amount of interest we pay, partcularly if interest rates increase;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Limitng our fexibility in planning for, or reactng to, changes in our business and the industries in which we operate;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Restrictng us from making additonal strategic acquisitons or exploitng business opportunites;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Placing us at a compettve disadvantage compared to our compettors that have less debt;</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Reducing our currently available borrowing capacity or limitng our ability to borrow additonal funds;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Decreasing our ability to compete efectvely or operate successfully under adverse economic and industry conditons.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If we incur additonal debt, these risks may intensify. Our ability to meet our debt service obligatons will depend upon our future performance, which will be subject to the fnancial, business and other factors afectng our operatons, many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In additon, additonal leverage could impact our ability to meet certain fnancial and other covenants contained in our 2024 Credit Facilites, which increased our total borrowing capacity from $1.1 billion to $1.5 billion. (See Note 9 to our consolidated fnancial statements included in this report for a more detailed descripton of our 2024 Credit Facilites.) There can be no assurance that we will be able to remain in compliance with the covenants to which we are now subject or may be subject in the future and, if we fail to do so, that we will be able to obtain waivers from our lenders or amend the covenants.</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the event of a default under our 2024 Credit Facilites, we could be required to immediately repay all outstanding borrowings, which we might not be able to do and which would materially negatvely afect our business, operatons and fnancial conditon.</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51555C"/>
        </w:rPr>
        <w:t>Our balance sheet includes signifcant amounts of goodwill and intangible assets. The impairment of a signifcant porton of these assets, such as the EVERFI impairment charges, could negatvely afect our operatng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$1.1 billion and $132.9 million of goodwill and intangible assets, respectvely. On at least an annual basis, we assess whether there have been impairments in the carrying value of goodwill and intangible assets. If the carrying value of an asset is determined to be impaired, then it is writen down to fair value by a noncash charge to operatng earnings. Changes in circumstances that could indicate that the carrying value of goodwill or intangible assets may not be recoverable include declines in our stock price, market capitalizaton, cash fows and slower growth rates in our industry. We cannot accurately predict the likelihood or potental amount and tming of any impairment of goodwill or other intangible assets. An impairment of a signifcant porton of goodwill or intangible assets, such as the EVERFI impairment charges discussed in Note 4 to our consolidated fnancial statements in this report, could materially and negatvely afect our results of operatons and fnancial conditon.</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Restrictons in our credit facility limit certain of our actvites, including dividend payments, stock repurchases and acquisitons.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credit facility contains restrictons, including covenants limitng our ability to incur additonal debt, grant liens, make acquisitons and other investments, prepay specifed debt, consolidate, merge or acquire other businesses, sell assets, pay dividends and other distributons, repurchase stock and enter into transactons with afliates. There can be no assurance that we will be able to remain in compliance with the covenants to which we are subject in the future and, if we fail to do so, that we will be able to obtain waivers from our lenders or amend the covenants.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the event of a default under our credit facility, we could be required to immediately repay all outstanding borrowings, which we might not be able to do. In additon, certain of our material domestc subsidiaries are required to guarantee amounts borrowed under the credit facility, and we have pledged the shares of certain of our subsidiaries as collateral for our obligatons under the credit facility. Any such default could have a material adverse efect on our ability to operate, including allowing lenders under the credit facility to enforce guarantees of our subsidiaries, if any, or exercise their rights with respect to the shares pledged as collateral.</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cannot guarantee that our stock repurchase program will be fully consummated or that it will enhance long-term stockholder value. Stock repurchases could also increase the volatlity of the trading price of our stock and will diminish our cash reserves and increase our debt.</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Although our board of directors has authorized a stock repurchase program that does not have an expiraton date, the program does not obligate us to repurchase any specifc dollar amount or to acquire any specifc number of shares of our common stock. We have, from tme to tme, repurchased stock under this program and re-initated repurchases under the program in the fourth quarter of 2023 afer a two-year hiatus. We cannot guarantee that the program will be fully consummated or that it will enhance long-term stockholder value. The program could afect the trading price of our stock and increase volatlity, and any announcement of a terminaton of this program may result in a decrease in the trading price of our stock. In additon, implementaton of some or all of this program diminishes our cash reserves and/or increases our debt, which may impact our ability to fnance future growth, to pursue possible future strategic opportunites and acquisitons and fund liabilites and expenses related to the Security Incident. (See Note 14 to our consolidated fnancial statements in this report for additonal informaton related to our stock repurchase program, including authorizaton amount, shares purchased, amounts paid and shares remaining available for purchase.)</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26</w:t>
      </w:r>
      <w:r>
        <w:rPr>
          <w:sz w:val="20"/>
          <w:szCs w:val="20"/>
          <w:color w:val="auto"/>
        </w:rPr>
        <w:tab/>
      </w:r>
      <w:r>
        <w:rPr>
          <w:sz w:val="1"/>
          <w:szCs w:val="1"/>
          <w:color w:val="auto"/>
        </w:rPr>
        <w:drawing>
          <wp:inline distT="0" distB="0" distL="0" distR="0">
            <wp:extent cx="728345" cy="1885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We have recorded signifcant deferred tax assets, and we might never realize their full value, which would result in a charge against our earnings.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deferred tax assets of $162.3 million. Realizaton of our deferred tax assets is dependent upon our generatng sufcient taxable income in future years to realize the tax beneft from those assets. Deferred tax assets are reviewed at least annually for realizability. A charge against our earnings would result if, based on the available evidence, it is more likely than not that some porton of the deferred tax asset will not be realized beyond our existng valuaton allowance. This could be caused by, among other things, deterioraton in performance, adverse market conditons, adverse changes in applicable laws or regulatons, including changes that restrict the actvites of or afect the solutons sold by our business and a variety of other factors. If a deferred tax asset net of our valuaton allowance was determined to be not realizable in a future period, the charge to earnings would be recognized as an expense in our results of operatons in the period the determinaton is made. Additonally, if we are unable to utlize our deferred tax assets, our cash fow available to fund operatons could be adversely afected.</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Depending on future circumstances, it is possible that we might never realize the full value of our deferred tax assets. Any future impairment charges related to a signifcant porton of our deferred tax assets would have an adverse efect on our fnancial conditon and results of operatons.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Privacy and data protecton concerns, including evolving domestc and internatonal government regulaton in the area of consumer data privacy or data protecton, could adversely afect our business and operatng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efectveness of our sofware solutons relies on our customers' storage and use of data concerning their customers, including fnancial, personally identfying or other sensitve data. Our customers' collecton and use of this data for donor profling, data analytcs or communicatons outreach might raise privacy and data protecton concerns and negatvely impact the demand for our solutons and services. For example, our custom modeling and analytcal services rely heavily on processing and using data we gather from customers and various sources. Privacy and data protecton laws could add restrictons or regulatory burdens, which could limit our ability to market and proft from those services.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Governments in some jurisdictons have enacted or are considering enactng consumer data privacy or data protecton legislaton, including laws and regulatons applying to the solicitaton, collecton, transfer, processing and use of personal data. This legislaton could reduce the demand for our sofware solutons if we fail to design or enhance our solutons to enable our customers to comply with the privacy and data protecton measures required by the legislaton. Moreover, we may be exposed to liability under existng or new consumer privacy or data protecton legislaton. For example, when providing our solutons to certain customers in the healthcare industry, we must comply with applicable provisions of the Health Insurance Portability and Accountability Act of 1996 ("HIPAA"), and might be subject to similar provisions of other legislaton, including, without limitaton, the Gramm-Leach-Bliley Act and related regulatons, and the California Consumer Privacy Act of 2018, and may apply to some of our customers and areas of business. Even technical violatons of these laws may result in penaltes that are assessed for each non-compliant transacton.</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and some of our customers, are subject to the E.U. General Data Protecton Regulaton (“GDPR”) and U.K. data protecton law, known as the "U.K. GDPR." The law requires companies to meet requirements regarding the handling of personal data, including rights such as the portability of personal data. All solutons we sell to customers subject to GDPR must include GDPR features. The implementaton of GDPR has afected our ability to ofer some features and services to customers in the E.U. and U.K. Furthermore, actons and investgatons by regulatory authorites related to data security incidents and privacy violatons contnue to increase, which have impacted us, and could in the future further impact us, through increased costs or restrictons on our business, and noncompliance could result in signifcant regulatory penaltes and legal liability.</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If our customers or we were found to be subject to and in violaton of any privacy or data protecton laws or regulatons, our business may be materially and adversely impacted and we and/or our customers would likely have to change our business practces. In additon, these laws and regulatons could impose signifcant costs on our customers and us and make it more difcult for donors to make online donatons. (See Note 11 to our consolidated fnancial statements included in this report for a descripton of the Security Incident and related legal proceedings and regulatory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in the informaton technology business, and our solutons and services store, retrieve, transfer, manipulate and manage our customers’ informaton and data. The efectveness of our sofware solutons relies on our customers’ storage and use of data concerning their donors, including fnancial, personally identfying and other sensitve data and our business uses similar systems that require us to store and use data with respect to our customers and personnel. Our collecton and our customers’ collecton and use of this data might raise privacy and data protecton concerns and negatvely impact our business or the demand for our solutons and services. If a breach of data security, such as the Security Incident, were to occur, or other violaton of privacy or data protecton laws and regulatons were to be alleged, our business may be materially and adversely impacted and solutons may be perceived as less desirable, which would negatvely afect our business and operatng results.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Claims that we or our technologies infringe upon the intellectual property or other proprietary rights of a third party may require us to incur signifcant costs, enter into royalty or licensing agreements or develop or license substtute technology.</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been, and may in the future be, subject to claims that the technologies in our solutons and services infringe upon the intellectual property or other proprietary rights of a third party. In additon, the vendors providing us with technology that we use in our own solutons could become subject to similar infringement claims. Although we believe that our solutons and services do not infringe any intellectual property or other proprietary rights, we cannot be certain that our solutons and services do not, or that they will not in the future, infringe intellectual property or other proprietary rights held by others. Any claims of infringement could cause us to incur substantal costs to defend against the claim, even if the claim is without merit, and could distract our management from our business. Moreover, any setlement or adverse judgment resultng from the claim could require us to pay substantal amounts, or obtain a license to contnue to use the technology and services that are the subject of the claim, and/or otherwise restrict or prohibit our use of the same. There can be no assurance that we would be able to obtain a license on commercially reasonable terms from the third party assertng any partcular claim, or that we would be able to successfully develop alternatve technology on a tmely basis, or that we would be able to obtain a license from another provider of suitable alternatve technology to permit us to contnue ofering, and our customers to contnue using, the solutons and services. In additon, we generally provide in our customer arrangements for certain solutons and services that we will indemnify our customers against third-party infringement claims relatng to technology we provide to those customers, which could obligate us to pay damages if the solutons and services were found to be infringing. Infringement claims asserted against us, our vendors or our customers may have a material adverse efect on our business, prospects, fnancial conditon and results of operatons.</w:t>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Our solutons utlize open source sofware, which may subject us to litgaton, require us to re-engineer our solutons, or otherwise divert resources away from our development eforts.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use open source sofware in connecton with certain of our solutons. Such open source sofware is generally licensed by its authors or other third partes under open source licenses, including, for example, the GNU General Public License, the GNU Lesser General Public License, “Apache-style” licenses, “BSD-style” licenses and other open source licenses. There is litle legal precedent governing the interpretaton of many of the terms of some of these licenses and, therefore, the potental impact of these terms on our business is currently unable to be determined and may result in unantcipated obligatons regarding our solutons and technologies. From tme to tme, companies that incorporate open source sofware into their products have faced claims challenging the ownership of open source sofware and/or compliance with open source license terms. Therefore, we could be subject to litgaton by partes claiming ownership of open source sofware or noncompliance with open source licensing terms. Some open source sofware licenses require users who distribute open source sofware as part of their own sofware to publicly disclose all or part of the source code to such sofware and/or make available any derivatve works of the open source code on unfavorable terms or at no cost. While we monitor our use of open source sofware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applicatons, discontnue sales in the event re-engineering cannot be accomplished on a tmely basis, or take other remedial acton that may divert resources away from our development eforts, any of which could adversely afect our business.</w:t>
      </w:r>
    </w:p>
    <w:p>
      <w:pPr>
        <w:spacing w:after="0" w:line="173"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51555C"/>
        </w:rPr>
        <w:t>We rely upon trademark, copyright, patent and trade secret laws to protect our proprietary rights, which might not provide us with adequate protecton.</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success and ability to compete depends to a signifcant degree upon the protecton of our proprietary technology rights. We might not be successful in protectng our proprietary technology and our proprietary rights might not provide us with a meaningful compettve advantage. To protect our core proprietary technology, we rely on a combinaton of patent,</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28</w:t>
      </w:r>
      <w:r>
        <w:rPr>
          <w:sz w:val="20"/>
          <w:szCs w:val="20"/>
          <w:color w:val="auto"/>
        </w:rPr>
        <w:tab/>
      </w:r>
      <w:r>
        <w:rPr>
          <w:sz w:val="1"/>
          <w:szCs w:val="1"/>
          <w:color w:val="auto"/>
        </w:rPr>
        <w:drawing>
          <wp:inline distT="0" distB="0" distL="0" distR="0">
            <wp:extent cx="728345" cy="18859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trademark, copyright and trade secret laws, as well as nondisclosure agreements, each of which afords only limited protecton.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Changing domestc and internatonal laws, government regulatons and policies, laws limitng or restrictng our ability to pass card charges on to customers and other similar laws and regulatons, could adversely afect our business and operatng results by increasing compliance costs, reducing customer demand for our solutons or damaging our reputaton.</w:t>
      </w:r>
    </w:p>
    <w:p>
      <w:pPr>
        <w:spacing w:after="0" w:line="16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Certain of our solutons, in partcular our fnancial management and payment services solutons, relate to actvity heavily regulated by government agencies in the U.S., the U.K. and other countries in which we operate. The laws and regulatons enforced by these agencies are proposed or enacted to deter fraud and other illicit fnancial transactons and to protect consumers and the fnancial system and are ofen revised or increased in scope. We have procedures and controls in place to monitor compliance with numerous federal, state and foreign laws and regulatons. However, because these laws and regulatons are complex, difer between jurisdictons, and are ofen subject to interpretaton, or as a result of unintended errors, we may, from tme to tme, inadvertently violate these laws and regulatons. Compliance with these laws and regulatons is expensive and requires the tme and atenton of management. These costs divert capital and focus away from eforts intended to grow our business. If we do not successfully comply with laws, regulatons, or policies, we could incur fnes or penaltes, be subject to litgaton, lose existng or new customer contracts or other business, and sufer damage to our reputaton.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Provisions in our organizatonal documents, certain ofcer compensaton arrangements and Delaware law may delay or prevent an acquisiton or change of control of our Company that could be deemed benefcial to our stockholders.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Certain provisions in our organizatonal documents, compensaton arrangements with our ofcers and Delaware law (as summarized below) may have the efect of delaying, deferring, discouraging or preventng an acquisiton or change in control of the Company or a change in our management. This includes tender ofers for our common stock, proxy contests or other takeover atempts. These ant-takeover efects may discourage transactons that might result in the payment of a premium over the market price for shares of our common stock. Even in the absence of a takeover atempt, the existence of these provisions may adversely afect the prevailing market price of our common stock if they are viewed as discouraging takeover atempts in the future.</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Certfcate of Incorporaton and Bylaw provisions. </w:t>
      </w:r>
      <w:r>
        <w:rPr>
          <w:rFonts w:ascii="Calibri" w:cs="Calibri" w:eastAsia="Calibri" w:hAnsi="Calibri"/>
          <w:sz w:val="18"/>
          <w:szCs w:val="18"/>
          <w:color w:val="51555C"/>
        </w:rPr>
        <w:t>The Board of Directors is divided into three classes of directors, as nearly equal in number as possible, with</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each class serving a staggered term of three years. The classifcaton of directors will have the efect of making it more difcult and tme-consuming for stockholders to change the compositon of the Board of Directors, could discourage a third-party from making a tender ofer or otherwise atemptng to obtain control of the Company and may maintain the incumbency of the Board of Directors.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Bylaws contain an advance notce procedure for stockholders proposals to be brought before a meetng of stockholders, including any proposed nominatons of persons for electon to the Board of Directors. The Bylaws may have the efect of precluding the conduct of business at a meetng if the proper procedures are not followed and may discourage or deter a potental acquirer from conductng a solicitaton of proxies to elect its own slate of directors or otherwise atemptng to obtain control of the Company.</w:t>
      </w:r>
    </w:p>
    <w:p>
      <w:pPr>
        <w:spacing w:after="0" w:line="16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The Board of Directors has the authority to issue up to an aggregate of 20,000,000 shares of preferred stock in one or more classes or series and to determine, with respect to any such class or series, the designatons, powers, preferences and rights of such class or series, and the qualifcatons, limitatons and restrictons thereof, including dividend rights, dividend rates, conversion rights, votng rights, terms of redempton (including sinking fund provisions), redempton prices, liquidaton preferences, and the number of shares consttutng any class or series or the designaton of such class or series, without further vote or acton by the stockholders. This preferred stock could have terms that may discourage a potental acquirer from making, without frst negotatng with the Board of Directors, an acquisiton atempt through which such acquirer may be able to change the compositon of the Board of Directors, including a tender ofer or other takeover atempt. See below for a discussion of our previously issued and subsequently cancelled Series A Preferred Stock.</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Board of Directors possesses the authority to call and hold emergency special meetngs of the Board of Directors with less than forty-eight hours’ notce. This power to hold an emergency special meetng of the Board of Directors on short notce could discourage a potental acquirer from launching a bid to acquire majority ownership of the Company, a proxy solicitaton in order to replace the current Board of Directors, or otherwise atemptng to obtain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i w:val="1"/>
          <w:iCs w:val="1"/>
          <w:color w:val="51555C"/>
        </w:rPr>
        <w:t xml:space="preserve">Stockholder Rights Agreement (the "Rights Agreement"). </w:t>
      </w:r>
      <w:r>
        <w:rPr>
          <w:rFonts w:ascii="Calibri" w:cs="Calibri" w:eastAsia="Calibri" w:hAnsi="Calibri"/>
          <w:sz w:val="17"/>
          <w:szCs w:val="17"/>
          <w:color w:val="51555C"/>
        </w:rPr>
        <w:t>On October 7, 2022, the Company declared a dividend of one preferred share purchase right for</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each of the Company’s issued and outstanding shares of Common Stock. The descripton and terms of these Rights are set forth in the Rights Agreement by and between the Company and American Stock Transfer &amp; Trust Company, LLC. Each Right enttled the registered holder, subject to the terms of the Rights Agreement, to purchase from us one one-thousandth of a share of the Series A Junior Partcipatng Preferred Stock, par value $0.001 per share (the “Series A Preferred Stock”) at a price of $313.00, subject to certain adjustments (as adjusted from tme to tme, the “Exercise Price”). Under the Rights Agreement, the Rights would have become exercisable if an entty, person or group acquires benefcial ownership of 20% or more of the outstanding Common Stock in a transacton not approved by the Board of Directors. In the event that the Rights became exercisable due to the ownership threshold being crossed, each Right would have enttled its holder (other than the person, entty or group triggering the Rights Plan, whose rights would have become void and not exercisable) to purchase additonal shares of Common Stock having a then-current market value of twice the Exercise Price, which would have likely made any takeover or change of control atempt by such entty, person or group prohibitvely expensive. Subject to the terms of the Rights Agreement, the Rights were scheduled to expire on October 2, 2023. On October 2, 2023, the Company amended the Rights Agreement to extend the fnal expiraton date from October 2, 2023 to October 2, 2024. On January 26, 2024, the Company amended the Rights Agreement to substtute Broadridge Corporate Issuer Solutons, LLC as the new rights agent under the Rights Agreement. On March 18, 2024, the Company terminated the Rights Agreement and eliminated the Series A Preferred Stock as a series of stock under its Amended and Restated Certfcate of Incorporaton. At the tme of the terminaton of the Rights Agreement, all of the Rights expired. Additonal informaton regarding the Rights Agreement and its terminaton, is contained in the Company’s Current Reports on Form 8-K fled with the SEC on October 2, 2023, January 26, 2024 and March 18, 2024 and in the Company's Form 8-A/A fled with the SEC on March 18, 2024.</w:t>
      </w:r>
    </w:p>
    <w:p>
      <w:pPr>
        <w:spacing w:after="0" w:line="1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Ofcer Compensaton Arrangements. </w:t>
      </w:r>
      <w:r>
        <w:rPr>
          <w:rFonts w:ascii="Calibri" w:cs="Calibri" w:eastAsia="Calibri" w:hAnsi="Calibri"/>
          <w:sz w:val="18"/>
          <w:szCs w:val="18"/>
          <w:color w:val="51555C"/>
        </w:rPr>
        <w:t>We have entered into an employment agreement with our Chief Executve Ofcer and retenton agreements with</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certain of our ofcers, which provide that, upon the occurrence of a change in control of us and either the terminaton of their employment without cause (as defned) or their resignaton for good reason (as defned), such persons would be enttled to certain terminaton or severance payments made by us (which may include a lump sum payment equal to defned percentages of compensaton and accelerated vestng of certain equity stock awards paid in accordance with the terms and conditons of the respectve agreement). Such provisions could signifcantly increase the costs to a third-party acquirer and/or deter such third-party from acquiring us.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Delaware ant-takeover law</w:t>
      </w:r>
      <w:r>
        <w:rPr>
          <w:rFonts w:ascii="Calibri" w:cs="Calibri" w:eastAsia="Calibri" w:hAnsi="Calibri"/>
          <w:sz w:val="18"/>
          <w:szCs w:val="18"/>
          <w:color w:val="51555C"/>
        </w:rPr>
        <w:t>. We are subject to Secton 203 of the Delaware General Corporaton Law, an ant-takeover law. In general, Secton 203 prohibits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publicly held Delaware corporaton, such as the Company, from engaging in a “business combinaton” with an “interested stockholder” for a period of three years following the date the person became an interested stockholder, unless certain criteria are met. Generally, a “business combinaton” includes a merger, asset or stock sale, or other transacton resultng in a fnancial beneft to the interested stockholder. Generally, an “interested stockholder” is a person who, together with afliates and associates, owns, or is an afliate or associate of the corporaton, and within three years prior to the determinaton of interested stockholder status did own, 15% or more of a corporaton’s votng stock.</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Changes in our efectve tax rate and additonal tax liabilites and global tax developments may impact our fnancial results.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subject to income taxes in the United States and various other jurisdictons. Signifcant judgment is ofen required in the determinaton of our worldwide provision for income taxes. Our efectve tax rate could be impacted by changes in our earnings and losses in countries with difering statutory tax rates, changes in operatons, changes in non-deductble expenses, changes in excess tax benefts of stock-based compensaton, changes in the valuaton of deferred tax assets and liabilites and our ability to utlize them, the applicability of withholding taxes, efects from acquisitons, and changes in accountng principles and tax laws. Any changes, ambiguity or uncertainty in taxing jurisdictons’ administratve interpretatons, decisions, policies and positons could also materially impact our income tax liabilites.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also be subject to additonal tax liabilites and penaltes due to changes in non-income-based taxes resultng from changes in federal, state, local or internatonal tax laws, changes in taxing jurisdictons’ administratve interpretatons, decisions, policies and positons, results of tax examinatons, setlements or judicial decisions, changes in accountng principles, or changes to our business operatons, including as a result of acquisitons. For example, the U.S. Infaton Reducton Act of 2022 created an excise tax of 1% on the value of any stock repurchased by us afer December 31, 2022. During 2024, we have been subject to this excise tax, but the amount will vary depending on various factors, including the amount and frequency of any stock repurchases and any permited reductons or exceptons to the amount subject to the tax. Any resultng increase in our tax obligaton or cash taxes paid could adversely afect our fnancial positon and cash fows.</w:t>
      </w:r>
    </w:p>
    <w:p>
      <w:pPr>
        <w:spacing w:after="0" w:line="31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30</w:t>
      </w:r>
      <w:r>
        <w:rPr>
          <w:sz w:val="20"/>
          <w:szCs w:val="20"/>
          <w:color w:val="auto"/>
        </w:rPr>
        <w:tab/>
      </w:r>
      <w:r>
        <w:rPr>
          <w:sz w:val="1"/>
          <w:szCs w:val="1"/>
          <w:color w:val="auto"/>
        </w:rPr>
        <w:drawing>
          <wp:inline distT="0" distB="0" distL="0" distR="0">
            <wp:extent cx="728345" cy="1885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also subject to tax examinatons or engaged in alternatve resolutons in multple jurisdictons. While we regularly evaluate new informaton that may change our judgment resultng in recogniton, derecogniton or changes in measurement of a tax positon taken, there can be no assurance that the fnal determinaton of any examinatons will not have an adverse efect on our operatng results or fnancial positon.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we utlize our tax credits and net operatng loss carryforwards, we may be unable to mitgate our tax obligatons to the same extent as in prior years, which could have a material impact to our future cash fows. In additon, changes to our operatng structure, including changes related to acquisitons, may result in cash tax obligatons.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Global tax developments applicable to multnatonal businesses may have a material impact to our business, cash fow from operatng actvites, or fnancial results. Such developments, for example, may include certain United States’ proposals as well as the Organizaton for Economic Co-operaton and Development’s, the European Commission’s and certain major jurisdictons’ heightened interest in and taxaton of companies partcipatng in the digital economy.</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1B. UNRESOLVED STAFF COMMENTS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None.</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1C. CYBERSECURITY</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Risk Management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Overview of Processes for Assessing, Identfying and Managing Material Cyber Risks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technology, data and informaton security is a top priority at Blackbaud, we maintain and contnuously assess and strengthen our cybersecurity program. Comprehensive cybersecurity risk management, including identfcaton, analysis and response to risks afectng our business and its customers, provides the foundaton for our program. Our cybersecurity program has been and will contnue to be further enhanced by our compliance with the setlement of governmental investgatons relatng to the Security Incident. See Note 11 to the consolidated audited fnancial statements contained in this report for additonal informaton regarding the Security Incident.</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We utlize a four-prong strategy for assessing, identfying and managing material risks from cybersecurity threats:</w:t>
      </w:r>
    </w:p>
    <w:p>
      <w:pPr>
        <w:spacing w:after="0" w:line="158" w:lineRule="exact"/>
        <w:rPr>
          <w:sz w:val="20"/>
          <w:szCs w:val="20"/>
          <w:color w:val="auto"/>
        </w:rPr>
      </w:pPr>
    </w:p>
    <w:p>
      <w:pPr>
        <w:ind w:left="640" w:hanging="308"/>
        <w:spacing w:after="0"/>
        <w:tabs>
          <w:tab w:leader="none" w:pos="640"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Operatonal security: </w:t>
      </w:r>
      <w:r>
        <w:rPr>
          <w:rFonts w:ascii="Calibri" w:cs="Calibri" w:eastAsia="Calibri" w:hAnsi="Calibri"/>
          <w:sz w:val="18"/>
          <w:szCs w:val="18"/>
          <w:color w:val="51555C"/>
        </w:rPr>
        <w:t>We leverage the industry standard CIA Triad Model in conjuncton with comprehensive industry control frameworks,</w:t>
      </w:r>
    </w:p>
    <w:p>
      <w:pPr>
        <w:spacing w:after="0" w:line="1" w:lineRule="exact"/>
        <w:rPr>
          <w:rFonts w:ascii="Calibri" w:cs="Calibri" w:eastAsia="Calibri" w:hAnsi="Calibri"/>
          <w:sz w:val="18"/>
          <w:szCs w:val="18"/>
          <w:b w:val="1"/>
          <w:bCs w:val="1"/>
          <w:color w:val="51555C"/>
        </w:rPr>
      </w:pPr>
    </w:p>
    <w:p>
      <w:pPr>
        <w:jc w:val="both"/>
        <w:ind w:left="660"/>
        <w:spacing w:after="0" w:line="235" w:lineRule="auto"/>
        <w:rPr>
          <w:rFonts w:ascii="Calibri" w:cs="Calibri" w:eastAsia="Calibri" w:hAnsi="Calibri"/>
          <w:sz w:val="18"/>
          <w:szCs w:val="18"/>
          <w:b w:val="1"/>
          <w:bCs w:val="1"/>
          <w:color w:val="51555C"/>
        </w:rPr>
      </w:pPr>
      <w:r>
        <w:rPr>
          <w:rFonts w:ascii="Calibri" w:cs="Calibri" w:eastAsia="Calibri" w:hAnsi="Calibri"/>
          <w:sz w:val="18"/>
          <w:szCs w:val="18"/>
          <w:color w:val="51555C"/>
        </w:rPr>
        <w:t>compliance regulatons, privacy requirements and best practces, including: the Natonal Insttute of Standards and Technology ("NIST") Cybersecurity Framework, PCI DSS, System and Organizaton Controls ("SOC") 1, SOC 2, GDPR, HIPAA, the Trans-Atlantc Data Privacy Framework and Cloud Security Alliance.</w:t>
      </w:r>
    </w:p>
    <w:p>
      <w:pPr>
        <w:spacing w:after="0" w:line="159" w:lineRule="exact"/>
        <w:rPr>
          <w:rFonts w:ascii="Calibri" w:cs="Calibri" w:eastAsia="Calibri" w:hAnsi="Calibri"/>
          <w:sz w:val="18"/>
          <w:szCs w:val="18"/>
          <w:b w:val="1"/>
          <w:bCs w:val="1"/>
          <w:color w:val="51555C"/>
        </w:rPr>
      </w:pPr>
    </w:p>
    <w:p>
      <w:pPr>
        <w:ind w:left="640" w:hanging="308"/>
        <w:spacing w:after="0"/>
        <w:tabs>
          <w:tab w:leader="none" w:pos="640"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Product security: </w:t>
      </w:r>
      <w:r>
        <w:rPr>
          <w:rFonts w:ascii="Calibri" w:cs="Calibri" w:eastAsia="Calibri" w:hAnsi="Calibri"/>
          <w:sz w:val="18"/>
          <w:szCs w:val="18"/>
          <w:color w:val="51555C"/>
        </w:rPr>
        <w:t>Our development teams take part in regular training and use industry best practces to build security into our solutons.</w:t>
      </w:r>
    </w:p>
    <w:p>
      <w:pPr>
        <w:spacing w:after="0" w:line="163" w:lineRule="exact"/>
        <w:rPr>
          <w:rFonts w:ascii="Calibri" w:cs="Calibri" w:eastAsia="Calibri" w:hAnsi="Calibri"/>
          <w:sz w:val="18"/>
          <w:szCs w:val="18"/>
          <w:b w:val="1"/>
          <w:bCs w:val="1"/>
          <w:color w:val="51555C"/>
        </w:rPr>
      </w:pPr>
    </w:p>
    <w:p>
      <w:pPr>
        <w:ind w:left="660" w:hanging="328"/>
        <w:spacing w:after="0" w:line="235" w:lineRule="auto"/>
        <w:tabs>
          <w:tab w:leader="none" w:pos="647"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Incident response: </w:t>
      </w:r>
      <w:r>
        <w:rPr>
          <w:rFonts w:ascii="Calibri" w:cs="Calibri" w:eastAsia="Calibri" w:hAnsi="Calibri"/>
          <w:sz w:val="18"/>
          <w:szCs w:val="18"/>
          <w:color w:val="51555C"/>
        </w:rPr>
        <w:t>We monitor the threat landscape 24/7 in coordinaton with a third-party frm, routnely test our incident response capabilites</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and preparedness and maintain proactve relatonships with law enforcement.</w:t>
      </w:r>
    </w:p>
    <w:p>
      <w:pPr>
        <w:spacing w:after="0" w:line="163" w:lineRule="exact"/>
        <w:rPr>
          <w:rFonts w:ascii="Calibri" w:cs="Calibri" w:eastAsia="Calibri" w:hAnsi="Calibri"/>
          <w:sz w:val="18"/>
          <w:szCs w:val="18"/>
          <w:b w:val="1"/>
          <w:bCs w:val="1"/>
          <w:color w:val="51555C"/>
        </w:rPr>
      </w:pPr>
    </w:p>
    <w:p>
      <w:pPr>
        <w:ind w:left="660" w:hanging="328"/>
        <w:spacing w:after="0" w:line="235" w:lineRule="auto"/>
        <w:tabs>
          <w:tab w:leader="none" w:pos="647"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Ongoing landscape analysis: </w:t>
      </w:r>
      <w:r>
        <w:rPr>
          <w:rFonts w:ascii="Calibri" w:cs="Calibri" w:eastAsia="Calibri" w:hAnsi="Calibri"/>
          <w:sz w:val="18"/>
          <w:szCs w:val="18"/>
          <w:color w:val="51555C"/>
        </w:rPr>
        <w:t>We contnually evaluate upcoming and changing data privacy regulatons and provide thought leadership for our</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customers on the operatonal impacts of these regulatons and compliance requirements.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believe that informaton and technology security is a shared responsibility and, therefore, incorporate data and privacy protecton educaton into the customer experience through ongoing resources such as best practces content, one-on-one consultatons with customer success managers and bbcon® sessions. We also partcipate in global communites and conference platorms to share informaton and present on best practces to improve the industry’s security awareness posture. In additon, Blackbaud employees are all engaged in on-going security and privacy awareness training campaigns to ensure they are empowered to protect both Blackbaud’s and our customers’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Integraton into Overall Risk Management System or Processes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Consistent with our prioritzaton of informaton and technology protecton, cybersecurity risk management has been and remains a key aspect of our overall business strategy, fnancial planning and capital allocaton and a point of ongoing emphasis at all levels of our Company. Our enterprise risk management ("ERM") framework integrates our informaton technology and data management systems and related policies and practces into the larger framework to help guide and prioritze our cybersecurity and informaton technology-related investments, actvites and risk management strategy. At least annually, we review cybersecurity risk as part of our ERM processes and integrate those fndings into our overall strategy. Additonally, our cybersecurity program is further integrated with our overall risk management program through our Chief Informaton Security Ofcer's ("CISO") partcipaton in such governance structures as our Risk Steering Commitee and our Disclosure Commitee, both of which are described in detail below.</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Engagement of Third Partes</w:t>
      </w:r>
    </w:p>
    <w:p>
      <w:pPr>
        <w:spacing w:after="0" w:line="16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regularly engage outside consultants and experts to assist us regarding our cybersecurity program. Engagements include an annual NIST Cybersecurity Framework assessment to ensure a reasonable cybersecurity program and retained leading external cybersecurity Incident Response (IR) experts.</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Risks from Third-Party Service Providers and Others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also maintains a defned program and dedicated team that provides security oversight of its third-party service providers. This program assesses and manages risk at the onboarding phase of engagement with third-party vendors and partners as well as oversight throughout the lifecycle of the vendor relatonship.</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Risks from Cybersecurity Threats; Actual and Potental Material Impact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contnuously learn from and leverage experience gained from previous cybersecurity incidents that we, like many other companies, have experienced. As previously disclosed, we have been and remain subject to risks and uncertaintes as a result of a ransomware atack against us in May 2020 in which a cybercriminal removed a copy of a subset of data from our self-hosted environment. As a result of the Security Incident, we are currently subject to certain legal proceedings and claims and could be the subject of additonal legal proceedings, claims, inquiries and investgatons in the future that might result in adverse judgments, setlements, fnes, penaltes or other resoluton. See Note 11 to the consolidated audited fnancial statements contained in this report for additonal informaton regarding the Security Incident and its past and potental impact on the Company.</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Notwithstanding our strong commitment to cybersecurity, we may not be successful in preventng or mitgatng a cybersecurity incident that could have a material adverse efect on us. See Item 1A. "Risk Factors" for a discussion of our cybersecurity risks.</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Management's Assessment and Management of Cybersecurity Threats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mult-level cybersecurity governance and risk management structure begins with our Operatonal Risk Compliance and Security (“ORCAS”) Commitee consistng of cross-functonal management representatves throughout our Company. The ORCAS Commitee receives detailed cybersecurity informaton from key security personnel and reports at least quarterly up through our Risk Steering Commitee, which is made up of executves and senior management from various Blackbaud departments: Chief Executve Ofcer, Chief Operatng Ofcer, Chief Financial Ofcer, Chief Technology Ofcer, General Counsel, Chief Privacy Ofcer and CISO, who has extensive informaton technology and program management experience. Our CISO has served in various roles of increasing responsibility in informaton technology and informaton security for more than 25 years, including serving in various cybersecurity leadership roles within public and private companies. He holds two undergraduate degrees—one in business administraton and the other in computer informaton systems, a graduate degree in informaton systems and maintains two cybersecurity industry recognized certfcatons: Certfed Informaton Systems Security Professional (CISSP) and Certfed Cloud Security Professional (CCSP), both from the Internatonal Informaton System Security Certfcaton Consortum. Cybersecurity leaders reportng to our CISO also have signifcant informaton technology and informaton security experience and industry recognized certfcatons.</w:t>
      </w:r>
    </w:p>
    <w:p>
      <w:pPr>
        <w:spacing w:after="0" w:line="318"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32</w:t>
      </w:r>
      <w:r>
        <w:rPr>
          <w:sz w:val="20"/>
          <w:szCs w:val="20"/>
          <w:color w:val="auto"/>
        </w:rPr>
        <w:tab/>
      </w:r>
      <w:r>
        <w:rPr>
          <w:sz w:val="1"/>
          <w:szCs w:val="1"/>
          <w:color w:val="auto"/>
        </w:rPr>
        <w:drawing>
          <wp:inline distT="0" distB="0" distL="0" distR="0">
            <wp:extent cx="728345" cy="1885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Additonally, our cybersecurity Incident Response plan tmely informs our Cybersecurity Incident Subcommitee on actve cybersecurity incidents that are potentally material. The Cybersecurity Subcommitee determines cybersecurity materiality and is made up of our General Counsel, CISO, Chief Accountng Ofcer and Director of SEC Reportng. Our Cybersecurity Incident Subcommitee is part of our Disclosure Commitee, which is appointed by Chief Executve Ofcer and Chief Financial Ofcer to assist our executves in their responsibility for oversight of the accuracy and tmeliness of the disclosures made by Blackbaud.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Board Oversight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Risk Steering Commitee reports to the Risk Oversight Commitee of our Board of Directors at the regular quarterly meetngs, or more frequently as needed. The Risk Oversight Commitee's dutes include, among other things, oversight of risks related to informaton technology security. The Risk Oversight Commitee communicates as appropriate with the full Board of Directors, which is ultmately responsible for cybersecurity risk oversight.</w:t>
      </w:r>
    </w:p>
    <w:p>
      <w:pPr>
        <w:spacing w:after="0" w:line="254"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2. PROPERTIES</w:t>
      </w:r>
    </w:p>
    <w:p>
      <w:pPr>
        <w:spacing w:after="0" w:line="178"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own our LEED Gold certfed global headquarters facility in Charleston, South Carolina, which consists of approximately 172,000 square feet. We believe that it is in good operatng conditon and adequately serves our current business operatons. As a remote-frst workforce company, we have leased a signifcant porton of the ofce space in our global headquarters facility. In October 2024, we signed a membership agreement for ofce space in Hyderabad, India to support our business operatons in India. In February 2025, we were released from our lease for ofce space in Washington, DC (which was acquired as part of our acquisiton of EVERFI in December 2021). For additonal informaton, see Note 18 to our consolidated fnancial statements in this report.</w:t>
      </w:r>
    </w:p>
    <w:p>
      <w:pPr>
        <w:spacing w:after="0" w:line="246"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3. LEGAL PROCEEDINGS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For a discussion of our legal proceedings, see Note 11 to our consolidated fnancial statements in this report.</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4. MINE SAFETY DISCLOSURES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II.</w:t>
      </w:r>
    </w:p>
    <w:p>
      <w:pPr>
        <w:spacing w:after="0" w:line="200" w:lineRule="exact"/>
        <w:rPr>
          <w:sz w:val="20"/>
          <w:szCs w:val="20"/>
          <w:color w:val="auto"/>
        </w:rPr>
      </w:pPr>
    </w:p>
    <w:p>
      <w:pPr>
        <w:spacing w:after="0" w:line="203" w:lineRule="exact"/>
        <w:rPr>
          <w:sz w:val="20"/>
          <w:szCs w:val="20"/>
          <w:color w:val="auto"/>
        </w:rPr>
      </w:pPr>
    </w:p>
    <w:p>
      <w:pPr>
        <w:ind w:right="500"/>
        <w:spacing w:after="0" w:line="231" w:lineRule="auto"/>
        <w:rPr>
          <w:sz w:val="20"/>
          <w:szCs w:val="20"/>
          <w:color w:val="auto"/>
        </w:rPr>
      </w:pPr>
      <w:r>
        <w:rPr>
          <w:rFonts w:ascii="Calibri" w:cs="Calibri" w:eastAsia="Calibri" w:hAnsi="Calibri"/>
          <w:sz w:val="29"/>
          <w:szCs w:val="29"/>
          <w:b w:val="1"/>
          <w:bCs w:val="1"/>
          <w:color w:val="004054"/>
        </w:rPr>
        <w:t>ITEM 5. MARKET FOR REGISTRANT'S COMMON EQUITY, RELATED STOCKHOLDER MATTERS AND ISSUER PURCHASES OF EQUITY SECURITIES</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common stock is trading on the Nasdaq Stock Market LLC (“Nasdaq”) under the symbol “BLKB.” According to the records of our transfer agent, as of February 18, 2025, there were approximately 101 stockholders of record of our common stock. Because many of our shares of common stock are held by brokers and other insttutons on behalf of stockholders, this number is not representatve of the total number of benefcial owners of our stock. On February 18, 2025, the closing price of our common stock was $70.96.</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following performance graph shall not be deemed to be “solicitng material” or “fled” or incorporated by reference in future flings with the SEC, or subject to the liabilites of Secton 18 of the Exchange Act except as shall be expressly set forth by specifc reference in such fling. The performance graph compares the performance of our common stock to the Nasdaq Composite Index and the Nasdaq Computer Index. The graph covers the most recent fve-year period ended December 31, 2024. The graph assumes that the value of the investment in our common stock and each index was $100.00 at December 31, 2019, and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3000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35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5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December 31,</w:t>
            </w:r>
          </w:p>
        </w:tc>
        <w:tc>
          <w:tcPr>
            <w:tcW w:w="1155" w:type="dxa"/>
            <w:vAlign w:val="bottom"/>
            <w:shd w:val="clear" w:color="auto" w:fill="004054"/>
          </w:tcPr>
          <w:p>
            <w:pPr>
              <w:jc w:val="right"/>
              <w:ind w:right="53"/>
              <w:spacing w:after="0"/>
              <w:rPr>
                <w:sz w:val="20"/>
                <w:szCs w:val="20"/>
                <w:color w:val="auto"/>
              </w:rPr>
            </w:pPr>
            <w:r>
              <w:rPr>
                <w:rFonts w:ascii="Calibri" w:cs="Calibri" w:eastAsia="Calibri" w:hAnsi="Calibri"/>
                <w:sz w:val="14"/>
                <w:szCs w:val="14"/>
                <w:b w:val="1"/>
                <w:bCs w:val="1"/>
                <w:color w:val="FFFFFF"/>
              </w:rPr>
              <w:t>2019</w:t>
            </w:r>
          </w:p>
        </w:tc>
        <w:tc>
          <w:tcPr>
            <w:tcW w:w="1160" w:type="dxa"/>
            <w:vAlign w:val="bottom"/>
            <w:shd w:val="clear" w:color="auto" w:fill="004054"/>
          </w:tcPr>
          <w:p>
            <w:pPr>
              <w:jc w:val="right"/>
              <w:ind w:right="33"/>
              <w:spacing w:after="0"/>
              <w:rPr>
                <w:sz w:val="20"/>
                <w:szCs w:val="20"/>
                <w:color w:val="auto"/>
              </w:rPr>
            </w:pPr>
            <w:r>
              <w:rPr>
                <w:rFonts w:ascii="Calibri" w:cs="Calibri" w:eastAsia="Calibri" w:hAnsi="Calibri"/>
                <w:sz w:val="14"/>
                <w:szCs w:val="14"/>
                <w:b w:val="1"/>
                <w:bCs w:val="1"/>
                <w:color w:val="FFFFFF"/>
              </w:rPr>
              <w:t>2020</w:t>
            </w:r>
          </w:p>
        </w:tc>
        <w:tc>
          <w:tcPr>
            <w:tcW w:w="1160" w:type="dxa"/>
            <w:vAlign w:val="bottom"/>
            <w:shd w:val="clear" w:color="auto" w:fill="004054"/>
          </w:tcPr>
          <w:p>
            <w:pPr>
              <w:jc w:val="right"/>
              <w:ind w:right="33"/>
              <w:spacing w:after="0"/>
              <w:rPr>
                <w:sz w:val="20"/>
                <w:szCs w:val="20"/>
                <w:color w:val="auto"/>
              </w:rPr>
            </w:pPr>
            <w:r>
              <w:rPr>
                <w:rFonts w:ascii="Calibri" w:cs="Calibri" w:eastAsia="Calibri" w:hAnsi="Calibri"/>
                <w:sz w:val="14"/>
                <w:szCs w:val="14"/>
                <w:b w:val="1"/>
                <w:bCs w:val="1"/>
                <w:color w:val="FFFFFF"/>
              </w:rPr>
              <w:t>2021</w:t>
            </w:r>
          </w:p>
        </w:tc>
        <w:tc>
          <w:tcPr>
            <w:tcW w:w="1180" w:type="dxa"/>
            <w:vAlign w:val="bottom"/>
            <w:shd w:val="clear" w:color="auto" w:fill="004054"/>
          </w:tcPr>
          <w:p>
            <w:pPr>
              <w:jc w:val="right"/>
              <w:ind w:right="53"/>
              <w:spacing w:after="0"/>
              <w:rPr>
                <w:sz w:val="20"/>
                <w:szCs w:val="20"/>
                <w:color w:val="auto"/>
              </w:rPr>
            </w:pPr>
            <w:r>
              <w:rPr>
                <w:rFonts w:ascii="Calibri" w:cs="Calibri" w:eastAsia="Calibri" w:hAnsi="Calibri"/>
                <w:sz w:val="14"/>
                <w:szCs w:val="14"/>
                <w:b w:val="1"/>
                <w:bCs w:val="1"/>
                <w:color w:val="FFFFFF"/>
              </w:rPr>
              <w:t>2022</w:t>
            </w:r>
          </w:p>
        </w:tc>
        <w:tc>
          <w:tcPr>
            <w:tcW w:w="1168" w:type="dxa"/>
            <w:vAlign w:val="bottom"/>
            <w:shd w:val="clear" w:color="auto" w:fill="004054"/>
          </w:tcPr>
          <w:p>
            <w:pPr>
              <w:jc w:val="right"/>
              <w:ind w:right="41"/>
              <w:spacing w:after="0"/>
              <w:rPr>
                <w:sz w:val="20"/>
                <w:szCs w:val="20"/>
                <w:color w:val="auto"/>
              </w:rPr>
            </w:pPr>
            <w:r>
              <w:rPr>
                <w:rFonts w:ascii="Calibri" w:cs="Calibri" w:eastAsia="Calibri" w:hAnsi="Calibri"/>
                <w:sz w:val="14"/>
                <w:szCs w:val="14"/>
                <w:b w:val="1"/>
                <w:bCs w:val="1"/>
                <w:color w:val="FFFFFF"/>
              </w:rPr>
              <w:t>2023</w:t>
            </w:r>
          </w:p>
        </w:tc>
        <w:tc>
          <w:tcPr>
            <w:tcW w:w="1108"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r>
      <w:tr>
        <w:trPr>
          <w:trHeight w:val="67"/>
        </w:trPr>
        <w:tc>
          <w:tcPr>
            <w:tcW w:w="4250" w:type="dxa"/>
            <w:vAlign w:val="bottom"/>
            <w:shd w:val="clear" w:color="auto" w:fill="004054"/>
          </w:tcPr>
          <w:p>
            <w:pPr>
              <w:spacing w:after="0"/>
              <w:rPr>
                <w:sz w:val="5"/>
                <w:szCs w:val="5"/>
                <w:color w:val="auto"/>
              </w:rPr>
            </w:pPr>
          </w:p>
        </w:tc>
        <w:tc>
          <w:tcPr>
            <w:tcW w:w="1155" w:type="dxa"/>
            <w:vAlign w:val="bottom"/>
            <w:shd w:val="clear" w:color="auto" w:fill="004054"/>
          </w:tcPr>
          <w:p>
            <w:pPr>
              <w:spacing w:after="0"/>
              <w:rPr>
                <w:sz w:val="5"/>
                <w:szCs w:val="5"/>
                <w:color w:val="auto"/>
              </w:rPr>
            </w:pPr>
          </w:p>
        </w:tc>
        <w:tc>
          <w:tcPr>
            <w:tcW w:w="1160" w:type="dxa"/>
            <w:vAlign w:val="bottom"/>
            <w:shd w:val="clear" w:color="auto" w:fill="004054"/>
          </w:tcPr>
          <w:p>
            <w:pPr>
              <w:spacing w:after="0"/>
              <w:rPr>
                <w:sz w:val="5"/>
                <w:szCs w:val="5"/>
                <w:color w:val="auto"/>
              </w:rPr>
            </w:pPr>
          </w:p>
        </w:tc>
        <w:tc>
          <w:tcPr>
            <w:tcW w:w="1160" w:type="dxa"/>
            <w:vAlign w:val="bottom"/>
            <w:shd w:val="clear" w:color="auto" w:fill="004054"/>
          </w:tcPr>
          <w:p>
            <w:pPr>
              <w:spacing w:after="0"/>
              <w:rPr>
                <w:sz w:val="5"/>
                <w:szCs w:val="5"/>
                <w:color w:val="auto"/>
              </w:rPr>
            </w:pPr>
          </w:p>
        </w:tc>
        <w:tc>
          <w:tcPr>
            <w:tcW w:w="1180" w:type="dxa"/>
            <w:vAlign w:val="bottom"/>
            <w:shd w:val="clear" w:color="auto" w:fill="004054"/>
          </w:tcPr>
          <w:p>
            <w:pPr>
              <w:spacing w:after="0"/>
              <w:rPr>
                <w:sz w:val="5"/>
                <w:szCs w:val="5"/>
                <w:color w:val="auto"/>
              </w:rPr>
            </w:pPr>
          </w:p>
        </w:tc>
        <w:tc>
          <w:tcPr>
            <w:tcW w:w="1168" w:type="dxa"/>
            <w:vAlign w:val="bottom"/>
            <w:shd w:val="clear" w:color="auto" w:fill="004054"/>
          </w:tcPr>
          <w:p>
            <w:pPr>
              <w:spacing w:after="0"/>
              <w:rPr>
                <w:sz w:val="5"/>
                <w:szCs w:val="5"/>
                <w:color w:val="auto"/>
              </w:rPr>
            </w:pPr>
          </w:p>
        </w:tc>
        <w:tc>
          <w:tcPr>
            <w:tcW w:w="1108" w:type="dxa"/>
            <w:vAlign w:val="bottom"/>
            <w:shd w:val="clear" w:color="auto" w:fill="004054"/>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708914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Calibri" w:cs="Calibri" w:eastAsia="Calibri" w:hAnsi="Calibri"/>
                <w:sz w:val="18"/>
                <w:szCs w:val="18"/>
                <w:color w:val="51555C"/>
              </w:rPr>
              <w:t>Blackbaud, Inc.</w:t>
            </w:r>
          </w:p>
        </w:tc>
        <w:tc>
          <w:tcPr>
            <w:tcW w:w="2280" w:type="dxa"/>
            <w:vAlign w:val="bottom"/>
          </w:tcPr>
          <w:p>
            <w:pPr>
              <w:spacing w:after="0"/>
              <w:rPr>
                <w:sz w:val="19"/>
                <w:szCs w:val="19"/>
                <w:color w:val="auto"/>
              </w:rPr>
            </w:pPr>
          </w:p>
        </w:tc>
        <w:tc>
          <w:tcPr>
            <w:tcW w:w="1940" w:type="dxa"/>
            <w:vAlign w:val="bottom"/>
          </w:tcPr>
          <w:p>
            <w:pPr>
              <w:jc w:val="right"/>
              <w:ind w:right="230"/>
              <w:spacing w:after="0"/>
              <w:rPr>
                <w:sz w:val="20"/>
                <w:szCs w:val="20"/>
                <w:color w:val="auto"/>
              </w:rPr>
            </w:pPr>
            <w:r>
              <w:rPr>
                <w:rFonts w:ascii="Calibri" w:cs="Calibri" w:eastAsia="Calibri" w:hAnsi="Calibri"/>
                <w:sz w:val="18"/>
                <w:szCs w:val="18"/>
                <w:color w:val="51555C"/>
              </w:rPr>
              <w:t>$100.00</w:t>
            </w:r>
          </w:p>
        </w:tc>
        <w:tc>
          <w:tcPr>
            <w:tcW w:w="1160" w:type="dxa"/>
            <w:vAlign w:val="bottom"/>
          </w:tcPr>
          <w:p>
            <w:pPr>
              <w:jc w:val="right"/>
              <w:ind w:right="230"/>
              <w:spacing w:after="0"/>
              <w:rPr>
                <w:sz w:val="20"/>
                <w:szCs w:val="20"/>
                <w:color w:val="auto"/>
              </w:rPr>
            </w:pPr>
            <w:r>
              <w:rPr>
                <w:rFonts w:ascii="Calibri" w:cs="Calibri" w:eastAsia="Calibri" w:hAnsi="Calibri"/>
                <w:sz w:val="18"/>
                <w:szCs w:val="18"/>
                <w:color w:val="51555C"/>
              </w:rPr>
              <w:t>$72.44</w:t>
            </w:r>
          </w:p>
        </w:tc>
        <w:tc>
          <w:tcPr>
            <w:tcW w:w="1180" w:type="dxa"/>
            <w:vAlign w:val="bottom"/>
          </w:tcPr>
          <w:p>
            <w:pPr>
              <w:jc w:val="right"/>
              <w:ind w:right="250"/>
              <w:spacing w:after="0"/>
              <w:rPr>
                <w:sz w:val="20"/>
                <w:szCs w:val="20"/>
                <w:color w:val="auto"/>
              </w:rPr>
            </w:pPr>
            <w:r>
              <w:rPr>
                <w:rFonts w:ascii="Calibri" w:cs="Calibri" w:eastAsia="Calibri" w:hAnsi="Calibri"/>
                <w:sz w:val="18"/>
                <w:szCs w:val="18"/>
                <w:color w:val="51555C"/>
              </w:rPr>
              <w:t>$99.39</w:t>
            </w:r>
          </w:p>
        </w:tc>
        <w:tc>
          <w:tcPr>
            <w:tcW w:w="1120" w:type="dxa"/>
            <w:vAlign w:val="bottom"/>
          </w:tcPr>
          <w:p>
            <w:pPr>
              <w:jc w:val="right"/>
              <w:ind w:right="210"/>
              <w:spacing w:after="0"/>
              <w:rPr>
                <w:sz w:val="20"/>
                <w:szCs w:val="20"/>
                <w:color w:val="auto"/>
              </w:rPr>
            </w:pPr>
            <w:r>
              <w:rPr>
                <w:rFonts w:ascii="Calibri" w:cs="Calibri" w:eastAsia="Calibri" w:hAnsi="Calibri"/>
                <w:sz w:val="18"/>
                <w:szCs w:val="18"/>
                <w:color w:val="51555C"/>
              </w:rPr>
              <w:t>$74.07</w:t>
            </w:r>
          </w:p>
        </w:tc>
        <w:tc>
          <w:tcPr>
            <w:tcW w:w="1240" w:type="dxa"/>
            <w:vAlign w:val="bottom"/>
          </w:tcPr>
          <w:p>
            <w:pPr>
              <w:jc w:val="right"/>
              <w:ind w:right="270"/>
              <w:spacing w:after="0"/>
              <w:rPr>
                <w:sz w:val="20"/>
                <w:szCs w:val="20"/>
                <w:color w:val="auto"/>
              </w:rPr>
            </w:pPr>
            <w:r>
              <w:rPr>
                <w:rFonts w:ascii="Calibri" w:cs="Calibri" w:eastAsia="Calibri" w:hAnsi="Calibri"/>
                <w:sz w:val="18"/>
                <w:szCs w:val="18"/>
                <w:color w:val="51555C"/>
              </w:rPr>
              <w:t>$109.11</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$93.03</w:t>
            </w:r>
          </w:p>
        </w:tc>
        <w:tc>
          <w:tcPr>
            <w:tcW w:w="20" w:type="dxa"/>
            <w:vAlign w:val="bottom"/>
          </w:tcPr>
          <w:p>
            <w:pPr>
              <w:spacing w:after="0"/>
              <w:rPr>
                <w:sz w:val="19"/>
                <w:szCs w:val="19"/>
                <w:color w:val="auto"/>
              </w:rPr>
            </w:pPr>
          </w:p>
        </w:tc>
      </w:tr>
      <w:tr>
        <w:trPr>
          <w:trHeight w:val="270"/>
        </w:trPr>
        <w:tc>
          <w:tcPr>
            <w:tcW w:w="40" w:type="dxa"/>
            <w:vAlign w:val="bottom"/>
          </w:tcPr>
          <w:p>
            <w:pPr>
              <w:spacing w:after="0"/>
              <w:rPr>
                <w:sz w:val="23"/>
                <w:szCs w:val="23"/>
                <w:color w:val="auto"/>
              </w:rPr>
            </w:pPr>
          </w:p>
        </w:tc>
        <w:tc>
          <w:tcPr>
            <w:tcW w:w="3680" w:type="dxa"/>
            <w:vAlign w:val="bottom"/>
            <w:gridSpan w:val="2"/>
          </w:tcPr>
          <w:p>
            <w:pPr>
              <w:ind w:left="20"/>
              <w:spacing w:after="0"/>
              <w:rPr>
                <w:sz w:val="20"/>
                <w:szCs w:val="20"/>
                <w:color w:val="auto"/>
              </w:rPr>
            </w:pPr>
            <w:r>
              <w:rPr>
                <w:rFonts w:ascii="Calibri" w:cs="Calibri" w:eastAsia="Calibri" w:hAnsi="Calibri"/>
                <w:sz w:val="18"/>
                <w:szCs w:val="18"/>
                <w:color w:val="51555C"/>
              </w:rPr>
              <w:t>Nasdaq Composite Index</w:t>
            </w:r>
          </w:p>
        </w:tc>
        <w:tc>
          <w:tcPr>
            <w:tcW w:w="1940" w:type="dxa"/>
            <w:vAlign w:val="bottom"/>
          </w:tcPr>
          <w:p>
            <w:pPr>
              <w:jc w:val="right"/>
              <w:ind w:right="230"/>
              <w:spacing w:after="0"/>
              <w:rPr>
                <w:sz w:val="20"/>
                <w:szCs w:val="20"/>
                <w:color w:val="auto"/>
              </w:rPr>
            </w:pPr>
            <w:r>
              <w:rPr>
                <w:rFonts w:ascii="Calibri" w:cs="Calibri" w:eastAsia="Calibri" w:hAnsi="Calibri"/>
                <w:sz w:val="18"/>
                <w:szCs w:val="18"/>
                <w:color w:val="51555C"/>
              </w:rPr>
              <w:t>100.00</w:t>
            </w:r>
          </w:p>
        </w:tc>
        <w:tc>
          <w:tcPr>
            <w:tcW w:w="1160" w:type="dxa"/>
            <w:vAlign w:val="bottom"/>
          </w:tcPr>
          <w:p>
            <w:pPr>
              <w:jc w:val="right"/>
              <w:ind w:right="230"/>
              <w:spacing w:after="0"/>
              <w:rPr>
                <w:sz w:val="20"/>
                <w:szCs w:val="20"/>
                <w:color w:val="auto"/>
              </w:rPr>
            </w:pPr>
            <w:r>
              <w:rPr>
                <w:rFonts w:ascii="Calibri" w:cs="Calibri" w:eastAsia="Calibri" w:hAnsi="Calibri"/>
                <w:sz w:val="18"/>
                <w:szCs w:val="18"/>
                <w:color w:val="51555C"/>
              </w:rPr>
              <w:t>144.92</w:t>
            </w:r>
          </w:p>
        </w:tc>
        <w:tc>
          <w:tcPr>
            <w:tcW w:w="1180" w:type="dxa"/>
            <w:vAlign w:val="bottom"/>
          </w:tcPr>
          <w:p>
            <w:pPr>
              <w:jc w:val="right"/>
              <w:ind w:right="250"/>
              <w:spacing w:after="0"/>
              <w:rPr>
                <w:sz w:val="20"/>
                <w:szCs w:val="20"/>
                <w:color w:val="auto"/>
              </w:rPr>
            </w:pPr>
            <w:r>
              <w:rPr>
                <w:rFonts w:ascii="Calibri" w:cs="Calibri" w:eastAsia="Calibri" w:hAnsi="Calibri"/>
                <w:sz w:val="18"/>
                <w:szCs w:val="18"/>
                <w:color w:val="51555C"/>
              </w:rPr>
              <w:t>177.06</w:t>
            </w:r>
          </w:p>
        </w:tc>
        <w:tc>
          <w:tcPr>
            <w:tcW w:w="1120" w:type="dxa"/>
            <w:vAlign w:val="bottom"/>
          </w:tcPr>
          <w:p>
            <w:pPr>
              <w:jc w:val="right"/>
              <w:ind w:right="210"/>
              <w:spacing w:after="0"/>
              <w:rPr>
                <w:sz w:val="20"/>
                <w:szCs w:val="20"/>
                <w:color w:val="auto"/>
              </w:rPr>
            </w:pPr>
            <w:r>
              <w:rPr>
                <w:rFonts w:ascii="Calibri" w:cs="Calibri" w:eastAsia="Calibri" w:hAnsi="Calibri"/>
                <w:sz w:val="18"/>
                <w:szCs w:val="18"/>
                <w:color w:val="51555C"/>
              </w:rPr>
              <w:t>119.45</w:t>
            </w:r>
          </w:p>
        </w:tc>
        <w:tc>
          <w:tcPr>
            <w:tcW w:w="1240" w:type="dxa"/>
            <w:vAlign w:val="bottom"/>
          </w:tcPr>
          <w:p>
            <w:pPr>
              <w:jc w:val="right"/>
              <w:ind w:right="270"/>
              <w:spacing w:after="0"/>
              <w:rPr>
                <w:sz w:val="20"/>
                <w:szCs w:val="20"/>
                <w:color w:val="auto"/>
              </w:rPr>
            </w:pPr>
            <w:r>
              <w:rPr>
                <w:rFonts w:ascii="Calibri" w:cs="Calibri" w:eastAsia="Calibri" w:hAnsi="Calibri"/>
                <w:sz w:val="18"/>
                <w:szCs w:val="18"/>
                <w:color w:val="51555C"/>
              </w:rPr>
              <w:t>172.77</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223.87</w:t>
            </w:r>
          </w:p>
        </w:tc>
        <w:tc>
          <w:tcPr>
            <w:tcW w:w="20" w:type="dxa"/>
            <w:vAlign w:val="bottom"/>
          </w:tcPr>
          <w:p>
            <w:pPr>
              <w:spacing w:after="0"/>
              <w:rPr>
                <w:sz w:val="23"/>
                <w:szCs w:val="23"/>
                <w:color w:val="auto"/>
              </w:rPr>
            </w:pPr>
          </w:p>
        </w:tc>
      </w:tr>
      <w:tr>
        <w:trPr>
          <w:trHeight w:val="51"/>
        </w:trPr>
        <w:tc>
          <w:tcPr>
            <w:tcW w:w="40" w:type="dxa"/>
            <w:vAlign w:val="bottom"/>
          </w:tcPr>
          <w:p>
            <w:pPr>
              <w:spacing w:after="0"/>
              <w:rPr>
                <w:sz w:val="4"/>
                <w:szCs w:val="4"/>
                <w:color w:val="auto"/>
              </w:rPr>
            </w:pPr>
          </w:p>
        </w:tc>
        <w:tc>
          <w:tcPr>
            <w:tcW w:w="3680" w:type="dxa"/>
            <w:vAlign w:val="bottom"/>
            <w:gridSpan w:val="2"/>
          </w:tcPr>
          <w:p>
            <w:pPr>
              <w:spacing w:after="0"/>
              <w:rPr>
                <w:sz w:val="4"/>
                <w:szCs w:val="4"/>
                <w:color w:val="auto"/>
              </w:rPr>
            </w:pPr>
          </w:p>
        </w:tc>
        <w:tc>
          <w:tcPr>
            <w:tcW w:w="1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3680" w:type="dxa"/>
            <w:vAlign w:val="bottom"/>
            <w:tcBorders>
              <w:bottom w:val="single" w:sz="8" w:color="F4F4F4"/>
            </w:tcBorders>
            <w:gridSpan w:val="2"/>
            <w:shd w:val="clear" w:color="auto" w:fill="F4F4F4"/>
          </w:tcPr>
          <w:p>
            <w:pPr>
              <w:ind w:left="20"/>
              <w:spacing w:after="0"/>
              <w:rPr>
                <w:sz w:val="20"/>
                <w:szCs w:val="20"/>
                <w:color w:val="auto"/>
              </w:rPr>
            </w:pPr>
            <w:r>
              <w:rPr>
                <w:rFonts w:ascii="Calibri" w:cs="Calibri" w:eastAsia="Calibri" w:hAnsi="Calibri"/>
                <w:sz w:val="18"/>
                <w:szCs w:val="18"/>
                <w:color w:val="51555C"/>
              </w:rPr>
              <w:t>Nasdaq Computer Index</w:t>
            </w:r>
          </w:p>
        </w:tc>
        <w:tc>
          <w:tcPr>
            <w:tcW w:w="1940" w:type="dxa"/>
            <w:vAlign w:val="bottom"/>
            <w:tcBorders>
              <w:bottom w:val="single" w:sz="8" w:color="F4F4F4"/>
            </w:tcBorders>
            <w:shd w:val="clear" w:color="auto" w:fill="F4F4F4"/>
          </w:tcPr>
          <w:p>
            <w:pPr>
              <w:jc w:val="right"/>
              <w:ind w:right="230"/>
              <w:spacing w:after="0"/>
              <w:rPr>
                <w:sz w:val="20"/>
                <w:szCs w:val="20"/>
                <w:color w:val="auto"/>
              </w:rPr>
            </w:pPr>
            <w:r>
              <w:rPr>
                <w:rFonts w:ascii="Calibri" w:cs="Calibri" w:eastAsia="Calibri" w:hAnsi="Calibri"/>
                <w:sz w:val="18"/>
                <w:szCs w:val="18"/>
                <w:color w:val="51555C"/>
              </w:rPr>
              <w:t>100.00</w:t>
            </w:r>
          </w:p>
        </w:tc>
        <w:tc>
          <w:tcPr>
            <w:tcW w:w="1160" w:type="dxa"/>
            <w:vAlign w:val="bottom"/>
            <w:tcBorders>
              <w:bottom w:val="single" w:sz="8" w:color="F4F4F4"/>
            </w:tcBorders>
            <w:shd w:val="clear" w:color="auto" w:fill="F4F4F4"/>
          </w:tcPr>
          <w:p>
            <w:pPr>
              <w:jc w:val="right"/>
              <w:ind w:right="230"/>
              <w:spacing w:after="0"/>
              <w:rPr>
                <w:sz w:val="20"/>
                <w:szCs w:val="20"/>
                <w:color w:val="auto"/>
              </w:rPr>
            </w:pPr>
            <w:r>
              <w:rPr>
                <w:rFonts w:ascii="Calibri" w:cs="Calibri" w:eastAsia="Calibri" w:hAnsi="Calibri"/>
                <w:sz w:val="18"/>
                <w:szCs w:val="18"/>
                <w:color w:val="51555C"/>
              </w:rPr>
              <w:t>157.33</w:t>
            </w:r>
          </w:p>
        </w:tc>
        <w:tc>
          <w:tcPr>
            <w:tcW w:w="1180" w:type="dxa"/>
            <w:vAlign w:val="bottom"/>
            <w:tcBorders>
              <w:bottom w:val="single" w:sz="8" w:color="F4F4F4"/>
            </w:tcBorders>
            <w:shd w:val="clear" w:color="auto" w:fill="F4F4F4"/>
          </w:tcPr>
          <w:p>
            <w:pPr>
              <w:jc w:val="right"/>
              <w:ind w:right="250"/>
              <w:spacing w:after="0"/>
              <w:rPr>
                <w:sz w:val="20"/>
                <w:szCs w:val="20"/>
                <w:color w:val="auto"/>
              </w:rPr>
            </w:pPr>
            <w:r>
              <w:rPr>
                <w:rFonts w:ascii="Calibri" w:cs="Calibri" w:eastAsia="Calibri" w:hAnsi="Calibri"/>
                <w:sz w:val="18"/>
                <w:szCs w:val="18"/>
                <w:color w:val="51555C"/>
              </w:rPr>
              <w:t>199.80</w:t>
            </w:r>
          </w:p>
        </w:tc>
        <w:tc>
          <w:tcPr>
            <w:tcW w:w="1120" w:type="dxa"/>
            <w:vAlign w:val="bottom"/>
            <w:tcBorders>
              <w:bottom w:val="single" w:sz="8" w:color="F4F4F4"/>
            </w:tcBorders>
            <w:shd w:val="clear" w:color="auto" w:fill="F4F4F4"/>
          </w:tcPr>
          <w:p>
            <w:pPr>
              <w:jc w:val="right"/>
              <w:ind w:right="210"/>
              <w:spacing w:after="0"/>
              <w:rPr>
                <w:sz w:val="20"/>
                <w:szCs w:val="20"/>
                <w:color w:val="auto"/>
              </w:rPr>
            </w:pPr>
            <w:r>
              <w:rPr>
                <w:rFonts w:ascii="Calibri" w:cs="Calibri" w:eastAsia="Calibri" w:hAnsi="Calibri"/>
                <w:sz w:val="18"/>
                <w:szCs w:val="18"/>
                <w:color w:val="51555C"/>
              </w:rPr>
              <w:t>129.82</w:t>
            </w:r>
          </w:p>
        </w:tc>
        <w:tc>
          <w:tcPr>
            <w:tcW w:w="1240" w:type="dxa"/>
            <w:vAlign w:val="bottom"/>
            <w:tcBorders>
              <w:bottom w:val="single" w:sz="8" w:color="F4F4F4"/>
            </w:tcBorders>
            <w:shd w:val="clear" w:color="auto" w:fill="F4F4F4"/>
          </w:tcPr>
          <w:p>
            <w:pPr>
              <w:jc w:val="right"/>
              <w:ind w:right="270"/>
              <w:spacing w:after="0"/>
              <w:rPr>
                <w:sz w:val="20"/>
                <w:szCs w:val="20"/>
                <w:color w:val="auto"/>
              </w:rPr>
            </w:pPr>
            <w:r>
              <w:rPr>
                <w:rFonts w:ascii="Calibri" w:cs="Calibri" w:eastAsia="Calibri" w:hAnsi="Calibri"/>
                <w:sz w:val="18"/>
                <w:szCs w:val="18"/>
                <w:color w:val="51555C"/>
              </w:rPr>
              <w:t>212.86</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Calibri" w:cs="Calibri" w:eastAsia="Calibri" w:hAnsi="Calibri"/>
                <w:sz w:val="18"/>
                <w:szCs w:val="18"/>
                <w:color w:val="51555C"/>
              </w:rPr>
              <w:t>284.38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2280" w:type="dxa"/>
            <w:vAlign w:val="bottom"/>
            <w:shd w:val="clear" w:color="auto" w:fill="0CD973"/>
          </w:tcPr>
          <w:p>
            <w:pPr>
              <w:spacing w:after="0" w:line="20" w:lineRule="exact"/>
              <w:rPr>
                <w:sz w:val="1"/>
                <w:szCs w:val="1"/>
                <w:color w:val="auto"/>
              </w:rPr>
            </w:pPr>
          </w:p>
        </w:tc>
        <w:tc>
          <w:tcPr>
            <w:tcW w:w="194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2"/>
        </w:trPr>
        <w:tc>
          <w:tcPr>
            <w:tcW w:w="1440" w:type="dxa"/>
            <w:vAlign w:val="bottom"/>
            <w:gridSpan w:val="2"/>
          </w:tcPr>
          <w:p>
            <w:pPr>
              <w:jc w:val="right"/>
              <w:ind w:right="1170"/>
              <w:spacing w:after="0"/>
              <w:rPr>
                <w:sz w:val="20"/>
                <w:szCs w:val="20"/>
                <w:color w:val="auto"/>
              </w:rPr>
            </w:pPr>
            <w:r>
              <w:rPr>
                <w:rFonts w:ascii="Calibri" w:cs="Calibri" w:eastAsia="Calibri" w:hAnsi="Calibri"/>
                <w:sz w:val="14"/>
                <w:szCs w:val="14"/>
                <w:color w:val="51555C"/>
              </w:rPr>
              <w:t>34</w:t>
            </w:r>
          </w:p>
        </w:tc>
        <w:tc>
          <w:tcPr>
            <w:tcW w:w="2280" w:type="dxa"/>
            <w:vAlign w:val="bottom"/>
          </w:tcPr>
          <w:p>
            <w:pPr>
              <w:ind w:left="320"/>
              <w:spacing w:after="0"/>
              <w:rPr>
                <w:sz w:val="20"/>
                <w:szCs w:val="20"/>
                <w:color w:val="auto"/>
              </w:rPr>
            </w:pPr>
            <w:r>
              <w:rPr>
                <w:rFonts w:ascii="Calibri" w:cs="Calibri" w:eastAsia="Calibri" w:hAnsi="Calibri"/>
                <w:sz w:val="14"/>
                <w:szCs w:val="14"/>
                <w:color w:val="51555C"/>
              </w:rPr>
              <w:t>2024 Form 10-K</w:t>
            </w: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Issuer Purchases of Equity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provides informaton about shares of common stock acquired or repurchased during the three months ended December 31, 2024 under our stock repurchase program as then in efect, as well as common stock withheld by us to satsfy the minimum tax obligatons of employees due upon vestng of restricted stock awards and units.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Approximate</w:t>
            </w:r>
          </w:p>
        </w:tc>
        <w:tc>
          <w:tcPr>
            <w:tcW w:w="20" w:type="dxa"/>
            <w:vAlign w:val="bottom"/>
            <w:shd w:val="clear" w:color="auto" w:fill="004054"/>
          </w:tcPr>
          <w:p>
            <w:pPr>
              <w:spacing w:after="0"/>
              <w:rPr>
                <w:sz w:val="15"/>
                <w:szCs w:val="15"/>
                <w:color w:val="auto"/>
              </w:rPr>
            </w:pPr>
          </w:p>
        </w:tc>
      </w:tr>
      <w:tr>
        <w:trPr>
          <w:trHeight w:val="176"/>
        </w:trPr>
        <w:tc>
          <w:tcPr>
            <w:tcW w:w="52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 number</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dollar value</w:t>
            </w:r>
          </w:p>
        </w:tc>
        <w:tc>
          <w:tcPr>
            <w:tcW w:w="20" w:type="dxa"/>
            <w:vAlign w:val="bottom"/>
            <w:shd w:val="clear" w:color="auto" w:fill="004054"/>
          </w:tcPr>
          <w:p>
            <w:pPr>
              <w:spacing w:after="0"/>
              <w:rPr>
                <w:sz w:val="15"/>
                <w:szCs w:val="15"/>
                <w:color w:val="auto"/>
              </w:rPr>
            </w:pPr>
          </w:p>
        </w:tc>
      </w:tr>
      <w:tr>
        <w:trPr>
          <w:trHeight w:val="170"/>
        </w:trPr>
        <w:tc>
          <w:tcPr>
            <w:tcW w:w="52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860" w:type="dxa"/>
            <w:vAlign w:val="bottom"/>
            <w:shd w:val="clear" w:color="auto" w:fill="004054"/>
          </w:tcPr>
          <w:p>
            <w:pPr>
              <w:spacing w:after="0"/>
              <w:rPr>
                <w:sz w:val="14"/>
                <w:szCs w:val="14"/>
                <w:color w:val="auto"/>
              </w:rPr>
            </w:pPr>
          </w:p>
        </w:tc>
        <w:tc>
          <w:tcPr>
            <w:tcW w:w="3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20" w:type="dxa"/>
            <w:vAlign w:val="bottom"/>
            <w:shd w:val="clear" w:color="auto" w:fill="004054"/>
          </w:tcPr>
          <w:p>
            <w:pPr>
              <w:spacing w:after="0"/>
              <w:rPr>
                <w:sz w:val="14"/>
                <w:szCs w:val="14"/>
                <w:color w:val="auto"/>
              </w:rPr>
            </w:pPr>
          </w:p>
        </w:tc>
      </w:tr>
      <w:tr>
        <w:trPr>
          <w:trHeight w:val="176"/>
        </w:trPr>
        <w:tc>
          <w:tcPr>
            <w:tcW w:w="52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purchased as</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that may yet</w:t>
            </w:r>
          </w:p>
        </w:tc>
        <w:tc>
          <w:tcPr>
            <w:tcW w:w="20" w:type="dxa"/>
            <w:vAlign w:val="bottom"/>
            <w:shd w:val="clear" w:color="auto" w:fill="004054"/>
          </w:tcPr>
          <w:p>
            <w:pPr>
              <w:spacing w:after="0"/>
              <w:rPr>
                <w:sz w:val="15"/>
                <w:szCs w:val="15"/>
                <w:color w:val="auto"/>
              </w:rPr>
            </w:pPr>
          </w:p>
        </w:tc>
      </w:tr>
      <w:tr>
        <w:trPr>
          <w:trHeight w:val="168"/>
        </w:trPr>
        <w:tc>
          <w:tcPr>
            <w:tcW w:w="52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8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Average</w:t>
            </w:r>
          </w:p>
        </w:tc>
        <w:tc>
          <w:tcPr>
            <w:tcW w:w="3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part of</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be purchased</w:t>
            </w:r>
          </w:p>
        </w:tc>
        <w:tc>
          <w:tcPr>
            <w:tcW w:w="20" w:type="dxa"/>
            <w:vAlign w:val="bottom"/>
            <w:shd w:val="clear" w:color="auto" w:fill="004054"/>
          </w:tcPr>
          <w:p>
            <w:pPr>
              <w:spacing w:after="0"/>
              <w:rPr>
                <w:sz w:val="14"/>
                <w:szCs w:val="14"/>
                <w:color w:val="auto"/>
              </w:rPr>
            </w:pPr>
          </w:p>
        </w:tc>
      </w:tr>
      <w:tr>
        <w:trPr>
          <w:trHeight w:val="175"/>
        </w:trPr>
        <w:tc>
          <w:tcPr>
            <w:tcW w:w="52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price</w:t>
            </w:r>
          </w:p>
        </w:tc>
        <w:tc>
          <w:tcPr>
            <w:tcW w:w="3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publicly</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the</w:t>
            </w:r>
          </w:p>
        </w:tc>
        <w:tc>
          <w:tcPr>
            <w:tcW w:w="20" w:type="dxa"/>
            <w:vAlign w:val="bottom"/>
            <w:shd w:val="clear" w:color="auto" w:fill="004054"/>
          </w:tcPr>
          <w:p>
            <w:pPr>
              <w:spacing w:after="0"/>
              <w:rPr>
                <w:sz w:val="15"/>
                <w:szCs w:val="15"/>
                <w:color w:val="auto"/>
              </w:rPr>
            </w:pPr>
          </w:p>
        </w:tc>
      </w:tr>
      <w:tr>
        <w:trPr>
          <w:trHeight w:val="176"/>
        </w:trPr>
        <w:tc>
          <w:tcPr>
            <w:tcW w:w="52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paid</w:t>
            </w:r>
          </w:p>
        </w:tc>
        <w:tc>
          <w:tcPr>
            <w:tcW w:w="3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announced</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plans or</w:t>
            </w:r>
          </w:p>
        </w:tc>
        <w:tc>
          <w:tcPr>
            <w:tcW w:w="20" w:type="dxa"/>
            <w:vAlign w:val="bottom"/>
            <w:shd w:val="clear" w:color="auto" w:fill="004054"/>
          </w:tcPr>
          <w:p>
            <w:pPr>
              <w:spacing w:after="0"/>
              <w:rPr>
                <w:sz w:val="15"/>
                <w:szCs w:val="15"/>
                <w:color w:val="auto"/>
              </w:rPr>
            </w:pPr>
          </w:p>
        </w:tc>
      </w:tr>
      <w:tr>
        <w:trPr>
          <w:trHeight w:val="169"/>
        </w:trPr>
        <w:tc>
          <w:tcPr>
            <w:tcW w:w="52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of shares</w:t>
            </w:r>
          </w:p>
        </w:tc>
        <w:tc>
          <w:tcPr>
            <w:tcW w:w="10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86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per</w:t>
            </w:r>
          </w:p>
        </w:tc>
        <w:tc>
          <w:tcPr>
            <w:tcW w:w="3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plans or</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programs</w:t>
            </w:r>
          </w:p>
        </w:tc>
        <w:tc>
          <w:tcPr>
            <w:tcW w:w="20" w:type="dxa"/>
            <w:vAlign w:val="bottom"/>
            <w:shd w:val="clear" w:color="auto" w:fill="004054"/>
          </w:tcPr>
          <w:p>
            <w:pPr>
              <w:spacing w:after="0"/>
              <w:rPr>
                <w:sz w:val="14"/>
                <w:szCs w:val="14"/>
                <w:color w:val="auto"/>
              </w:rPr>
            </w:pPr>
          </w:p>
        </w:tc>
      </w:tr>
      <w:tr>
        <w:trPr>
          <w:trHeight w:val="230"/>
        </w:trPr>
        <w:tc>
          <w:tcPr>
            <w:tcW w:w="524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Period</w:t>
            </w:r>
          </w:p>
        </w:tc>
        <w:tc>
          <w:tcPr>
            <w:tcW w:w="1360" w:type="dxa"/>
            <w:vAlign w:val="bottom"/>
            <w:tcBorders>
              <w:bottom w:val="single" w:sz="8" w:color="004054"/>
            </w:tcBorders>
            <w:shd w:val="clear" w:color="auto" w:fill="004054"/>
          </w:tcPr>
          <w:p>
            <w:pPr>
              <w:jc w:val="right"/>
              <w:spacing w:after="0" w:line="216" w:lineRule="exact"/>
              <w:rPr>
                <w:sz w:val="20"/>
                <w:szCs w:val="20"/>
                <w:color w:val="auto"/>
              </w:rPr>
            </w:pPr>
            <w:r>
              <w:rPr>
                <w:rFonts w:ascii="Calibri" w:cs="Calibri" w:eastAsia="Calibri" w:hAnsi="Calibri"/>
                <w:sz w:val="14"/>
                <w:szCs w:val="14"/>
                <w:b w:val="1"/>
                <w:bCs w:val="1"/>
                <w:color w:val="FFFFFF"/>
              </w:rPr>
              <w:t>purchased</w:t>
            </w:r>
            <w:r>
              <w:rPr>
                <w:rFonts w:ascii="Calibri" w:cs="Calibri" w:eastAsia="Calibri" w:hAnsi="Calibri"/>
                <w:sz w:val="18"/>
                <w:szCs w:val="18"/>
                <w:b w:val="1"/>
                <w:bCs w:val="1"/>
                <w:color w:val="FFFFFF"/>
                <w:vertAlign w:val="superscript"/>
              </w:rPr>
              <w:t>(1)</w:t>
            </w:r>
          </w:p>
        </w:tc>
        <w:tc>
          <w:tcPr>
            <w:tcW w:w="100" w:type="dxa"/>
            <w:vAlign w:val="bottom"/>
            <w:tcBorders>
              <w:bottom w:val="single" w:sz="8" w:color="004054"/>
            </w:tcBorders>
            <w:shd w:val="clear" w:color="auto" w:fill="004054"/>
          </w:tcPr>
          <w:p>
            <w:pPr>
              <w:spacing w:after="0"/>
              <w:rPr>
                <w:sz w:val="20"/>
                <w:szCs w:val="20"/>
                <w:color w:val="auto"/>
              </w:rPr>
            </w:pPr>
          </w:p>
        </w:tc>
        <w:tc>
          <w:tcPr>
            <w:tcW w:w="500" w:type="dxa"/>
            <w:vAlign w:val="bottom"/>
            <w:tcBorders>
              <w:bottom w:val="single" w:sz="8" w:color="004054"/>
            </w:tcBorders>
            <w:shd w:val="clear" w:color="auto" w:fill="004054"/>
          </w:tcPr>
          <w:p>
            <w:pPr>
              <w:spacing w:after="0"/>
              <w:rPr>
                <w:sz w:val="20"/>
                <w:szCs w:val="20"/>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w:t>
            </w:r>
          </w:p>
        </w:tc>
        <w:tc>
          <w:tcPr>
            <w:tcW w:w="340" w:type="dxa"/>
            <w:vAlign w:val="bottom"/>
            <w:tcBorders>
              <w:bottom w:val="single" w:sz="8" w:color="004054"/>
            </w:tcBorders>
            <w:shd w:val="clear" w:color="auto" w:fill="004054"/>
          </w:tcPr>
          <w:p>
            <w:pPr>
              <w:spacing w:after="0"/>
              <w:rPr>
                <w:sz w:val="20"/>
                <w:szCs w:val="20"/>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programs</w:t>
            </w:r>
          </w:p>
        </w:tc>
        <w:tc>
          <w:tcPr>
            <w:tcW w:w="120" w:type="dxa"/>
            <w:vAlign w:val="bottom"/>
            <w:tcBorders>
              <w:bottom w:val="single" w:sz="8" w:color="004054"/>
            </w:tcBorders>
            <w:shd w:val="clear" w:color="auto" w:fill="004054"/>
          </w:tcPr>
          <w:p>
            <w:pPr>
              <w:spacing w:after="0"/>
              <w:rPr>
                <w:sz w:val="20"/>
                <w:szCs w:val="20"/>
                <w:color w:val="auto"/>
              </w:rPr>
            </w:pPr>
          </w:p>
        </w:tc>
        <w:tc>
          <w:tcPr>
            <w:tcW w:w="240" w:type="dxa"/>
            <w:vAlign w:val="bottom"/>
            <w:tcBorders>
              <w:bottom w:val="single" w:sz="8" w:color="004054"/>
            </w:tcBorders>
            <w:shd w:val="clear" w:color="auto" w:fill="004054"/>
          </w:tcPr>
          <w:p>
            <w:pPr>
              <w:spacing w:after="0"/>
              <w:rPr>
                <w:sz w:val="20"/>
                <w:szCs w:val="20"/>
                <w:color w:val="auto"/>
              </w:rPr>
            </w:pPr>
          </w:p>
        </w:tc>
        <w:tc>
          <w:tcPr>
            <w:tcW w:w="1120" w:type="dxa"/>
            <w:vAlign w:val="bottom"/>
            <w:tcBorders>
              <w:bottom w:val="single" w:sz="8" w:color="004054"/>
            </w:tcBorders>
            <w:shd w:val="clear" w:color="auto" w:fill="004054"/>
          </w:tcPr>
          <w:p>
            <w:pPr>
              <w:jc w:val="right"/>
              <w:spacing w:after="0" w:line="216" w:lineRule="exact"/>
              <w:rPr>
                <w:sz w:val="20"/>
                <w:szCs w:val="20"/>
                <w:color w:val="auto"/>
              </w:rPr>
            </w:pPr>
            <w:r>
              <w:rPr>
                <w:rFonts w:ascii="Calibri" w:cs="Calibri" w:eastAsia="Calibri" w:hAnsi="Calibri"/>
                <w:sz w:val="14"/>
                <w:szCs w:val="14"/>
                <w:b w:val="1"/>
                <w:bCs w:val="1"/>
                <w:color w:val="FFFFFF"/>
              </w:rPr>
              <w:t>(in thousands)</w:t>
            </w:r>
            <w:r>
              <w:rPr>
                <w:rFonts w:ascii="Calibri" w:cs="Calibri" w:eastAsia="Calibri" w:hAnsi="Calibri"/>
                <w:sz w:val="18"/>
                <w:szCs w:val="18"/>
                <w:b w:val="1"/>
                <w:bCs w:val="1"/>
                <w:color w:val="FFFFFF"/>
                <w:vertAlign w:val="superscript"/>
              </w:rPr>
              <w:t>(2)</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50"/>
        </w:trPr>
        <w:tc>
          <w:tcPr>
            <w:tcW w:w="5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Beginning balance, October 1, 2024</w:t>
            </w: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737,188</w:t>
            </w:r>
          </w:p>
        </w:tc>
        <w:tc>
          <w:tcPr>
            <w:tcW w:w="20" w:type="dxa"/>
            <w:vAlign w:val="bottom"/>
          </w:tcPr>
          <w:p>
            <w:pPr>
              <w:spacing w:after="0"/>
              <w:rPr>
                <w:sz w:val="21"/>
                <w:szCs w:val="21"/>
                <w:color w:val="auto"/>
              </w:rPr>
            </w:pPr>
          </w:p>
        </w:tc>
      </w:tr>
      <w:tr>
        <w:trPr>
          <w:trHeight w:val="235"/>
        </w:trPr>
        <w:tc>
          <w:tcPr>
            <w:tcW w:w="5240" w:type="dxa"/>
            <w:vAlign w:val="bottom"/>
          </w:tcPr>
          <w:p>
            <w:pPr>
              <w:ind w:left="20"/>
              <w:spacing w:after="0"/>
              <w:rPr>
                <w:sz w:val="20"/>
                <w:szCs w:val="20"/>
                <w:color w:val="auto"/>
              </w:rPr>
            </w:pPr>
            <w:r>
              <w:rPr>
                <w:rFonts w:ascii="Calibri" w:cs="Calibri" w:eastAsia="Calibri" w:hAnsi="Calibri"/>
                <w:sz w:val="18"/>
                <w:szCs w:val="18"/>
                <w:color w:val="51555C"/>
              </w:rPr>
              <w:t>October 1, 2024 through October 31, 2024</w:t>
            </w: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710,974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200" w:type="dxa"/>
            <w:vAlign w:val="bottom"/>
            <w:gridSpan w:val="2"/>
          </w:tcPr>
          <w:p>
            <w:pPr>
              <w:ind w:left="400"/>
              <w:spacing w:after="0"/>
              <w:rPr>
                <w:sz w:val="20"/>
                <w:szCs w:val="20"/>
                <w:color w:val="auto"/>
              </w:rPr>
            </w:pPr>
            <w:r>
              <w:rPr>
                <w:rFonts w:ascii="Calibri" w:cs="Calibri" w:eastAsia="Calibri" w:hAnsi="Calibri"/>
                <w:sz w:val="18"/>
                <w:szCs w:val="18"/>
                <w:color w:val="51555C"/>
              </w:rPr>
              <w:t xml:space="preserve">25.74 </w:t>
            </w:r>
            <w:r>
              <w:rPr>
                <w:rFonts w:ascii="Calibri" w:cs="Calibri" w:eastAsia="Calibri" w:hAnsi="Calibri"/>
                <w:sz w:val="18"/>
                <w:szCs w:val="18"/>
                <w:color w:val="51555C"/>
                <w:vertAlign w:val="superscript"/>
              </w:rPr>
              <w:t>(3)</w:t>
            </w: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710,974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718,886</w:t>
            </w:r>
          </w:p>
        </w:tc>
        <w:tc>
          <w:tcPr>
            <w:tcW w:w="20" w:type="dxa"/>
            <w:vAlign w:val="bottom"/>
          </w:tcPr>
          <w:p>
            <w:pPr>
              <w:spacing w:after="0"/>
              <w:rPr>
                <w:sz w:val="20"/>
                <w:szCs w:val="20"/>
                <w:color w:val="auto"/>
              </w:rPr>
            </w:pPr>
          </w:p>
        </w:tc>
      </w:tr>
      <w:tr>
        <w:trPr>
          <w:trHeight w:val="35"/>
        </w:trPr>
        <w:tc>
          <w:tcPr>
            <w:tcW w:w="5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5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November 1, 2024 through November 30, 2024</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899,327</w:t>
            </w: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ind w:left="400"/>
              <w:spacing w:after="0"/>
              <w:rPr>
                <w:sz w:val="20"/>
                <w:szCs w:val="20"/>
                <w:color w:val="auto"/>
              </w:rPr>
            </w:pPr>
            <w:r>
              <w:rPr>
                <w:rFonts w:ascii="Calibri" w:cs="Calibri" w:eastAsia="Calibri" w:hAnsi="Calibri"/>
                <w:sz w:val="18"/>
                <w:szCs w:val="18"/>
                <w:color w:val="51555C"/>
              </w:rPr>
              <w:t>83.55</w:t>
            </w:r>
          </w:p>
        </w:tc>
        <w:tc>
          <w:tcPr>
            <w:tcW w:w="3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889,480</w:t>
            </w: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644,562</w:t>
            </w:r>
          </w:p>
        </w:tc>
        <w:tc>
          <w:tcPr>
            <w:tcW w:w="20" w:type="dxa"/>
            <w:vAlign w:val="bottom"/>
          </w:tcPr>
          <w:p>
            <w:pPr>
              <w:spacing w:after="0"/>
              <w:rPr>
                <w:sz w:val="21"/>
                <w:szCs w:val="21"/>
                <w:color w:val="auto"/>
              </w:rPr>
            </w:pPr>
          </w:p>
        </w:tc>
      </w:tr>
      <w:tr>
        <w:trPr>
          <w:trHeight w:val="220"/>
        </w:trPr>
        <w:tc>
          <w:tcPr>
            <w:tcW w:w="5240" w:type="dxa"/>
            <w:vAlign w:val="bottom"/>
          </w:tcPr>
          <w:p>
            <w:pPr>
              <w:ind w:left="20"/>
              <w:spacing w:after="0"/>
              <w:rPr>
                <w:sz w:val="20"/>
                <w:szCs w:val="20"/>
                <w:color w:val="auto"/>
              </w:rPr>
            </w:pPr>
            <w:r>
              <w:rPr>
                <w:rFonts w:ascii="Calibri" w:cs="Calibri" w:eastAsia="Calibri" w:hAnsi="Calibri"/>
                <w:sz w:val="18"/>
                <w:szCs w:val="18"/>
                <w:color w:val="51555C"/>
              </w:rPr>
              <w:t>December 1, 2024 through December 31, 2024</w:t>
            </w: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762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ind w:left="400"/>
              <w:spacing w:after="0"/>
              <w:rPr>
                <w:sz w:val="20"/>
                <w:szCs w:val="20"/>
                <w:color w:val="auto"/>
              </w:rPr>
            </w:pPr>
            <w:r>
              <w:rPr>
                <w:rFonts w:ascii="Calibri" w:cs="Calibri" w:eastAsia="Calibri" w:hAnsi="Calibri"/>
                <w:sz w:val="18"/>
                <w:szCs w:val="18"/>
                <w:color w:val="51555C"/>
              </w:rPr>
              <w:t>78.13</w:t>
            </w: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644,562</w:t>
            </w:r>
          </w:p>
        </w:tc>
        <w:tc>
          <w:tcPr>
            <w:tcW w:w="20" w:type="dxa"/>
            <w:vAlign w:val="bottom"/>
          </w:tcPr>
          <w:p>
            <w:pPr>
              <w:spacing w:after="0"/>
              <w:rPr>
                <w:sz w:val="19"/>
                <w:szCs w:val="19"/>
                <w:color w:val="auto"/>
              </w:rPr>
            </w:pPr>
          </w:p>
        </w:tc>
      </w:tr>
      <w:tr>
        <w:trPr>
          <w:trHeight w:val="50"/>
        </w:trPr>
        <w:tc>
          <w:tcPr>
            <w:tcW w:w="524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4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524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1,611,063</w:t>
            </w: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ind w:left="400"/>
              <w:spacing w:after="0" w:line="213" w:lineRule="exact"/>
              <w:rPr>
                <w:sz w:val="20"/>
                <w:szCs w:val="20"/>
                <w:color w:val="auto"/>
              </w:rPr>
            </w:pPr>
            <w:r>
              <w:rPr>
                <w:rFonts w:ascii="Calibri" w:cs="Calibri" w:eastAsia="Calibri" w:hAnsi="Calibri"/>
                <w:sz w:val="18"/>
                <w:szCs w:val="18"/>
                <w:color w:val="51555C"/>
              </w:rPr>
              <w:t>58.04</w:t>
            </w:r>
          </w:p>
        </w:tc>
        <w:tc>
          <w:tcPr>
            <w:tcW w:w="3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1,600,454</w:t>
            </w: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644,562</w:t>
            </w:r>
          </w:p>
        </w:tc>
        <w:tc>
          <w:tcPr>
            <w:tcW w:w="20" w:type="dxa"/>
            <w:vAlign w:val="bottom"/>
          </w:tcPr>
          <w:p>
            <w:pPr>
              <w:spacing w:after="0"/>
              <w:rPr>
                <w:sz w:val="21"/>
                <w:szCs w:val="21"/>
                <w:color w:val="auto"/>
              </w:rPr>
            </w:pPr>
          </w:p>
        </w:tc>
      </w:tr>
      <w:tr>
        <w:trPr>
          <w:trHeight w:val="20"/>
        </w:trPr>
        <w:tc>
          <w:tcPr>
            <w:tcW w:w="524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 w:lineRule="exact"/>
        <w:rPr>
          <w:sz w:val="20"/>
          <w:szCs w:val="20"/>
          <w:color w:val="auto"/>
        </w:rPr>
      </w:pPr>
    </w:p>
    <w:p>
      <w:pPr>
        <w:ind w:left="340" w:right="40" w:hanging="332"/>
        <w:spacing w:after="0" w:line="245" w:lineRule="auto"/>
        <w:tabs>
          <w:tab w:leader="none" w:pos="338"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Includes 10,609 shares (9,847 in November and 762 in December) withheld by us to satsfy the minimum tax obligatons of employees due upon vestng of restricted stock awards and units. The level of this acquisiton actvity varies from period to period based upon the tming of award grants and vestng.</w:t>
      </w:r>
    </w:p>
    <w:p>
      <w:pPr>
        <w:spacing w:after="0" w:line="2" w:lineRule="exact"/>
        <w:rPr>
          <w:rFonts w:ascii="Calibri" w:cs="Calibri" w:eastAsia="Calibri" w:hAnsi="Calibri"/>
          <w:sz w:val="14"/>
          <w:szCs w:val="14"/>
          <w:color w:val="51555C"/>
        </w:rPr>
      </w:pPr>
    </w:p>
    <w:p>
      <w:pPr>
        <w:ind w:left="340" w:right="20" w:hanging="332"/>
        <w:spacing w:after="0" w:line="245" w:lineRule="auto"/>
        <w:tabs>
          <w:tab w:leader="none" w:pos="338"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 July 2024, our Board of Directors reauthorized, expanded and replenished our stock repurchase program by raising the total capacity under the program from $500.0 million to $800.0 million available for repurchases. The program does not have an expiraton date.</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Includes the setlement of the ASR in October 2024 in which no cash was exchanged (see discussion on page 56).</w:t>
      </w:r>
    </w:p>
    <w:p>
      <w:pPr>
        <w:spacing w:after="0" w:line="19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not declared or paid any cash dividends on our common stock since the frst quarter of 2020, and we do not presently plan to pay cash dividends on our common stock in the foreseeable future. Payment of future cash dividends, if any, will be at the discreton of our board of directors afer taking into account various factors, including our fnancial conditon, operatng results, current and antcipated cash needs, outstanding indebtedness, plans for expansion and restrictons imposed by our debt arrangements, if any.</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229870</wp:posOffset>
            </wp:positionV>
            <wp:extent cx="7289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29"/>
          <w:szCs w:val="29"/>
          <w:b w:val="1"/>
          <w:bCs w:val="1"/>
          <w:color w:val="004054"/>
        </w:rPr>
        <w:t>ITEM 7. MANAGEMENT'S DISCUSSION AND ANALYSIS OF FINANCIAL CONDITION AND RESULTS OF OPERATIONS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The following discussion and analysis of our fnancial conditon and results of operatons should be read in conjuncton with Item 1A Risk factors and our consolidated fnancial statements and related notes included elsewhere in this Annual Report on Form 10-K. The following discussion and analysis presents fnancial informaton denominated in millions of dollars which can lead to diferences from rounding when compared to similar informaton contained in the consolidated fnancial statements and related notes, which are primarily denominated in thousands of dollars.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Executve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India and the United Kingdom, supportng users in 100+ countries.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revenue is primarily generated from the following sources: (i) charging for the use of our sofware solutons in cloud and hosted environments; and (ii) providing payment and transacton services.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Update on Five Key Operatonal Initatves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early 2023, we outlined fve key operatonal initatves targeted to drive innovaton, bookings growth, revenue expansion and lower costs. During 2024, we contnued to execute on these key initatves.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135255</wp:posOffset>
            </wp:positionV>
            <wp:extent cx="26543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06" w:lineRule="exact"/>
        <w:rPr>
          <w:sz w:val="20"/>
          <w:szCs w:val="20"/>
          <w:color w:val="auto"/>
        </w:rPr>
      </w:pPr>
    </w:p>
    <w:p>
      <w:pPr>
        <w:ind w:left="1300" w:hanging="466"/>
        <w:spacing w:after="0"/>
        <w:tabs>
          <w:tab w:leader="none" w:pos="1300" w:val="left"/>
        </w:tabs>
        <w:numPr>
          <w:ilvl w:val="2"/>
          <w:numId w:val="18"/>
        </w:numPr>
        <w:rPr>
          <w:rFonts w:ascii="Calibri" w:cs="Calibri" w:eastAsia="Calibri" w:hAnsi="Calibri"/>
          <w:sz w:val="18"/>
          <w:szCs w:val="18"/>
          <w:b w:val="1"/>
          <w:bCs w:val="1"/>
          <w:color w:val="FFFFFF"/>
        </w:rPr>
      </w:pPr>
      <w:r>
        <w:rPr>
          <w:rFonts w:ascii="Calibri" w:cs="Calibri" w:eastAsia="Calibri" w:hAnsi="Calibri"/>
          <w:sz w:val="18"/>
          <w:szCs w:val="18"/>
          <w:b w:val="1"/>
          <w:bCs w:val="1"/>
          <w:color w:val="51555C"/>
        </w:rPr>
        <w:t>Product Innovaton and Delivery</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2</w:t>
      </w:r>
      <w:r>
        <w:rPr>
          <w:rFonts w:ascii="Calibri" w:cs="Calibri" w:eastAsia="Calibri" w:hAnsi="Calibri"/>
          <w:sz w:val="17"/>
          <w:szCs w:val="17"/>
          <w:b w:val="1"/>
          <w:bCs w:val="1"/>
          <w:color w:val="51555C"/>
        </w:rPr>
        <w:t>Bookings Growth and Acceleraton</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3</w:t>
      </w:r>
      <w:r>
        <w:rPr>
          <w:rFonts w:ascii="Calibri" w:cs="Calibri" w:eastAsia="Calibri" w:hAnsi="Calibri"/>
          <w:sz w:val="18"/>
          <w:szCs w:val="18"/>
          <w:b w:val="1"/>
          <w:bCs w:val="1"/>
          <w:color w:val="51555C"/>
        </w:rPr>
        <w:t>Transactonal Revenue Optmizaton and Expansion</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4</w:t>
      </w:r>
      <w:r>
        <w:rPr>
          <w:rFonts w:ascii="Calibri" w:cs="Calibri" w:eastAsia="Calibri" w:hAnsi="Calibri"/>
          <w:sz w:val="17"/>
          <w:szCs w:val="17"/>
          <w:b w:val="1"/>
          <w:bCs w:val="1"/>
          <w:color w:val="51555C"/>
        </w:rPr>
        <w:t>Modernized Approach to Pricing and Mult-Year Customer Contracts</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5</w:t>
      </w:r>
      <w:r>
        <w:rPr>
          <w:rFonts w:ascii="Calibri" w:cs="Calibri" w:eastAsia="Calibri" w:hAnsi="Calibri"/>
          <w:sz w:val="17"/>
          <w:szCs w:val="17"/>
          <w:b w:val="1"/>
          <w:bCs w:val="1"/>
          <w:color w:val="51555C"/>
        </w:rPr>
        <w:t>Keen Atenton to Cost Management</w:t>
      </w:r>
    </w:p>
    <w:p>
      <w:pPr>
        <w:spacing w:after="0" w:line="306" w:lineRule="exact"/>
        <w:rPr>
          <w:rFonts w:ascii="Calibri" w:cs="Calibri" w:eastAsia="Calibri" w:hAnsi="Calibri"/>
          <w:sz w:val="18"/>
          <w:szCs w:val="18"/>
          <w:b w:val="1"/>
          <w:bCs w:val="1"/>
          <w:color w:val="FFFFFF"/>
        </w:rPr>
      </w:pPr>
    </w:p>
    <w:p>
      <w:pPr>
        <w:ind w:left="320" w:hanging="312"/>
        <w:spacing w:after="0"/>
        <w:tabs>
          <w:tab w:leader="none" w:pos="320" w:val="left"/>
        </w:tabs>
        <w:numPr>
          <w:ilvl w:val="0"/>
          <w:numId w:val="18"/>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Product Innovaton and Delivery</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To maintain our market leadership positon, we are acceleratng the pace of innovaton and new feature delivery to our customers. Our focus has been on two areas, artfcial intelligence (AI) and enhancements that contnue to improve the connectvity of our suite of solutons. These enhancements are aimed at improving fundraising outcomes while reducing the administratve burden of our end users. Some examples include:</w:t>
      </w:r>
    </w:p>
    <w:p>
      <w:pPr>
        <w:spacing w:after="0" w:line="164" w:lineRule="exact"/>
        <w:rPr>
          <w:rFonts w:ascii="Calibri" w:cs="Calibri" w:eastAsia="Calibri" w:hAnsi="Calibri"/>
          <w:sz w:val="18"/>
          <w:szCs w:val="18"/>
          <w:i w:val="1"/>
          <w:iCs w:val="1"/>
          <w:color w:val="51555C"/>
        </w:rPr>
      </w:pPr>
    </w:p>
    <w:p>
      <w:pPr>
        <w:jc w:val="both"/>
        <w:ind w:left="660" w:hanging="328"/>
        <w:spacing w:after="0" w:line="235"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We have released a number of AI capabilites in our solutons, including generatve AI functonality for our JustGiving platorm. During 2024, we released generatve AI capabilites for Raiser’s Edge NXT®, and we expect that Blackbaud Copilot will be available to our Raiser's Edge NXT customers soon. Using Blackbaud Copilot, users can ask ad hoc questons such as “How can I improve my average donaton size?” and the tool will provide intelligent responses as well as recommended actons intended to drive that outcome.</w:t>
      </w:r>
    </w:p>
    <w:p>
      <w:pPr>
        <w:spacing w:after="0" w:line="165"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During 2024, our Online Giving and Prospect Insights capabilites were natvely integrated into Raiser's Edge NXT. With these integratons, fundraising administrators can now drive a giving campaign, keep records of each donor interacton, identfy new donaton opportunites, and provide personalized messaging, all in one integrated experience.</w:t>
      </w:r>
    </w:p>
    <w:p>
      <w:pPr>
        <w:spacing w:after="0" w:line="164"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During 2024, we released our new optmized donaton forms for Raiser's Edge NXT, Blackbaud CRM and Blackbaud Altru that fully integrate with our payment processing and CRM sofware. We expect these forms to drive higher revenue for our customers and for Blackbaud.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-3335655</wp:posOffset>
            </wp:positionV>
            <wp:extent cx="26543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-3070225</wp:posOffset>
            </wp:positionV>
            <wp:extent cx="26543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-2804160</wp:posOffset>
            </wp:positionV>
            <wp:extent cx="26543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-2538730</wp:posOffset>
            </wp:positionV>
            <wp:extent cx="26543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9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36</w:t>
      </w:r>
      <w:r>
        <w:rPr>
          <w:sz w:val="20"/>
          <w:szCs w:val="20"/>
          <w:color w:val="auto"/>
        </w:rPr>
        <w:tab/>
      </w:r>
      <w:r>
        <w:rPr>
          <w:sz w:val="1"/>
          <w:szCs w:val="1"/>
          <w:color w:val="auto"/>
        </w:rPr>
        <w:drawing>
          <wp:inline distT="0" distB="0" distL="0" distR="0">
            <wp:extent cx="728345" cy="1885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We are delivering more innovaton, evolving our products and ensuring our customers receive more value from our solutons.</w:t>
      </w:r>
    </w:p>
    <w:p>
      <w:pPr>
        <w:spacing w:after="0" w:line="158" w:lineRule="exact"/>
        <w:rPr>
          <w:sz w:val="20"/>
          <w:szCs w:val="20"/>
          <w:color w:val="auto"/>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Bookings Growth and Acceleraton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maintain a keen focus on acceleratng bookings growth by signing new logos as well as upselling and cross-selling our existng customer base. Our sales team is split between prospect account executves dedicated to prospectng for new clients and customer account executves who focus on selling additonal products to current customers. Given the breadth of our product portolio, this “land and expand” model has proven successful for us over tme. As previously disclosed, there can be volatlity quarter-to-quarter on bookings.</w:t>
      </w:r>
    </w:p>
    <w:p>
      <w:pPr>
        <w:spacing w:after="0" w:line="160"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Transactonal Revenue Optmizaton and Expansion</w:t>
      </w:r>
    </w:p>
    <w:p>
      <w:pPr>
        <w:spacing w:after="0" w:line="163" w:lineRule="exact"/>
        <w:rPr>
          <w:rFonts w:ascii="Calibri" w:cs="Calibri" w:eastAsia="Calibri" w:hAnsi="Calibri"/>
          <w:sz w:val="18"/>
          <w:szCs w:val="18"/>
          <w:i w:val="1"/>
          <w:iCs w:val="1"/>
          <w:color w:val="51555C"/>
        </w:rPr>
      </w:pPr>
    </w:p>
    <w:p>
      <w:pPr>
        <w:jc w:val="both"/>
        <w:ind w:left="340"/>
        <w:spacing w:after="0" w:line="251" w:lineRule="auto"/>
        <w:rPr>
          <w:rFonts w:ascii="Calibri" w:cs="Calibri" w:eastAsia="Calibri" w:hAnsi="Calibri"/>
          <w:sz w:val="18"/>
          <w:szCs w:val="18"/>
          <w:i w:val="1"/>
          <w:iCs w:val="1"/>
          <w:color w:val="51555C"/>
        </w:rPr>
      </w:pPr>
      <w:r>
        <w:rPr>
          <w:rFonts w:ascii="Calibri" w:cs="Calibri" w:eastAsia="Calibri" w:hAnsi="Calibri"/>
          <w:sz w:val="17"/>
          <w:szCs w:val="17"/>
          <w:color w:val="51555C"/>
        </w:rPr>
        <w:t>Transactonal revenue, which is about one-third of total revenue, is comprised of four primary components: donaton processing (~55% of total transactonal revenue); consumer giving (~20%); tuiton management (~20%); and event-based usage (~5%). The diversity of the underlying transacton volumes from these four sources has resulted in consistent transactonal recurring revenue growth in the mid-to-high single digits over the past several years. We contnue to see strong momentum in consumer giving and tuiton management, we have implemented rate increases across select areas of our payments portolio, and we contnue to implement additonal payments solutons optmizaton to drive enhanced donor experience.</w:t>
      </w:r>
    </w:p>
    <w:p>
      <w:pPr>
        <w:spacing w:after="0" w:line="152"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Modernized Approach to Pricing and Mult-Year Contracts</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In the summer of 2022, we put in place an updated pricing policy primarily for our social sector customers that directly refects the value we provide to them, is in-line with the broader market and refects the infatonary pressures that all businesses are facing. This program is designed to deliver sustained revenue growth beyond the inital three-year renewal cycle and will provide us with improved revenue visibility. As previously disclosed, this new approach has three main components: ofering 3-year contract renewal terms as our standard, which the vast majority of customers are adoptng; embedded annual price increases within the 3-year renewal term, which we have not had previously and are beginning to take efect; and a larger frst year price increase to bring our pricing in-line with the broader market.</w:t>
      </w:r>
    </w:p>
    <w:p>
      <w:pPr>
        <w:spacing w:after="0" w:line="167" w:lineRule="exact"/>
        <w:rPr>
          <w:rFonts w:ascii="Calibri" w:cs="Calibri" w:eastAsia="Calibri" w:hAnsi="Calibri"/>
          <w:sz w:val="18"/>
          <w:szCs w:val="18"/>
          <w:i w:val="1"/>
          <w:iCs w:val="1"/>
          <w:color w:val="51555C"/>
        </w:rPr>
      </w:pPr>
    </w:p>
    <w:p>
      <w:pPr>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The frst two components, as well as a porton of the third, will contnue on beyond the inital renewal cycle, creatng what we believe will be a sustainable source of revenue growth.</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have now completed the 2023 and 2024 renewal cohorts, which represented approximately 65% of the total contractual revenue eligible for this program. Approximately another 25% of the renewable base is up for renewal in 2025, and the remaining 10% in the beginning of 2026. The close day-to-day management of renewals, the mix of 3-year and 1-year contracts, and the impact of pricing are progressing well. Additonally, the adopton of 3-year renewals as a standard, with more customers optng for this opton than we originally expected, are expected to have an added beneft of higher retenton which provides greater revenue assurance and predictability.</w:t>
      </w:r>
    </w:p>
    <w:p>
      <w:pPr>
        <w:spacing w:after="0" w:line="161"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Keen Atenton to Cost Management</w:t>
      </w:r>
    </w:p>
    <w:p>
      <w:pPr>
        <w:spacing w:after="0" w:line="158" w:lineRule="exact"/>
        <w:rPr>
          <w:rFonts w:ascii="Calibri" w:cs="Calibri" w:eastAsia="Calibri" w:hAnsi="Calibri"/>
          <w:sz w:val="18"/>
          <w:szCs w:val="18"/>
          <w:i w:val="1"/>
          <w:iCs w:val="1"/>
          <w:color w:val="51555C"/>
        </w:rPr>
      </w:pPr>
    </w:p>
    <w:p>
      <w:pPr>
        <w:ind w:left="340"/>
        <w:spacing w:after="0"/>
        <w:rPr>
          <w:rFonts w:ascii="Calibri" w:cs="Calibri" w:eastAsia="Calibri" w:hAnsi="Calibri"/>
          <w:sz w:val="18"/>
          <w:szCs w:val="18"/>
          <w:i w:val="1"/>
          <w:iCs w:val="1"/>
          <w:color w:val="51555C"/>
        </w:rPr>
      </w:pPr>
      <w:r>
        <w:rPr>
          <w:rFonts w:ascii="Calibri" w:cs="Calibri" w:eastAsia="Calibri" w:hAnsi="Calibri"/>
          <w:sz w:val="18"/>
          <w:szCs w:val="18"/>
          <w:color w:val="51555C"/>
        </w:rPr>
        <w:t>Cost management initatves already completed drove a signifcant improvement in proftability during 2023. These initatves included:</w:t>
      </w:r>
    </w:p>
    <w:p>
      <w:pPr>
        <w:spacing w:after="0" w:line="158" w:lineRule="exact"/>
        <w:rPr>
          <w:rFonts w:ascii="Calibri" w:cs="Calibri" w:eastAsia="Calibri" w:hAnsi="Calibri"/>
          <w:sz w:val="18"/>
          <w:szCs w:val="18"/>
          <w:i w:val="1"/>
          <w:iCs w:val="1"/>
          <w:color w:val="51555C"/>
        </w:rPr>
      </w:pPr>
    </w:p>
    <w:p>
      <w:pPr>
        <w:ind w:left="640" w:hanging="308"/>
        <w:spacing w:after="0"/>
        <w:tabs>
          <w:tab w:leader="none" w:pos="640"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A reducton in headcount from approximately 3,600 in the third quarter of 2022 to approximately 3,000 as of December 31, 2023</w:t>
      </w:r>
    </w:p>
    <w:p>
      <w:pPr>
        <w:spacing w:after="0" w:line="163"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Contnued IT consolidaton as we migrate customers from legacy private data centers to leading public cloud service providers. We closed four legacy data centers during 2022 and two in 2023.</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Renegotated key vendor contracts including Microsof Azure and AWS</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Reduced our real estate footprint as part of the shif to a remote-frst workforce</w:t>
      </w:r>
    </w:p>
    <w:p>
      <w:pPr>
        <w:spacing w:after="0" w:line="158"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During 2024, we contnued to run the business at about the same headcount level, while contnuing to drive efciencies in other areas of the business.</w:t>
      </w:r>
    </w:p>
    <w:p>
      <w:pPr>
        <w:ind w:left="340"/>
        <w:spacing w:after="0" w:line="235" w:lineRule="auto"/>
        <w:rPr>
          <w:sz w:val="20"/>
          <w:szCs w:val="20"/>
          <w:color w:val="auto"/>
        </w:rPr>
      </w:pPr>
      <w:r>
        <w:rPr>
          <w:rFonts w:ascii="Calibri" w:cs="Calibri" w:eastAsia="Calibri" w:hAnsi="Calibri"/>
          <w:sz w:val="18"/>
          <w:szCs w:val="18"/>
          <w:color w:val="51555C"/>
        </w:rPr>
        <w:t>Afer the divestture of EVERFI on December 31, 2024, we had approximately 2,600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51555C"/>
        </w:rPr>
        <w:t>As a remote-frst workforce company, we can be strategic about selectng the appropriate geographic region for various functons in order to reduce costs without negatvely impactng the quality of our products and services. For example, we are currently expanding our operatons in India, which we expect will give us greater access to talent, and increase the number of our employees, including management, in India. We have rented ofce space in India to accommodate those new operatons, although we do not currently expect to generate revenue in India in the foreseeable future.</w:t>
      </w:r>
    </w:p>
    <w:p>
      <w:pPr>
        <w:spacing w:after="0" w:line="161" w:lineRule="exact"/>
        <w:rPr>
          <w:sz w:val="20"/>
          <w:szCs w:val="20"/>
          <w:color w:val="auto"/>
        </w:rPr>
      </w:pPr>
    </w:p>
    <w:p>
      <w:pPr>
        <w:ind w:left="340"/>
        <w:spacing w:after="0"/>
        <w:rPr>
          <w:sz w:val="20"/>
          <w:szCs w:val="20"/>
          <w:color w:val="auto"/>
        </w:rPr>
      </w:pPr>
      <w:r>
        <w:rPr>
          <w:rFonts w:ascii="Calibri" w:cs="Calibri" w:eastAsia="Calibri" w:hAnsi="Calibri"/>
          <w:sz w:val="18"/>
          <w:szCs w:val="18"/>
          <w:color w:val="51555C"/>
        </w:rPr>
        <w:t>There are two remaining legacy data centers that we are currently working towards closing in the future.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Financial Summary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2"/>
          </w:tcPr>
          <w:p>
            <w:pPr>
              <w:jc w:val="center"/>
              <w:ind w:right="640"/>
              <w:spacing w:after="0"/>
              <w:rPr>
                <w:sz w:val="20"/>
                <w:szCs w:val="20"/>
                <w:color w:val="auto"/>
              </w:rPr>
            </w:pPr>
            <w:r>
              <w:rPr>
                <w:rFonts w:ascii="Calibri" w:cs="Calibri" w:eastAsia="Calibri" w:hAnsi="Calibri"/>
                <w:sz w:val="18"/>
                <w:szCs w:val="18"/>
                <w:i w:val="1"/>
                <w:iCs w:val="1"/>
                <w:color w:val="51555C"/>
                <w:w w:val="96"/>
              </w:rPr>
              <w:t>Total Revenue ($M)</w:t>
            </w:r>
          </w:p>
        </w:tc>
        <w:tc>
          <w:tcPr>
            <w:tcW w:w="4300" w:type="dxa"/>
            <w:vAlign w:val="bottom"/>
          </w:tcPr>
          <w:p>
            <w:pPr>
              <w:jc w:val="center"/>
              <w:spacing w:after="0"/>
              <w:rPr>
                <w:sz w:val="20"/>
                <w:szCs w:val="20"/>
                <w:color w:val="auto"/>
              </w:rPr>
            </w:pPr>
            <w:r>
              <w:rPr>
                <w:rFonts w:ascii="Calibri" w:cs="Calibri" w:eastAsia="Calibri" w:hAnsi="Calibri"/>
                <w:sz w:val="18"/>
                <w:szCs w:val="18"/>
                <w:i w:val="1"/>
                <w:iCs w:val="1"/>
                <w:color w:val="51555C"/>
                <w:w w:val="99"/>
              </w:rPr>
              <w:t>Income (loss) from Operatons ($M)</w:t>
            </w:r>
          </w:p>
        </w:tc>
      </w:tr>
      <w:tr>
        <w:trPr>
          <w:trHeight w:val="50"/>
        </w:trPr>
        <w:tc>
          <w:tcPr>
            <w:tcW w:w="4280" w:type="dxa"/>
            <w:vAlign w:val="bottom"/>
            <w:tcBorders>
              <w:bottom w:val="single" w:sz="8" w:color="51555C"/>
            </w:tcBorders>
          </w:tcPr>
          <w:p>
            <w:pPr>
              <w:spacing w:after="0"/>
              <w:rPr>
                <w:sz w:val="4"/>
                <w:szCs w:val="4"/>
                <w:color w:val="auto"/>
              </w:rPr>
            </w:pPr>
          </w:p>
        </w:tc>
        <w:tc>
          <w:tcPr>
            <w:tcW w:w="660" w:type="dxa"/>
            <w:vAlign w:val="bottom"/>
          </w:tcPr>
          <w:p>
            <w:pPr>
              <w:spacing w:after="0"/>
              <w:rPr>
                <w:sz w:val="4"/>
                <w:szCs w:val="4"/>
                <w:color w:val="auto"/>
              </w:rPr>
            </w:pPr>
          </w:p>
        </w:tc>
        <w:tc>
          <w:tcPr>
            <w:tcW w:w="4300" w:type="dxa"/>
            <w:vAlign w:val="bottom"/>
            <w:tcBorders>
              <w:bottom w:val="single" w:sz="8" w:color="51555C"/>
            </w:tcBorders>
          </w:tcPr>
          <w:p>
            <w:pPr>
              <w:spacing w:after="0"/>
              <w:rPr>
                <w:sz w:val="4"/>
                <w:szCs w:val="4"/>
                <w:color w:val="auto"/>
              </w:rPr>
            </w:pPr>
          </w:p>
        </w:tc>
      </w:tr>
      <w:tr>
        <w:trPr>
          <w:trHeight w:val="213"/>
        </w:trPr>
        <w:tc>
          <w:tcPr>
            <w:tcW w:w="4940" w:type="dxa"/>
            <w:vAlign w:val="bottom"/>
            <w:gridSpan w:val="2"/>
          </w:tcPr>
          <w:p>
            <w:pPr>
              <w:jc w:val="center"/>
              <w:ind w:right="640"/>
              <w:spacing w:after="0"/>
              <w:rPr>
                <w:sz w:val="20"/>
                <w:szCs w:val="20"/>
                <w:color w:val="auto"/>
              </w:rPr>
            </w:pPr>
            <w:r>
              <w:rPr>
                <w:rFonts w:ascii="Calibri" w:cs="Calibri" w:eastAsia="Calibri" w:hAnsi="Calibri"/>
                <w:sz w:val="13"/>
                <w:szCs w:val="13"/>
                <w:i w:val="1"/>
                <w:iCs w:val="1"/>
                <w:color w:val="51555C"/>
                <w:w w:val="95"/>
              </w:rPr>
              <w:t>YoY Growth (%)</w:t>
            </w:r>
          </w:p>
        </w:tc>
        <w:tc>
          <w:tcPr>
            <w:tcW w:w="4300" w:type="dxa"/>
            <w:vAlign w:val="bottom"/>
          </w:tcPr>
          <w:p>
            <w:pPr>
              <w:jc w:val="center"/>
              <w:spacing w:after="0"/>
              <w:rPr>
                <w:sz w:val="20"/>
                <w:szCs w:val="20"/>
                <w:color w:val="auto"/>
              </w:rPr>
            </w:pPr>
            <w:r>
              <w:rPr>
                <w:rFonts w:ascii="Calibri" w:cs="Calibri" w:eastAsia="Calibri" w:hAnsi="Calibri"/>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186690</wp:posOffset>
            </wp:positionV>
            <wp:extent cx="5237480" cy="1423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3748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alibri" w:cs="Calibri" w:eastAsia="Calibri" w:hAnsi="Calibri"/>
          <w:sz w:val="18"/>
          <w:szCs w:val="18"/>
          <w:color w:val="51555C"/>
        </w:rPr>
        <w:t>Total revenue increased by $50.1 million during 2024, driven largely by the following:</w:t>
      </w:r>
    </w:p>
    <w:p>
      <w:pPr>
        <w:ind w:left="700" w:hanging="364"/>
        <w:spacing w:after="0" w:line="206" w:lineRule="auto"/>
        <w:tabs>
          <w:tab w:leader="none" w:pos="700" w:val="left"/>
        </w:tabs>
        <w:numPr>
          <w:ilvl w:val="0"/>
          <w:numId w:val="20"/>
        </w:numPr>
        <w:rPr>
          <w:rFonts w:ascii="Calibri" w:cs="Calibri" w:eastAsia="Calibri" w:hAnsi="Calibri"/>
          <w:sz w:val="36"/>
          <w:szCs w:val="36"/>
          <w:color w:val="51555C"/>
          <w:vertAlign w:val="superscript"/>
        </w:rPr>
      </w:pPr>
      <w:r>
        <w:rPr>
          <w:rFonts w:ascii="Calibri" w:cs="Calibri" w:eastAsia="Calibri" w:hAnsi="Calibri"/>
          <w:sz w:val="18"/>
          <w:szCs w:val="18"/>
          <w:color w:val="51555C"/>
        </w:rPr>
        <w:t>Growth in recurring revenue primarily driven by:</w:t>
      </w:r>
    </w:p>
    <w:p>
      <w:pPr>
        <w:spacing w:after="0" w:line="110" w:lineRule="exact"/>
        <w:rPr>
          <w:sz w:val="20"/>
          <w:szCs w:val="20"/>
          <w:color w:val="auto"/>
        </w:rPr>
      </w:pPr>
    </w:p>
    <w:p>
      <w:pPr>
        <w:jc w:val="both"/>
        <w:ind w:left="980" w:right="20" w:hanging="196"/>
        <w:spacing w:after="0" w:line="226" w:lineRule="auto"/>
        <w:tabs>
          <w:tab w:leader="none" w:pos="980" w:val="left"/>
        </w:tabs>
        <w:numPr>
          <w:ilvl w:val="1"/>
          <w:numId w:val="21"/>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an increase in contractual revenue of $36.7 million largely due to the impact of our 3-year contract renewal initatve and pricing within the Social Sector as well as the performance of our cloud solutons, partally ofset by decrease in revenue from EVERFI and maintenance revenue; and</w:t>
      </w:r>
    </w:p>
    <w:p>
      <w:pPr>
        <w:spacing w:after="0" w:line="110" w:lineRule="exact"/>
        <w:rPr>
          <w:rFonts w:ascii="Wingdings" w:cs="Wingdings" w:eastAsia="Wingdings" w:hAnsi="Wingdings"/>
          <w:sz w:val="22"/>
          <w:szCs w:val="22"/>
          <w:b w:val="1"/>
          <w:bCs w:val="1"/>
          <w:color w:val="51555C"/>
          <w:vertAlign w:val="superscript"/>
        </w:rPr>
      </w:pPr>
    </w:p>
    <w:p>
      <w:pPr>
        <w:jc w:val="both"/>
        <w:ind w:left="980" w:right="20" w:hanging="196"/>
        <w:spacing w:after="0" w:line="228" w:lineRule="auto"/>
        <w:tabs>
          <w:tab w:leader="none" w:pos="980" w:val="left"/>
        </w:tabs>
        <w:numPr>
          <w:ilvl w:val="1"/>
          <w:numId w:val="21"/>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an increase in transactonal recurring revenue of $20.9 million primarily due to positve results related to pricing initatves we have implemented in the past twelve months and increases in volume for our Blackbaud Tuiton Management and JustGiving solutons; also contributng to the increase in transactonal recurring revenue during the year ended December 31, 2024 was an increase related to fuctuatons in foreign currency exchange rates of $2.2 million.</w:t>
      </w:r>
    </w:p>
    <w:p>
      <w:pPr>
        <w:spacing w:after="0" w:line="2" w:lineRule="exact"/>
        <w:rPr>
          <w:rFonts w:ascii="Wingdings" w:cs="Wingdings" w:eastAsia="Wingdings" w:hAnsi="Wingdings"/>
          <w:sz w:val="22"/>
          <w:szCs w:val="22"/>
          <w:b w:val="1"/>
          <w:bCs w:val="1"/>
          <w:color w:val="51555C"/>
          <w:vertAlign w:val="superscript"/>
        </w:rPr>
      </w:pPr>
    </w:p>
    <w:p>
      <w:pPr>
        <w:ind w:left="700" w:hanging="348"/>
        <w:spacing w:after="0" w:line="181" w:lineRule="auto"/>
        <w:tabs>
          <w:tab w:leader="none" w:pos="700" w:val="left"/>
        </w:tabs>
        <w:numPr>
          <w:ilvl w:val="0"/>
          <w:numId w:val="21"/>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one-tme services and other revenue primarily related to:</w:t>
      </w:r>
    </w:p>
    <w:p>
      <w:pPr>
        <w:spacing w:after="0" w:line="146" w:lineRule="exact"/>
        <w:rPr>
          <w:rFonts w:ascii="Calibri" w:cs="Calibri" w:eastAsia="Calibri" w:hAnsi="Calibri"/>
          <w:sz w:val="35"/>
          <w:szCs w:val="35"/>
          <w:color w:val="51555C"/>
          <w:vertAlign w:val="superscript"/>
        </w:rPr>
      </w:pPr>
    </w:p>
    <w:p>
      <w:pPr>
        <w:ind w:left="980" w:right="20" w:hanging="196"/>
        <w:spacing w:after="0" w:line="203" w:lineRule="auto"/>
        <w:tabs>
          <w:tab w:leader="none" w:pos="980" w:val="left"/>
        </w:tabs>
        <w:numPr>
          <w:ilvl w:val="1"/>
          <w:numId w:val="21"/>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decrease in one-tme consultng revenue of $7.5 million primarily due to a decrease of $7.4 million resultng from our sale of EVERFI Limited as discussed in Note 3 to our consolidated fnancial statements in this report</w:t>
      </w:r>
    </w:p>
    <w:p>
      <w:pPr>
        <w:spacing w:after="0" w:line="281" w:lineRule="exact"/>
        <w:rPr>
          <w:sz w:val="20"/>
          <w:szCs w:val="20"/>
          <w:color w:val="auto"/>
        </w:rPr>
      </w:pPr>
    </w:p>
    <w:p>
      <w:pPr>
        <w:spacing w:after="0"/>
        <w:rPr>
          <w:sz w:val="20"/>
          <w:szCs w:val="20"/>
          <w:color w:val="auto"/>
        </w:rPr>
      </w:pPr>
      <w:r>
        <w:rPr>
          <w:rFonts w:ascii="Calibri" w:cs="Calibri" w:eastAsia="Calibri" w:hAnsi="Calibri"/>
          <w:sz w:val="18"/>
          <w:szCs w:val="18"/>
          <w:color w:val="51555C"/>
        </w:rPr>
        <w:t>For informaton on the impact of foreign currency fuctuatons on our fnancial results, see Foreign Currency Exchange Rates below on page 59.</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a number of mult-year pricing initatves underway, some to bring our pricing in line with the market while others are model changes that are expected to drive greater revenue for both us and our customers.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Social Sector revenue (which represents approximately 88% of our total full year revenue) increased $67.4 million, or 7.1%, during 2024, when compared to the same period in 2023, driven primarily by the increases in contractual recurring revenue and transactonal recurring revenue discussed above. The Social Sector has proven to be very resilient as demonstrated through the last several economic downturns and the COVID-19 pandemic, and we have great confdence in the long-term trajectory of this porton of our business.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Corporate Sector revenue (which represents approximately 12% of our total full year revenue) decreased $17.3 million, or 11.5%, during 2024, when compared to the same period in 2023, driven primarily by the underperformance of EVERFI and our dispositon of EVERFI Limited in March 2024 (see Note 3 to our consolidated fnancial statements in this report for more informaton).</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38</w:t>
      </w:r>
      <w:r>
        <w:rPr>
          <w:sz w:val="20"/>
          <w:szCs w:val="20"/>
          <w:color w:val="auto"/>
        </w:rPr>
        <w:tab/>
      </w:r>
      <w:r>
        <w:rPr>
          <w:sz w:val="1"/>
          <w:szCs w:val="1"/>
          <w:color w:val="auto"/>
        </w:rPr>
        <w:drawing>
          <wp:inline distT="0" distB="0" distL="0" distR="0">
            <wp:extent cx="728345" cy="1885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our EVERFI business faced a number of external challenges and even with the decisive actons we took during 2024, including changes to our Corporate Sector leadership and the dispositon of a non-recurring revenue component (EVERFI Limited discussed above), EVERFI contnued to be a drag on our overall performance, and we expected that to contnue. As a result, we took further actons to right-size EVERFI's business to beter align costs to its lower revenues, and we hired a strategic advisor to assist us in considering a range of alternatves for EVERFI, one of which included a potental divestture of the business. This work resulted in the sale of EVERFI in December 2024 in exchange for nominal cash consideraton (see page 40 below and Note 3 to our consolidated fnancial statements in this report for more informaton).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51555C"/>
        </w:rPr>
        <w:t>Income from operatons decreased by $315.2 million during 2024, driven largely by the following:</w:t>
      </w:r>
    </w:p>
    <w:p>
      <w:pPr>
        <w:spacing w:after="0" w:line="109" w:lineRule="exact"/>
        <w:rPr>
          <w:sz w:val="20"/>
          <w:szCs w:val="20"/>
          <w:color w:val="auto"/>
        </w:rPr>
      </w:pPr>
    </w:p>
    <w:p>
      <w:pPr>
        <w:ind w:left="700" w:right="20" w:hanging="445"/>
        <w:spacing w:after="0" w:line="235" w:lineRule="auto"/>
        <w:tabs>
          <w:tab w:leader="none" w:pos="700" w:val="left"/>
        </w:tabs>
        <w:numPr>
          <w:ilvl w:val="0"/>
          <w:numId w:val="22"/>
        </w:numPr>
        <w:rPr>
          <w:rFonts w:ascii="Calibri" w:cs="Calibri" w:eastAsia="Calibri" w:hAnsi="Calibri"/>
          <w:sz w:val="18"/>
          <w:szCs w:val="18"/>
          <w:color w:val="51555C"/>
        </w:rPr>
      </w:pPr>
      <w:r>
        <w:rPr>
          <w:rFonts w:ascii="Calibri" w:cs="Calibri" w:eastAsia="Calibri" w:hAnsi="Calibri"/>
          <w:sz w:val="18"/>
          <w:szCs w:val="18"/>
          <w:color w:val="51555C"/>
        </w:rPr>
        <w:t>Pre-tax loss on dispositon EVERFI of $405.4 million, including noncash impairment charges of $390.2 million. See "EVERFI dispositon charges" below on page 41.</w:t>
      </w:r>
    </w:p>
    <w:p>
      <w:pPr>
        <w:ind w:left="700" w:hanging="445"/>
        <w:spacing w:after="0" w:line="182" w:lineRule="auto"/>
        <w:tabs>
          <w:tab w:leader="none" w:pos="700" w:val="left"/>
        </w:tabs>
        <w:numPr>
          <w:ilvl w:val="0"/>
          <w:numId w:val="23"/>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total revenue, as described above</w:t>
      </w:r>
    </w:p>
    <w:p>
      <w:pPr>
        <w:ind w:left="700" w:hanging="445"/>
        <w:spacing w:after="0" w:line="182" w:lineRule="auto"/>
        <w:tabs>
          <w:tab w:leader="none" w:pos="700" w:val="left"/>
        </w:tabs>
        <w:numPr>
          <w:ilvl w:val="0"/>
          <w:numId w:val="24"/>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third-party contractor costs of $7.6 million largely related to enhancements to our cybersecurity program</w:t>
      </w:r>
    </w:p>
    <w:p>
      <w:pPr>
        <w:spacing w:after="0" w:line="145" w:lineRule="exact"/>
        <w:rPr>
          <w:rFonts w:ascii="Calibri" w:cs="Calibri" w:eastAsia="Calibri" w:hAnsi="Calibri"/>
          <w:sz w:val="35"/>
          <w:szCs w:val="35"/>
          <w:color w:val="51555C"/>
          <w:vertAlign w:val="superscript"/>
        </w:rPr>
      </w:pPr>
    </w:p>
    <w:p>
      <w:pPr>
        <w:ind w:left="700" w:right="20" w:hanging="445"/>
        <w:spacing w:after="0"/>
        <w:tabs>
          <w:tab w:leader="none" w:pos="700" w:val="left"/>
        </w:tabs>
        <w:numPr>
          <w:ilvl w:val="0"/>
          <w:numId w:val="24"/>
        </w:numPr>
        <w:rPr>
          <w:rFonts w:ascii="Calibri" w:cs="Calibri" w:eastAsia="Calibri" w:hAnsi="Calibri"/>
          <w:sz w:val="28"/>
          <w:szCs w:val="28"/>
          <w:color w:val="51555C"/>
          <w:vertAlign w:val="superscript"/>
        </w:rPr>
      </w:pPr>
      <w:r>
        <w:rPr>
          <w:rFonts w:ascii="Calibri" w:cs="Calibri" w:eastAsia="Calibri" w:hAnsi="Calibri"/>
          <w:sz w:val="15"/>
          <w:szCs w:val="15"/>
          <w:color w:val="51555C"/>
        </w:rPr>
        <w:t>Increase in compensaton costs other than stock-based compensaton of $7.6 million primarily due to an increase in resources dedicated to our cybersecurity program</w:t>
      </w:r>
    </w:p>
    <w:p>
      <w:pPr>
        <w:spacing w:after="0" w:line="162" w:lineRule="exact"/>
        <w:rPr>
          <w:rFonts w:ascii="Calibri" w:cs="Calibri" w:eastAsia="Calibri" w:hAnsi="Calibri"/>
          <w:sz w:val="28"/>
          <w:szCs w:val="28"/>
          <w:color w:val="51555C"/>
          <w:vertAlign w:val="superscript"/>
        </w:rPr>
      </w:pPr>
    </w:p>
    <w:p>
      <w:pPr>
        <w:jc w:val="both"/>
        <w:ind w:left="700" w:right="20" w:hanging="445"/>
        <w:spacing w:after="0" w:line="187" w:lineRule="auto"/>
        <w:tabs>
          <w:tab w:leader="none" w:pos="700" w:val="left"/>
        </w:tabs>
        <w:numPr>
          <w:ilvl w:val="0"/>
          <w:numId w:val="24"/>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hostng and data center costs of $5.0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ind w:left="700" w:hanging="445"/>
        <w:spacing w:after="0" w:line="181" w:lineRule="auto"/>
        <w:tabs>
          <w:tab w:leader="none" w:pos="700" w:val="left"/>
        </w:tabs>
        <w:numPr>
          <w:ilvl w:val="0"/>
          <w:numId w:val="24"/>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amortzaton of intangible assets from business combinatons of $4.9 million due to our acquisiton of EVERFI</w:t>
      </w:r>
    </w:p>
    <w:p>
      <w:pPr>
        <w:spacing w:after="0" w:line="146" w:lineRule="exact"/>
        <w:rPr>
          <w:rFonts w:ascii="Calibri" w:cs="Calibri" w:eastAsia="Calibri" w:hAnsi="Calibri"/>
          <w:sz w:val="35"/>
          <w:szCs w:val="35"/>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28"/>
          <w:szCs w:val="28"/>
          <w:color w:val="51555C"/>
          <w:vertAlign w:val="superscript"/>
        </w:rPr>
      </w:pPr>
      <w:r>
        <w:rPr>
          <w:rFonts w:ascii="Calibri" w:cs="Calibri" w:eastAsia="Calibri" w:hAnsi="Calibri"/>
          <w:sz w:val="15"/>
          <w:szCs w:val="15"/>
          <w:color w:val="51555C"/>
        </w:rPr>
        <w:t>Increase in marketng costs of $4.6 million primarily due to increased digital marketng spend related to JustGiving and, to a lesser extent, increased marketng related to EVERFI while we explored strategic optons for the business</w:t>
      </w:r>
    </w:p>
    <w:p>
      <w:pPr>
        <w:spacing w:after="0" w:line="110" w:lineRule="exact"/>
        <w:rPr>
          <w:rFonts w:ascii="Calibri" w:cs="Calibri" w:eastAsia="Calibri" w:hAnsi="Calibri"/>
          <w:sz w:val="28"/>
          <w:szCs w:val="28"/>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transacton-based costs of $4.2 million related to the increase in the volume of transactons for which we process payments and, to a lesser extent, increases in vendor rates</w:t>
      </w:r>
    </w:p>
    <w:p>
      <w:pPr>
        <w:spacing w:after="0" w:line="109" w:lineRule="exact"/>
        <w:rPr>
          <w:rFonts w:ascii="Calibri" w:cs="Calibri" w:eastAsia="Calibri" w:hAnsi="Calibri"/>
          <w:sz w:val="31"/>
          <w:szCs w:val="31"/>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amortzaton of capitalized sofware and content development costs of $2.5 million due to our contnued investments in the innovaton and security of our solutons</w:t>
      </w:r>
    </w:p>
    <w:p>
      <w:pPr>
        <w:spacing w:after="0" w:line="109" w:lineRule="exact"/>
        <w:rPr>
          <w:rFonts w:ascii="Calibri" w:cs="Calibri" w:eastAsia="Calibri" w:hAnsi="Calibri"/>
          <w:sz w:val="31"/>
          <w:szCs w:val="31"/>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corporate costs of $2.5 million primarily related to an increase in bad debt expense. The increase in bad debt expense was driven by an increase in write-ofs.</w:t>
      </w:r>
    </w:p>
    <w:p>
      <w:pPr>
        <w:spacing w:after="0" w:line="56" w:lineRule="exact"/>
        <w:rPr>
          <w:sz w:val="20"/>
          <w:szCs w:val="20"/>
          <w:color w:val="auto"/>
        </w:rPr>
      </w:pPr>
    </w:p>
    <w:p>
      <w:pPr>
        <w:ind w:left="700" w:right="20" w:hanging="445"/>
        <w:spacing w:after="0" w:line="235" w:lineRule="auto"/>
        <w:tabs>
          <w:tab w:leader="none" w:pos="700" w:val="left"/>
        </w:tabs>
        <w:numPr>
          <w:ilvl w:val="0"/>
          <w:numId w:val="25"/>
        </w:numPr>
        <w:rPr>
          <w:rFonts w:ascii="Calibri" w:cs="Calibri" w:eastAsia="Calibri" w:hAnsi="Calibri"/>
          <w:sz w:val="18"/>
          <w:szCs w:val="18"/>
          <w:color w:val="51555C"/>
        </w:rPr>
      </w:pPr>
      <w:r>
        <w:rPr>
          <w:rFonts w:ascii="Calibri" w:cs="Calibri" w:eastAsia="Calibri" w:hAnsi="Calibri"/>
          <w:sz w:val="18"/>
          <w:szCs w:val="18"/>
          <w:color w:val="51555C"/>
        </w:rPr>
        <w:t>Decrease in Security Incident-related expenses of $39.7 million largely related to decreases in loss contngency accruals. See "Security Incident update" below on page 40.</w:t>
      </w:r>
    </w:p>
    <w:p>
      <w:pPr>
        <w:spacing w:after="0" w:line="109" w:lineRule="exact"/>
        <w:rPr>
          <w:rFonts w:ascii="Calibri" w:cs="Calibri" w:eastAsia="Calibri" w:hAnsi="Calibri"/>
          <w:sz w:val="18"/>
          <w:szCs w:val="18"/>
          <w:color w:val="51555C"/>
        </w:rPr>
      </w:pPr>
    </w:p>
    <w:p>
      <w:pPr>
        <w:ind w:left="700" w:right="20" w:hanging="445"/>
        <w:spacing w:after="0" w:line="180" w:lineRule="auto"/>
        <w:tabs>
          <w:tab w:leader="none" w:pos="700" w:val="left"/>
        </w:tabs>
        <w:numPr>
          <w:ilvl w:val="0"/>
          <w:numId w:val="25"/>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stock-based compensaton expense of $22.8 million primarily due overall Company performance against 2024 goals and a decrease in the grant date fair value of equity award grants</w:t>
      </w:r>
    </w:p>
    <w:p>
      <w:pPr>
        <w:spacing w:after="0" w:line="55" w:lineRule="exact"/>
        <w:rPr>
          <w:rFonts w:ascii="Calibri" w:cs="Calibri" w:eastAsia="Calibri" w:hAnsi="Calibri"/>
          <w:sz w:val="31"/>
          <w:szCs w:val="31"/>
          <w:color w:val="51555C"/>
          <w:vertAlign w:val="superscript"/>
        </w:rPr>
      </w:pPr>
    </w:p>
    <w:p>
      <w:pPr>
        <w:jc w:val="both"/>
        <w:ind w:left="700" w:right="20" w:hanging="445"/>
        <w:spacing w:after="0" w:line="235" w:lineRule="auto"/>
        <w:tabs>
          <w:tab w:leader="none" w:pos="700" w:val="left"/>
        </w:tabs>
        <w:numPr>
          <w:ilvl w:val="0"/>
          <w:numId w:val="25"/>
        </w:numPr>
        <w:rPr>
          <w:rFonts w:ascii="Calibri" w:cs="Calibri" w:eastAsia="Calibri" w:hAnsi="Calibri"/>
          <w:sz w:val="18"/>
          <w:szCs w:val="18"/>
          <w:color w:val="51555C"/>
        </w:rPr>
      </w:pPr>
      <w:r>
        <w:rPr>
          <w:rFonts w:ascii="Calibri" w:cs="Calibri" w:eastAsia="Calibri" w:hAnsi="Calibri"/>
          <w:sz w:val="18"/>
          <w:szCs w:val="18"/>
          <w:color w:val="51555C"/>
        </w:rPr>
        <w:t>Decrease in commission expense of $11.7 million primarily due to a prospectve increase in the period of beneft over which we amortzed costs of obtaining contracts with customers from 5 to 6 years beginning in the year ending December 31, 2024. Also contributng to the decrease in commissions expense was a decrease in commissionable bookings primarily due to EVERFI and fewer sales headcount.</w:t>
      </w:r>
    </w:p>
    <w:p>
      <w:pPr>
        <w:spacing w:after="0" w:line="1" w:lineRule="exact"/>
        <w:rPr>
          <w:rFonts w:ascii="Calibri" w:cs="Calibri" w:eastAsia="Calibri" w:hAnsi="Calibri"/>
          <w:sz w:val="18"/>
          <w:szCs w:val="18"/>
          <w:color w:val="51555C"/>
        </w:rPr>
      </w:pPr>
    </w:p>
    <w:p>
      <w:pPr>
        <w:ind w:left="700" w:hanging="445"/>
        <w:spacing w:after="0" w:line="181" w:lineRule="auto"/>
        <w:tabs>
          <w:tab w:leader="none" w:pos="700" w:val="left"/>
        </w:tabs>
        <w:numPr>
          <w:ilvl w:val="0"/>
          <w:numId w:val="25"/>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employee severance of $5.1 million related to our prior period targeted workforce reductons</w:t>
      </w:r>
    </w:p>
    <w:p>
      <w:pPr>
        <w:spacing w:after="0" w:line="146" w:lineRule="exact"/>
        <w:rPr>
          <w:rFonts w:ascii="Calibri" w:cs="Calibri" w:eastAsia="Calibri" w:hAnsi="Calibri"/>
          <w:sz w:val="35"/>
          <w:szCs w:val="35"/>
          <w:color w:val="51555C"/>
          <w:vertAlign w:val="superscript"/>
        </w:rPr>
      </w:pPr>
    </w:p>
    <w:p>
      <w:pPr>
        <w:jc w:val="both"/>
        <w:ind w:left="700" w:right="20" w:hanging="445"/>
        <w:spacing w:after="0" w:line="180" w:lineRule="auto"/>
        <w:tabs>
          <w:tab w:leader="none" w:pos="700" w:val="left"/>
        </w:tabs>
        <w:numPr>
          <w:ilvl w:val="0"/>
          <w:numId w:val="25"/>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 in acquisiton and dispositon-related costs of $1.4 million primarily related to less noncash impairment charges against certain operatng lease right-of-use assets and property and equipment assets resultng from the subleases of our Washington, DC ofce locaton, partally ofset by costs associated with the dispositon of EVERFI Limited; see Note 6 and Note 3 to our consolidated fnancial statements in this report for more informaton.</w:t>
      </w: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contnuing to make investments in the business in areas such as innovaton, AI, cybersecurity and our contnued shif of cloud infrastructure to leading public cloud service providers. Our proftability during 2024 refects some of these incremental investments.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contnuously seek opportunites to optmize our portolio of solutons to focus tme and resources on innovaton that will have the greatest impact for our customers and the markets we serve, and drive the highest return on investment. To that end, we will contnue to simplify and ratonalize our portolio through product sunsets and divesttures of non-core businesses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80"/>
        <w:spacing w:after="0"/>
        <w:rPr>
          <w:sz w:val="20"/>
          <w:szCs w:val="20"/>
          <w:color w:val="auto"/>
        </w:rPr>
      </w:pPr>
      <w:r>
        <w:rPr>
          <w:rFonts w:ascii="Calibri" w:cs="Calibri" w:eastAsia="Calibri" w:hAnsi="Calibri"/>
          <w:sz w:val="18"/>
          <w:szCs w:val="18"/>
          <w:i w:val="1"/>
          <w:iCs w:val="1"/>
          <w:color w:val="51555C"/>
        </w:rPr>
        <w:t>Gross dollar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260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203200</wp:posOffset>
            </wp:positionV>
            <wp:extent cx="2280285" cy="131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recurring subscripton contracts are typically for a term of three years at contract incepton with standard three year renewals thereafer. A key factor to our overall success is the renewal and expansion of our existng subscripton agreements with our customers. Management uses gross dollar retenton in analyzing our success at delightng our customers with innovatve and cloud solutons. Gross dollar retenton is defned as contracted annual recurring revenue ("CARR") divided by beginning CARR with a measurement period of twelve months. During 2024, our gross dollar retenton was approximately 90%. This gross dollar retenton rate was consistent with our rate for the full year ended December 31, 2023. Excluding EVERFI, our gross dollar retenton during the twelve months ended December 31, 2024 was approximately 92%. We are contnually investng in innovaton, which we believe will increase gross dollar retenton over the long-term.</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Balance sheet and cash fow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At December 31, 2024, our cash and cash equivalents were $67.6 million. Under the 2024 Credit Facilites, the carrying amount of our debt was $1.0 billion and our net leverage rato was 2.57 to 1.00.</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2024, we generated $296.0 million in cash fow from operatons, had a net increase in borrowings of $296.7 million, returned $418.0 million to stockholders by way of share repurchases and had aggregate cash outlays of $67.2 million for purchases of property and equipment and capitalized sofware and content development costs.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Release from Washington, DC lease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February 2025, we made a one-tme cash release payment of $28 million to the lessor in connecton with a release from our lease for ofce space in Washington, DC (which was acquired as part of our acquisiton of EVERFI in December 2021). Due to our remote-frst workforce strategy, we had not used the ofce space since February 2023 and had subleased a porton of the space.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Security Incident update</w:t>
      </w:r>
    </w:p>
    <w:p>
      <w:pPr>
        <w:spacing w:after="0" w:line="16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As discussed in Note 11 to our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53). For the year ended December 31, 2024, we incurred net pre-tax expenses of $13.7 million related to the Security Incident, which included $7.0 million for ongoing legal fees. It also includes setlements and recorded liabilites for loss contngencies of $6.8 million. Also, for the year ended December 31, 2024, we had net cash outlays of $15.9 million related to the Security Incident, which included ongoing legal fees and the $6.8 million paid during the third quarter of 2024 related to our setlement with the Atorney General of the State of California (as discussed in Note 11). In line with our policy, legal fees are expensed as incurred. For the year ended December 31, 2025, we currently expect net pre-tax expense of approximately $2.0 million to $3.0 million and net cash outlays of approximately $3.0 million to $4.0 million for ongoing legal fees related to the Security Incident.</w:t>
      </w:r>
    </w:p>
    <w:p>
      <w:pPr>
        <w:spacing w:after="0" w:line="1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have recorded approximately $0.7 million in aggregate liabilites for loss contngencies based primarily on recent negotatons with certain customers related to the Security Incident that we believe we can reasonably estmate in accordance with our loss contngency procedures described in Note 11. It is reasonably possible that our estmated or actual losses may change in the near term for those maters and be materially in excess of the amounts accrued, but we are unable at this tme to reasonably estmate the possible additonal loss.</w:t>
      </w:r>
    </w:p>
    <w:p>
      <w:pPr>
        <w:spacing w:after="0" w:line="32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40</w:t>
      </w:r>
      <w:r>
        <w:rPr>
          <w:sz w:val="20"/>
          <w:szCs w:val="20"/>
          <w:color w:val="auto"/>
        </w:rPr>
        <w:tab/>
      </w:r>
      <w:r>
        <w:rPr>
          <w:sz w:val="1"/>
          <w:szCs w:val="1"/>
          <w:color w:val="auto"/>
        </w:rPr>
        <w:drawing>
          <wp:inline distT="0" distB="0" distL="0" distR="0">
            <wp:extent cx="728345" cy="1885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for which we have not recorded a liability for a loss contngency as of December 31,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EVERFI dispositon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December 9, 2024, the Company concluded that a material impairment charge of up to $415 million was required related to its EVERFI asset group, which primarily included fnite-lived intangible assets and capitalized sofware and content development costs. The total pre-tax noncash charges were subsequently determined to be $390.2 million. On December 31, 2024, we disposed of EVERFI for a nominal amount that resulted in a loss on dispositon of $15.2 million, which together with the impairment charges, is recorded within EVERFI dispositon on our consolidated statements of comprehensive loss for the year ended December 31, 2024. See Note 4 to our consolidated fnancial statements in this report for additonal details.</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Reportable segment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report our operatng results and fnancial informaton in one operatng and reportable segment. See Note 16 to our consolidated fnancial statements in this report for additonal informaton.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Comparison of 2024 vs. 2023</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informaton regarding the comparison of 2023 to 2022, please refer to Part II Item 7 of our Annual Report on Form 10-K for the year ended December 31, 2023 fled with the SEC on February 21, 2024.</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Acquisiton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August 19, 2022, we acquired Kilter, Inc. ("Kilter") in order to provide us with strategic opportunites to expand our total addressable market and share of the philanthropic giving market through the integraton of complementary solutons and services to serve the changing needs of our customers.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included the results of operatons of the acquired company in our consolidated results of operatons from the date of acquisiton. In accordance with applicable accountng rules, we determined that the Kilter acquisiton was not material to our consolidated fnancial statements; therefore, revenue and earnings since the acquisiton date and pro forma informaton are not required or presented. See Note 3 to our consolidated fnancial statements in this report for a summary of this acquisiton.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Revenue and Cost of Revenue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51555C"/>
        </w:rPr>
        <w:t>Recurring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6"/>
              </w:rPr>
              <w:t>Revenue ($M)</w:t>
            </w:r>
          </w:p>
        </w:tc>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8"/>
              </w:rPr>
              <w:t>Cost of revenue ($M)</w:t>
            </w:r>
          </w:p>
        </w:tc>
        <w:tc>
          <w:tcPr>
            <w:tcW w:w="284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1"/>
        </w:trPr>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4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142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revenue includes two components: contractual recurring and transactonal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is primarily comprised of fees for the use of our subscripton-based sofware solutons, which includes providing access to cloud solutons, online training programs and subscripton-based analytc services. Contractual recurring revenue also includes fees from maintenance services for our on-premises solutons.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Transactonal recurring revenue is comprised of transacton fees associated with the use of our solutons, including donaton processing, tuiton management, consumer giving and event-based usage.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recurring revenue is primarily comprised of compensaton costs for customer support and producton IT personnel, hostng and data center costs, third-party contractor expenses, third-party royalty and data expenses, allocated depreciaton, facilites and IT support costs, amortzaton of intangible assets from business combinatons, amortzaton of sofware development costs, transacton-based costs related to payments services including remitances of amounts due to third-partes and other costs incurred in providing support and recurring services to our customers.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customers contnue to prefer cloud subscripton oferings with integrated analytcs, training and payment services. We intend to contnue focusing on innovaton, quality and integraton of our cloud solutons, which we believe will drive future revenue growth.</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revenue increased by $57.6 million, or 5.4%, driven primarily by the following:</w:t>
      </w:r>
    </w:p>
    <w:p>
      <w:pPr>
        <w:spacing w:after="0" w:line="163" w:lineRule="exact"/>
        <w:rPr>
          <w:sz w:val="20"/>
          <w:szCs w:val="20"/>
          <w:color w:val="auto"/>
        </w:rPr>
      </w:pPr>
    </w:p>
    <w:p>
      <w:pPr>
        <w:jc w:val="both"/>
        <w:ind w:left="700" w:right="20" w:hanging="364"/>
        <w:spacing w:after="0" w:line="187" w:lineRule="auto"/>
        <w:tabs>
          <w:tab w:leader="none" w:pos="700" w:val="left"/>
        </w:tabs>
        <w:numPr>
          <w:ilvl w:val="0"/>
          <w:numId w:val="26"/>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contractual recurring revenue of $36.7 million largely due to the impact of our 3-year contract renewal initatve and pricing within the Social Sector as well as the performance of our cloud solutons; partally ofset by decreases in revenue from EVERFI (as discussed above) and maintenance revenue; and</w:t>
      </w:r>
    </w:p>
    <w:p>
      <w:pPr>
        <w:spacing w:after="0" w:line="109" w:lineRule="exact"/>
        <w:rPr>
          <w:rFonts w:ascii="Calibri" w:cs="Calibri" w:eastAsia="Calibri" w:hAnsi="Calibri"/>
          <w:sz w:val="34"/>
          <w:szCs w:val="34"/>
          <w:color w:val="51555C"/>
          <w:vertAlign w:val="superscript"/>
        </w:rPr>
      </w:pPr>
    </w:p>
    <w:p>
      <w:pPr>
        <w:jc w:val="both"/>
        <w:ind w:left="700" w:right="20" w:hanging="364"/>
        <w:spacing w:after="0" w:line="188" w:lineRule="auto"/>
        <w:tabs>
          <w:tab w:leader="none" w:pos="700" w:val="left"/>
        </w:tabs>
        <w:numPr>
          <w:ilvl w:val="0"/>
          <w:numId w:val="26"/>
        </w:numPr>
        <w:rPr>
          <w:rFonts w:ascii="Calibri" w:cs="Calibri" w:eastAsia="Calibri" w:hAnsi="Calibri"/>
          <w:sz w:val="36"/>
          <w:szCs w:val="36"/>
          <w:color w:val="51555C"/>
          <w:vertAlign w:val="superscript"/>
        </w:rPr>
      </w:pPr>
      <w:r>
        <w:rPr>
          <w:rFonts w:ascii="Calibri" w:cs="Calibri" w:eastAsia="Calibri" w:hAnsi="Calibri"/>
          <w:sz w:val="18"/>
          <w:szCs w:val="18"/>
          <w:color w:val="51555C"/>
        </w:rPr>
        <w:t>Increase in transactonal recurring revenue of $20.9 million primarily due to positve results related to pricing initatves we have implemented in the past twelve months and increases in volume for our Blackbaud Tuiton Management and JustGiving solutons; also contributng to the increase in transactonal recurring revenue during the year ended December 31, 2024 was an increase related to fuctuatons in foreign currency exchange rates of $2.2 million.</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42</w:t>
      </w:r>
      <w:r>
        <w:rPr>
          <w:sz w:val="20"/>
          <w:szCs w:val="20"/>
          <w:color w:val="auto"/>
        </w:rPr>
        <w:tab/>
      </w:r>
      <w:r>
        <w:rPr>
          <w:sz w:val="1"/>
          <w:szCs w:val="1"/>
          <w:color w:val="auto"/>
        </w:rPr>
        <w:drawing>
          <wp:inline distT="0" distB="0" distL="0" distR="0">
            <wp:extent cx="728345" cy="1885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For additonal informaton on the impact of foreign currency fuctuatons on our fnancial results, see Foreign Currency Exchange Rates below on page 59.</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Cost of recurring revenue increased by $24.1 million, or 5.1%, driven primarily by the following:</w:t>
      </w:r>
    </w:p>
    <w:p>
      <w:pPr>
        <w:spacing w:after="0" w:line="163" w:lineRule="exact"/>
        <w:rPr>
          <w:sz w:val="20"/>
          <w:szCs w:val="20"/>
          <w:color w:val="auto"/>
        </w:rPr>
      </w:pPr>
    </w:p>
    <w:p>
      <w:pPr>
        <w:jc w:val="both"/>
        <w:ind w:left="700" w:right="60" w:hanging="364"/>
        <w:spacing w:after="0" w:line="187" w:lineRule="auto"/>
        <w:tabs>
          <w:tab w:leader="none" w:pos="700" w:val="left"/>
        </w:tabs>
        <w:numPr>
          <w:ilvl w:val="0"/>
          <w:numId w:val="2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hostng and data center costs of $5.1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109" w:lineRule="exact"/>
        <w:rPr>
          <w:rFonts w:ascii="Calibri" w:cs="Calibri" w:eastAsia="Calibri" w:hAnsi="Calibri"/>
          <w:sz w:val="34"/>
          <w:szCs w:val="34"/>
          <w:color w:val="51555C"/>
          <w:vertAlign w:val="superscript"/>
        </w:rPr>
      </w:pPr>
    </w:p>
    <w:p>
      <w:pPr>
        <w:ind w:left="700" w:right="60" w:hanging="364"/>
        <w:spacing w:after="0" w:line="180" w:lineRule="auto"/>
        <w:tabs>
          <w:tab w:leader="none" w:pos="700" w:val="left"/>
        </w:tabs>
        <w:numPr>
          <w:ilvl w:val="0"/>
          <w:numId w:val="2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amortzaton of intangible assets from business combinatons of $4.6 million as most of the intangible assets we acquired with EVERFI in December 2021 were amortzed on a curve that represented the expected period of economic beneft</w:t>
      </w:r>
    </w:p>
    <w:p>
      <w:pPr>
        <w:spacing w:after="0" w:line="109" w:lineRule="exact"/>
        <w:rPr>
          <w:rFonts w:ascii="Calibri" w:cs="Calibri" w:eastAsia="Calibri" w:hAnsi="Calibri"/>
          <w:sz w:val="31"/>
          <w:szCs w:val="31"/>
          <w:color w:val="51555C"/>
          <w:vertAlign w:val="superscript"/>
        </w:rPr>
      </w:pPr>
    </w:p>
    <w:p>
      <w:pPr>
        <w:ind w:left="700" w:right="60" w:hanging="364"/>
        <w:spacing w:after="0" w:line="180" w:lineRule="auto"/>
        <w:tabs>
          <w:tab w:leader="none" w:pos="700" w:val="left"/>
        </w:tabs>
        <w:numPr>
          <w:ilvl w:val="0"/>
          <w:numId w:val="2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transacton-based costs of $4.0 million related to the increase in the volume of transactons for which we process payments and, to a lesser extent, increases in vendor rates</w:t>
      </w:r>
    </w:p>
    <w:p>
      <w:pPr>
        <w:ind w:left="700" w:hanging="364"/>
        <w:spacing w:after="0" w:line="181" w:lineRule="auto"/>
        <w:tabs>
          <w:tab w:leader="none" w:pos="700" w:val="left"/>
        </w:tabs>
        <w:numPr>
          <w:ilvl w:val="0"/>
          <w:numId w:val="27"/>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third-party contractor costs of $3.8 million largely related to enhancements to our cybersecurity program</w:t>
      </w:r>
    </w:p>
    <w:p>
      <w:pPr>
        <w:spacing w:after="0" w:line="146" w:lineRule="exact"/>
        <w:rPr>
          <w:rFonts w:ascii="Calibri" w:cs="Calibri" w:eastAsia="Calibri" w:hAnsi="Calibri"/>
          <w:sz w:val="35"/>
          <w:szCs w:val="35"/>
          <w:color w:val="51555C"/>
          <w:vertAlign w:val="superscript"/>
        </w:rPr>
      </w:pPr>
    </w:p>
    <w:p>
      <w:pPr>
        <w:ind w:left="700" w:right="60" w:hanging="364"/>
        <w:spacing w:after="0" w:line="228" w:lineRule="auto"/>
        <w:tabs>
          <w:tab w:leader="none" w:pos="700" w:val="left"/>
        </w:tabs>
        <w:numPr>
          <w:ilvl w:val="0"/>
          <w:numId w:val="2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third-party sofware costs of $2.9 million primarily due to the number of licenses needed and also price increases for the sofware being used</w:t>
      </w:r>
    </w:p>
    <w:p>
      <w:pPr>
        <w:spacing w:after="0" w:line="109" w:lineRule="exact"/>
        <w:rPr>
          <w:rFonts w:ascii="Calibri" w:cs="Calibri" w:eastAsia="Calibri" w:hAnsi="Calibri"/>
          <w:sz w:val="34"/>
          <w:szCs w:val="34"/>
          <w:color w:val="51555C"/>
          <w:vertAlign w:val="superscript"/>
        </w:rPr>
      </w:pPr>
    </w:p>
    <w:p>
      <w:pPr>
        <w:ind w:left="700" w:right="60" w:hanging="364"/>
        <w:spacing w:after="0" w:line="180" w:lineRule="auto"/>
        <w:tabs>
          <w:tab w:leader="none" w:pos="700" w:val="left"/>
        </w:tabs>
        <w:numPr>
          <w:ilvl w:val="0"/>
          <w:numId w:val="2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amortzaton of capitalized sofware and content development costs of $2.8 million due to our contnued investments in the innovaton and security of our solutons</w:t>
      </w:r>
    </w:p>
    <w:p>
      <w:pPr>
        <w:spacing w:after="0" w:line="110" w:lineRule="exact"/>
        <w:rPr>
          <w:sz w:val="20"/>
          <w:szCs w:val="20"/>
          <w:color w:val="auto"/>
        </w:rPr>
      </w:pPr>
    </w:p>
    <w:p>
      <w:pPr>
        <w:ind w:left="700" w:right="60" w:hanging="348"/>
        <w:spacing w:after="0" w:line="180" w:lineRule="auto"/>
        <w:tabs>
          <w:tab w:leader="none" w:pos="700" w:val="left"/>
        </w:tabs>
        <w:numPr>
          <w:ilvl w:val="0"/>
          <w:numId w:val="28"/>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stock-based compensaton costs of $1.4 million primarily due to overall Company performance against 2024 goals and a decrease in the grant date fair value of equity award grants</w:t>
      </w:r>
    </w:p>
    <w:p>
      <w:pPr>
        <w:spacing w:after="0" w:line="285" w:lineRule="exact"/>
        <w:rPr>
          <w:sz w:val="20"/>
          <w:szCs w:val="20"/>
          <w:color w:val="auto"/>
        </w:rPr>
      </w:pPr>
    </w:p>
    <w:p>
      <w:pPr>
        <w:spacing w:after="0"/>
        <w:rPr>
          <w:sz w:val="20"/>
          <w:szCs w:val="20"/>
          <w:color w:val="auto"/>
        </w:rPr>
      </w:pPr>
      <w:r>
        <w:rPr>
          <w:rFonts w:ascii="Calibri" w:cs="Calibri" w:eastAsia="Calibri" w:hAnsi="Calibri"/>
          <w:sz w:val="17"/>
          <w:szCs w:val="17"/>
          <w:color w:val="51555C"/>
        </w:rPr>
        <w:t>Recurring gross margin increased by 10 basis points primarily due to the increase in recurring revenue outpacing the increase in cost of recurring revenue.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gridSpan w:val="2"/>
          </w:tcPr>
          <w:p>
            <w:pPr>
              <w:ind w:left="20"/>
              <w:spacing w:after="0"/>
              <w:rPr>
                <w:sz w:val="20"/>
                <w:szCs w:val="20"/>
                <w:color w:val="auto"/>
              </w:rPr>
            </w:pPr>
            <w:r>
              <w:rPr>
                <w:rFonts w:ascii="Calibri" w:cs="Calibri" w:eastAsia="Calibri" w:hAnsi="Calibri"/>
                <w:sz w:val="18"/>
                <w:szCs w:val="18"/>
                <w:i w:val="1"/>
                <w:iCs w:val="1"/>
                <w:color w:val="51555C"/>
              </w:rPr>
              <w:t>One-tme services and other</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51"/>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6"/>
              </w:rPr>
              <w:t>Revenue ($M)</w:t>
            </w:r>
          </w:p>
        </w:tc>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8"/>
              </w:rPr>
              <w:t>Cost of revenue ($M)</w:t>
            </w:r>
          </w:p>
        </w:tc>
        <w:tc>
          <w:tcPr>
            <w:tcW w:w="284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0"/>
        </w:trPr>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4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812155" cy="1423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is comprised of fees for one-tme consultng, analytc and onsite training services, and fees for retained and managed services contracts that we do not expect to have a term consistent with our cloud soluton contracts.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one-tme services and other is primarily comprised of compensaton costs for professional services and onsite training personnel, other costs incurred in providing onsite customer training, third-party contractor expenses, data expense incurred to perform one-tme analytc services, third-party sofware royaltes, allocated depreciaton, facilites and IT support costs and amortzaton of intangible assets from business combinatons.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One-tme services and other revenue decreased by $7.5 million, or 22.2%, driven primarily by the following:</w:t>
      </w:r>
    </w:p>
    <w:p>
      <w:pPr>
        <w:spacing w:after="0" w:line="163" w:lineRule="exact"/>
        <w:rPr>
          <w:sz w:val="20"/>
          <w:szCs w:val="20"/>
          <w:color w:val="auto"/>
        </w:rPr>
      </w:pPr>
    </w:p>
    <w:p>
      <w:pPr>
        <w:ind w:left="700" w:right="60" w:hanging="348"/>
        <w:spacing w:after="0" w:line="180" w:lineRule="auto"/>
        <w:tabs>
          <w:tab w:leader="none" w:pos="700" w:val="left"/>
        </w:tabs>
        <w:numPr>
          <w:ilvl w:val="0"/>
          <w:numId w:val="29"/>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one-tme consultng revenue of $7.5 million primarily due to a decrease of $7.4 million resultng from our sale of EVERFI Limited as discussed in Note 3 to our consolidated fnancial statements in this report.</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color w:val="51555C"/>
        </w:rPr>
        <w:t>Cost of one-tme services and other decreased $10.0 million or 31.6%, primarily driven by the following:</w:t>
      </w:r>
    </w:p>
    <w:p>
      <w:pPr>
        <w:spacing w:after="0" w:line="163" w:lineRule="exact"/>
        <w:rPr>
          <w:sz w:val="20"/>
          <w:szCs w:val="20"/>
          <w:color w:val="auto"/>
        </w:rPr>
      </w:pPr>
    </w:p>
    <w:p>
      <w:pPr>
        <w:ind w:left="700" w:right="20" w:hanging="348"/>
        <w:spacing w:after="0" w:line="180" w:lineRule="auto"/>
        <w:tabs>
          <w:tab w:leader="none" w:pos="700" w:val="left"/>
        </w:tabs>
        <w:numPr>
          <w:ilvl w:val="0"/>
          <w:numId w:val="30"/>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compensaton costs of $5.9 million primarily related to our sale of EVERFI Limited as discussed above and a contnued shif in resources historically supportng one-tme services and other towards recurring revenue</w:t>
      </w:r>
    </w:p>
    <w:p>
      <w:pPr>
        <w:ind w:left="700" w:hanging="348"/>
        <w:spacing w:after="0" w:line="181" w:lineRule="auto"/>
        <w:tabs>
          <w:tab w:leader="none" w:pos="700" w:val="left"/>
        </w:tabs>
        <w:numPr>
          <w:ilvl w:val="0"/>
          <w:numId w:val="30"/>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direct costs of revenue of $2.7 million primarily due to our sale of EVERFI Limited as discussed above</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gross margin increased by 1,130 basis points primarily due to the decrease in cost of one-tme services and other revenue outpacing the decrease in one-tme services and other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Calibri" w:cs="Calibri" w:eastAsia="Calibri" w:hAnsi="Calibri"/>
                <w:sz w:val="18"/>
                <w:szCs w:val="18"/>
                <w:b w:val="1"/>
                <w:bCs w:val="1"/>
                <w:color w:val="51555C"/>
              </w:rPr>
              <w:t>Operatng Expenses</w:t>
            </w:r>
          </w:p>
        </w:tc>
        <w:tc>
          <w:tcPr>
            <w:tcW w:w="41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540"/>
        </w:trPr>
        <w:tc>
          <w:tcPr>
            <w:tcW w:w="2580" w:type="dxa"/>
            <w:vAlign w:val="bottom"/>
          </w:tcPr>
          <w:p>
            <w:pPr>
              <w:jc w:val="center"/>
              <w:ind w:left="10"/>
              <w:spacing w:after="0"/>
              <w:rPr>
                <w:sz w:val="20"/>
                <w:szCs w:val="20"/>
                <w:color w:val="auto"/>
              </w:rPr>
            </w:pPr>
            <w:r>
              <w:rPr>
                <w:rFonts w:ascii="Calibri" w:cs="Calibri" w:eastAsia="Calibri" w:hAnsi="Calibri"/>
                <w:sz w:val="18"/>
                <w:szCs w:val="18"/>
                <w:i w:val="1"/>
                <w:iCs w:val="1"/>
                <w:color w:val="51555C"/>
                <w:w w:val="99"/>
              </w:rPr>
              <w:t>Sales, marketng and</w:t>
            </w:r>
          </w:p>
        </w:tc>
        <w:tc>
          <w:tcPr>
            <w:tcW w:w="4100" w:type="dxa"/>
            <w:vAlign w:val="bottom"/>
          </w:tcPr>
          <w:p>
            <w:pPr>
              <w:jc w:val="center"/>
              <w:ind w:right="99"/>
              <w:spacing w:after="0"/>
              <w:rPr>
                <w:sz w:val="20"/>
                <w:szCs w:val="20"/>
                <w:color w:val="auto"/>
              </w:rPr>
            </w:pPr>
            <w:r>
              <w:rPr>
                <w:rFonts w:ascii="Calibri" w:cs="Calibri" w:eastAsia="Calibri" w:hAnsi="Calibri"/>
                <w:sz w:val="18"/>
                <w:szCs w:val="18"/>
                <w:i w:val="1"/>
                <w:iCs w:val="1"/>
                <w:color w:val="51555C"/>
                <w:w w:val="97"/>
              </w:rPr>
              <w:t>Research and</w:t>
            </w:r>
          </w:p>
        </w:tc>
        <w:tc>
          <w:tcPr>
            <w:tcW w:w="2560" w:type="dxa"/>
            <w:vAlign w:val="bottom"/>
          </w:tcPr>
          <w:p>
            <w:pPr>
              <w:jc w:val="center"/>
              <w:ind w:right="190"/>
              <w:spacing w:after="0"/>
              <w:rPr>
                <w:sz w:val="20"/>
                <w:szCs w:val="20"/>
                <w:color w:val="auto"/>
              </w:rPr>
            </w:pPr>
            <w:r>
              <w:rPr>
                <w:rFonts w:ascii="Calibri" w:cs="Calibri" w:eastAsia="Calibri" w:hAnsi="Calibri"/>
                <w:sz w:val="18"/>
                <w:szCs w:val="18"/>
                <w:i w:val="1"/>
                <w:iCs w:val="1"/>
                <w:color w:val="51555C"/>
                <w:w w:val="98"/>
              </w:rPr>
              <w:t>General and</w:t>
            </w:r>
          </w:p>
        </w:tc>
      </w:tr>
      <w:tr>
        <w:trPr>
          <w:trHeight w:val="216"/>
        </w:trPr>
        <w:tc>
          <w:tcPr>
            <w:tcW w:w="2580" w:type="dxa"/>
            <w:vAlign w:val="bottom"/>
          </w:tcPr>
          <w:p>
            <w:pPr>
              <w:jc w:val="center"/>
              <w:ind w:left="10"/>
              <w:spacing w:after="0" w:line="216" w:lineRule="exact"/>
              <w:rPr>
                <w:sz w:val="20"/>
                <w:szCs w:val="20"/>
                <w:color w:val="auto"/>
              </w:rPr>
            </w:pPr>
            <w:r>
              <w:rPr>
                <w:rFonts w:ascii="Calibri" w:cs="Calibri" w:eastAsia="Calibri" w:hAnsi="Calibri"/>
                <w:sz w:val="18"/>
                <w:szCs w:val="18"/>
                <w:i w:val="1"/>
                <w:iCs w:val="1"/>
                <w:color w:val="51555C"/>
                <w:w w:val="96"/>
              </w:rPr>
              <w:t>customer success ($M)</w:t>
            </w:r>
          </w:p>
        </w:tc>
        <w:tc>
          <w:tcPr>
            <w:tcW w:w="4100" w:type="dxa"/>
            <w:vAlign w:val="bottom"/>
          </w:tcPr>
          <w:p>
            <w:pPr>
              <w:jc w:val="center"/>
              <w:ind w:right="99"/>
              <w:spacing w:after="0" w:line="216" w:lineRule="exact"/>
              <w:rPr>
                <w:sz w:val="20"/>
                <w:szCs w:val="20"/>
                <w:color w:val="auto"/>
              </w:rPr>
            </w:pPr>
            <w:r>
              <w:rPr>
                <w:rFonts w:ascii="Calibri" w:cs="Calibri" w:eastAsia="Calibri" w:hAnsi="Calibri"/>
                <w:sz w:val="18"/>
                <w:szCs w:val="18"/>
                <w:i w:val="1"/>
                <w:iCs w:val="1"/>
                <w:color w:val="51555C"/>
                <w:w w:val="97"/>
              </w:rPr>
              <w:t>development ($M)</w:t>
            </w:r>
          </w:p>
        </w:tc>
        <w:tc>
          <w:tcPr>
            <w:tcW w:w="2560" w:type="dxa"/>
            <w:vAlign w:val="bottom"/>
          </w:tcPr>
          <w:p>
            <w:pPr>
              <w:jc w:val="center"/>
              <w:ind w:right="170"/>
              <w:spacing w:after="0" w:line="216" w:lineRule="exact"/>
              <w:rPr>
                <w:sz w:val="20"/>
                <w:szCs w:val="20"/>
                <w:color w:val="auto"/>
              </w:rPr>
            </w:pPr>
            <w:r>
              <w:rPr>
                <w:rFonts w:ascii="Calibri" w:cs="Calibri" w:eastAsia="Calibri" w:hAnsi="Calibri"/>
                <w:sz w:val="18"/>
                <w:szCs w:val="18"/>
                <w:i w:val="1"/>
                <w:iCs w:val="1"/>
                <w:color w:val="51555C"/>
              </w:rPr>
              <w:t>administratve ($M)</w:t>
            </w:r>
          </w:p>
        </w:tc>
      </w:tr>
      <w:tr>
        <w:trPr>
          <w:trHeight w:val="50"/>
        </w:trPr>
        <w:tc>
          <w:tcPr>
            <w:tcW w:w="2580" w:type="dxa"/>
            <w:vAlign w:val="bottom"/>
            <w:tcBorders>
              <w:bottom w:val="single" w:sz="8" w:color="51555C"/>
            </w:tcBorders>
          </w:tcPr>
          <w:p>
            <w:pPr>
              <w:spacing w:after="0"/>
              <w:rPr>
                <w:sz w:val="4"/>
                <w:szCs w:val="4"/>
                <w:color w:val="auto"/>
              </w:rPr>
            </w:pPr>
          </w:p>
        </w:tc>
        <w:tc>
          <w:tcPr>
            <w:tcW w:w="4100" w:type="dxa"/>
            <w:vAlign w:val="bottom"/>
            <w:tcBorders>
              <w:bottom w:val="single" w:sz="8" w:color="51555C"/>
            </w:tcBorders>
          </w:tcPr>
          <w:p>
            <w:pPr>
              <w:spacing w:after="0"/>
              <w:rPr>
                <w:sz w:val="4"/>
                <w:szCs w:val="4"/>
                <w:color w:val="auto"/>
              </w:rPr>
            </w:pPr>
          </w:p>
        </w:tc>
        <w:tc>
          <w:tcPr>
            <w:tcW w:w="2560" w:type="dxa"/>
            <w:vAlign w:val="bottom"/>
            <w:tcBorders>
              <w:bottom w:val="single" w:sz="8" w:color="51555C"/>
            </w:tcBorders>
          </w:tcPr>
          <w:p>
            <w:pPr>
              <w:spacing w:after="0"/>
              <w:rPr>
                <w:sz w:val="4"/>
                <w:szCs w:val="4"/>
                <w:color w:val="auto"/>
              </w:rPr>
            </w:pPr>
          </w:p>
        </w:tc>
      </w:tr>
      <w:tr>
        <w:trPr>
          <w:trHeight w:val="213"/>
        </w:trPr>
        <w:tc>
          <w:tcPr>
            <w:tcW w:w="25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1423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Sales, marketng and customer success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Sales, marketng and customer success expense includes compensaton costs, variable sales commissions, travel-related expenses, advertsing and marketng materials, public relatons costs, variable reseller commissions and allocated depreciaton, facilites and IT support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see a large market opportunity in the long-term and will contnue to make investments to drive sales efectveness. We have also implemented sofware tools to enhance our digital footprint and drive lead generaton. The enhancements we are making in our go-to-market approach are expected to reduce our average customer acquisiton cost per customer as well as the related payback period while increasing sales velocity.</w:t>
      </w:r>
    </w:p>
    <w:p>
      <w:pPr>
        <w:spacing w:after="0" w:line="32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44</w:t>
      </w:r>
      <w:r>
        <w:rPr>
          <w:sz w:val="20"/>
          <w:szCs w:val="20"/>
          <w:color w:val="auto"/>
        </w:rPr>
        <w:tab/>
      </w:r>
      <w:r>
        <w:rPr>
          <w:sz w:val="1"/>
          <w:szCs w:val="1"/>
          <w:color w:val="auto"/>
        </w:rPr>
        <w:drawing>
          <wp:inline distT="0" distB="0" distL="0" distR="0">
            <wp:extent cx="728345" cy="1885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Sales, marketng and customer success expenses decreased by $14.7 million, or 6.9%. The decreases in dollars and as a percentage of total revenue were primarily driven by the following:</w:t>
      </w:r>
    </w:p>
    <w:p>
      <w:pPr>
        <w:spacing w:after="0" w:line="110" w:lineRule="exact"/>
        <w:rPr>
          <w:sz w:val="20"/>
          <w:szCs w:val="20"/>
          <w:color w:val="auto"/>
        </w:rPr>
      </w:pPr>
    </w:p>
    <w:p>
      <w:pPr>
        <w:jc w:val="both"/>
        <w:ind w:left="700" w:right="60" w:hanging="348"/>
        <w:spacing w:after="0" w:line="235" w:lineRule="auto"/>
        <w:tabs>
          <w:tab w:leader="none" w:pos="700" w:val="left"/>
        </w:tabs>
        <w:numPr>
          <w:ilvl w:val="0"/>
          <w:numId w:val="31"/>
        </w:numPr>
        <w:rPr>
          <w:rFonts w:ascii="Calibri" w:cs="Calibri" w:eastAsia="Calibri" w:hAnsi="Calibri"/>
          <w:sz w:val="18"/>
          <w:szCs w:val="18"/>
          <w:color w:val="51555C"/>
        </w:rPr>
      </w:pPr>
      <w:r>
        <w:rPr>
          <w:rFonts w:ascii="Calibri" w:cs="Calibri" w:eastAsia="Calibri" w:hAnsi="Calibri"/>
          <w:sz w:val="18"/>
          <w:szCs w:val="18"/>
          <w:color w:val="51555C"/>
        </w:rPr>
        <w:t>Decrease in commissions expense of $12.0 million primarily due to a prospectve increase in the period of beneft over which we amortzed costs of obtaining contracts with customers from 5 to 6 years beginning in the year ending December 31, 2024. Also contributng to the decrease in commissions expense were a decrease in commissionable bookings primarily due to EVERFI and fewer sales headcount.</w:t>
      </w:r>
    </w:p>
    <w:p>
      <w:pPr>
        <w:spacing w:after="0" w:line="110" w:lineRule="exact"/>
        <w:rPr>
          <w:rFonts w:ascii="Calibri" w:cs="Calibri" w:eastAsia="Calibri" w:hAnsi="Calibri"/>
          <w:sz w:val="18"/>
          <w:szCs w:val="18"/>
          <w:color w:val="51555C"/>
        </w:rPr>
      </w:pPr>
    </w:p>
    <w:p>
      <w:pPr>
        <w:ind w:left="700" w:right="60" w:hanging="348"/>
        <w:spacing w:after="0" w:line="180" w:lineRule="auto"/>
        <w:tabs>
          <w:tab w:leader="none" w:pos="700" w:val="left"/>
        </w:tabs>
        <w:numPr>
          <w:ilvl w:val="0"/>
          <w:numId w:val="31"/>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stock-based compensaton costs of $6.9 million primarily due overall Company performance against 2024 goals and a decrease in the grant date fair value of equity award grants</w:t>
      </w:r>
    </w:p>
    <w:p>
      <w:pPr>
        <w:spacing w:after="0" w:line="50" w:lineRule="exact"/>
        <w:rPr>
          <w:rFonts w:ascii="Calibri" w:cs="Calibri" w:eastAsia="Calibri" w:hAnsi="Calibri"/>
          <w:sz w:val="31"/>
          <w:szCs w:val="31"/>
          <w:color w:val="51555C"/>
          <w:vertAlign w:val="superscript"/>
        </w:rPr>
      </w:pPr>
    </w:p>
    <w:p>
      <w:pPr>
        <w:ind w:left="700" w:hanging="348"/>
        <w:spacing w:after="0"/>
        <w:tabs>
          <w:tab w:leader="none" w:pos="700" w:val="left"/>
        </w:tabs>
        <w:numPr>
          <w:ilvl w:val="0"/>
          <w:numId w:val="31"/>
        </w:numPr>
        <w:rPr>
          <w:rFonts w:ascii="Calibri" w:cs="Calibri" w:eastAsia="Calibri" w:hAnsi="Calibri"/>
          <w:sz w:val="18"/>
          <w:szCs w:val="18"/>
          <w:color w:val="51555C"/>
        </w:rPr>
      </w:pPr>
      <w:r>
        <w:rPr>
          <w:rFonts w:ascii="Calibri" w:cs="Calibri" w:eastAsia="Calibri" w:hAnsi="Calibri"/>
          <w:sz w:val="18"/>
          <w:szCs w:val="18"/>
          <w:color w:val="51555C"/>
        </w:rPr>
        <w:t>Decrease in severance costs of $2.2 million related to our prior period targeted workforce reductons</w:t>
      </w:r>
    </w:p>
    <w:p>
      <w:pPr>
        <w:spacing w:after="0" w:line="109" w:lineRule="exact"/>
        <w:rPr>
          <w:sz w:val="20"/>
          <w:szCs w:val="20"/>
          <w:color w:val="auto"/>
        </w:rPr>
      </w:pPr>
    </w:p>
    <w:p>
      <w:pPr>
        <w:ind w:left="700" w:right="60" w:hanging="364"/>
        <w:spacing w:after="0" w:line="180" w:lineRule="auto"/>
        <w:tabs>
          <w:tab w:leader="none" w:pos="700" w:val="left"/>
        </w:tabs>
        <w:numPr>
          <w:ilvl w:val="0"/>
          <w:numId w:val="32"/>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advertsing costs of $4.6 million primarily due to increased digital marketng spend related to JustGiving and, to a lesser extent, increased marketng related to EVERFI while we explored strategic optons for the business</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Research and development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Research and development expense includes compensaton costs for engineering and product management personnel, third-party contractor expenses, sofware development tools and other expenses related to developing new solutons or upgrading and enhancing existng solutons that do not qualify for capitalizaton, and allocated depreciaton, facilites and IT support costs.</w:t>
      </w: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contnue to make investments to delight our customers with innovatve cloud solutons. We also contnue to invest heavily in the security of our solutons. Research and development expense increased by $7.3 million, or 4.8%. The increases in dollars and as a percentage of total revenue were primarily driven by the following:</w:t>
      </w:r>
    </w:p>
    <w:p>
      <w:pPr>
        <w:spacing w:after="0" w:line="165" w:lineRule="exact"/>
        <w:rPr>
          <w:sz w:val="20"/>
          <w:szCs w:val="20"/>
          <w:color w:val="auto"/>
        </w:rPr>
      </w:pPr>
    </w:p>
    <w:p>
      <w:pPr>
        <w:ind w:left="720" w:right="40" w:hanging="364"/>
        <w:spacing w:after="0" w:line="180" w:lineRule="auto"/>
        <w:tabs>
          <w:tab w:leader="none" w:pos="720" w:val="left"/>
        </w:tabs>
        <w:numPr>
          <w:ilvl w:val="0"/>
          <w:numId w:val="33"/>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compensaton costs other than stock-based compensaton of $6.6 million primarily related to an increase in resources dedicated to the security-related compliance of our solutons</w:t>
      </w:r>
    </w:p>
    <w:p>
      <w:pPr>
        <w:ind w:left="720" w:hanging="364"/>
        <w:spacing w:after="0" w:line="181" w:lineRule="auto"/>
        <w:tabs>
          <w:tab w:leader="none" w:pos="720" w:val="left"/>
        </w:tabs>
        <w:numPr>
          <w:ilvl w:val="0"/>
          <w:numId w:val="33"/>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third-party contractor costs of $3.4 million largely related to enhancements to our cybersecurity program</w:t>
      </w:r>
    </w:p>
    <w:p>
      <w:pPr>
        <w:spacing w:after="0" w:line="146" w:lineRule="exact"/>
        <w:rPr>
          <w:rFonts w:ascii="Calibri" w:cs="Calibri" w:eastAsia="Calibri" w:hAnsi="Calibri"/>
          <w:sz w:val="35"/>
          <w:szCs w:val="35"/>
          <w:color w:val="51555C"/>
          <w:vertAlign w:val="superscript"/>
        </w:rPr>
      </w:pPr>
    </w:p>
    <w:p>
      <w:pPr>
        <w:ind w:left="720" w:hanging="364"/>
        <w:spacing w:after="0" w:line="185" w:lineRule="auto"/>
        <w:tabs>
          <w:tab w:leader="none" w:pos="720" w:val="left"/>
        </w:tabs>
        <w:numPr>
          <w:ilvl w:val="0"/>
          <w:numId w:val="33"/>
        </w:numPr>
        <w:rPr>
          <w:rFonts w:ascii="Calibri" w:cs="Calibri" w:eastAsia="Calibri" w:hAnsi="Calibri"/>
          <w:sz w:val="19"/>
          <w:szCs w:val="19"/>
          <w:color w:val="51555C"/>
          <w:vertAlign w:val="superscript"/>
        </w:rPr>
      </w:pPr>
      <w:r>
        <w:rPr>
          <w:rFonts w:ascii="Calibri" w:cs="Calibri" w:eastAsia="Calibri" w:hAnsi="Calibri"/>
          <w:sz w:val="12"/>
          <w:szCs w:val="12"/>
          <w:color w:val="51555C"/>
        </w:rPr>
        <w:t>Increase in allocated overhead costs of $2.7 million primarily related to increased headcount discussed above</w:t>
      </w:r>
    </w:p>
    <w:p>
      <w:pPr>
        <w:spacing w:after="0" w:line="91" w:lineRule="exact"/>
        <w:rPr>
          <w:sz w:val="20"/>
          <w:szCs w:val="20"/>
          <w:color w:val="auto"/>
        </w:rPr>
      </w:pPr>
    </w:p>
    <w:p>
      <w:pPr>
        <w:ind w:left="720" w:right="40" w:hanging="347"/>
        <w:spacing w:after="0" w:line="215" w:lineRule="auto"/>
        <w:tabs>
          <w:tab w:leader="none" w:pos="720" w:val="left"/>
        </w:tabs>
        <w:numPr>
          <w:ilvl w:val="0"/>
          <w:numId w:val="34"/>
        </w:numPr>
        <w:rPr>
          <w:rFonts w:ascii="Calibri" w:cs="Calibri" w:eastAsia="Calibri" w:hAnsi="Calibri"/>
          <w:sz w:val="18"/>
          <w:szCs w:val="18"/>
          <w:color w:val="51555C"/>
        </w:rPr>
      </w:pPr>
      <w:r>
        <w:rPr>
          <w:rFonts w:ascii="Calibri" w:cs="Calibri" w:eastAsia="Calibri" w:hAnsi="Calibri"/>
          <w:sz w:val="18"/>
          <w:szCs w:val="18"/>
          <w:color w:val="51555C"/>
        </w:rPr>
        <w:t>Decrease in stock-based compensaton of $4.3 million primarily due overall Company performance against 2024 goals and a decrease in the grant date fair value of equity award grants</w:t>
      </w:r>
    </w:p>
    <w:p>
      <w:pPr>
        <w:spacing w:after="0" w:line="51" w:lineRule="exact"/>
        <w:rPr>
          <w:rFonts w:ascii="Calibri" w:cs="Calibri" w:eastAsia="Calibri" w:hAnsi="Calibri"/>
          <w:sz w:val="18"/>
          <w:szCs w:val="18"/>
          <w:color w:val="51555C"/>
        </w:rPr>
      </w:pPr>
    </w:p>
    <w:p>
      <w:pPr>
        <w:ind w:left="720" w:hanging="347"/>
        <w:spacing w:after="0"/>
        <w:tabs>
          <w:tab w:leader="none" w:pos="720" w:val="left"/>
        </w:tabs>
        <w:numPr>
          <w:ilvl w:val="0"/>
          <w:numId w:val="34"/>
        </w:numPr>
        <w:rPr>
          <w:rFonts w:ascii="Calibri" w:cs="Calibri" w:eastAsia="Calibri" w:hAnsi="Calibri"/>
          <w:sz w:val="18"/>
          <w:szCs w:val="18"/>
          <w:color w:val="51555C"/>
        </w:rPr>
      </w:pPr>
      <w:r>
        <w:rPr>
          <w:rFonts w:ascii="Calibri" w:cs="Calibri" w:eastAsia="Calibri" w:hAnsi="Calibri"/>
          <w:sz w:val="18"/>
          <w:szCs w:val="18"/>
          <w:color w:val="51555C"/>
        </w:rPr>
        <w:t>Decrease in employee severance costs of $1.1 million primarily due to our prior period targeted workforce reductons discussed above</w:t>
      </w:r>
    </w:p>
    <w:p>
      <w:pPr>
        <w:spacing w:after="0" w:line="2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Not included in research and development expense for 2024 and 2023 were $60.8 million and $60.7 million, respectvely, of qualifying costs associated with sofware and content development actvites that are required to be capitalized under GAAP, such as those for our cloud solutons, as well as development costs associated with acquired companies. Qualifying capitalized sofware and content development costs associated with our cloud solutons and online educatonal courses are subsequently amortzed to cost of recurring revenue over the related asset's estmated useful life, which generally range from three to seven years. We expect that the amount of sofware development costs capitalized will modestly decrease in the near-term due to the dispositon of EVERFI. We contnue to prioritze making investments in innovaton, quality, security and the integraton of our solutons, which we believe will drive long-term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737870</wp:posOffset>
            </wp:positionV>
            <wp:extent cx="7289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General and administratve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 consists primarily of compensaton costs for general corporate functons, including senior management, fnance, accountng, legal, human resources and corporate development, Security Incident-related expenses (including legal fees, setlements and loss contngency accruals), third-party professional fees, insurance, allocated depreciaton, facilites and IT support costs, acquisiton-related expenses and other administratve expenses.</w:t>
      </w: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expenses decreased by $47.2 million, or 24.9%. The decreases in dollars and as a percentage of total revenue were primarily driven by the following:</w:t>
      </w:r>
    </w:p>
    <w:p>
      <w:pPr>
        <w:spacing w:after="0" w:line="110" w:lineRule="exact"/>
        <w:rPr>
          <w:sz w:val="20"/>
          <w:szCs w:val="20"/>
          <w:color w:val="auto"/>
        </w:rPr>
      </w:pPr>
    </w:p>
    <w:p>
      <w:pPr>
        <w:ind w:left="700" w:right="20" w:hanging="348"/>
        <w:spacing w:after="0" w:line="235" w:lineRule="auto"/>
        <w:tabs>
          <w:tab w:leader="none" w:pos="700" w:val="left"/>
        </w:tabs>
        <w:numPr>
          <w:ilvl w:val="0"/>
          <w:numId w:val="35"/>
        </w:numPr>
        <w:rPr>
          <w:rFonts w:ascii="Calibri" w:cs="Calibri" w:eastAsia="Calibri" w:hAnsi="Calibri"/>
          <w:sz w:val="18"/>
          <w:szCs w:val="18"/>
          <w:color w:val="51555C"/>
        </w:rPr>
      </w:pPr>
      <w:r>
        <w:rPr>
          <w:rFonts w:ascii="Calibri" w:cs="Calibri" w:eastAsia="Calibri" w:hAnsi="Calibri"/>
          <w:sz w:val="18"/>
          <w:szCs w:val="18"/>
          <w:color w:val="51555C"/>
        </w:rPr>
        <w:t>Decrease in Security Incident-related expenses of $39.7 million largely related to decreases in loss contngency accruals. See "Security Incident update" above on page 40</w:t>
      </w:r>
    </w:p>
    <w:p>
      <w:pPr>
        <w:spacing w:after="0" w:line="109" w:lineRule="exact"/>
        <w:rPr>
          <w:rFonts w:ascii="Calibri" w:cs="Calibri" w:eastAsia="Calibri" w:hAnsi="Calibri"/>
          <w:sz w:val="18"/>
          <w:szCs w:val="18"/>
          <w:color w:val="51555C"/>
        </w:rPr>
      </w:pPr>
    </w:p>
    <w:p>
      <w:pPr>
        <w:ind w:left="700" w:right="20" w:hanging="348"/>
        <w:spacing w:after="0" w:line="180" w:lineRule="auto"/>
        <w:tabs>
          <w:tab w:leader="none" w:pos="700" w:val="left"/>
        </w:tabs>
        <w:numPr>
          <w:ilvl w:val="0"/>
          <w:numId w:val="35"/>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stock-based compensaton costs of $9.0 million primarily due to overall Company performance against 2024 goals and a decrease in the grant date fair value of equity award grants</w:t>
      </w:r>
    </w:p>
    <w:p>
      <w:pPr>
        <w:spacing w:after="0" w:line="109" w:lineRule="exact"/>
        <w:rPr>
          <w:rFonts w:ascii="Calibri" w:cs="Calibri" w:eastAsia="Calibri" w:hAnsi="Calibri"/>
          <w:sz w:val="31"/>
          <w:szCs w:val="31"/>
          <w:color w:val="51555C"/>
          <w:vertAlign w:val="superscript"/>
        </w:rPr>
      </w:pPr>
    </w:p>
    <w:p>
      <w:pPr>
        <w:jc w:val="both"/>
        <w:ind w:left="700" w:right="20" w:hanging="348"/>
        <w:spacing w:after="0" w:line="187" w:lineRule="auto"/>
        <w:tabs>
          <w:tab w:leader="none" w:pos="700" w:val="left"/>
        </w:tabs>
        <w:numPr>
          <w:ilvl w:val="0"/>
          <w:numId w:val="35"/>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total costs allocated from general and administratve expense of $4.4 million primarily related to investments in security tools. Depreciaton, facilites and IT support costs are pooled and recorded to general and administratve expense and allocated to other lines of our statements of comprehensive loss based on headcount.</w:t>
      </w:r>
    </w:p>
    <w:p>
      <w:pPr>
        <w:spacing w:after="0" w:line="109" w:lineRule="exact"/>
        <w:rPr>
          <w:rFonts w:ascii="Calibri" w:cs="Calibri" w:eastAsia="Calibri" w:hAnsi="Calibri"/>
          <w:sz w:val="34"/>
          <w:szCs w:val="34"/>
          <w:color w:val="51555C"/>
          <w:vertAlign w:val="superscript"/>
        </w:rPr>
      </w:pPr>
    </w:p>
    <w:p>
      <w:pPr>
        <w:jc w:val="both"/>
        <w:ind w:left="700" w:right="20" w:hanging="348"/>
        <w:spacing w:after="0" w:line="188" w:lineRule="auto"/>
        <w:tabs>
          <w:tab w:leader="none" w:pos="700" w:val="left"/>
        </w:tabs>
        <w:numPr>
          <w:ilvl w:val="0"/>
          <w:numId w:val="35"/>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 in acquisiton and dispositon-related costs of $1.4 million primarily related to less noncash impairment charges against certain operatng lease right-of-use assets and property and equipment assets resultng from the subleases of our Washington, DC ofce locaton, partally ofset by costs associated with the dispositon of EVERFI Limited; see Note 6 and Note 3 to our consolidated fnancial statements in this report for more informaton.</w:t>
      </w:r>
    </w:p>
    <w:p>
      <w:pPr>
        <w:spacing w:after="0" w:line="2" w:lineRule="exact"/>
        <w:rPr>
          <w:rFonts w:ascii="Calibri" w:cs="Calibri" w:eastAsia="Calibri" w:hAnsi="Calibri"/>
          <w:sz w:val="36"/>
          <w:szCs w:val="36"/>
          <w:color w:val="51555C"/>
          <w:vertAlign w:val="superscript"/>
        </w:rPr>
      </w:pPr>
    </w:p>
    <w:p>
      <w:pPr>
        <w:ind w:left="700" w:hanging="348"/>
        <w:spacing w:after="0" w:line="181" w:lineRule="auto"/>
        <w:tabs>
          <w:tab w:leader="none" w:pos="700" w:val="left"/>
        </w:tabs>
        <w:numPr>
          <w:ilvl w:val="0"/>
          <w:numId w:val="35"/>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severance costs of $1.0 million due to our prior period targeted workforce reductons discussed above</w:t>
      </w:r>
    </w:p>
    <w:p>
      <w:pPr>
        <w:spacing w:after="0" w:line="111" w:lineRule="exact"/>
        <w:rPr>
          <w:sz w:val="20"/>
          <w:szCs w:val="20"/>
          <w:color w:val="auto"/>
        </w:rPr>
      </w:pPr>
    </w:p>
    <w:p>
      <w:pPr>
        <w:ind w:left="700" w:right="20" w:hanging="364"/>
        <w:spacing w:after="0" w:line="180" w:lineRule="auto"/>
        <w:tabs>
          <w:tab w:leader="none" w:pos="700" w:val="left"/>
        </w:tabs>
        <w:numPr>
          <w:ilvl w:val="0"/>
          <w:numId w:val="36"/>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compensaton costs other than stock-based compensaton of $5.0 million primarily due to an increase in resources dedicated to our cybersecurity program</w:t>
      </w:r>
    </w:p>
    <w:p>
      <w:pPr>
        <w:spacing w:after="0" w:line="109" w:lineRule="exact"/>
        <w:rPr>
          <w:rFonts w:ascii="Calibri" w:cs="Calibri" w:eastAsia="Calibri" w:hAnsi="Calibri"/>
          <w:sz w:val="31"/>
          <w:szCs w:val="31"/>
          <w:color w:val="51555C"/>
          <w:vertAlign w:val="superscript"/>
        </w:rPr>
      </w:pPr>
    </w:p>
    <w:p>
      <w:pPr>
        <w:ind w:left="700" w:right="20" w:hanging="364"/>
        <w:spacing w:after="0" w:line="180" w:lineRule="auto"/>
        <w:tabs>
          <w:tab w:leader="none" w:pos="700" w:val="left"/>
        </w:tabs>
        <w:numPr>
          <w:ilvl w:val="0"/>
          <w:numId w:val="36"/>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corporate costs of $2.4 million primarily related to an increase in bad debt expense. The increase in bad debt expense was driven by an increase in write-ofs.</w:t>
      </w:r>
    </w:p>
    <w:p>
      <w:pPr>
        <w:spacing w:after="0" w:line="109" w:lineRule="exact"/>
        <w:rPr>
          <w:rFonts w:ascii="Calibri" w:cs="Calibri" w:eastAsia="Calibri" w:hAnsi="Calibri"/>
          <w:sz w:val="31"/>
          <w:szCs w:val="31"/>
          <w:color w:val="51555C"/>
          <w:vertAlign w:val="superscript"/>
        </w:rPr>
      </w:pPr>
    </w:p>
    <w:p>
      <w:pPr>
        <w:ind w:left="700" w:right="20" w:hanging="364"/>
        <w:spacing w:after="0"/>
        <w:tabs>
          <w:tab w:leader="none" w:pos="700" w:val="left"/>
        </w:tabs>
        <w:numPr>
          <w:ilvl w:val="0"/>
          <w:numId w:val="36"/>
        </w:numPr>
        <w:rPr>
          <w:rFonts w:ascii="Calibri" w:cs="Calibri" w:eastAsia="Calibri" w:hAnsi="Calibri"/>
          <w:sz w:val="32"/>
          <w:szCs w:val="32"/>
          <w:color w:val="51555C"/>
          <w:vertAlign w:val="superscript"/>
        </w:rPr>
      </w:pPr>
      <w:r>
        <w:rPr>
          <w:rFonts w:ascii="Calibri" w:cs="Calibri" w:eastAsia="Calibri" w:hAnsi="Calibri"/>
          <w:sz w:val="16"/>
          <w:szCs w:val="16"/>
          <w:color w:val="51555C"/>
        </w:rPr>
        <w:t>Increase in third-party sofware costs of $1.5 million due to primarily due to the number of licenses needed and also price increases for the sofware being used</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46</w:t>
      </w:r>
      <w:r>
        <w:rPr>
          <w:sz w:val="20"/>
          <w:szCs w:val="20"/>
          <w:color w:val="auto"/>
        </w:rPr>
        <w:tab/>
      </w:r>
      <w:r>
        <w:rPr>
          <w:sz w:val="1"/>
          <w:szCs w:val="1"/>
          <w:color w:val="auto"/>
        </w:rPr>
        <w:drawing>
          <wp:inline distT="0" distB="0" distL="0" distR="0">
            <wp:extent cx="728345" cy="1885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Interest Expense</w:t>
      </w: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Calibri" w:cs="Calibri" w:eastAsia="Calibri" w:hAnsi="Calibri"/>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231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Interest expense increased in dollars and as a percentage of total revenue during 2024 when compared to 2023, primarily due to our incremental borrowings to fund our ASR Transacton (as defned on page 105) and other stock repurchases. We currently expect interest expense for the full year 2025 to be approximately $65 million to $69 million although our interest expense in connecton with the variable rate porton of our outstanding debt could increase in a rising interest rate environment. See Note 10 to our consolidated fnancial statements in this report for more informaton regarding our derivatve instruments, which we use to manage our variable interest rate risk, and Item 7A. Quanttatve and Qualitatve Disclosures about Market Risk: Interest Rate Risk on page 64 for more informaton about our variable interest rate exposure and related risk.</w:t>
      </w:r>
    </w:p>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Income</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Calibri" w:cs="Calibri" w:eastAsia="Calibri" w:hAnsi="Calibri"/>
          <w:sz w:val="18"/>
          <w:szCs w:val="18"/>
          <w:i w:val="1"/>
          <w:iCs w:val="1"/>
          <w:color w:val="51555C"/>
        </w:rPr>
        <w:t>Other income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31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Calibri" w:cs="Calibri" w:eastAsia="Calibri" w:hAnsi="Calibri"/>
          <w:sz w:val="13"/>
          <w:szCs w:val="13"/>
          <w:i w:val="1"/>
          <w:iCs w:val="1"/>
          <w:color w:val="51555C"/>
        </w:rPr>
        <w:t>Percentages indicate other income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Other income increased in dollars and as a percentage of total revenue during 2024 when compared to 2023, primarily due to an increase in interest income. Interest income increased primarily due to higher interest earned on restricted cash due to customers for our payment processing solutons. See Note 8 to our consolidated fnancial statements in this report for more informaton regarding our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Deferred Revenue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table below compares the components of deferred revenue from our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0"/>
        </w:trPr>
        <w:tc>
          <w:tcPr>
            <w:tcW w:w="65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4"/>
                <w:szCs w:val="14"/>
                <w:color w:val="auto"/>
              </w:rPr>
            </w:pPr>
          </w:p>
        </w:tc>
      </w:tr>
      <w:tr>
        <w:trPr>
          <w:trHeight w:val="74"/>
        </w:trPr>
        <w:tc>
          <w:tcPr>
            <w:tcW w:w="65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656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Total deferred revenue</w:t>
            </w:r>
            <w:r>
              <w:rPr>
                <w:rFonts w:ascii="Calibri" w:cs="Calibri" w:eastAsia="Calibri" w:hAnsi="Calibri"/>
                <w:sz w:val="23"/>
                <w:szCs w:val="23"/>
                <w:color w:val="51555C"/>
                <w:vertAlign w:val="superscript"/>
              </w:rPr>
              <w:t>(1)</w:t>
            </w:r>
          </w:p>
        </w:tc>
        <w:tc>
          <w:tcPr>
            <w:tcW w:w="380" w:type="dxa"/>
            <w:vAlign w:val="bottom"/>
            <w:shd w:val="clear" w:color="auto" w:fill="EBFBFF"/>
          </w:tcPr>
          <w:p>
            <w:pPr>
              <w:spacing w:after="0"/>
              <w:rPr>
                <w:sz w:val="24"/>
                <w:szCs w:val="24"/>
                <w:color w:val="auto"/>
              </w:rPr>
            </w:pPr>
          </w:p>
        </w:tc>
        <w:tc>
          <w:tcPr>
            <w:tcW w:w="11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361.5</w:t>
            </w:r>
          </w:p>
        </w:tc>
        <w:tc>
          <w:tcPr>
            <w:tcW w:w="400" w:type="dxa"/>
            <w:vAlign w:val="bottom"/>
            <w:shd w:val="clear" w:color="auto" w:fill="EBFBFF"/>
          </w:tcPr>
          <w:p>
            <w:pPr>
              <w:spacing w:after="0"/>
              <w:rPr>
                <w:sz w:val="24"/>
                <w:szCs w:val="24"/>
                <w:color w:val="auto"/>
              </w:rPr>
            </w:pPr>
          </w:p>
        </w:tc>
        <w:tc>
          <w:tcPr>
            <w:tcW w:w="112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394.9</w:t>
            </w:r>
          </w:p>
        </w:tc>
        <w:tc>
          <w:tcPr>
            <w:tcW w:w="16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(8.5)%</w:t>
            </w:r>
          </w:p>
        </w:tc>
        <w:tc>
          <w:tcPr>
            <w:tcW w:w="20" w:type="dxa"/>
            <w:vAlign w:val="bottom"/>
          </w:tcPr>
          <w:p>
            <w:pPr>
              <w:spacing w:after="0"/>
              <w:rPr>
                <w:sz w:val="24"/>
                <w:szCs w:val="24"/>
                <w:color w:val="auto"/>
              </w:rPr>
            </w:pPr>
          </w:p>
        </w:tc>
      </w:tr>
      <w:tr>
        <w:trPr>
          <w:trHeight w:val="220"/>
        </w:trPr>
        <w:tc>
          <w:tcPr>
            <w:tcW w:w="6560" w:type="dxa"/>
            <w:vAlign w:val="bottom"/>
          </w:tcPr>
          <w:p>
            <w:pPr>
              <w:ind w:left="140"/>
              <w:spacing w:after="0"/>
              <w:rPr>
                <w:sz w:val="20"/>
                <w:szCs w:val="20"/>
                <w:color w:val="auto"/>
              </w:rPr>
            </w:pPr>
            <w:r>
              <w:rPr>
                <w:rFonts w:ascii="Calibri" w:cs="Calibri" w:eastAsia="Calibri" w:hAnsi="Calibri"/>
                <w:sz w:val="18"/>
                <w:szCs w:val="18"/>
                <w:color w:val="51555C"/>
              </w:rPr>
              <w:t>Less: Long-term porton</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2.4</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(15.9)%</w:t>
            </w:r>
          </w:p>
        </w:tc>
        <w:tc>
          <w:tcPr>
            <w:tcW w:w="20" w:type="dxa"/>
            <w:vAlign w:val="bottom"/>
          </w:tcPr>
          <w:p>
            <w:pPr>
              <w:spacing w:after="0"/>
              <w:rPr>
                <w:sz w:val="19"/>
                <w:szCs w:val="19"/>
                <w:color w:val="auto"/>
              </w:rPr>
            </w:pPr>
          </w:p>
        </w:tc>
      </w:tr>
      <w:tr>
        <w:trPr>
          <w:trHeight w:val="50"/>
        </w:trPr>
        <w:tc>
          <w:tcPr>
            <w:tcW w:w="656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40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164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r>
      <w:tr>
        <w:trPr>
          <w:trHeight w:val="303"/>
        </w:trPr>
        <w:tc>
          <w:tcPr>
            <w:tcW w:w="6560" w:type="dxa"/>
            <w:vAlign w:val="bottom"/>
            <w:tcBorders>
              <w:bottom w:val="single" w:sz="8" w:color="0CD973"/>
            </w:tcBorders>
            <w:shd w:val="clear" w:color="auto" w:fill="EBFBFF"/>
          </w:tcPr>
          <w:p>
            <w:pPr>
              <w:ind w:left="140"/>
              <w:spacing w:after="0"/>
              <w:rPr>
                <w:sz w:val="20"/>
                <w:szCs w:val="20"/>
                <w:color w:val="auto"/>
              </w:rPr>
            </w:pPr>
            <w:r>
              <w:rPr>
                <w:rFonts w:ascii="Calibri" w:cs="Calibri" w:eastAsia="Calibri" w:hAnsi="Calibri"/>
                <w:sz w:val="18"/>
                <w:szCs w:val="18"/>
                <w:color w:val="51555C"/>
              </w:rPr>
              <w:t>Current porton</w:t>
            </w:r>
            <w:r>
              <w:rPr>
                <w:rFonts w:ascii="Calibri" w:cs="Calibri" w:eastAsia="Calibri" w:hAnsi="Calibri"/>
                <w:sz w:val="23"/>
                <w:szCs w:val="23"/>
                <w:color w:val="51555C"/>
                <w:vertAlign w:val="superscript"/>
              </w:rPr>
              <w:t>(1)</w:t>
            </w:r>
          </w:p>
        </w:tc>
        <w:tc>
          <w:tcPr>
            <w:tcW w:w="38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359.5</w:t>
            </w:r>
          </w:p>
        </w:tc>
        <w:tc>
          <w:tcPr>
            <w:tcW w:w="40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392.5</w:t>
            </w:r>
          </w:p>
        </w:tc>
        <w:tc>
          <w:tcPr>
            <w:tcW w:w="16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(8.4)%</w:t>
            </w:r>
          </w:p>
        </w:tc>
        <w:tc>
          <w:tcPr>
            <w:tcW w:w="20" w:type="dxa"/>
            <w:vAlign w:val="bottom"/>
          </w:tcPr>
          <w:p>
            <w:pPr>
              <w:spacing w:after="0"/>
              <w:rPr>
                <w:sz w:val="24"/>
                <w:szCs w:val="24"/>
                <w:color w:val="auto"/>
              </w:rPr>
            </w:pPr>
          </w:p>
        </w:tc>
      </w:tr>
    </w:tbl>
    <w:p>
      <w:pPr>
        <w:spacing w:after="0" w:line="66" w:lineRule="exact"/>
        <w:rPr>
          <w:sz w:val="20"/>
          <w:szCs w:val="20"/>
          <w:color w:val="auto"/>
        </w:rPr>
      </w:pPr>
    </w:p>
    <w:p>
      <w:pPr>
        <w:ind w:left="340" w:hanging="332"/>
        <w:spacing w:after="0"/>
        <w:tabs>
          <w:tab w:leader="none" w:pos="340" w:val="left"/>
        </w:tabs>
        <w:numPr>
          <w:ilvl w:val="0"/>
          <w:numId w:val="37"/>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total deferred revenue or current porton of deferred revenue due to rounding.</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To the extent that our customers are billed for our solutons and services in advance of delivery, we record such amounts in deferred revenue. Our recurring revenue contracts are generally for a term of three years at contract incepton with three-year renewals thereafer, billed annually in advance and non-cancelable. We generally invoice our customers with recurring revenue contracts in annual cycles 30 days prior to the end each one-year period.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decrease in deferred revenue during the year ended December 31, 2024 was primarily due to our divestture of EVERFI on December 31, 2024.</w:t>
      </w:r>
    </w:p>
    <w:p>
      <w:pPr>
        <w:spacing w:after="0" w:line="235" w:lineRule="auto"/>
        <w:rPr>
          <w:sz w:val="20"/>
          <w:szCs w:val="20"/>
          <w:color w:val="auto"/>
        </w:rPr>
      </w:pPr>
      <w:r>
        <w:rPr>
          <w:rFonts w:ascii="Calibri" w:cs="Calibri" w:eastAsia="Calibri" w:hAnsi="Calibri"/>
          <w:sz w:val="18"/>
          <w:szCs w:val="18"/>
          <w:color w:val="51555C"/>
        </w:rPr>
        <w:t>Historically, due to the tming of customer budget cycles, we have an increase in customer contract renewals at or near the beginning of our third quarter.</w:t>
      </w:r>
    </w:p>
    <w:p>
      <w:pPr>
        <w:spacing w:after="0" w:line="236" w:lineRule="auto"/>
        <w:rPr>
          <w:sz w:val="20"/>
          <w:szCs w:val="20"/>
          <w:color w:val="auto"/>
        </w:rPr>
      </w:pPr>
      <w:r>
        <w:rPr>
          <w:rFonts w:ascii="Calibri" w:cs="Calibri" w:eastAsia="Calibri" w:hAnsi="Calibri"/>
          <w:sz w:val="18"/>
          <w:szCs w:val="18"/>
          <w:color w:val="51555C"/>
        </w:rPr>
        <w:t>Generally, our lowest balance of deferred revenue during the year is at the end of our frst quarter.</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Income Taxes</w:t>
      </w:r>
    </w:p>
    <w:p>
      <w:pPr>
        <w:spacing w:after="0" w:line="200" w:lineRule="exact"/>
        <w:rPr>
          <w:sz w:val="20"/>
          <w:szCs w:val="20"/>
          <w:color w:val="auto"/>
        </w:rPr>
      </w:pPr>
    </w:p>
    <w:p>
      <w:pPr>
        <w:spacing w:after="0" w:line="282" w:lineRule="exact"/>
        <w:rPr>
          <w:sz w:val="20"/>
          <w:szCs w:val="20"/>
          <w:color w:val="auto"/>
        </w:rPr>
      </w:pPr>
    </w:p>
    <w:p>
      <w:pPr>
        <w:ind w:left="820"/>
        <w:spacing w:after="0"/>
        <w:rPr>
          <w:sz w:val="20"/>
          <w:szCs w:val="20"/>
          <w:color w:val="auto"/>
        </w:rPr>
      </w:pPr>
      <w:r>
        <w:rPr>
          <w:rFonts w:ascii="Calibri" w:cs="Calibri" w:eastAsia="Calibri" w:hAnsi="Calibri"/>
          <w:sz w:val="18"/>
          <w:szCs w:val="18"/>
          <w:i w:val="1"/>
          <w:iCs w:val="1"/>
          <w:color w:val="51555C"/>
        </w:rPr>
        <w:t>Income tax (beneft)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231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4" w:lineRule="exact"/>
        <w:rPr>
          <w:sz w:val="20"/>
          <w:szCs w:val="20"/>
          <w:color w:val="auto"/>
        </w:rPr>
      </w:pPr>
    </w:p>
    <w:p>
      <w:pPr>
        <w:ind w:left="880"/>
        <w:spacing w:after="0"/>
        <w:rPr>
          <w:sz w:val="20"/>
          <w:szCs w:val="20"/>
          <w:color w:val="auto"/>
        </w:rPr>
      </w:pPr>
      <w:r>
        <w:rPr>
          <w:rFonts w:ascii="Calibri" w:cs="Calibri" w:eastAsia="Calibri" w:hAnsi="Calibri"/>
          <w:sz w:val="13"/>
          <w:szCs w:val="13"/>
          <w:i w:val="1"/>
          <w:iCs w:val="1"/>
          <w:color w:val="51555C"/>
        </w:rPr>
        <w:t>Percentages indicate efectve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efectve income tax rate may fuctuate quarterly and annually as a result of factors, including changes in tax law in jurisdictons where we conduct business, transactons entered into, changes in the geographic distributon of our earnings or losses, and our assessment of certain tax contngencies and valuaton allowances.</w:t>
      </w:r>
    </w:p>
    <w:p>
      <w:pPr>
        <w:spacing w:after="0" w:line="165"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have deferred tax assets for federal, state, and internatonal net operatng loss carryforwards, a federal and state capital loss carryforward and tax credits. The federal and state net operatng loss and capital loss carryforwards are subject to various Internal Revenue Code limitatons and applicable state tax laws. The foreign net operatng loss carryforwards have a valuaton reserve due to the uncertainty of realizing such carryforwards in the future. Further, as of December 31, 2024, we recorded a valuaton allowance against all of our U.S. deferred tax assets in excess of deferred tax liabilites due to combinaton of our cumulatve pretax loss positon and net deferred tax asset positon resultng from divestture of EVERFI. We intend to contnue maintaining a full valuaton allowance on our U.S. net deferred tax assets untl there is sufcient evidence to support the reversal of all or some porton of these allowances.</w:t>
      </w:r>
    </w:p>
    <w:p>
      <w:pPr>
        <w:spacing w:after="0" w:line="15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fle income tax returns in the U.S. for federal and various state jurisdictons as well as in foreign jurisdictons including Canada, the U.K., Australia, Ireland and Costa Rica. We are generally subject to U.S. federal income tax examinaton for calendar tax years ending 2021 through 2024, as well as state and foreign income tax examinatons for various years depending on statute of limitatons of those jurisdictons.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48</w:t>
      </w:r>
      <w:r>
        <w:rPr>
          <w:sz w:val="20"/>
          <w:szCs w:val="20"/>
          <w:color w:val="auto"/>
        </w:rPr>
        <w:tab/>
      </w:r>
      <w:r>
        <w:rPr>
          <w:sz w:val="1"/>
          <w:szCs w:val="1"/>
          <w:color w:val="auto"/>
        </w:rPr>
        <w:drawing>
          <wp:inline distT="0" distB="0" distL="0" distR="0">
            <wp:extent cx="728345" cy="18859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taken federal and state tax positons for which it is reasonably possible that the total amount of unrecognized tax benefts may decrease within the next twelve months. The possible decrease could result from the expiraton of statutes of limitatons. The reasonably possible decrease at December 31, 2024 was insignifcant.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recognize accrued interest and penaltes, if any, related to unrecognized tax benefts as a component of income tax expense.</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decrease in our efectve income tax rate for year ended December 31, 2024, when compared to the same period in 2023, was primarily atributable to the valuaton allowance recorded in the current period. As of December 31, 2024, we recorded a valuaton allowance against all of our U.S. deferred tax assets in excess of deferred tax liabilites due to the combinaton of our cumulatve pretax loss positon and net deferred tax asset positon resultng from our divestture of EVERFI. We intend to contnue maintaining a full valuaton allowance on our U.S. net deferred tax assets untl there is sufcient evidence to support the reversal of all or some porton of these allowances. Furthermore, the efect of our various rate drivers is reversed by the Company’s 2024 loss positon versus income in 2023.</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Non-GAAP Financial Measures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operatng results analyzed below are presented on a non-GAAP basis. We use non-GAAP fnancial measures internally in analyzing our operatonal performance. Accordingly, we believe these non-GAAP measures are useful to investors, as a supplement to GAAP measures, in evaluatng our ongoing operatonal performance. While we believe these non-GAAP measures provide useful supplemental informaton, non-GAAP fnancial measures should not be considered in isolaton from, or as a substtute for, fnancial informaton prepared in accordance with GAAP. In additon, these non-GAAP fnancial measures may not be completely comparable to similarly ttled measures of other companies due to potental diferences in the exact method of calculaton between companies.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non-GAAP fnancial measures discussed below exclude the impact of certain transactons because we believe they are not directly related to our operatng performance in any partcular period, but are for our long-term beneft over multple periods. We believe that these non-GAAP fnancial measures refect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51555C"/>
        </w:rPr>
        <w:t>Blackbaud,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462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FFFFFF"/>
        </w:rPr>
        <w:t>(dollars in millions, except per share amounts)</w:t>
      </w:r>
    </w:p>
    <w:p>
      <w:pPr>
        <w:spacing w:after="0" w:line="72"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GAAP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0"/>
        <w:spacing w:after="0"/>
        <w:rPr>
          <w:sz w:val="20"/>
          <w:szCs w:val="20"/>
          <w:color w:val="auto"/>
        </w:rPr>
      </w:pPr>
      <w:r>
        <w:rPr>
          <w:rFonts w:ascii="Calibri" w:cs="Calibri" w:eastAsia="Calibri" w:hAnsi="Calibri"/>
          <w:sz w:val="14"/>
          <w:szCs w:val="14"/>
          <w:b w:val="1"/>
          <w:bCs w:val="1"/>
          <w:color w:val="FFFFFF"/>
        </w:rPr>
        <w:t>Years ended December 31,</w:t>
      </w:r>
    </w:p>
    <w:p>
      <w:pPr>
        <w:spacing w:after="0" w:line="72" w:lineRule="exact"/>
        <w:rPr>
          <w:sz w:val="20"/>
          <w:szCs w:val="20"/>
          <w:color w:val="auto"/>
        </w:rPr>
      </w:pPr>
    </w:p>
    <w:p>
      <w:pPr>
        <w:jc w:val="both"/>
        <w:ind w:left="1020"/>
        <w:spacing w:after="0"/>
        <w:tabs>
          <w:tab w:leader="none" w:pos="2380" w:val="left"/>
        </w:tabs>
        <w:rPr>
          <w:sz w:val="20"/>
          <w:szCs w:val="20"/>
          <w:color w:val="auto"/>
        </w:rPr>
      </w:pPr>
      <w:r>
        <w:rPr>
          <w:rFonts w:ascii="Calibri" w:cs="Calibri" w:eastAsia="Calibri" w:hAnsi="Calibri"/>
          <w:sz w:val="14"/>
          <w:szCs w:val="14"/>
          <w:b w:val="1"/>
          <w:bCs w:val="1"/>
          <w:color w:val="FFFFFF"/>
        </w:rPr>
        <w:t>2024</w:t>
      </w:r>
      <w:r>
        <w:rPr>
          <w:sz w:val="20"/>
          <w:szCs w:val="20"/>
          <w:color w:val="auto"/>
        </w:rPr>
        <w:tab/>
      </w:r>
      <w:r>
        <w:rPr>
          <w:rFonts w:ascii="Calibri" w:cs="Calibri" w:eastAsia="Calibri" w:hAnsi="Calibri"/>
          <w:sz w:val="14"/>
          <w:szCs w:val="14"/>
          <w:b w:val="1"/>
          <w:bCs w:val="1"/>
          <w:color w:val="FFFFFF"/>
        </w:rPr>
        <w:t>2023</w:t>
      </w:r>
    </w:p>
    <w:p>
      <w:pPr>
        <w:spacing w:after="0" w:line="72" w:lineRule="exact"/>
        <w:rPr>
          <w:sz w:val="20"/>
          <w:szCs w:val="20"/>
          <w:color w:val="auto"/>
        </w:rPr>
      </w:pPr>
    </w:p>
    <w:p>
      <w:pPr>
        <w:spacing w:after="0"/>
        <w:tabs>
          <w:tab w:leader="none" w:pos="720" w:val="left"/>
          <w:tab w:leader="none" w:pos="1340" w:val="left"/>
          <w:tab w:leader="none" w:pos="2080" w:val="left"/>
        </w:tabs>
        <w:rPr>
          <w:sz w:val="20"/>
          <w:szCs w:val="20"/>
          <w:color w:val="auto"/>
        </w:rPr>
      </w:pPr>
      <w:r>
        <w:rPr>
          <w:rFonts w:ascii="Calibri" w:cs="Calibri" w:eastAsia="Calibri" w:hAnsi="Calibri"/>
          <w:sz w:val="14"/>
          <w:szCs w:val="14"/>
          <w:color w:val="51555C"/>
        </w:rPr>
        <w:t>$</w:t>
      </w:r>
      <w:r>
        <w:rPr>
          <w:sz w:val="20"/>
          <w:szCs w:val="20"/>
          <w:color w:val="auto"/>
        </w:rPr>
        <w:tab/>
      </w:r>
      <w:r>
        <w:rPr>
          <w:rFonts w:ascii="Calibri" w:cs="Calibri" w:eastAsia="Calibri" w:hAnsi="Calibri"/>
          <w:sz w:val="14"/>
          <w:szCs w:val="14"/>
          <w:color w:val="51555C"/>
        </w:rPr>
        <w:t>1,155.5</w:t>
        <w:tab/>
        <w:t>$</w:t>
      </w:r>
      <w:r>
        <w:rPr>
          <w:sz w:val="20"/>
          <w:szCs w:val="20"/>
          <w:color w:val="auto"/>
        </w:rPr>
        <w:tab/>
      </w:r>
      <w:r>
        <w:rPr>
          <w:rFonts w:ascii="Calibri" w:cs="Calibri" w:eastAsia="Calibri" w:hAnsi="Calibri"/>
          <w:sz w:val="14"/>
          <w:szCs w:val="14"/>
          <w:color w:val="51555C"/>
        </w:rPr>
        <w:t>1,105.4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38735</wp:posOffset>
            </wp:positionV>
            <wp:extent cx="1731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111"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gross proft</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639.2</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603.2</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GAAP gross margin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55.3 %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54.6 %</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14.1</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16.7</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57.0</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52.5</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0.8</w:t>
            </w:r>
          </w:p>
        </w:tc>
      </w:tr>
      <w:tr>
        <w:trPr>
          <w:trHeight w:val="60"/>
        </w:trPr>
        <w:tc>
          <w:tcPr>
            <w:tcW w:w="8520" w:type="dxa"/>
            <w:vAlign w:val="bottom"/>
            <w:tcBorders>
              <w:bottom w:val="single" w:sz="8" w:color="EBFBFF"/>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r>
      <w:tr>
        <w:trPr>
          <w:trHeight w:val="223"/>
        </w:trPr>
        <w:tc>
          <w:tcPr>
            <w:tcW w:w="8520" w:type="dxa"/>
            <w:vAlign w:val="bottom"/>
            <w:tcBorders>
              <w:bottom w:val="single" w:sz="8" w:color="EBFBFF"/>
            </w:tcBorders>
            <w:shd w:val="clear" w:color="auto" w:fill="EBFBFF"/>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71.0</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69.9</w:t>
            </w:r>
          </w:p>
        </w:tc>
      </w:tr>
      <w:tr>
        <w:trPr>
          <w:trHeight w:val="202"/>
        </w:trPr>
        <w:tc>
          <w:tcPr>
            <w:tcW w:w="852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gross proft</w:t>
            </w:r>
            <w:r>
              <w:rPr>
                <w:rFonts w:ascii="Calibri" w:cs="Calibri" w:eastAsia="Calibri" w:hAnsi="Calibri"/>
                <w:sz w:val="18"/>
                <w:szCs w:val="18"/>
                <w:b w:val="1"/>
                <w:bCs w:val="1"/>
                <w:color w:val="51555C"/>
                <w:vertAlign w:val="superscript"/>
              </w:rPr>
              <w:t>(1)</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710.3</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673.2</w:t>
            </w:r>
          </w:p>
        </w:tc>
      </w:tr>
      <w:tr>
        <w:trPr>
          <w:trHeight w:val="21"/>
        </w:trPr>
        <w:tc>
          <w:tcPr>
            <w:tcW w:w="8520" w:type="dxa"/>
            <w:vAlign w:val="bottom"/>
            <w:tcBorders>
              <w:bottom w:val="single" w:sz="8" w:color="EBFBFF"/>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r>
      <w:tr>
        <w:trPr>
          <w:trHeight w:val="203"/>
        </w:trPr>
        <w:tc>
          <w:tcPr>
            <w:tcW w:w="852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gross margin</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61.5 %</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60.9 %</w:t>
            </w:r>
          </w:p>
        </w:tc>
      </w:tr>
      <w:tr>
        <w:trPr>
          <w:trHeight w:val="148"/>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(loss) income from operatons</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(270.5)</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44.7</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margin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(23.4)%</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4.0 %</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105.0</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127.8</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60.5</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55.6</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5.1</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0"/>
        </w:trPr>
        <w:tc>
          <w:tcPr>
            <w:tcW w:w="852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Acquisiton and dispositon-related costs</w:t>
            </w:r>
            <w:r>
              <w:rPr>
                <w:rFonts w:ascii="Calibri" w:cs="Calibri" w:eastAsia="Calibri" w:hAnsi="Calibri"/>
                <w:sz w:val="18"/>
                <w:szCs w:val="18"/>
                <w:color w:val="51555C"/>
                <w:vertAlign w:val="superscript"/>
              </w:rPr>
              <w:t>(2)</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6.1</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7.5</w:t>
            </w:r>
          </w:p>
        </w:tc>
      </w:tr>
      <w:tr>
        <w:trPr>
          <w:trHeight w:val="222"/>
        </w:trPr>
        <w:tc>
          <w:tcPr>
            <w:tcW w:w="8520" w:type="dxa"/>
            <w:vAlign w:val="bottom"/>
          </w:tcPr>
          <w:p>
            <w:pPr>
              <w:ind w:left="140"/>
              <w:spacing w:after="0" w:line="216" w:lineRule="exact"/>
              <w:rPr>
                <w:sz w:val="20"/>
                <w:szCs w:val="20"/>
                <w:color w:val="auto"/>
              </w:rPr>
            </w:pPr>
            <w:r>
              <w:rPr>
                <w:rFonts w:ascii="Calibri" w:cs="Calibri" w:eastAsia="Calibri" w:hAnsi="Calibri"/>
                <w:sz w:val="14"/>
                <w:szCs w:val="14"/>
                <w:color w:val="51555C"/>
              </w:rPr>
              <w:t>Add: Security Incident-related costs</w:t>
            </w:r>
            <w:r>
              <w:rPr>
                <w:rFonts w:ascii="Calibri" w:cs="Calibri" w:eastAsia="Calibri" w:hAnsi="Calibri"/>
                <w:sz w:val="18"/>
                <w:szCs w:val="18"/>
                <w:color w:val="51555C"/>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13.7</w:t>
            </w:r>
          </w:p>
        </w:tc>
        <w:tc>
          <w:tcPr>
            <w:tcW w:w="320" w:type="dxa"/>
            <w:vAlign w:val="bottom"/>
          </w:tcPr>
          <w:p>
            <w:pPr>
              <w:spacing w:after="0"/>
              <w:rPr>
                <w:sz w:val="19"/>
                <w:szCs w:val="19"/>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53.4</w:t>
            </w:r>
          </w:p>
        </w:tc>
      </w:tr>
      <w:tr>
        <w:trPr>
          <w:trHeight w:val="237"/>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EVERFI impairment and dispositon charges</w:t>
            </w:r>
          </w:p>
        </w:tc>
        <w:tc>
          <w:tcPr>
            <w:tcW w:w="320" w:type="dxa"/>
            <w:vAlign w:val="bottom"/>
            <w:tcBorders>
              <w:bottom w:val="single" w:sz="8" w:color="EBFBFF"/>
            </w:tcBorders>
            <w:shd w:val="clear" w:color="auto" w:fill="EBFBFF"/>
          </w:tcPr>
          <w:p>
            <w:pPr>
              <w:spacing w:after="0"/>
              <w:rPr>
                <w:sz w:val="20"/>
                <w:szCs w:val="20"/>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405.4</w:t>
            </w:r>
          </w:p>
        </w:tc>
        <w:tc>
          <w:tcPr>
            <w:tcW w:w="320" w:type="dxa"/>
            <w:vAlign w:val="bottom"/>
            <w:tcBorders>
              <w:bottom w:val="single" w:sz="8" w:color="EBFBFF"/>
            </w:tcBorders>
            <w:shd w:val="clear" w:color="auto" w:fill="EBFBFF"/>
          </w:tcPr>
          <w:p>
            <w:pPr>
              <w:spacing w:after="0"/>
              <w:rPr>
                <w:sz w:val="20"/>
                <w:szCs w:val="20"/>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w:t>
            </w:r>
          </w:p>
        </w:tc>
      </w:tr>
      <w:tr>
        <w:trPr>
          <w:trHeight w:val="202"/>
        </w:trPr>
        <w:tc>
          <w:tcPr>
            <w:tcW w:w="8520" w:type="dxa"/>
            <w:vAlign w:val="bottom"/>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20" w:type="dxa"/>
            <w:vAlign w:val="bottom"/>
            <w:tcBorders>
              <w:top w:val="single" w:sz="8" w:color="51555C"/>
            </w:tcBorders>
          </w:tcPr>
          <w:p>
            <w:pPr>
              <w:spacing w:after="0"/>
              <w:rPr>
                <w:sz w:val="17"/>
                <w:szCs w:val="17"/>
                <w:color w:val="auto"/>
              </w:rPr>
            </w:pP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590.6</w:t>
            </w:r>
          </w:p>
        </w:tc>
        <w:tc>
          <w:tcPr>
            <w:tcW w:w="320" w:type="dxa"/>
            <w:vAlign w:val="bottom"/>
            <w:tcBorders>
              <w:top w:val="single" w:sz="8" w:color="51555C"/>
            </w:tcBorders>
          </w:tcPr>
          <w:p>
            <w:pPr>
              <w:spacing w:after="0"/>
              <w:rPr>
                <w:sz w:val="17"/>
                <w:szCs w:val="17"/>
                <w:color w:val="auto"/>
              </w:rPr>
            </w:pP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249.4</w:t>
            </w:r>
          </w:p>
        </w:tc>
      </w:tr>
      <w:tr>
        <w:trPr>
          <w:trHeight w:val="21"/>
        </w:trPr>
        <w:tc>
          <w:tcPr>
            <w:tcW w:w="8520" w:type="dxa"/>
            <w:vAlign w:val="bottom"/>
            <w:tcBorders>
              <w:bottom w:val="single" w:sz="8" w:color="EBFBFF"/>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r>
      <w:tr>
        <w:trPr>
          <w:trHeight w:val="223"/>
        </w:trPr>
        <w:tc>
          <w:tcPr>
            <w:tcW w:w="8520" w:type="dxa"/>
            <w:vAlign w:val="bottom"/>
            <w:tcBorders>
              <w:bottom w:val="single" w:sz="8" w:color="EBFBFF"/>
            </w:tcBorders>
            <w:shd w:val="clear" w:color="auto" w:fill="EBFBFF"/>
          </w:tcPr>
          <w:p>
            <w:pPr>
              <w:ind w:left="20"/>
              <w:spacing w:after="0" w:line="202" w:lineRule="exact"/>
              <w:rPr>
                <w:sz w:val="20"/>
                <w:szCs w:val="20"/>
                <w:color w:val="auto"/>
              </w:rPr>
            </w:pPr>
            <w:r>
              <w:rPr>
                <w:rFonts w:ascii="Calibri" w:cs="Calibri" w:eastAsia="Calibri" w:hAnsi="Calibri"/>
                <w:sz w:val="14"/>
                <w:szCs w:val="14"/>
                <w:b w:val="1"/>
                <w:bCs w:val="1"/>
                <w:color w:val="51555C"/>
              </w:rPr>
              <w:t>Non-GAAP income from operatons</w:t>
            </w:r>
            <w:r>
              <w:rPr>
                <w:rFonts w:ascii="Calibri" w:cs="Calibri" w:eastAsia="Calibri" w:hAnsi="Calibri"/>
                <w:sz w:val="18"/>
                <w:szCs w:val="18"/>
                <w:b w:val="1"/>
                <w:bCs w:val="1"/>
                <w:color w:val="51555C"/>
                <w:vertAlign w:val="superscript"/>
              </w:rPr>
              <w:t>(1)</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320.1</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294.1</w:t>
            </w:r>
          </w:p>
        </w:tc>
      </w:tr>
      <w:tr>
        <w:trPr>
          <w:trHeight w:val="163"/>
        </w:trPr>
        <w:tc>
          <w:tcPr>
            <w:tcW w:w="8520" w:type="dxa"/>
            <w:vAlign w:val="bottom"/>
          </w:tcPr>
          <w:p>
            <w:pPr>
              <w:ind w:left="140"/>
              <w:spacing w:after="0" w:line="163" w:lineRule="exact"/>
              <w:rPr>
                <w:sz w:val="20"/>
                <w:szCs w:val="20"/>
                <w:color w:val="auto"/>
              </w:rPr>
            </w:pPr>
            <w:r>
              <w:rPr>
                <w:rFonts w:ascii="Calibri" w:cs="Calibri" w:eastAsia="Calibri" w:hAnsi="Calibri"/>
                <w:sz w:val="14"/>
                <w:szCs w:val="14"/>
                <w:b w:val="1"/>
                <w:bCs w:val="1"/>
                <w:color w:val="51555C"/>
              </w:rPr>
              <w:t>Non-GAAP operatng margin</w:t>
            </w:r>
          </w:p>
        </w:tc>
        <w:tc>
          <w:tcPr>
            <w:tcW w:w="320" w:type="dxa"/>
            <w:vAlign w:val="bottom"/>
            <w:tcBorders>
              <w:top w:val="single" w:sz="8" w:color="51555C"/>
            </w:tcBorders>
          </w:tcPr>
          <w:p>
            <w:pPr>
              <w:spacing w:after="0"/>
              <w:rPr>
                <w:sz w:val="14"/>
                <w:szCs w:val="14"/>
                <w:color w:val="auto"/>
              </w:rPr>
            </w:pPr>
          </w:p>
        </w:tc>
        <w:tc>
          <w:tcPr>
            <w:tcW w:w="104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color w:val="51555C"/>
              </w:rPr>
              <w:t>27.7 %</w:t>
            </w:r>
          </w:p>
        </w:tc>
        <w:tc>
          <w:tcPr>
            <w:tcW w:w="320" w:type="dxa"/>
            <w:vAlign w:val="bottom"/>
            <w:tcBorders>
              <w:top w:val="single" w:sz="8" w:color="51555C"/>
            </w:tcBorders>
          </w:tcPr>
          <w:p>
            <w:pPr>
              <w:spacing w:after="0"/>
              <w:rPr>
                <w:sz w:val="14"/>
                <w:szCs w:val="14"/>
                <w:color w:val="auto"/>
              </w:rPr>
            </w:pPr>
          </w:p>
        </w:tc>
        <w:tc>
          <w:tcPr>
            <w:tcW w:w="104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color w:val="51555C"/>
              </w:rPr>
              <w:t>26.6 %</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49"/>
        </w:trPr>
        <w:tc>
          <w:tcPr>
            <w:tcW w:w="8520" w:type="dxa"/>
            <w:vAlign w:val="bottom"/>
            <w:shd w:val="clear" w:color="auto" w:fill="EBFBFF"/>
          </w:tcPr>
          <w:p>
            <w:pPr>
              <w:spacing w:after="0"/>
              <w:rPr>
                <w:sz w:val="12"/>
                <w:szCs w:val="12"/>
                <w:color w:val="auto"/>
              </w:rPr>
            </w:pPr>
          </w:p>
        </w:tc>
        <w:tc>
          <w:tcPr>
            <w:tcW w:w="320" w:type="dxa"/>
            <w:vAlign w:val="bottom"/>
            <w:shd w:val="clear" w:color="auto" w:fill="EBFBFF"/>
          </w:tcPr>
          <w:p>
            <w:pPr>
              <w:spacing w:after="0"/>
              <w:rPr>
                <w:sz w:val="12"/>
                <w:szCs w:val="12"/>
                <w:color w:val="auto"/>
              </w:rPr>
            </w:pPr>
          </w:p>
        </w:tc>
        <w:tc>
          <w:tcPr>
            <w:tcW w:w="1040" w:type="dxa"/>
            <w:vAlign w:val="bottom"/>
            <w:shd w:val="clear" w:color="auto" w:fill="EBFBFF"/>
          </w:tcPr>
          <w:p>
            <w:pPr>
              <w:spacing w:after="0"/>
              <w:rPr>
                <w:sz w:val="12"/>
                <w:szCs w:val="12"/>
                <w:color w:val="auto"/>
              </w:rPr>
            </w:pPr>
          </w:p>
        </w:tc>
        <w:tc>
          <w:tcPr>
            <w:tcW w:w="320" w:type="dxa"/>
            <w:vAlign w:val="bottom"/>
            <w:shd w:val="clear" w:color="auto" w:fill="EBFBFF"/>
          </w:tcPr>
          <w:p>
            <w:pPr>
              <w:spacing w:after="0"/>
              <w:rPr>
                <w:sz w:val="12"/>
                <w:szCs w:val="12"/>
                <w:color w:val="auto"/>
              </w:rPr>
            </w:pPr>
          </w:p>
        </w:tc>
        <w:tc>
          <w:tcPr>
            <w:tcW w:w="1040" w:type="dxa"/>
            <w:vAlign w:val="bottom"/>
            <w:shd w:val="clear" w:color="auto" w:fill="EBFBFF"/>
          </w:tcPr>
          <w:p>
            <w:pPr>
              <w:spacing w:after="0"/>
              <w:rPr>
                <w:sz w:val="12"/>
                <w:szCs w:val="12"/>
                <w:color w:val="auto"/>
              </w:rPr>
            </w:pPr>
          </w:p>
        </w:tc>
      </w:tr>
      <w:tr>
        <w:trPr>
          <w:trHeight w:val="170"/>
        </w:trPr>
        <w:tc>
          <w:tcPr>
            <w:tcW w:w="8520" w:type="dxa"/>
            <w:vAlign w:val="bottom"/>
          </w:tcPr>
          <w:p>
            <w:pPr>
              <w:ind w:left="20"/>
              <w:spacing w:after="0"/>
              <w:rPr>
                <w:sz w:val="20"/>
                <w:szCs w:val="20"/>
                <w:color w:val="auto"/>
              </w:rPr>
            </w:pPr>
            <w:r>
              <w:rPr>
                <w:rFonts w:ascii="Calibri" w:cs="Calibri" w:eastAsia="Calibri" w:hAnsi="Calibri"/>
                <w:sz w:val="14"/>
                <w:szCs w:val="14"/>
                <w:b w:val="1"/>
                <w:bCs w:val="1"/>
                <w:color w:val="51555C"/>
              </w:rPr>
              <w:t>GAAP (loss) income before (beneft) provision for income taxes</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51555C"/>
              </w:rPr>
              <w:t>(311.6)</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17.6</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net (loss) income</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(283.2)</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1.8</w:t>
            </w:r>
          </w:p>
        </w:tc>
      </w:tr>
      <w:tr>
        <w:trPr>
          <w:trHeight w:val="170"/>
        </w:trPr>
        <w:tc>
          <w:tcPr>
            <w:tcW w:w="8520" w:type="dxa"/>
            <w:vAlign w:val="bottom"/>
          </w:tcPr>
          <w:p>
            <w:pPr>
              <w:ind w:left="20"/>
              <w:spacing w:after="0"/>
              <w:rPr>
                <w:sz w:val="20"/>
                <w:szCs w:val="20"/>
                <w:color w:val="auto"/>
              </w:rPr>
            </w:pPr>
            <w:r>
              <w:rPr>
                <w:rFonts w:ascii="Calibri" w:cs="Calibri" w:eastAsia="Calibri" w:hAnsi="Calibri"/>
                <w:sz w:val="14"/>
                <w:szCs w:val="14"/>
                <w:color w:val="51555C"/>
              </w:rPr>
              <w:t>Shares used in computng GAAP diluted (loss) earnings per share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50,560,538</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53,721,342</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b w:val="1"/>
                <w:bCs w:val="1"/>
                <w:color w:val="51555C"/>
              </w:rPr>
              <w:t>GAAP diluted (loss) earnings per share</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(5.60)</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0.03</w:t>
            </w:r>
          </w:p>
        </w:tc>
      </w:tr>
      <w:tr>
        <w:trPr>
          <w:trHeight w:val="170"/>
        </w:trPr>
        <w:tc>
          <w:tcPr>
            <w:tcW w:w="8520" w:type="dxa"/>
            <w:vAlign w:val="bottom"/>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GAAP income tax (beneft) provision</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(28.4)</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15.8</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Total non-GAAP adjustments afectng income from operatons</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590.6</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249.4</w:t>
            </w:r>
          </w:p>
        </w:tc>
      </w:tr>
      <w:tr>
        <w:trPr>
          <w:trHeight w:val="60"/>
        </w:trPr>
        <w:tc>
          <w:tcPr>
            <w:tcW w:w="8520" w:type="dxa"/>
            <w:vAlign w:val="bottom"/>
            <w:tcBorders>
              <w:bottom w:val="single" w:sz="8" w:color="EBFB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3"/>
        </w:trPr>
        <w:tc>
          <w:tcPr>
            <w:tcW w:w="852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income before provision for income taxes</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279.0</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ind w:right="88"/>
              <w:spacing w:after="0" w:line="164" w:lineRule="exact"/>
              <w:rPr>
                <w:sz w:val="20"/>
                <w:szCs w:val="20"/>
                <w:color w:val="auto"/>
              </w:rPr>
            </w:pPr>
            <w:r>
              <w:rPr>
                <w:rFonts w:ascii="Calibri" w:cs="Calibri" w:eastAsia="Calibri" w:hAnsi="Calibri"/>
                <w:sz w:val="14"/>
                <w:szCs w:val="14"/>
                <w:color w:val="51555C"/>
              </w:rPr>
              <w:t>267.0</w:t>
            </w:r>
          </w:p>
        </w:tc>
      </w:tr>
      <w:tr>
        <w:trPr>
          <w:trHeight w:val="223"/>
        </w:trPr>
        <w:tc>
          <w:tcPr>
            <w:tcW w:w="8520" w:type="dxa"/>
            <w:vAlign w:val="bottom"/>
            <w:tcBorders>
              <w:bottom w:val="single" w:sz="8" w:color="EBFBFF"/>
            </w:tcBorders>
          </w:tcPr>
          <w:p>
            <w:pPr>
              <w:ind w:left="20"/>
              <w:spacing w:after="0" w:line="216" w:lineRule="exact"/>
              <w:rPr>
                <w:sz w:val="20"/>
                <w:szCs w:val="20"/>
                <w:color w:val="auto"/>
              </w:rPr>
            </w:pPr>
            <w:r>
              <w:rPr>
                <w:rFonts w:ascii="Calibri" w:cs="Calibri" w:eastAsia="Calibri" w:hAnsi="Calibri"/>
                <w:sz w:val="14"/>
                <w:szCs w:val="14"/>
                <w:color w:val="51555C"/>
              </w:rPr>
              <w:t>Assumed non-GAAP income tax provision</w:t>
            </w:r>
            <w:r>
              <w:rPr>
                <w:rFonts w:ascii="Calibri" w:cs="Calibri" w:eastAsia="Calibri" w:hAnsi="Calibri"/>
                <w:sz w:val="18"/>
                <w:szCs w:val="18"/>
                <w:color w:val="51555C"/>
                <w:vertAlign w:val="superscript"/>
              </w:rPr>
              <w:t>(4)</w:t>
            </w:r>
          </w:p>
        </w:tc>
        <w:tc>
          <w:tcPr>
            <w:tcW w:w="32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68.4</w:t>
            </w:r>
          </w:p>
        </w:tc>
        <w:tc>
          <w:tcPr>
            <w:tcW w:w="32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88"/>
              <w:spacing w:after="0"/>
              <w:rPr>
                <w:sz w:val="20"/>
                <w:szCs w:val="20"/>
                <w:color w:val="auto"/>
              </w:rPr>
            </w:pPr>
            <w:r>
              <w:rPr>
                <w:rFonts w:ascii="Calibri" w:cs="Calibri" w:eastAsia="Calibri" w:hAnsi="Calibri"/>
                <w:sz w:val="14"/>
                <w:szCs w:val="14"/>
                <w:color w:val="51555C"/>
              </w:rPr>
              <w:t>53.4</w:t>
            </w:r>
          </w:p>
        </w:tc>
      </w:tr>
      <w:tr>
        <w:trPr>
          <w:trHeight w:val="230"/>
        </w:trPr>
        <w:tc>
          <w:tcPr>
            <w:tcW w:w="852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b w:val="1"/>
                <w:bCs w:val="1"/>
                <w:color w:val="51555C"/>
              </w:rPr>
              <w:t>Non-GAAP net income</w:t>
            </w:r>
            <w:r>
              <w:rPr>
                <w:rFonts w:ascii="Calibri" w:cs="Calibri" w:eastAsia="Calibri" w:hAnsi="Calibri"/>
                <w:sz w:val="18"/>
                <w:szCs w:val="18"/>
                <w:b w:val="1"/>
                <w:bCs w:val="1"/>
                <w:color w:val="51555C"/>
                <w:vertAlign w:val="superscript"/>
              </w:rPr>
              <w:t>(1)</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210.7</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213.6</w:t>
            </w:r>
          </w:p>
        </w:tc>
      </w:tr>
      <w:tr>
        <w:trPr>
          <w:trHeight w:val="128"/>
        </w:trPr>
        <w:tc>
          <w:tcPr>
            <w:tcW w:w="8520" w:type="dxa"/>
            <w:vAlign w:val="bottom"/>
          </w:tcPr>
          <w:p>
            <w:pPr>
              <w:spacing w:after="0"/>
              <w:rPr>
                <w:sz w:val="11"/>
                <w:szCs w:val="11"/>
                <w:color w:val="auto"/>
              </w:rPr>
            </w:pPr>
          </w:p>
        </w:tc>
        <w:tc>
          <w:tcPr>
            <w:tcW w:w="320" w:type="dxa"/>
            <w:vAlign w:val="bottom"/>
            <w:tcBorders>
              <w:top w:val="single" w:sz="8" w:color="51555C"/>
            </w:tcBorders>
          </w:tcPr>
          <w:p>
            <w:pPr>
              <w:spacing w:after="0"/>
              <w:rPr>
                <w:sz w:val="11"/>
                <w:szCs w:val="11"/>
                <w:color w:val="auto"/>
              </w:rPr>
            </w:pPr>
          </w:p>
        </w:tc>
        <w:tc>
          <w:tcPr>
            <w:tcW w:w="1040" w:type="dxa"/>
            <w:vAlign w:val="bottom"/>
            <w:tcBorders>
              <w:top w:val="single" w:sz="8" w:color="51555C"/>
            </w:tcBorders>
          </w:tcPr>
          <w:p>
            <w:pPr>
              <w:spacing w:after="0"/>
              <w:rPr>
                <w:sz w:val="11"/>
                <w:szCs w:val="11"/>
                <w:color w:val="auto"/>
              </w:rPr>
            </w:pPr>
          </w:p>
        </w:tc>
        <w:tc>
          <w:tcPr>
            <w:tcW w:w="320" w:type="dxa"/>
            <w:vAlign w:val="bottom"/>
            <w:tcBorders>
              <w:top w:val="single" w:sz="8" w:color="51555C"/>
            </w:tcBorders>
          </w:tcPr>
          <w:p>
            <w:pPr>
              <w:spacing w:after="0"/>
              <w:rPr>
                <w:sz w:val="11"/>
                <w:szCs w:val="11"/>
                <w:color w:val="auto"/>
              </w:rPr>
            </w:pPr>
          </w:p>
        </w:tc>
        <w:tc>
          <w:tcPr>
            <w:tcW w:w="1040" w:type="dxa"/>
            <w:vAlign w:val="bottom"/>
            <w:tcBorders>
              <w:top w:val="single" w:sz="8" w:color="51555C"/>
            </w:tcBorders>
          </w:tcPr>
          <w:p>
            <w:pPr>
              <w:spacing w:after="0"/>
              <w:rPr>
                <w:sz w:val="11"/>
                <w:szCs w:val="11"/>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Shares used in computng Non-GAAP diluted earnings per share</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51,750,308</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53,721,342</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Non-GAAP diluted earnings per share</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4.07</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3.98</w:t>
            </w:r>
          </w:p>
        </w:tc>
      </w:tr>
      <w:tr>
        <w:trPr>
          <w:trHeight w:val="60"/>
        </w:trPr>
        <w:tc>
          <w:tcPr>
            <w:tcW w:w="8520" w:type="dxa"/>
            <w:vAlign w:val="bottom"/>
            <w:tcBorders>
              <w:bottom w:val="single" w:sz="8" w:color="0CD973"/>
            </w:tcBorders>
          </w:tcPr>
          <w:p>
            <w:pPr>
              <w:spacing w:after="0"/>
              <w:rPr>
                <w:sz w:val="5"/>
                <w:szCs w:val="5"/>
                <w:color w:val="auto"/>
              </w:rPr>
            </w:pPr>
          </w:p>
        </w:tc>
        <w:tc>
          <w:tcPr>
            <w:tcW w:w="320" w:type="dxa"/>
            <w:vAlign w:val="bottom"/>
            <w:tcBorders>
              <w:bottom w:val="single" w:sz="8" w:color="0CD973"/>
            </w:tcBorders>
          </w:tcPr>
          <w:p>
            <w:pPr>
              <w:spacing w:after="0"/>
              <w:rPr>
                <w:sz w:val="5"/>
                <w:szCs w:val="5"/>
                <w:color w:val="auto"/>
              </w:rPr>
            </w:pPr>
          </w:p>
        </w:tc>
        <w:tc>
          <w:tcPr>
            <w:tcW w:w="1040" w:type="dxa"/>
            <w:vAlign w:val="bottom"/>
            <w:tcBorders>
              <w:bottom w:val="single" w:sz="8" w:color="0CD973"/>
            </w:tcBorders>
          </w:tcPr>
          <w:p>
            <w:pPr>
              <w:spacing w:after="0"/>
              <w:rPr>
                <w:sz w:val="5"/>
                <w:szCs w:val="5"/>
                <w:color w:val="auto"/>
              </w:rPr>
            </w:pPr>
          </w:p>
        </w:tc>
        <w:tc>
          <w:tcPr>
            <w:tcW w:w="320" w:type="dxa"/>
            <w:vAlign w:val="bottom"/>
            <w:tcBorders>
              <w:bottom w:val="single" w:sz="8" w:color="0CD973"/>
            </w:tcBorders>
          </w:tcPr>
          <w:p>
            <w:pPr>
              <w:spacing w:after="0"/>
              <w:rPr>
                <w:sz w:val="5"/>
                <w:szCs w:val="5"/>
                <w:color w:val="auto"/>
              </w:rPr>
            </w:pPr>
          </w:p>
        </w:tc>
        <w:tc>
          <w:tcPr>
            <w:tcW w:w="1040" w:type="dxa"/>
            <w:vAlign w:val="bottom"/>
            <w:tcBorders>
              <w:bottom w:val="single" w:sz="8" w:color="0CD973"/>
            </w:tcBorders>
          </w:tcPr>
          <w:p>
            <w:pPr>
              <w:spacing w:after="0"/>
              <w:rPr>
                <w:sz w:val="5"/>
                <w:szCs w:val="5"/>
                <w:color w:val="auto"/>
              </w:rPr>
            </w:pPr>
          </w:p>
        </w:tc>
      </w:tr>
    </w:tbl>
    <w:p>
      <w:pPr>
        <w:spacing w:after="0" w:line="67" w:lineRule="exact"/>
        <w:rPr>
          <w:sz w:val="20"/>
          <w:szCs w:val="20"/>
          <w:color w:val="auto"/>
        </w:rPr>
      </w:pPr>
    </w:p>
    <w:p>
      <w:pPr>
        <w:ind w:left="340" w:hanging="332"/>
        <w:spacing w:after="0" w:line="233" w:lineRule="auto"/>
        <w:tabs>
          <w:tab w:leader="none" w:pos="33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gross proft, non-GAAP income from operatons, non-GAAP income before provision for income taxes or non-GAAP net income due to rounding.</w:t>
      </w:r>
    </w:p>
    <w:p>
      <w:pPr>
        <w:spacing w:after="0" w:line="5" w:lineRule="exact"/>
        <w:rPr>
          <w:rFonts w:ascii="Calibri" w:cs="Calibri" w:eastAsia="Calibri" w:hAnsi="Calibri"/>
          <w:sz w:val="14"/>
          <w:szCs w:val="14"/>
          <w:color w:val="51555C"/>
        </w:rPr>
      </w:pPr>
    </w:p>
    <w:p>
      <w:pPr>
        <w:ind w:left="340" w:hanging="332"/>
        <w:spacing w:after="0" w:line="245" w:lineRule="auto"/>
        <w:tabs>
          <w:tab w:leader="none" w:pos="33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Includes noncash impairment charges incurred during the twelve months ended December 31, 2024 and 2023 related to the subleases of our Washington, DC ofce locaton the lease of which was acquired during the EVERFI acquisiton.</w:t>
      </w:r>
    </w:p>
    <w:p>
      <w:pPr>
        <w:spacing w:after="0" w:line="2" w:lineRule="exact"/>
        <w:rPr>
          <w:rFonts w:ascii="Calibri" w:cs="Calibri" w:eastAsia="Calibri" w:hAnsi="Calibri"/>
          <w:sz w:val="14"/>
          <w:szCs w:val="14"/>
          <w:color w:val="51555C"/>
        </w:rPr>
      </w:pPr>
    </w:p>
    <w:p>
      <w:pPr>
        <w:jc w:val="both"/>
        <w:ind w:left="340" w:hanging="332"/>
        <w:spacing w:after="0" w:line="242" w:lineRule="auto"/>
        <w:tabs>
          <w:tab w:leader="none" w:pos="33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Includes Security Incident-related costs incurred during the twelve months ended December 31, 2024 of $13.7 million, which included approximately $6.8 million in recorded liabilites for loss contngencies, and during the twelve months ended December 31, 2023 of $53.4 million, which included approximately $31.0 million in recorded liabilites for loss contngencies. Recorded expenses consisted primarily of payments to third-party service providers and consultants, including legal fees, as well as setlements of customer claims, negotated setlements and accruals for certain loss contngencies. Not included in this adjustment were costs associated with enhancements to our cybersecurity program. For full year 2025, we currently expect pre-tax expenses of approximately $2 million to $3 million and cash outlays of approximately $3 million to $4 million for ongoing legal fees related to the Security Incident. In line with our policy, legal fees are expensed as incurred. As of December 31, 2024, we have recorded approximately $0.7 million in aggregate liabilites for loss contngencies based primarily on recent negotatons with certain customers related to the Security Incident that we believe we can reasonably estmate. There are other Security Incident-related maters for which we have not recorded a liability for a loss contngency as of December 31,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4" w:lineRule="exact"/>
        <w:rPr>
          <w:rFonts w:ascii="Calibri" w:cs="Calibri" w:eastAsia="Calibri" w:hAnsi="Calibri"/>
          <w:sz w:val="14"/>
          <w:szCs w:val="14"/>
          <w:color w:val="51555C"/>
        </w:rPr>
      </w:pPr>
    </w:p>
    <w:p>
      <w:pPr>
        <w:ind w:left="340" w:hanging="332"/>
        <w:spacing w:after="0" w:line="245" w:lineRule="auto"/>
        <w:tabs>
          <w:tab w:leader="none" w:pos="33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Beginning in 2024, we now apply a non-GAAP efectve tax rate of 24.5% when calculatng non-GAAP net income and non-GAAP diluted earnings per share. For the twelve months ended December 31, 2023, the tax impact related to non-GAAP adjustments is calculated under our historical non-GAAP efectve tax rate of 20.0%.</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50</w:t>
      </w:r>
      <w:r>
        <w:rPr>
          <w:sz w:val="20"/>
          <w:szCs w:val="20"/>
          <w:color w:val="auto"/>
        </w:rPr>
        <w:tab/>
      </w:r>
      <w:r>
        <w:rPr>
          <w:sz w:val="1"/>
          <w:szCs w:val="1"/>
          <w:color w:val="auto"/>
        </w:rPr>
        <w:drawing>
          <wp:inline distT="0" distB="0" distL="0" distR="0">
            <wp:extent cx="728345" cy="18859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organic revenue growth</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additon, we use non-GAAP organic revenue growth, non-GAAP organic revenue growth on a constant currency basis, non-GAAP organic recurring revenue growth and non-GAAP organic recurring revenue growth on a constant currency basis in analyzing our operatng performance. We believe that these non-GAAP measures are useful to investors, as a supplement to GAAP measures, for evaluatng the periodic growth of our business on a consistent basis. Each of these measures of non-GAAP organic revenue growth excludes incremental acquisiton-related revenue atributable to companies, if any, acquired in the current fscal year. For companies, if any, acquired in the immediately preceding fscal year, each of these non-GAAP organic revenue growth measures refects presentaton of full year incremental non-GAAP revenue derived from such companies as if they were combined throughout the prior period. In additon,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tme in both the prior and current periods. We believe this presentaton provides a more comparable representaton of our current business’ organic revenue growth and revenue run-rate.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260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80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560" w:type="dxa"/>
            <w:vAlign w:val="bottom"/>
            <w:shd w:val="clear" w:color="auto" w:fill="004054"/>
          </w:tcPr>
          <w:p>
            <w:pPr>
              <w:spacing w:after="0"/>
              <w:rPr>
                <w:sz w:val="20"/>
                <w:szCs w:val="20"/>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560" w:type="dxa"/>
            <w:vAlign w:val="bottom"/>
            <w:shd w:val="clear" w:color="auto" w:fill="004054"/>
          </w:tcPr>
          <w:p>
            <w:pPr>
              <w:spacing w:after="0"/>
              <w:rPr>
                <w:sz w:val="20"/>
                <w:szCs w:val="20"/>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0"/>
                <w:szCs w:val="20"/>
                <w:color w:val="auto"/>
              </w:rPr>
            </w:pPr>
          </w:p>
        </w:tc>
      </w:tr>
      <w:tr>
        <w:trPr>
          <w:trHeight w:val="74"/>
        </w:trPr>
        <w:tc>
          <w:tcPr>
            <w:tcW w:w="808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09"/>
        </w:trPr>
        <w:tc>
          <w:tcPr>
            <w:tcW w:w="8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GAAP revenue</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1,155.5</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1,105.4</w:t>
            </w:r>
          </w:p>
        </w:tc>
        <w:tc>
          <w:tcPr>
            <w:tcW w:w="20" w:type="dxa"/>
            <w:vAlign w:val="bottom"/>
          </w:tcPr>
          <w:p>
            <w:pPr>
              <w:spacing w:after="0"/>
              <w:rPr>
                <w:sz w:val="18"/>
                <w:szCs w:val="18"/>
                <w:color w:val="auto"/>
              </w:rPr>
            </w:pPr>
          </w:p>
        </w:tc>
      </w:tr>
      <w:tr>
        <w:trPr>
          <w:trHeight w:val="170"/>
        </w:trPr>
        <w:tc>
          <w:tcPr>
            <w:tcW w:w="8080" w:type="dxa"/>
            <w:vAlign w:val="bottom"/>
          </w:tcPr>
          <w:p>
            <w:pPr>
              <w:ind w:left="20"/>
              <w:spacing w:after="0"/>
              <w:rPr>
                <w:sz w:val="20"/>
                <w:szCs w:val="20"/>
                <w:color w:val="auto"/>
              </w:rPr>
            </w:pPr>
            <w:r>
              <w:rPr>
                <w:rFonts w:ascii="Calibri" w:cs="Calibri" w:eastAsia="Calibri" w:hAnsi="Calibri"/>
                <w:sz w:val="14"/>
                <w:szCs w:val="14"/>
                <w:b w:val="1"/>
                <w:bCs w:val="1"/>
                <w:color w:val="51555C"/>
              </w:rPr>
              <w:t>GAAP revenue growth</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b w:val="1"/>
                <w:bCs w:val="1"/>
                <w:color w:val="51555C"/>
              </w:rPr>
              <w:t>4.5 %</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808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Less: Non-GAAP revenue from divested businesses</w:t>
            </w:r>
            <w:r>
              <w:rPr>
                <w:rFonts w:ascii="Calibri" w:cs="Calibri" w:eastAsia="Calibri" w:hAnsi="Calibri"/>
                <w:sz w:val="18"/>
                <w:szCs w:val="18"/>
                <w:color w:val="51555C"/>
                <w:vertAlign w:val="superscript"/>
              </w:rPr>
              <w:t>(1)</w:t>
            </w:r>
          </w:p>
        </w:tc>
        <w:tc>
          <w:tcPr>
            <w:tcW w:w="5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w:t>
            </w:r>
          </w:p>
        </w:tc>
        <w:tc>
          <w:tcPr>
            <w:tcW w:w="56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(7.4)</w:t>
            </w:r>
          </w:p>
        </w:tc>
        <w:tc>
          <w:tcPr>
            <w:tcW w:w="20" w:type="dxa"/>
            <w:vAlign w:val="bottom"/>
          </w:tcPr>
          <w:p>
            <w:pPr>
              <w:spacing w:after="0"/>
              <w:rPr>
                <w:sz w:val="19"/>
                <w:szCs w:val="19"/>
                <w:color w:val="auto"/>
              </w:rPr>
            </w:pPr>
          </w:p>
        </w:tc>
      </w:tr>
      <w:tr>
        <w:trPr>
          <w:trHeight w:val="202"/>
        </w:trPr>
        <w:tc>
          <w:tcPr>
            <w:tcW w:w="80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(2)</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1,155.5</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1,098.0</w:t>
            </w:r>
          </w:p>
        </w:tc>
        <w:tc>
          <w:tcPr>
            <w:tcW w:w="20" w:type="dxa"/>
            <w:vAlign w:val="bottom"/>
          </w:tcPr>
          <w:p>
            <w:pPr>
              <w:spacing w:after="0"/>
              <w:rPr>
                <w:sz w:val="17"/>
                <w:szCs w:val="17"/>
                <w:color w:val="auto"/>
              </w:rPr>
            </w:pP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96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w:t>
            </w:r>
          </w:p>
        </w:tc>
        <w:tc>
          <w:tcPr>
            <w:tcW w:w="560" w:type="dxa"/>
            <w:vAlign w:val="bottom"/>
            <w:tcBorders>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5.2 %</w:t>
            </w:r>
          </w:p>
        </w:tc>
        <w:tc>
          <w:tcPr>
            <w:tcW w:w="56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8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(2)</w:t>
            </w:r>
          </w:p>
        </w:tc>
        <w:tc>
          <w:tcPr>
            <w:tcW w:w="5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Calibri" w:cs="Calibri" w:eastAsia="Calibri" w:hAnsi="Calibri"/>
                <w:sz w:val="14"/>
                <w:szCs w:val="14"/>
                <w:color w:val="51555C"/>
              </w:rPr>
              <w:t>1,155.5</w:t>
            </w:r>
          </w:p>
        </w:tc>
        <w:tc>
          <w:tcPr>
            <w:tcW w:w="560" w:type="dxa"/>
            <w:vAlign w:val="bottom"/>
            <w:shd w:val="clear" w:color="auto" w:fill="EBFBFF"/>
          </w:tcPr>
          <w:p>
            <w:pPr>
              <w:spacing w:after="0"/>
              <w:rPr>
                <w:sz w:val="19"/>
                <w:szCs w:val="19"/>
                <w:color w:val="auto"/>
              </w:rPr>
            </w:pPr>
          </w:p>
        </w:tc>
        <w:tc>
          <w:tcPr>
            <w:tcW w:w="96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1,098.0</w:t>
            </w:r>
          </w:p>
        </w:tc>
        <w:tc>
          <w:tcPr>
            <w:tcW w:w="20" w:type="dxa"/>
            <w:vAlign w:val="bottom"/>
          </w:tcPr>
          <w:p>
            <w:pPr>
              <w:spacing w:after="0"/>
              <w:rPr>
                <w:sz w:val="19"/>
                <w:szCs w:val="19"/>
                <w:color w:val="auto"/>
              </w:rPr>
            </w:pPr>
          </w:p>
        </w:tc>
      </w:tr>
      <w:tr>
        <w:trPr>
          <w:trHeight w:val="223"/>
        </w:trPr>
        <w:tc>
          <w:tcPr>
            <w:tcW w:w="8080" w:type="dxa"/>
            <w:vAlign w:val="bottom"/>
            <w:tcBorders>
              <w:bottom w:val="single" w:sz="8" w:color="EBFBFF"/>
            </w:tcBorders>
          </w:tcPr>
          <w:p>
            <w:pPr>
              <w:ind w:left="20"/>
              <w:spacing w:after="0" w:line="216" w:lineRule="exact"/>
              <w:rPr>
                <w:sz w:val="20"/>
                <w:szCs w:val="20"/>
                <w:color w:val="auto"/>
              </w:rPr>
            </w:pPr>
            <w:r>
              <w:rPr>
                <w:rFonts w:ascii="Calibri" w:cs="Calibri" w:eastAsia="Calibri" w:hAnsi="Calibri"/>
                <w:sz w:val="14"/>
                <w:szCs w:val="14"/>
                <w:color w:val="51555C"/>
              </w:rPr>
              <w:t>Foreign currency impact on Non-GAAP organic revenue</w:t>
            </w:r>
            <w:r>
              <w:rPr>
                <w:rFonts w:ascii="Calibri" w:cs="Calibri" w:eastAsia="Calibri" w:hAnsi="Calibri"/>
                <w:sz w:val="18"/>
                <w:szCs w:val="18"/>
                <w:color w:val="51555C"/>
                <w:vertAlign w:val="superscript"/>
              </w:rPr>
              <w:t>(3)</w:t>
            </w:r>
          </w:p>
        </w:tc>
        <w:tc>
          <w:tcPr>
            <w:tcW w:w="5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68"/>
              <w:spacing w:after="0"/>
              <w:rPr>
                <w:sz w:val="20"/>
                <w:szCs w:val="20"/>
                <w:color w:val="auto"/>
              </w:rPr>
            </w:pPr>
            <w:r>
              <w:rPr>
                <w:rFonts w:ascii="Calibri" w:cs="Calibri" w:eastAsia="Calibri" w:hAnsi="Calibri"/>
                <w:sz w:val="14"/>
                <w:szCs w:val="14"/>
                <w:color w:val="51555C"/>
              </w:rPr>
              <w:t>(3.0)</w:t>
            </w:r>
          </w:p>
        </w:tc>
        <w:tc>
          <w:tcPr>
            <w:tcW w:w="560" w:type="dxa"/>
            <w:vAlign w:val="bottom"/>
            <w:tcBorders>
              <w:bottom w:val="single" w:sz="8" w:color="51555C"/>
            </w:tcBorders>
          </w:tcPr>
          <w:p>
            <w:pPr>
              <w:spacing w:after="0"/>
              <w:rPr>
                <w:sz w:val="19"/>
                <w:szCs w:val="19"/>
                <w:color w:val="auto"/>
              </w:rPr>
            </w:pPr>
          </w:p>
        </w:tc>
        <w:tc>
          <w:tcPr>
            <w:tcW w:w="96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9"/>
                <w:szCs w:val="19"/>
                <w:color w:val="auto"/>
              </w:rPr>
            </w:pPr>
          </w:p>
        </w:tc>
      </w:tr>
      <w:tr>
        <w:trPr>
          <w:trHeight w:val="230"/>
        </w:trPr>
        <w:tc>
          <w:tcPr>
            <w:tcW w:w="808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color w:val="51555C"/>
              </w:rPr>
              <w:t>Non-GAAP organic revenue on constant currency basis</w:t>
            </w:r>
            <w:r>
              <w:rPr>
                <w:rFonts w:ascii="Calibri" w:cs="Calibri" w:eastAsia="Calibri" w:hAnsi="Calibri"/>
                <w:sz w:val="18"/>
                <w:szCs w:val="18"/>
                <w:color w:val="51555C"/>
                <w:vertAlign w:val="superscript"/>
              </w:rPr>
              <w:t>(3)</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1,152.5</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1,098.0</w:t>
            </w:r>
          </w:p>
        </w:tc>
        <w:tc>
          <w:tcPr>
            <w:tcW w:w="20" w:type="dxa"/>
            <w:vAlign w:val="bottom"/>
          </w:tcPr>
          <w:p>
            <w:pPr>
              <w:spacing w:after="0"/>
              <w:rPr>
                <w:sz w:val="19"/>
                <w:szCs w:val="19"/>
                <w:color w:val="auto"/>
              </w:rPr>
            </w:pPr>
          </w:p>
        </w:tc>
      </w:tr>
      <w:tr>
        <w:trPr>
          <w:trHeight w:val="163"/>
        </w:trPr>
        <w:tc>
          <w:tcPr>
            <w:tcW w:w="80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 on constant currency basis</w:t>
            </w:r>
          </w:p>
        </w:tc>
        <w:tc>
          <w:tcPr>
            <w:tcW w:w="560" w:type="dxa"/>
            <w:vAlign w:val="bottom"/>
            <w:tcBorders>
              <w:top w:val="single" w:sz="8" w:color="51555C"/>
            </w:tcBorders>
          </w:tcPr>
          <w:p>
            <w:pPr>
              <w:spacing w:after="0"/>
              <w:rPr>
                <w:sz w:val="14"/>
                <w:szCs w:val="14"/>
                <w:color w:val="auto"/>
              </w:rPr>
            </w:pPr>
          </w:p>
        </w:tc>
        <w:tc>
          <w:tcPr>
            <w:tcW w:w="10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5.0 %</w:t>
            </w:r>
          </w:p>
        </w:tc>
        <w:tc>
          <w:tcPr>
            <w:tcW w:w="560" w:type="dxa"/>
            <w:vAlign w:val="bottom"/>
            <w:tcBorders>
              <w:top w:val="single" w:sz="8" w:color="51555C"/>
            </w:tcBorders>
          </w:tcPr>
          <w:p>
            <w:pPr>
              <w:spacing w:after="0"/>
              <w:rPr>
                <w:sz w:val="14"/>
                <w:szCs w:val="14"/>
                <w:color w:val="auto"/>
              </w:rPr>
            </w:pPr>
          </w:p>
        </w:tc>
        <w:tc>
          <w:tcPr>
            <w:tcW w:w="96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8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8080" w:type="dxa"/>
            <w:vAlign w:val="bottom"/>
          </w:tcPr>
          <w:p>
            <w:pPr>
              <w:ind w:left="20"/>
              <w:spacing w:after="0"/>
              <w:rPr>
                <w:sz w:val="20"/>
                <w:szCs w:val="20"/>
                <w:color w:val="auto"/>
              </w:rPr>
            </w:pPr>
            <w:r>
              <w:rPr>
                <w:rFonts w:ascii="Calibri" w:cs="Calibri" w:eastAsia="Calibri" w:hAnsi="Calibri"/>
                <w:sz w:val="14"/>
                <w:szCs w:val="14"/>
                <w:color w:val="51555C"/>
              </w:rPr>
              <w:t>GAAP recurring revenue</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1,129.1</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1,071.5</w:t>
            </w: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0"/>
        </w:trPr>
        <w:tc>
          <w:tcPr>
            <w:tcW w:w="8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recurring revenue growth</w:t>
            </w:r>
          </w:p>
        </w:tc>
        <w:tc>
          <w:tcPr>
            <w:tcW w:w="5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5.4 %</w:t>
            </w:r>
          </w:p>
        </w:tc>
        <w:tc>
          <w:tcPr>
            <w:tcW w:w="56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808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Less: Non-GAAP recurring revenue from divested businesses</w:t>
            </w:r>
            <w:r>
              <w:rPr>
                <w:rFonts w:ascii="Calibri" w:cs="Calibri" w:eastAsia="Calibri" w:hAnsi="Calibri"/>
                <w:sz w:val="18"/>
                <w:szCs w:val="18"/>
                <w:color w:val="51555C"/>
                <w:vertAlign w:val="superscript"/>
              </w:rPr>
              <w:t>(1)</w:t>
            </w:r>
          </w:p>
        </w:tc>
        <w:tc>
          <w:tcPr>
            <w:tcW w:w="5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Calibri" w:cs="Calibri" w:eastAsia="Calibri" w:hAnsi="Calibri"/>
                <w:sz w:val="14"/>
                <w:szCs w:val="14"/>
                <w:color w:val="51555C"/>
              </w:rPr>
              <w:t>—</w:t>
            </w:r>
          </w:p>
        </w:tc>
        <w:tc>
          <w:tcPr>
            <w:tcW w:w="560" w:type="dxa"/>
            <w:vAlign w:val="bottom"/>
            <w:tcBorders>
              <w:bottom w:val="single" w:sz="8" w:color="51555C"/>
            </w:tcBorders>
          </w:tcPr>
          <w:p>
            <w:pPr>
              <w:spacing w:after="0"/>
              <w:rPr>
                <w:sz w:val="19"/>
                <w:szCs w:val="19"/>
                <w:color w:val="auto"/>
              </w:rPr>
            </w:pPr>
          </w:p>
        </w:tc>
        <w:tc>
          <w:tcPr>
            <w:tcW w:w="96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9"/>
                <w:szCs w:val="19"/>
                <w:color w:val="auto"/>
              </w:rPr>
            </w:pPr>
          </w:p>
        </w:tc>
      </w:tr>
      <w:tr>
        <w:trPr>
          <w:trHeight w:val="229"/>
        </w:trPr>
        <w:tc>
          <w:tcPr>
            <w:tcW w:w="8080" w:type="dxa"/>
            <w:vAlign w:val="bottom"/>
            <w:tcBorders>
              <w:bottom w:val="single" w:sz="8" w:color="EBFBFF"/>
            </w:tcBorders>
            <w:shd w:val="clear" w:color="auto" w:fill="EBFBFF"/>
          </w:tcPr>
          <w:p>
            <w:pPr>
              <w:ind w:left="20"/>
              <w:spacing w:after="0" w:line="169" w:lineRule="exact"/>
              <w:rPr>
                <w:sz w:val="20"/>
                <w:szCs w:val="20"/>
                <w:color w:val="auto"/>
              </w:rPr>
            </w:pPr>
            <w:r>
              <w:rPr>
                <w:rFonts w:ascii="Calibri" w:cs="Calibri" w:eastAsia="Calibri" w:hAnsi="Calibri"/>
                <w:sz w:val="14"/>
                <w:szCs w:val="14"/>
                <w:color w:val="51555C"/>
              </w:rPr>
              <w:t>Non-GAAP organic recurring revenue</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1,129.1</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1,071.5</w:t>
            </w:r>
          </w:p>
        </w:tc>
        <w:tc>
          <w:tcPr>
            <w:tcW w:w="20" w:type="dxa"/>
            <w:vAlign w:val="bottom"/>
          </w:tcPr>
          <w:p>
            <w:pPr>
              <w:spacing w:after="0"/>
              <w:rPr>
                <w:sz w:val="19"/>
                <w:szCs w:val="19"/>
                <w:color w:val="auto"/>
              </w:rPr>
            </w:pPr>
          </w:p>
        </w:tc>
      </w:tr>
      <w:tr>
        <w:trPr>
          <w:trHeight w:val="163"/>
        </w:trPr>
        <w:tc>
          <w:tcPr>
            <w:tcW w:w="80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w:t>
            </w:r>
          </w:p>
        </w:tc>
        <w:tc>
          <w:tcPr>
            <w:tcW w:w="560" w:type="dxa"/>
            <w:vAlign w:val="bottom"/>
            <w:tcBorders>
              <w:top w:val="single" w:sz="8" w:color="51555C"/>
            </w:tcBorders>
          </w:tcPr>
          <w:p>
            <w:pPr>
              <w:spacing w:after="0"/>
              <w:rPr>
                <w:sz w:val="14"/>
                <w:szCs w:val="14"/>
                <w:color w:val="auto"/>
              </w:rPr>
            </w:pPr>
          </w:p>
        </w:tc>
        <w:tc>
          <w:tcPr>
            <w:tcW w:w="10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5.4 %</w:t>
            </w:r>
          </w:p>
        </w:tc>
        <w:tc>
          <w:tcPr>
            <w:tcW w:w="560" w:type="dxa"/>
            <w:vAlign w:val="bottom"/>
            <w:tcBorders>
              <w:top w:val="single" w:sz="8" w:color="51555C"/>
            </w:tcBorders>
          </w:tcPr>
          <w:p>
            <w:pPr>
              <w:spacing w:after="0"/>
              <w:rPr>
                <w:sz w:val="14"/>
                <w:szCs w:val="14"/>
                <w:color w:val="auto"/>
              </w:rPr>
            </w:pPr>
          </w:p>
        </w:tc>
        <w:tc>
          <w:tcPr>
            <w:tcW w:w="96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8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080" w:type="dxa"/>
            <w:vAlign w:val="bottom"/>
          </w:tcPr>
          <w:p>
            <w:pPr>
              <w:ind w:left="20"/>
              <w:spacing w:after="0" w:line="216" w:lineRule="exact"/>
              <w:rPr>
                <w:sz w:val="20"/>
                <w:szCs w:val="20"/>
                <w:color w:val="auto"/>
              </w:rPr>
            </w:pPr>
            <w:r>
              <w:rPr>
                <w:rFonts w:ascii="Calibri" w:cs="Calibri" w:eastAsia="Calibri" w:hAnsi="Calibri"/>
                <w:sz w:val="14"/>
                <w:szCs w:val="14"/>
                <w:color w:val="51555C"/>
              </w:rPr>
              <w:t>Non-GAAP organic recurring revenue</w:t>
            </w:r>
            <w:r>
              <w:rPr>
                <w:rFonts w:ascii="Calibri" w:cs="Calibri" w:eastAsia="Calibri" w:hAnsi="Calibri"/>
                <w:sz w:val="18"/>
                <w:szCs w:val="18"/>
                <w:color w:val="51555C"/>
                <w:vertAlign w:val="superscript"/>
              </w:rPr>
              <w:t>(2)</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1,129.1</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1,071.5</w:t>
            </w:r>
          </w:p>
        </w:tc>
        <w:tc>
          <w:tcPr>
            <w:tcW w:w="20" w:type="dxa"/>
            <w:vAlign w:val="bottom"/>
          </w:tcPr>
          <w:p>
            <w:pPr>
              <w:spacing w:after="0"/>
              <w:rPr>
                <w:sz w:val="19"/>
                <w:szCs w:val="19"/>
                <w:color w:val="auto"/>
              </w:rPr>
            </w:pPr>
          </w:p>
        </w:tc>
      </w:tr>
      <w:tr>
        <w:trPr>
          <w:trHeight w:val="237"/>
        </w:trPr>
        <w:tc>
          <w:tcPr>
            <w:tcW w:w="808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Foreign currency impact on non-GAAP organic recurring revenue</w:t>
            </w:r>
            <w:r>
              <w:rPr>
                <w:rFonts w:ascii="Calibri" w:cs="Calibri" w:eastAsia="Calibri" w:hAnsi="Calibri"/>
                <w:sz w:val="18"/>
                <w:szCs w:val="18"/>
                <w:color w:val="51555C"/>
                <w:vertAlign w:val="superscript"/>
              </w:rPr>
              <w:t>(3)</w:t>
            </w:r>
          </w:p>
        </w:tc>
        <w:tc>
          <w:tcPr>
            <w:tcW w:w="560" w:type="dxa"/>
            <w:vAlign w:val="bottom"/>
            <w:tcBorders>
              <w:bottom w:val="single" w:sz="8" w:color="51555C"/>
            </w:tcBorders>
            <w:shd w:val="clear" w:color="auto" w:fill="EBFBFF"/>
          </w:tcPr>
          <w:p>
            <w:pPr>
              <w:spacing w:after="0"/>
              <w:rPr>
                <w:sz w:val="20"/>
                <w:szCs w:val="20"/>
                <w:color w:val="auto"/>
              </w:rPr>
            </w:pPr>
          </w:p>
        </w:tc>
        <w:tc>
          <w:tcPr>
            <w:tcW w:w="1080" w:type="dxa"/>
            <w:vAlign w:val="bottom"/>
            <w:tcBorders>
              <w:bottom w:val="single" w:sz="8" w:color="51555C"/>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(2.9)</w:t>
            </w:r>
          </w:p>
        </w:tc>
        <w:tc>
          <w:tcPr>
            <w:tcW w:w="560" w:type="dxa"/>
            <w:vAlign w:val="bottom"/>
            <w:tcBorders>
              <w:bottom w:val="single" w:sz="8" w:color="51555C"/>
            </w:tcBorders>
            <w:shd w:val="clear" w:color="auto" w:fill="EBFBFF"/>
          </w:tcPr>
          <w:p>
            <w:pPr>
              <w:spacing w:after="0"/>
              <w:rPr>
                <w:sz w:val="20"/>
                <w:szCs w:val="20"/>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20"/>
                <w:szCs w:val="20"/>
                <w:color w:val="auto"/>
              </w:rPr>
            </w:pPr>
          </w:p>
        </w:tc>
      </w:tr>
      <w:tr>
        <w:trPr>
          <w:trHeight w:val="202"/>
        </w:trPr>
        <w:tc>
          <w:tcPr>
            <w:tcW w:w="80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recurring revenue on constant currency basis</w:t>
            </w:r>
            <w:r>
              <w:rPr>
                <w:rFonts w:ascii="Calibri" w:cs="Calibri" w:eastAsia="Calibri" w:hAnsi="Calibri"/>
                <w:sz w:val="18"/>
                <w:szCs w:val="18"/>
                <w:color w:val="51555C"/>
                <w:vertAlign w:val="superscript"/>
              </w:rPr>
              <w:t>(3)</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1,126.2</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1,071.5</w:t>
            </w:r>
          </w:p>
        </w:tc>
        <w:tc>
          <w:tcPr>
            <w:tcW w:w="20" w:type="dxa"/>
            <w:vAlign w:val="bottom"/>
          </w:tcPr>
          <w:p>
            <w:pPr>
              <w:spacing w:after="0"/>
              <w:rPr>
                <w:sz w:val="17"/>
                <w:szCs w:val="17"/>
                <w:color w:val="auto"/>
              </w:rPr>
            </w:pP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96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 on constant currency basis</w:t>
            </w:r>
          </w:p>
        </w:tc>
        <w:tc>
          <w:tcPr>
            <w:tcW w:w="560" w:type="dxa"/>
            <w:vAlign w:val="bottom"/>
            <w:tcBorders>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5.1 %</w:t>
            </w:r>
          </w:p>
        </w:tc>
        <w:tc>
          <w:tcPr>
            <w:tcW w:w="56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8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-3274060</wp:posOffset>
            </wp:positionV>
            <wp:extent cx="20142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2" w:lineRule="exact"/>
        <w:rPr>
          <w:sz w:val="20"/>
          <w:szCs w:val="20"/>
          <w:color w:val="auto"/>
        </w:rPr>
      </w:pPr>
    </w:p>
    <w:p>
      <w:pPr>
        <w:ind w:left="340" w:hanging="332"/>
        <w:spacing w:after="0"/>
        <w:tabs>
          <w:tab w:leader="none" w:pos="340"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Includes EVERFI revenue of $85.5 million and $106.9 million for the year ended December 31, 2024 and 2023, respectvely.</w:t>
      </w:r>
    </w:p>
    <w:p>
      <w:pPr>
        <w:ind w:left="340" w:right="20" w:hanging="332"/>
        <w:spacing w:after="0" w:line="236" w:lineRule="auto"/>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Non-GAAP revenue from divested businesses excludes revenue associated with divested businesses in the prior period. The exclusion of the prior period revenue is to present the results of the divested business with the results of the combined company for the same period of tme in both the prior and current periods.</w:t>
      </w:r>
    </w:p>
    <w:p>
      <w:pPr>
        <w:spacing w:after="0" w:line="6" w:lineRule="exact"/>
        <w:rPr>
          <w:rFonts w:ascii="Calibri" w:cs="Calibri" w:eastAsia="Calibri" w:hAnsi="Calibri"/>
          <w:sz w:val="14"/>
          <w:szCs w:val="14"/>
          <w:color w:val="51555C"/>
        </w:rPr>
      </w:pPr>
    </w:p>
    <w:p>
      <w:pPr>
        <w:jc w:val="both"/>
        <w:ind w:left="340" w:right="20" w:hanging="332"/>
        <w:spacing w:after="0" w:line="243" w:lineRule="auto"/>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Non-GAAP organic revenue and non-GAAP organic recurring revenue for the prior year periods presented herein may not agree to non-GAAP organic revenue and non-GAAP organic recurring revenue presented in the respectve prior period quarterly fnancial informaton solely due to the manner in which non-GAAP organic revenue growth and non-GAAP organic recurring revenue growth are calculated.</w:t>
      </w:r>
    </w:p>
    <w:p>
      <w:pPr>
        <w:spacing w:after="0" w:line="1" w:lineRule="exact"/>
        <w:rPr>
          <w:rFonts w:ascii="Calibri" w:cs="Calibri" w:eastAsia="Calibri" w:hAnsi="Calibri"/>
          <w:sz w:val="14"/>
          <w:szCs w:val="14"/>
          <w:color w:val="51555C"/>
        </w:rPr>
      </w:pPr>
    </w:p>
    <w:p>
      <w:pPr>
        <w:jc w:val="both"/>
        <w:ind w:left="340" w:right="20" w:hanging="332"/>
        <w:spacing w:after="0"/>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To determine non-GAAP organic revenue growth and non-GAAP organic recurring revenue growth on a constant currency basis, revenues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227330</wp:posOffset>
            </wp:positionV>
            <wp:extent cx="7289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Rule of 40</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defne Rule of 40 as non-GAAP organic revenue growth plus non-GAAP adjusted EBITDA margin. Non-GAAP adjusted EBITDA is defned as GAAP net income plus interest, net; income tax provision (beneft); depreciaton; amortzaton of intangible assets from business combinatons; amortzaton of sofware and content development costs; stock-based compensaton; employee severance; acquisiton and dispositon-related costs; Security Incident-related costs; and impairment and dispositon charges.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shd w:val="clear" w:color="auto" w:fill="004054"/>
          </w:tcPr>
          <w:p>
            <w:pPr>
              <w:spacing w:after="0"/>
              <w:rPr>
                <w:sz w:val="16"/>
                <w:szCs w:val="16"/>
                <w:color w:val="auto"/>
              </w:rPr>
            </w:pPr>
          </w:p>
        </w:tc>
        <w:tc>
          <w:tcPr>
            <w:tcW w:w="580" w:type="dxa"/>
            <w:vAlign w:val="bottom"/>
            <w:shd w:val="clear" w:color="auto" w:fill="004054"/>
          </w:tcPr>
          <w:p>
            <w:pPr>
              <w:spacing w:after="0"/>
              <w:rPr>
                <w:sz w:val="16"/>
                <w:szCs w:val="16"/>
                <w:color w:val="auto"/>
              </w:rPr>
            </w:pPr>
          </w:p>
        </w:tc>
        <w:tc>
          <w:tcPr>
            <w:tcW w:w="258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80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580" w:type="dxa"/>
            <w:vAlign w:val="bottom"/>
            <w:shd w:val="clear" w:color="auto" w:fill="004054"/>
          </w:tcPr>
          <w:p>
            <w:pPr>
              <w:spacing w:after="0"/>
              <w:rPr>
                <w:sz w:val="20"/>
                <w:szCs w:val="20"/>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60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0"/>
                <w:szCs w:val="20"/>
                <w:color w:val="auto"/>
              </w:rPr>
            </w:pPr>
          </w:p>
        </w:tc>
      </w:tr>
      <w:tr>
        <w:trPr>
          <w:trHeight w:val="74"/>
        </w:trPr>
        <w:tc>
          <w:tcPr>
            <w:tcW w:w="8080" w:type="dxa"/>
            <w:vAlign w:val="bottom"/>
            <w:shd w:val="clear" w:color="auto" w:fill="004054"/>
          </w:tcPr>
          <w:p>
            <w:pPr>
              <w:spacing w:after="0"/>
              <w:rPr>
                <w:sz w:val="6"/>
                <w:szCs w:val="6"/>
                <w:color w:val="auto"/>
              </w:rPr>
            </w:pPr>
          </w:p>
        </w:tc>
        <w:tc>
          <w:tcPr>
            <w:tcW w:w="58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09"/>
        </w:trPr>
        <w:tc>
          <w:tcPr>
            <w:tcW w:w="8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GAAP net (loss) income</w:t>
            </w:r>
          </w:p>
        </w:tc>
        <w:tc>
          <w:tcPr>
            <w:tcW w:w="58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(283.2)</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1.8</w:t>
            </w:r>
          </w:p>
        </w:tc>
        <w:tc>
          <w:tcPr>
            <w:tcW w:w="20" w:type="dxa"/>
            <w:vAlign w:val="bottom"/>
          </w:tcPr>
          <w:p>
            <w:pPr>
              <w:spacing w:after="0"/>
              <w:rPr>
                <w:sz w:val="18"/>
                <w:szCs w:val="18"/>
                <w:color w:val="auto"/>
              </w:rPr>
            </w:pPr>
          </w:p>
        </w:tc>
      </w:tr>
      <w:tr>
        <w:trPr>
          <w:trHeight w:val="170"/>
        </w:trPr>
        <w:tc>
          <w:tcPr>
            <w:tcW w:w="8080" w:type="dxa"/>
            <w:vAlign w:val="bottom"/>
          </w:tcPr>
          <w:p>
            <w:pPr>
              <w:ind w:left="20"/>
              <w:spacing w:after="0"/>
              <w:rPr>
                <w:sz w:val="20"/>
                <w:szCs w:val="20"/>
                <w:color w:val="auto"/>
              </w:rPr>
            </w:pPr>
            <w:r>
              <w:rPr>
                <w:rFonts w:ascii="Calibri" w:cs="Calibri" w:eastAsia="Calibri" w:hAnsi="Calibri"/>
                <w:sz w:val="14"/>
                <w:szCs w:val="14"/>
                <w:color w:val="51555C"/>
              </w:rPr>
              <w:t>Non-GAAP adjustments: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9"/>
        </w:trPr>
        <w:tc>
          <w:tcPr>
            <w:tcW w:w="80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Interest, net</w:t>
            </w:r>
          </w:p>
        </w:tc>
        <w:tc>
          <w:tcPr>
            <w:tcW w:w="58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45.8</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31.1</w:t>
            </w:r>
          </w:p>
        </w:tc>
        <w:tc>
          <w:tcPr>
            <w:tcW w:w="20" w:type="dxa"/>
            <w:vAlign w:val="bottom"/>
          </w:tcPr>
          <w:p>
            <w:pPr>
              <w:spacing w:after="0"/>
              <w:rPr>
                <w:sz w:val="18"/>
                <w:szCs w:val="18"/>
                <w:color w:val="auto"/>
              </w:rPr>
            </w:pPr>
          </w:p>
        </w:tc>
      </w:tr>
      <w:tr>
        <w:trPr>
          <w:trHeight w:val="170"/>
        </w:trPr>
        <w:tc>
          <w:tcPr>
            <w:tcW w:w="8080" w:type="dxa"/>
            <w:vAlign w:val="bottom"/>
          </w:tcPr>
          <w:p>
            <w:pPr>
              <w:ind w:left="140"/>
              <w:spacing w:after="0"/>
              <w:rPr>
                <w:sz w:val="20"/>
                <w:szCs w:val="20"/>
                <w:color w:val="auto"/>
              </w:rPr>
            </w:pPr>
            <w:r>
              <w:rPr>
                <w:rFonts w:ascii="Calibri" w:cs="Calibri" w:eastAsia="Calibri" w:hAnsi="Calibri"/>
                <w:sz w:val="14"/>
                <w:szCs w:val="14"/>
                <w:color w:val="51555C"/>
              </w:rPr>
              <w:t>Add: GAAP income tax (beneft) provision</w:t>
            </w:r>
          </w:p>
        </w:tc>
        <w:tc>
          <w:tcPr>
            <w:tcW w:w="5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Calibri" w:cs="Calibri" w:eastAsia="Calibri" w:hAnsi="Calibri"/>
                <w:sz w:val="14"/>
                <w:szCs w:val="14"/>
                <w:color w:val="51555C"/>
              </w:rPr>
              <w:t>(28.4)</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15.8</w:t>
            </w: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0"/>
        </w:trPr>
        <w:tc>
          <w:tcPr>
            <w:tcW w:w="80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Depreciaton</w:t>
            </w:r>
          </w:p>
        </w:tc>
        <w:tc>
          <w:tcPr>
            <w:tcW w:w="58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12.8</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13.0</w:t>
            </w:r>
          </w:p>
        </w:tc>
        <w:tc>
          <w:tcPr>
            <w:tcW w:w="20" w:type="dxa"/>
            <w:vAlign w:val="bottom"/>
          </w:tcPr>
          <w:p>
            <w:pPr>
              <w:spacing w:after="0"/>
              <w:rPr>
                <w:sz w:val="18"/>
                <w:szCs w:val="18"/>
                <w:color w:val="auto"/>
              </w:rPr>
            </w:pPr>
          </w:p>
        </w:tc>
      </w:tr>
      <w:tr>
        <w:trPr>
          <w:trHeight w:val="170"/>
        </w:trPr>
        <w:tc>
          <w:tcPr>
            <w:tcW w:w="8080" w:type="dxa"/>
            <w:vAlign w:val="bottom"/>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58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alibri" w:cs="Calibri" w:eastAsia="Calibri" w:hAnsi="Calibri"/>
                <w:sz w:val="14"/>
                <w:szCs w:val="14"/>
                <w:color w:val="51555C"/>
              </w:rPr>
              <w:t>60.5</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55.6</w:t>
            </w: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0"/>
        </w:trPr>
        <w:tc>
          <w:tcPr>
            <w:tcW w:w="808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Amortzaton of sofware and content development costs</w:t>
            </w:r>
            <w:r>
              <w:rPr>
                <w:rFonts w:ascii="Calibri" w:cs="Calibri" w:eastAsia="Calibri" w:hAnsi="Calibri"/>
                <w:sz w:val="18"/>
                <w:szCs w:val="18"/>
                <w:color w:val="51555C"/>
                <w:vertAlign w:val="superscript"/>
              </w:rPr>
              <w:t>(1)</w:t>
            </w:r>
          </w:p>
        </w:tc>
        <w:tc>
          <w:tcPr>
            <w:tcW w:w="58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51.2</w:t>
            </w:r>
          </w:p>
        </w:tc>
        <w:tc>
          <w:tcPr>
            <w:tcW w:w="60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45.3</w:t>
            </w:r>
          </w:p>
        </w:tc>
        <w:tc>
          <w:tcPr>
            <w:tcW w:w="20" w:type="dxa"/>
            <w:vAlign w:val="bottom"/>
          </w:tcPr>
          <w:p>
            <w:pPr>
              <w:spacing w:after="0"/>
              <w:rPr>
                <w:sz w:val="19"/>
                <w:szCs w:val="19"/>
                <w:color w:val="auto"/>
              </w:rPr>
            </w:pPr>
          </w:p>
        </w:tc>
      </w:tr>
      <w:tr>
        <w:trPr>
          <w:trHeight w:val="202"/>
        </w:trPr>
        <w:tc>
          <w:tcPr>
            <w:tcW w:w="8080" w:type="dxa"/>
            <w:vAlign w:val="bottom"/>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tc>
        <w:tc>
          <w:tcPr>
            <w:tcW w:w="580" w:type="dxa"/>
            <w:vAlign w:val="bottom"/>
          </w:tcPr>
          <w:p>
            <w:pPr>
              <w:spacing w:after="0"/>
              <w:rPr>
                <w:sz w:val="17"/>
                <w:szCs w:val="17"/>
                <w:color w:val="auto"/>
              </w:rPr>
            </w:pPr>
          </w:p>
        </w:tc>
        <w:tc>
          <w:tcPr>
            <w:tcW w:w="1060" w:type="dxa"/>
            <w:vAlign w:val="bottom"/>
          </w:tcPr>
          <w:p>
            <w:pPr>
              <w:jc w:val="right"/>
              <w:ind w:right="108"/>
              <w:spacing w:after="0"/>
              <w:rPr>
                <w:sz w:val="20"/>
                <w:szCs w:val="20"/>
                <w:color w:val="auto"/>
              </w:rPr>
            </w:pPr>
            <w:r>
              <w:rPr>
                <w:rFonts w:ascii="Calibri" w:cs="Calibri" w:eastAsia="Calibri" w:hAnsi="Calibri"/>
                <w:sz w:val="14"/>
                <w:szCs w:val="14"/>
                <w:color w:val="51555C"/>
              </w:rPr>
              <w:t>141.9</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160.9</w:t>
            </w:r>
          </w:p>
        </w:tc>
        <w:tc>
          <w:tcPr>
            <w:tcW w:w="20" w:type="dxa"/>
            <w:vAlign w:val="bottom"/>
          </w:tcPr>
          <w:p>
            <w:pPr>
              <w:spacing w:after="0"/>
              <w:rPr>
                <w:sz w:val="17"/>
                <w:szCs w:val="17"/>
                <w:color w:val="auto"/>
              </w:rPr>
            </w:pP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580" w:type="dxa"/>
            <w:vAlign w:val="bottom"/>
            <w:tcBorders>
              <w:bottom w:val="single" w:sz="8" w:color="51555C"/>
            </w:tcBorders>
          </w:tcPr>
          <w:p>
            <w:pPr>
              <w:spacing w:after="0" w:line="20" w:lineRule="exact"/>
              <w:rPr>
                <w:sz w:val="1"/>
                <w:szCs w:val="1"/>
                <w:color w:val="auto"/>
              </w:rPr>
            </w:pPr>
          </w:p>
        </w:tc>
        <w:tc>
          <w:tcPr>
            <w:tcW w:w="1060" w:type="dxa"/>
            <w:vAlign w:val="bottom"/>
            <w:tcBorders>
              <w:bottom w:val="single" w:sz="8" w:color="51555C"/>
            </w:tcBorders>
          </w:tcPr>
          <w:p>
            <w:pPr>
              <w:spacing w:after="0" w:line="20" w:lineRule="exact"/>
              <w:rPr>
                <w:sz w:val="1"/>
                <w:szCs w:val="1"/>
                <w:color w:val="auto"/>
              </w:rPr>
            </w:pPr>
          </w:p>
        </w:tc>
        <w:tc>
          <w:tcPr>
            <w:tcW w:w="600" w:type="dxa"/>
            <w:vAlign w:val="bottom"/>
            <w:tcBorders>
              <w:bottom w:val="single" w:sz="8" w:color="51555C"/>
            </w:tcBorders>
          </w:tcPr>
          <w:p>
            <w:pPr>
              <w:spacing w:after="0" w:line="20" w:lineRule="exact"/>
              <w:rPr>
                <w:sz w:val="1"/>
                <w:szCs w:val="1"/>
                <w:color w:val="auto"/>
              </w:rPr>
            </w:pPr>
          </w:p>
        </w:tc>
        <w:tc>
          <w:tcPr>
            <w:tcW w:w="9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080" w:type="dxa"/>
            <w:vAlign w:val="bottom"/>
            <w:tcBorders>
              <w:bottom w:val="single" w:sz="8" w:color="EBFBFF"/>
            </w:tcBorders>
            <w:shd w:val="clear" w:color="auto" w:fill="EBFBFF"/>
          </w:tcPr>
          <w:p>
            <w:pPr>
              <w:ind w:left="20"/>
              <w:spacing w:after="0" w:line="202" w:lineRule="exact"/>
              <w:rPr>
                <w:sz w:val="20"/>
                <w:szCs w:val="20"/>
                <w:color w:val="auto"/>
              </w:rPr>
            </w:pPr>
            <w:r>
              <w:rPr>
                <w:rFonts w:ascii="Calibri" w:cs="Calibri" w:eastAsia="Calibri" w:hAnsi="Calibri"/>
                <w:sz w:val="14"/>
                <w:szCs w:val="14"/>
                <w:color w:val="51555C"/>
              </w:rPr>
              <w:t>Non-GAAP EBITDA</w:t>
            </w:r>
            <w:r>
              <w:rPr>
                <w:rFonts w:ascii="Calibri" w:cs="Calibri" w:eastAsia="Calibri" w:hAnsi="Calibri"/>
                <w:sz w:val="18"/>
                <w:szCs w:val="18"/>
                <w:color w:val="51555C"/>
                <w:vertAlign w:val="superscript"/>
              </w:rPr>
              <w:t>(2)</w:t>
            </w:r>
          </w:p>
        </w:tc>
        <w:tc>
          <w:tcPr>
            <w:tcW w:w="58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rPr>
              <w:t>$</w:t>
            </w:r>
          </w:p>
        </w:tc>
        <w:tc>
          <w:tcPr>
            <w:tcW w:w="10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(141.2)</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162.7</w:t>
            </w:r>
          </w:p>
        </w:tc>
        <w:tc>
          <w:tcPr>
            <w:tcW w:w="20" w:type="dxa"/>
            <w:vAlign w:val="bottom"/>
          </w:tcPr>
          <w:p>
            <w:pPr>
              <w:spacing w:after="0"/>
              <w:rPr>
                <w:sz w:val="19"/>
                <w:szCs w:val="19"/>
                <w:color w:val="auto"/>
              </w:rPr>
            </w:pPr>
          </w:p>
        </w:tc>
      </w:tr>
      <w:tr>
        <w:trPr>
          <w:trHeight w:val="202"/>
        </w:trPr>
        <w:tc>
          <w:tcPr>
            <w:tcW w:w="8080" w:type="dxa"/>
            <w:vAlign w:val="bottom"/>
          </w:tcPr>
          <w:p>
            <w:pPr>
              <w:ind w:left="140"/>
              <w:spacing w:after="0" w:line="202" w:lineRule="exact"/>
              <w:rPr>
                <w:sz w:val="20"/>
                <w:szCs w:val="20"/>
                <w:color w:val="auto"/>
              </w:rPr>
            </w:pPr>
            <w:r>
              <w:rPr>
                <w:rFonts w:ascii="Calibri" w:cs="Calibri" w:eastAsia="Calibri" w:hAnsi="Calibri"/>
                <w:sz w:val="14"/>
                <w:szCs w:val="14"/>
                <w:color w:val="51555C"/>
              </w:rPr>
              <w:t>Non-GAAP EBITDA margin</w:t>
            </w:r>
            <w:r>
              <w:rPr>
                <w:rFonts w:ascii="Calibri" w:cs="Calibri" w:eastAsia="Calibri" w:hAnsi="Calibri"/>
                <w:sz w:val="18"/>
                <w:szCs w:val="18"/>
                <w:color w:val="51555C"/>
                <w:vertAlign w:val="superscript"/>
              </w:rPr>
              <w:t>(3)</w:t>
            </w:r>
          </w:p>
        </w:tc>
        <w:tc>
          <w:tcPr>
            <w:tcW w:w="58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(12.2)%</w:t>
            </w:r>
          </w:p>
        </w:tc>
        <w:tc>
          <w:tcPr>
            <w:tcW w:w="60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8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8080" w:type="dxa"/>
            <w:vAlign w:val="bottom"/>
            <w:shd w:val="clear" w:color="auto" w:fill="EBFBFF"/>
          </w:tcPr>
          <w:p>
            <w:pPr>
              <w:spacing w:after="0"/>
              <w:rPr>
                <w:sz w:val="9"/>
                <w:szCs w:val="9"/>
                <w:color w:val="auto"/>
              </w:rPr>
            </w:pPr>
          </w:p>
        </w:tc>
        <w:tc>
          <w:tcPr>
            <w:tcW w:w="580" w:type="dxa"/>
            <w:vAlign w:val="bottom"/>
            <w:shd w:val="clear" w:color="auto" w:fill="EBFBFF"/>
          </w:tcPr>
          <w:p>
            <w:pPr>
              <w:spacing w:after="0"/>
              <w:rPr>
                <w:sz w:val="9"/>
                <w:szCs w:val="9"/>
                <w:color w:val="auto"/>
              </w:rPr>
            </w:pPr>
          </w:p>
        </w:tc>
        <w:tc>
          <w:tcPr>
            <w:tcW w:w="1060" w:type="dxa"/>
            <w:vAlign w:val="bottom"/>
            <w:shd w:val="clear" w:color="auto" w:fill="EBFBFF"/>
          </w:tcPr>
          <w:p>
            <w:pPr>
              <w:spacing w:after="0"/>
              <w:rPr>
                <w:sz w:val="9"/>
                <w:szCs w:val="9"/>
                <w:color w:val="auto"/>
              </w:rPr>
            </w:pPr>
          </w:p>
        </w:tc>
        <w:tc>
          <w:tcPr>
            <w:tcW w:w="600" w:type="dxa"/>
            <w:vAlign w:val="bottom"/>
            <w:shd w:val="clear" w:color="auto" w:fill="EBFBFF"/>
          </w:tcPr>
          <w:p>
            <w:pPr>
              <w:spacing w:after="0"/>
              <w:rPr>
                <w:sz w:val="9"/>
                <w:szCs w:val="9"/>
                <w:color w:val="auto"/>
              </w:rPr>
            </w:pPr>
          </w:p>
        </w:tc>
        <w:tc>
          <w:tcPr>
            <w:tcW w:w="920" w:type="dxa"/>
            <w:vAlign w:val="bottom"/>
            <w:shd w:val="clear" w:color="auto" w:fill="EBFBFF"/>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-1713865</wp:posOffset>
            </wp:positionV>
            <wp:extent cx="20142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p>
      <w:pPr>
        <w:ind w:left="20"/>
        <w:spacing w:after="0" w:line="237" w:lineRule="auto"/>
        <w:rPr>
          <w:sz w:val="20"/>
          <w:szCs w:val="20"/>
          <w:color w:val="auto"/>
        </w:rPr>
      </w:pPr>
      <w:r>
        <w:rPr>
          <w:rFonts w:ascii="Calibri" w:cs="Calibri" w:eastAsia="Calibri" w:hAnsi="Calibri"/>
          <w:sz w:val="14"/>
          <w:szCs w:val="14"/>
          <w:color w:val="51555C"/>
        </w:rPr>
        <w:t>Non-GAAP adjustments:</w:t>
      </w:r>
    </w:p>
    <w:p>
      <w:pPr>
        <w:spacing w:after="0" w:line="5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Stock-based compensaton expense</w:t>
      </w:r>
    </w:p>
    <w:p>
      <w:pPr>
        <w:spacing w:after="0" w:line="5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Employee severance</w:t>
      </w:r>
    </w:p>
    <w:p>
      <w:pPr>
        <w:spacing w:after="0" w:line="4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Acquisiton and dispositon-related costs</w:t>
      </w:r>
      <w:r>
        <w:rPr>
          <w:rFonts w:ascii="Calibri" w:cs="Calibri" w:eastAsia="Calibri" w:hAnsi="Calibri"/>
          <w:sz w:val="18"/>
          <w:szCs w:val="18"/>
          <w:color w:val="51555C"/>
          <w:vertAlign w:val="superscript"/>
        </w:rPr>
        <w:t>(4)</w:t>
      </w:r>
    </w:p>
    <w:p>
      <w:pPr>
        <w:spacing w:after="0" w:line="10"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Security Incident-related costs</w:t>
      </w:r>
      <w:r>
        <w:rPr>
          <w:rFonts w:ascii="Calibri" w:cs="Calibri" w:eastAsia="Calibri" w:hAnsi="Calibri"/>
          <w:sz w:val="18"/>
          <w:szCs w:val="18"/>
          <w:color w:val="51555C"/>
          <w:vertAlign w:val="superscript"/>
        </w:rPr>
        <w:t>(4)</w:t>
      </w:r>
    </w:p>
    <w:p>
      <w:pPr>
        <w:spacing w:after="0" w:line="1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EVERFI impairment and dispositon charges</w:t>
      </w:r>
    </w:p>
    <w:p>
      <w:pPr>
        <w:spacing w:after="0" w:line="63" w:lineRule="exact"/>
        <w:rPr>
          <w:sz w:val="20"/>
          <w:szCs w:val="20"/>
          <w:color w:val="auto"/>
        </w:rPr>
      </w:pPr>
    </w:p>
    <w:p>
      <w:pPr>
        <w:ind w:left="240"/>
        <w:spacing w:after="0"/>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4"/>
          <w:szCs w:val="14"/>
          <w:color w:val="51555C"/>
        </w:rPr>
        <w:t>Non-GAAP Adjusted EBITDA</w:t>
      </w:r>
      <w:r>
        <w:rPr>
          <w:rFonts w:ascii="Calibri" w:cs="Calibri" w:eastAsia="Calibri" w:hAnsi="Calibri"/>
          <w:sz w:val="18"/>
          <w:szCs w:val="18"/>
          <w:color w:val="51555C"/>
          <w:vertAlign w:val="superscript"/>
        </w:rPr>
        <w:t>(2)</w:t>
      </w:r>
    </w:p>
    <w:p>
      <w:pPr>
        <w:spacing w:after="0" w:line="23" w:lineRule="exact"/>
        <w:rPr>
          <w:sz w:val="20"/>
          <w:szCs w:val="20"/>
          <w:color w:val="auto"/>
        </w:rPr>
      </w:pPr>
    </w:p>
    <w:p>
      <w:pPr>
        <w:ind w:left="140"/>
        <w:spacing w:after="0"/>
        <w:rPr>
          <w:sz w:val="20"/>
          <w:szCs w:val="20"/>
          <w:color w:val="auto"/>
        </w:rPr>
      </w:pPr>
      <w:r>
        <w:rPr>
          <w:rFonts w:ascii="Calibri" w:cs="Calibri" w:eastAsia="Calibri" w:hAnsi="Calibri"/>
          <w:sz w:val="14"/>
          <w:szCs w:val="14"/>
          <w:b w:val="1"/>
          <w:bCs w:val="1"/>
          <w:color w:val="51555C"/>
        </w:rPr>
        <w:t>Non-GAAP Adjusted EBITDA margin</w:t>
      </w:r>
      <w:r>
        <w:rPr>
          <w:rFonts w:ascii="Calibri" w:cs="Calibri" w:eastAsia="Calibri" w:hAnsi="Calibri"/>
          <w:sz w:val="18"/>
          <w:szCs w:val="18"/>
          <w:b w:val="1"/>
          <w:bCs w:val="1"/>
          <w:color w:val="51555C"/>
          <w:vertAlign w:val="superscript"/>
        </w:rPr>
        <w:t>(5)</w:t>
      </w:r>
    </w:p>
    <w:p>
      <w:pPr>
        <w:spacing w:after="0" w:line="118"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Rule of 40</w:t>
      </w:r>
      <w:r>
        <w:rPr>
          <w:rFonts w:ascii="Calibri" w:cs="Calibri" w:eastAsia="Calibri" w:hAnsi="Calibri"/>
          <w:sz w:val="18"/>
          <w:szCs w:val="18"/>
          <w:b w:val="1"/>
          <w:bCs w:val="1"/>
          <w:color w:val="51555C"/>
          <w:vertAlign w:val="superscript"/>
        </w:rPr>
        <w:t>(6)</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105.0</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127.8</w:t>
            </w:r>
          </w:p>
        </w:tc>
      </w:tr>
      <w:tr>
        <w:trPr>
          <w:trHeight w:val="230"/>
        </w:trPr>
        <w:tc>
          <w:tcPr>
            <w:tcW w:w="62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5.1</w:t>
            </w:r>
          </w:p>
        </w:tc>
      </w:tr>
      <w:tr>
        <w:trPr>
          <w:trHeight w:val="229"/>
        </w:trPr>
        <w:tc>
          <w:tcPr>
            <w:tcW w:w="62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6.1</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7.5</w:t>
            </w:r>
          </w:p>
        </w:tc>
      </w:tr>
      <w:tr>
        <w:trPr>
          <w:trHeight w:val="230"/>
        </w:trPr>
        <w:tc>
          <w:tcPr>
            <w:tcW w:w="62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13.7</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53.4</w:t>
            </w:r>
          </w:p>
        </w:tc>
      </w:tr>
      <w:tr>
        <w:trPr>
          <w:trHeight w:val="230"/>
        </w:trPr>
        <w:tc>
          <w:tcPr>
            <w:tcW w:w="62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405.4</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w:t>
            </w:r>
          </w:p>
        </w:tc>
      </w:tr>
      <w:tr>
        <w:trPr>
          <w:trHeight w:val="60"/>
        </w:trPr>
        <w:tc>
          <w:tcPr>
            <w:tcW w:w="62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20" w:type="dxa"/>
            <w:vAlign w:val="bottom"/>
          </w:tcPr>
          <w:p>
            <w:pPr>
              <w:spacing w:after="0"/>
              <w:rPr>
                <w:sz w:val="14"/>
                <w:szCs w:val="14"/>
                <w:color w:val="auto"/>
              </w:rPr>
            </w:pPr>
          </w:p>
        </w:tc>
        <w:tc>
          <w:tcPr>
            <w:tcW w:w="1020" w:type="dxa"/>
            <w:vAlign w:val="bottom"/>
          </w:tcPr>
          <w:p>
            <w:pPr>
              <w:jc w:val="right"/>
              <w:ind w:right="108"/>
              <w:spacing w:after="0" w:line="164" w:lineRule="exact"/>
              <w:rPr>
                <w:sz w:val="20"/>
                <w:szCs w:val="20"/>
                <w:color w:val="auto"/>
              </w:rPr>
            </w:pPr>
            <w:r>
              <w:rPr>
                <w:rFonts w:ascii="Calibri" w:cs="Calibri" w:eastAsia="Calibri" w:hAnsi="Calibri"/>
                <w:sz w:val="14"/>
                <w:szCs w:val="14"/>
                <w:color w:val="51555C"/>
              </w:rPr>
              <w:t>530.1</w:t>
            </w:r>
          </w:p>
        </w:tc>
        <w:tc>
          <w:tcPr>
            <w:tcW w:w="60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Calibri" w:cs="Calibri" w:eastAsia="Calibri" w:hAnsi="Calibri"/>
                <w:sz w:val="14"/>
                <w:szCs w:val="14"/>
                <w:color w:val="51555C"/>
              </w:rPr>
              <w:t>193.8</w:t>
            </w:r>
          </w:p>
        </w:tc>
      </w:tr>
      <w:tr>
        <w:trPr>
          <w:trHeight w:val="60"/>
        </w:trPr>
        <w:tc>
          <w:tcPr>
            <w:tcW w:w="62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20" w:type="dxa"/>
            <w:vAlign w:val="bottom"/>
          </w:tcPr>
          <w:p>
            <w:pPr>
              <w:jc w:val="right"/>
              <w:ind w:right="448"/>
              <w:spacing w:after="0" w:line="164" w:lineRule="exact"/>
              <w:rPr>
                <w:sz w:val="20"/>
                <w:szCs w:val="20"/>
                <w:color w:val="auto"/>
              </w:rPr>
            </w:pPr>
            <w:r>
              <w:rPr>
                <w:rFonts w:ascii="Calibri" w:cs="Calibri" w:eastAsia="Calibri" w:hAnsi="Calibri"/>
                <w:sz w:val="14"/>
                <w:szCs w:val="14"/>
                <w:color w:val="51555C"/>
              </w:rPr>
              <w:t>$</w:t>
            </w:r>
          </w:p>
        </w:tc>
        <w:tc>
          <w:tcPr>
            <w:tcW w:w="1020" w:type="dxa"/>
            <w:vAlign w:val="bottom"/>
          </w:tcPr>
          <w:p>
            <w:pPr>
              <w:jc w:val="right"/>
              <w:ind w:right="108"/>
              <w:spacing w:after="0" w:line="164" w:lineRule="exact"/>
              <w:rPr>
                <w:sz w:val="20"/>
                <w:szCs w:val="20"/>
                <w:color w:val="auto"/>
              </w:rPr>
            </w:pPr>
            <w:r>
              <w:rPr>
                <w:rFonts w:ascii="Calibri" w:cs="Calibri" w:eastAsia="Calibri" w:hAnsi="Calibri"/>
                <w:sz w:val="14"/>
                <w:szCs w:val="14"/>
                <w:color w:val="51555C"/>
              </w:rPr>
              <w:t>388.9</w:t>
            </w:r>
          </w:p>
        </w:tc>
        <w:tc>
          <w:tcPr>
            <w:tcW w:w="600" w:type="dxa"/>
            <w:vAlign w:val="bottom"/>
          </w:tcPr>
          <w:p>
            <w:pPr>
              <w:jc w:val="right"/>
              <w:ind w:right="448"/>
              <w:spacing w:after="0" w:line="164" w:lineRule="exact"/>
              <w:rPr>
                <w:sz w:val="20"/>
                <w:szCs w:val="20"/>
                <w:color w:val="auto"/>
              </w:rPr>
            </w:pPr>
            <w:r>
              <w:rPr>
                <w:rFonts w:ascii="Calibri" w:cs="Calibri" w:eastAsia="Calibri" w:hAnsi="Calibri"/>
                <w:sz w:val="14"/>
                <w:szCs w:val="14"/>
                <w:color w:val="51555C"/>
                <w:w w:val="83"/>
              </w:rPr>
              <w:t>$</w:t>
            </w:r>
          </w:p>
        </w:tc>
        <w:tc>
          <w:tcPr>
            <w:tcW w:w="920" w:type="dxa"/>
            <w:vAlign w:val="bottom"/>
          </w:tcPr>
          <w:p>
            <w:pPr>
              <w:jc w:val="right"/>
              <w:spacing w:after="0" w:line="164" w:lineRule="exact"/>
              <w:rPr>
                <w:sz w:val="20"/>
                <w:szCs w:val="20"/>
                <w:color w:val="auto"/>
              </w:rPr>
            </w:pPr>
            <w:r>
              <w:rPr>
                <w:rFonts w:ascii="Calibri" w:cs="Calibri" w:eastAsia="Calibri" w:hAnsi="Calibri"/>
                <w:sz w:val="14"/>
                <w:szCs w:val="14"/>
                <w:color w:val="51555C"/>
              </w:rPr>
              <w:t>356.5</w:t>
            </w:r>
          </w:p>
        </w:tc>
      </w:tr>
      <w:tr>
        <w:trPr>
          <w:trHeight w:val="60"/>
        </w:trPr>
        <w:tc>
          <w:tcPr>
            <w:tcW w:w="62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2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51555C"/>
              </w:rPr>
              <w:t>33.7 %</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7"/>
        </w:trPr>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b w:val="1"/>
                <w:bCs w:val="1"/>
                <w:color w:val="51555C"/>
              </w:rPr>
              <w:t>38.9 %</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-1367155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-1075690</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-783590</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-483870</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-175260</wp:posOffset>
            </wp:positionV>
            <wp:extent cx="713232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38100</wp:posOffset>
            </wp:positionV>
            <wp:extent cx="71323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360" w:space="720"/>
            <w:col w:w="3180"/>
          </w:cols>
          <w:pgMar w:left="32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8080" w:type="dxa"/>
            <w:vAlign w:val="bottom"/>
          </w:tcPr>
          <w:p>
            <w:pPr>
              <w:ind w:left="140"/>
              <w:spacing w:after="0"/>
              <w:rPr>
                <w:sz w:val="20"/>
                <w:szCs w:val="20"/>
                <w:color w:val="auto"/>
              </w:rPr>
            </w:pPr>
            <w:r>
              <w:rPr>
                <w:rFonts w:ascii="Calibri" w:cs="Calibri" w:eastAsia="Calibri" w:hAnsi="Calibri"/>
                <w:sz w:val="14"/>
                <w:szCs w:val="14"/>
                <w:color w:val="51555C"/>
              </w:rPr>
              <w:t>Non-GAAP adjusted EBITDA</w:t>
            </w:r>
          </w:p>
        </w:tc>
        <w:tc>
          <w:tcPr>
            <w:tcW w:w="2200" w:type="dxa"/>
            <w:vAlign w:val="bottom"/>
          </w:tcPr>
          <w:p>
            <w:pPr>
              <w:jc w:val="right"/>
              <w:ind w:right="668"/>
              <w:spacing w:after="0"/>
              <w:rPr>
                <w:sz w:val="20"/>
                <w:szCs w:val="20"/>
                <w:color w:val="auto"/>
              </w:rPr>
            </w:pPr>
            <w:r>
              <w:rPr>
                <w:rFonts w:ascii="Calibri" w:cs="Calibri" w:eastAsia="Calibri" w:hAnsi="Calibri"/>
                <w:sz w:val="14"/>
                <w:szCs w:val="14"/>
                <w:color w:val="51555C"/>
              </w:rPr>
              <w:t>388.9</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356.5</w:t>
            </w:r>
          </w:p>
        </w:tc>
      </w:tr>
      <w:tr>
        <w:trPr>
          <w:trHeight w:val="60"/>
        </w:trPr>
        <w:tc>
          <w:tcPr>
            <w:tcW w:w="80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30"/>
        </w:trPr>
        <w:tc>
          <w:tcPr>
            <w:tcW w:w="80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Foreign currency impact on Non-GAAP adjusted EBITDA</w:t>
            </w:r>
          </w:p>
        </w:tc>
        <w:tc>
          <w:tcPr>
            <w:tcW w:w="2200" w:type="dxa"/>
            <w:vAlign w:val="bottom"/>
            <w:tcBorders>
              <w:bottom w:val="single" w:sz="8" w:color="EBFBFF"/>
            </w:tcBorders>
            <w:shd w:val="clear" w:color="auto" w:fill="EBFBFF"/>
          </w:tcPr>
          <w:p>
            <w:pPr>
              <w:jc w:val="right"/>
              <w:ind w:right="628"/>
              <w:spacing w:after="0"/>
              <w:rPr>
                <w:sz w:val="20"/>
                <w:szCs w:val="20"/>
                <w:color w:val="auto"/>
              </w:rPr>
            </w:pPr>
            <w:r>
              <w:rPr>
                <w:rFonts w:ascii="Calibri" w:cs="Calibri" w:eastAsia="Calibri" w:hAnsi="Calibri"/>
                <w:sz w:val="14"/>
                <w:szCs w:val="14"/>
                <w:color w:val="51555C"/>
              </w:rPr>
              <w:t>(1.6)</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r>
      <w:tr>
        <w:trPr>
          <w:trHeight w:val="202"/>
        </w:trPr>
        <w:tc>
          <w:tcPr>
            <w:tcW w:w="80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adjusted EBITDA on constant currency basis</w:t>
            </w:r>
            <w:r>
              <w:rPr>
                <w:rFonts w:ascii="Calibri" w:cs="Calibri" w:eastAsia="Calibri" w:hAnsi="Calibri"/>
                <w:sz w:val="18"/>
                <w:szCs w:val="18"/>
                <w:color w:val="51555C"/>
                <w:vertAlign w:val="superscript"/>
              </w:rPr>
              <w:t>(7)</w:t>
            </w:r>
          </w:p>
        </w:tc>
        <w:tc>
          <w:tcPr>
            <w:tcW w:w="2200" w:type="dxa"/>
            <w:vAlign w:val="bottom"/>
            <w:tcBorders>
              <w:top w:val="single" w:sz="8" w:color="51555C"/>
            </w:tcBorders>
          </w:tcPr>
          <w:p>
            <w:pPr>
              <w:jc w:val="right"/>
              <w:ind w:right="668"/>
              <w:spacing w:after="0"/>
              <w:rPr>
                <w:sz w:val="20"/>
                <w:szCs w:val="20"/>
                <w:color w:val="auto"/>
              </w:rPr>
            </w:pPr>
            <w:r>
              <w:rPr>
                <w:rFonts w:ascii="Calibri" w:cs="Calibri" w:eastAsia="Calibri" w:hAnsi="Calibri"/>
                <w:sz w:val="14"/>
                <w:szCs w:val="14"/>
                <w:color w:val="51555C"/>
              </w:rPr>
              <w:t>387.3</w:t>
            </w:r>
          </w:p>
        </w:tc>
        <w:tc>
          <w:tcPr>
            <w:tcW w:w="96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356.5</w:t>
            </w: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2200" w:type="dxa"/>
            <w:vAlign w:val="bottom"/>
            <w:tcBorders>
              <w:bottom w:val="single" w:sz="8" w:color="51555C"/>
            </w:tcBorders>
          </w:tcPr>
          <w:p>
            <w:pPr>
              <w:spacing w:after="0" w:line="20" w:lineRule="exact"/>
              <w:rPr>
                <w:sz w:val="1"/>
                <w:szCs w:val="1"/>
                <w:color w:val="auto"/>
              </w:rPr>
            </w:pPr>
          </w:p>
        </w:tc>
        <w:tc>
          <w:tcPr>
            <w:tcW w:w="960" w:type="dxa"/>
            <w:vAlign w:val="bottom"/>
            <w:tcBorders>
              <w:bottom w:val="single" w:sz="8" w:color="51555C"/>
            </w:tcBorders>
          </w:tcPr>
          <w:p>
            <w:pPr>
              <w:spacing w:after="0" w:line="20" w:lineRule="exact"/>
              <w:rPr>
                <w:sz w:val="1"/>
                <w:szCs w:val="1"/>
                <w:color w:val="auto"/>
              </w:rPr>
            </w:pPr>
          </w:p>
        </w:tc>
      </w:tr>
      <w:tr>
        <w:trPr>
          <w:trHeight w:val="203"/>
        </w:trPr>
        <w:tc>
          <w:tcPr>
            <w:tcW w:w="8080" w:type="dxa"/>
            <w:vAlign w:val="bottom"/>
            <w:tcBorders>
              <w:bottom w:val="single" w:sz="8" w:color="EBFBFF"/>
            </w:tcBorders>
            <w:shd w:val="clear" w:color="auto" w:fill="EBFBFF"/>
          </w:tcPr>
          <w:p>
            <w:pPr>
              <w:ind w:left="140"/>
              <w:spacing w:after="0" w:line="202" w:lineRule="exact"/>
              <w:rPr>
                <w:sz w:val="20"/>
                <w:szCs w:val="20"/>
                <w:color w:val="auto"/>
              </w:rPr>
            </w:pPr>
            <w:r>
              <w:rPr>
                <w:rFonts w:ascii="Calibri" w:cs="Calibri" w:eastAsia="Calibri" w:hAnsi="Calibri"/>
                <w:sz w:val="14"/>
                <w:szCs w:val="14"/>
                <w:b w:val="1"/>
                <w:bCs w:val="1"/>
                <w:color w:val="51555C"/>
              </w:rPr>
              <w:t>Non-GAAP adjusted EBITDA margin on constant currency basis</w:t>
            </w:r>
            <w:r>
              <w:rPr>
                <w:rFonts w:ascii="Calibri" w:cs="Calibri" w:eastAsia="Calibri" w:hAnsi="Calibri"/>
                <w:sz w:val="18"/>
                <w:szCs w:val="18"/>
                <w:color w:val="51555C"/>
                <w:vertAlign w:val="superscript"/>
              </w:rPr>
              <w:t>(7)</w:t>
            </w:r>
          </w:p>
        </w:tc>
        <w:tc>
          <w:tcPr>
            <w:tcW w:w="2200" w:type="dxa"/>
            <w:vAlign w:val="bottom"/>
            <w:tcBorders>
              <w:bottom w:val="single" w:sz="8" w:color="EBFBFF"/>
            </w:tcBorders>
            <w:shd w:val="clear" w:color="auto" w:fill="EBFBFF"/>
          </w:tcPr>
          <w:p>
            <w:pPr>
              <w:jc w:val="right"/>
              <w:ind w:right="508"/>
              <w:spacing w:after="0"/>
              <w:rPr>
                <w:sz w:val="20"/>
                <w:szCs w:val="20"/>
                <w:color w:val="auto"/>
              </w:rPr>
            </w:pPr>
            <w:r>
              <w:rPr>
                <w:rFonts w:ascii="Calibri" w:cs="Calibri" w:eastAsia="Calibri" w:hAnsi="Calibri"/>
                <w:sz w:val="14"/>
                <w:szCs w:val="14"/>
                <w:b w:val="1"/>
                <w:bCs w:val="1"/>
                <w:color w:val="51555C"/>
              </w:rPr>
              <w:t>33.6 %</w:t>
            </w:r>
          </w:p>
        </w:tc>
        <w:tc>
          <w:tcPr>
            <w:tcW w:w="960" w:type="dxa"/>
            <w:vAlign w:val="bottom"/>
            <w:tcBorders>
              <w:bottom w:val="single" w:sz="8" w:color="EBFBFF"/>
            </w:tcBorders>
            <w:shd w:val="clear" w:color="auto" w:fill="EBFBFF"/>
          </w:tcPr>
          <w:p>
            <w:pPr>
              <w:spacing w:after="0"/>
              <w:rPr>
                <w:sz w:val="17"/>
                <w:szCs w:val="17"/>
                <w:color w:val="auto"/>
              </w:rPr>
            </w:pPr>
          </w:p>
        </w:tc>
      </w:tr>
      <w:tr>
        <w:trPr>
          <w:trHeight w:val="149"/>
        </w:trPr>
        <w:tc>
          <w:tcPr>
            <w:tcW w:w="8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3"/>
        </w:trPr>
        <w:tc>
          <w:tcPr>
            <w:tcW w:w="8080" w:type="dxa"/>
            <w:vAlign w:val="bottom"/>
            <w:tcBorders>
              <w:bottom w:val="single" w:sz="8" w:color="0CD973"/>
            </w:tcBorders>
            <w:shd w:val="clear" w:color="auto" w:fill="EBFBFF"/>
          </w:tcPr>
          <w:p>
            <w:pPr>
              <w:ind w:left="20"/>
              <w:spacing w:after="0" w:line="216" w:lineRule="exact"/>
              <w:rPr>
                <w:sz w:val="20"/>
                <w:szCs w:val="20"/>
                <w:color w:val="auto"/>
              </w:rPr>
            </w:pPr>
            <w:r>
              <w:rPr>
                <w:rFonts w:ascii="Calibri" w:cs="Calibri" w:eastAsia="Calibri" w:hAnsi="Calibri"/>
                <w:sz w:val="14"/>
                <w:szCs w:val="14"/>
                <w:b w:val="1"/>
                <w:bCs w:val="1"/>
                <w:color w:val="51555C"/>
              </w:rPr>
              <w:t>Rule of 40 on constant currency basis</w:t>
            </w:r>
            <w:r>
              <w:rPr>
                <w:rFonts w:ascii="Calibri" w:cs="Calibri" w:eastAsia="Calibri" w:hAnsi="Calibri"/>
                <w:sz w:val="18"/>
                <w:szCs w:val="18"/>
                <w:b w:val="1"/>
                <w:bCs w:val="1"/>
                <w:color w:val="51555C"/>
                <w:vertAlign w:val="superscript"/>
              </w:rPr>
              <w:t>(8)</w:t>
            </w:r>
          </w:p>
        </w:tc>
        <w:tc>
          <w:tcPr>
            <w:tcW w:w="2200" w:type="dxa"/>
            <w:vAlign w:val="bottom"/>
            <w:tcBorders>
              <w:bottom w:val="single" w:sz="8" w:color="0CD973"/>
            </w:tcBorders>
            <w:shd w:val="clear" w:color="auto" w:fill="EBFBFF"/>
          </w:tcPr>
          <w:p>
            <w:pPr>
              <w:jc w:val="right"/>
              <w:ind w:right="508"/>
              <w:spacing w:after="0"/>
              <w:rPr>
                <w:sz w:val="20"/>
                <w:szCs w:val="20"/>
                <w:color w:val="auto"/>
              </w:rPr>
            </w:pPr>
            <w:r>
              <w:rPr>
                <w:rFonts w:ascii="Calibri" w:cs="Calibri" w:eastAsia="Calibri" w:hAnsi="Calibri"/>
                <w:sz w:val="14"/>
                <w:szCs w:val="14"/>
                <w:b w:val="1"/>
                <w:bCs w:val="1"/>
                <w:color w:val="51555C"/>
              </w:rPr>
              <w:t>38.6 %</w:t>
            </w:r>
          </w:p>
        </w:tc>
        <w:tc>
          <w:tcPr>
            <w:tcW w:w="960" w:type="dxa"/>
            <w:vAlign w:val="bottom"/>
            <w:tcBorders>
              <w:bottom w:val="single" w:sz="8" w:color="0CD973"/>
            </w:tcBorders>
            <w:shd w:val="clear" w:color="auto" w:fill="EBFBFF"/>
          </w:tcPr>
          <w:p>
            <w:pPr>
              <w:spacing w:after="0"/>
              <w:rPr>
                <w:sz w:val="19"/>
                <w:szCs w:val="19"/>
                <w:color w:val="auto"/>
              </w:rPr>
            </w:pPr>
          </w:p>
        </w:tc>
      </w:tr>
    </w:tbl>
    <w:p>
      <w:pPr>
        <w:spacing w:after="0" w:line="66" w:lineRule="exact"/>
        <w:rPr>
          <w:sz w:val="20"/>
          <w:szCs w:val="20"/>
          <w:color w:val="auto"/>
        </w:rPr>
      </w:pPr>
    </w:p>
    <w:p>
      <w:pPr>
        <w:ind w:left="340" w:hanging="332"/>
        <w:spacing w:after="0"/>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Includes amortzaton expense related to sofware and content development costs and amortzaton expense from capitalized cloud computng implementaton costs.</w:t>
      </w:r>
    </w:p>
    <w:p>
      <w:pPr>
        <w:ind w:left="340" w:hanging="332"/>
        <w:spacing w:after="0" w:line="227" w:lineRule="auto"/>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EBITDA, non-GAAP adjusted EBITDA or non-GAAP adjusted EBITDA on a constant currency basis due to rounding.</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Measured by GAAP revenue divided by non-GAAP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See additonal details in the reconciliaton of GAAP to Non-GAAP operatng income above.</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divided by non-GAAP adjusted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plus non-GAAP adjusted EBITDA margin. See Non-GAAP organic revenue growth table above.</w:t>
      </w:r>
    </w:p>
    <w:p>
      <w:pPr>
        <w:jc w:val="both"/>
        <w:ind w:left="340" w:right="20" w:hanging="332"/>
        <w:spacing w:after="0"/>
        <w:tabs>
          <w:tab w:leader="none" w:pos="338"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To determine non-GAAP adjusted EBITDA on a constant currency basis, non-GAAP adjusted EBITDA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5" w:lineRule="exact"/>
        <w:rPr>
          <w:rFonts w:ascii="Calibri" w:cs="Calibri" w:eastAsia="Calibri" w:hAnsi="Calibri"/>
          <w:sz w:val="14"/>
          <w:szCs w:val="14"/>
          <w:color w:val="51555C"/>
        </w:rPr>
      </w:pPr>
    </w:p>
    <w:p>
      <w:pPr>
        <w:ind w:left="340" w:right="20" w:hanging="332"/>
        <w:spacing w:after="0" w:line="245" w:lineRule="auto"/>
        <w:tabs>
          <w:tab w:leader="none" w:pos="338"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on constant currency basis plus non-GAAP adjusted EBITDA margin on constant currency basis. See Non-GAAP organic revenue growth table above.</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52</w:t>
      </w:r>
      <w:r>
        <w:rPr>
          <w:sz w:val="20"/>
          <w:szCs w:val="20"/>
          <w:color w:val="auto"/>
        </w:rPr>
        <w:tab/>
      </w:r>
      <w:r>
        <w:rPr>
          <w:sz w:val="1"/>
          <w:szCs w:val="1"/>
          <w:color w:val="auto"/>
        </w:rPr>
        <w:drawing>
          <wp:inline distT="0" distB="0" distL="0" distR="0">
            <wp:extent cx="728345" cy="18859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free cash fow and non-GAAP adjusted free cash fow</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free cash fow is defned as operatng cash fow less capital expenditures, including costs required to be capitalized for sofware and content development, and capital expenditures for property and equipment.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adjusted free cash fow is defned as operatng cash fow less capital expenditures, including costs required to be capitalized for sofware and content development and capital expenditures for property and equipment, plus cash outlows, net of insurance, related to the Security Incident.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We believe non-GAAP free cash fow and non-GAAP adjusted free cash fow provides useful measures of the Company's operatng performance. Non-GAAP adjusted free cash fow is not intended to represent and should not be viewed as the amount of residual cash fow available for discretonary expenditures.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22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54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80" w:type="dxa"/>
            <w:vAlign w:val="bottom"/>
            <w:shd w:val="clear" w:color="auto" w:fill="004054"/>
          </w:tcPr>
          <w:p>
            <w:pPr>
              <w:spacing w:after="0"/>
              <w:rPr>
                <w:sz w:val="4"/>
                <w:szCs w:val="4"/>
                <w:color w:val="auto"/>
              </w:rPr>
            </w:pPr>
          </w:p>
        </w:tc>
        <w:tc>
          <w:tcPr>
            <w:tcW w:w="86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80" w:type="dxa"/>
            <w:vAlign w:val="bottom"/>
            <w:shd w:val="clear" w:color="auto" w:fill="004054"/>
          </w:tcPr>
          <w:p>
            <w:pPr>
              <w:spacing w:after="0"/>
              <w:rPr>
                <w:sz w:val="4"/>
                <w:szCs w:val="4"/>
                <w:color w:val="auto"/>
              </w:rPr>
            </w:pPr>
          </w:p>
        </w:tc>
        <w:tc>
          <w:tcPr>
            <w:tcW w:w="8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540" w:type="dxa"/>
            <w:vAlign w:val="bottom"/>
            <w:vMerge w:val="continue"/>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vMerge w:val="continue"/>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54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net cash provided by operatng actvites</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296.0</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cash fow margin</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25.6 %</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51555C"/>
              </w:rPr>
              <w:t>18.1 %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140"/>
              <w:spacing w:after="0"/>
              <w:rPr>
                <w:sz w:val="20"/>
                <w:szCs w:val="20"/>
                <w:color w:val="auto"/>
              </w:rPr>
            </w:pPr>
            <w:r>
              <w:rPr>
                <w:rFonts w:ascii="Calibri" w:cs="Calibri" w:eastAsia="Calibri" w:hAnsi="Calibri"/>
                <w:sz w:val="14"/>
                <w:szCs w:val="14"/>
                <w:color w:val="51555C"/>
              </w:rPr>
              <w:t>Less: purchase of property and equipment</w:t>
            </w:r>
          </w:p>
        </w:tc>
        <w:tc>
          <w:tcPr>
            <w:tcW w:w="4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alibri" w:cs="Calibri" w:eastAsia="Calibri" w:hAnsi="Calibri"/>
                <w:sz w:val="14"/>
                <w:szCs w:val="14"/>
                <w:color w:val="51555C"/>
              </w:rPr>
              <w:t>(7.4)</w:t>
            </w:r>
          </w:p>
        </w:tc>
        <w:tc>
          <w:tcPr>
            <w:tcW w:w="4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51555C"/>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Less: capitalized sofware and content development costs</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(59.8)</w:t>
            </w:r>
          </w:p>
        </w:tc>
        <w:tc>
          <w:tcPr>
            <w:tcW w:w="4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228.8</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4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19.8 %</w:t>
            </w: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12.3 %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Security Incident-related cash fows, net of insurance</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15.9</w:t>
            </w:r>
          </w:p>
        </w:tc>
        <w:tc>
          <w:tcPr>
            <w:tcW w:w="4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adjusted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244.7</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4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adjusted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21.2 %</w:t>
            </w: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19.3 %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-1807845</wp:posOffset>
            </wp:positionV>
            <wp:extent cx="17227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non-GAAP free cash fow or non-GAAP adjusted free cash fow due to rounding.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Seasonality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revenues normally fuctuate as a result of certain seasonal variatons in our business. Our frst quarter has historically been the seasonal low for bookings, with the second and fourth quarters historically being seasonally higher, and our bookings tend to be back-end loaded within individual quarters given our quarterly quota plans. Transactonal revenue is non-contractual and less predictable given the susceptbility to certain drivers such as tming and number of events and marketng campaigns, as well as fuctuatons in donaton volumes and tuiton payments. Our transactonal revenue has historically been at its lowest in the frst quarter due to the tming of customer fundraising initatves and events. We have historically experienced seasonal highs during the fourth quarter due to year-end giving campaigns and during the second quarter when a large number of events are held. Our revenue from professional services has historically been lower in the frst quarter when many of those services commence and in the fourth quarter due to the holiday season. As a result of these and other factors, our total revenue has historically been lower in the frst quarter than in the remainder of our fscal year, with the fourth quarter historically achieving the highest total revenue. Our expenses, other than transacton-based costs related to our payments services, do not vary signifcantly as a result of these factors, but do fuctuate on a quarterly basis due to varying tming of expenditures.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cash fow from operatons normally fuctuates quarterly due to the combinaton of the tming of customer contract renewals, delivery of professional services and occurrence of customer events, as well as merit-based salary increases, among other factors. Historically, due to lower revenues in our frst quarter, combined with the payment of certain annual vendor contracts, our cash fow from operatons has been lowest in our frst quarter. Due to the tming of customer contract renewals and student enrollments, many of which take place at or near the beginning of our third quarter, our cash fow from operatons has generally been lower in our second quarter as compared to our third and fourth quarters. Partally ofsetng these favorable drivers of cash fow from operatons in our third and fourth quarters are base salary merit increases, which occur in July. In additon, deferred revenues can vary on a seasonal basis due to the tming of customer contract renewals and student enrollments or signifcant acquisitons. Our cash fow from fnancing is negatvely impacted in our frst quarter when most of our equity awards vest, as we pay taxes on behalf of our employees related to the setlement or exercise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233680</wp:posOffset>
            </wp:positionV>
            <wp:extent cx="7289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These paterns may change as a result of the contnued shif to online giving, growth in volume of transactons for which we process payments, large dollar customer bookings and contract renewals, fuctuatons in the tming of vendor payments or as a result of acquisitons, dispositons, such as our sale of EVERFI on December 31, 2024, new market opportunites, new soluton introductons or other factors.</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selected fnancial informaton about our fnancial positon: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Cash and cash equivalents</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67.6</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31.3</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116.4 %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Calibri" w:cs="Calibri" w:eastAsia="Calibri" w:hAnsi="Calibri"/>
                <w:sz w:val="18"/>
                <w:szCs w:val="18"/>
                <w:color w:val="51555C"/>
              </w:rPr>
              <w:t>Property and equipment, net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91.9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98.7</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Sofware and content development costs, net</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148.3</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160.2</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Calibri" w:cs="Calibri" w:eastAsia="Calibri" w:hAnsi="Calibri"/>
                <w:sz w:val="18"/>
                <w:szCs w:val="18"/>
                <w:color w:val="51555C"/>
              </w:rPr>
              <w:t>Total carrying value of debt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1,075.0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779.7</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37.9 %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Working capital</w:t>
            </w:r>
          </w:p>
        </w:tc>
        <w:tc>
          <w:tcPr>
            <w:tcW w:w="4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(275.8)</w:t>
            </w:r>
          </w:p>
        </w:tc>
        <w:tc>
          <w:tcPr>
            <w:tcW w:w="4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(267.4)</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6560" w:type="dxa"/>
            <w:vAlign w:val="bottom"/>
            <w:tcBorders>
              <w:top w:val="single" w:sz="8" w:color="0CD973"/>
            </w:tcBorders>
          </w:tcPr>
          <w:p>
            <w:pPr>
              <w:spacing w:after="0"/>
              <w:rPr>
                <w:sz w:val="20"/>
                <w:szCs w:val="20"/>
                <w:color w:val="auto"/>
              </w:rPr>
            </w:pPr>
            <w:r>
              <w:rPr>
                <w:rFonts w:ascii="Calibri" w:cs="Calibri" w:eastAsia="Calibri" w:hAnsi="Calibri"/>
                <w:sz w:val="18"/>
                <w:szCs w:val="18"/>
                <w:color w:val="51555C"/>
              </w:rPr>
              <w:t>The following table presents selected fnancial informaton about our cash fows:</w:t>
            </w:r>
          </w:p>
        </w:tc>
        <w:tc>
          <w:tcPr>
            <w:tcW w:w="40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40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164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6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00" w:type="dxa"/>
            <w:vAlign w:val="bottom"/>
            <w:shd w:val="clear" w:color="auto" w:fill="004054"/>
          </w:tcPr>
          <w:p>
            <w:pPr>
              <w:spacing w:after="0"/>
              <w:rPr>
                <w:sz w:val="5"/>
                <w:szCs w:val="5"/>
                <w:color w:val="auto"/>
              </w:rPr>
            </w:pPr>
          </w:p>
        </w:tc>
        <w:tc>
          <w:tcPr>
            <w:tcW w:w="11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00" w:type="dxa"/>
            <w:vAlign w:val="bottom"/>
            <w:shd w:val="clear" w:color="auto" w:fill="004054"/>
          </w:tcPr>
          <w:p>
            <w:pPr>
              <w:spacing w:after="0"/>
              <w:rPr>
                <w:sz w:val="5"/>
                <w:szCs w:val="5"/>
                <w:color w:val="auto"/>
              </w:rPr>
            </w:pPr>
          </w:p>
        </w:tc>
        <w:tc>
          <w:tcPr>
            <w:tcW w:w="11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4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560" w:type="dxa"/>
            <w:vAlign w:val="bottom"/>
            <w:vMerge w:val="continue"/>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vMerge w:val="continue"/>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vMerge w:val="continue"/>
            <w:shd w:val="clear" w:color="auto" w:fill="004054"/>
          </w:tcPr>
          <w:p>
            <w:pPr>
              <w:spacing w:after="0"/>
              <w:rPr>
                <w:sz w:val="15"/>
                <w:szCs w:val="15"/>
                <w:color w:val="auto"/>
              </w:rPr>
            </w:pPr>
          </w:p>
        </w:tc>
        <w:tc>
          <w:tcPr>
            <w:tcW w:w="164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provided by operatng actvites</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296.0</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199.6</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48.3 %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Calibri" w:cs="Calibri" w:eastAsia="Calibri" w:hAnsi="Calibri"/>
                <w:sz w:val="18"/>
                <w:szCs w:val="18"/>
                <w:color w:val="51555C"/>
              </w:rPr>
              <w:t>Net cash used in investng actvites</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(73.4)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(64.4)</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14.0 %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used in fnancing actvites</w:t>
            </w:r>
          </w:p>
        </w:tc>
        <w:tc>
          <w:tcPr>
            <w:tcW w:w="40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(139.4)</w:t>
            </w:r>
          </w:p>
        </w:tc>
        <w:tc>
          <w:tcPr>
            <w:tcW w:w="40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(143.0)</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-719455</wp:posOffset>
            </wp:positionV>
            <wp:extent cx="29743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principal sources of liquidity are our operatng cash fow, funds available under the 2024 Credit Facilites and cash on hand. Our operatng cash fow depends on contnued customer renewal of our subscripton and maintenance arrangements, market acceptance of our solutons and services, the volume and size of transactons for which we process payments and our customers' ability to pay. Based on current estmates of revenue and expenses, we believe that the currently available sources of funds and antcipated cash fows from operatons will be adequate for at least the next twelve months to fnance our operatons, fund antcipated capital expenditures and meet our debt obligatons. We also believe that we will be able to contnue to meet our long-term cash requirements due to our antcipated cash fow from operatons, solid fnancial positon and ability to access capital from fnancial markets. To the extent we undertake future material acquisitons, investments or unantcipated capital or operatng expenditures, including in connecton with the Security Incident, we may require additonal capital. In that context, we regularly evaluate opportunites to enhance our capital structure, including through potental debt or equity issuances.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well-known seasoned issuer, we fled an automatc shelf registraton statement for an undetermined amount of debt and equity securites with the SEC on January 10, 2025. Under this universal shelf registraton statement we may ofer and sell, from tme to tme, debt securites, common stock, preferred stock, depositary shares, warrants, stock purchase contracts and stock purchase units. Subject to certain conditons, this registraton statement will be efectve through January 9, 2028.</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At December 31, 2024, our total cash and cash equivalents balance included approximately $13.9 million of cash that was held by operatons outside the U.S. While these funds may not be needed to fund our U.S. operatons for at least the next twelve months, if we need these funds, we may be required to accrue and pay taxes to repatriate the funds. We currently do not intend nor antcipate a need to repatriate our cash held outside the U.S.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54</w:t>
      </w:r>
      <w:r>
        <w:rPr>
          <w:sz w:val="20"/>
          <w:szCs w:val="20"/>
          <w:color w:val="auto"/>
        </w:rPr>
        <w:tab/>
      </w:r>
      <w:r>
        <w:rPr>
          <w:sz w:val="1"/>
          <w:szCs w:val="1"/>
          <w:color w:val="auto"/>
        </w:rPr>
        <w:drawing>
          <wp:inline distT="0" distB="0" distL="0" distR="0">
            <wp:extent cx="728345" cy="18859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Operatng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Throughout 2024 and 2023, our cash fows from operatons were derived principally from: (i) our earnings from on-going operatons prior to non-cash expenses such as depreciaton, amortzaton, stock-based compensaton, deferred income taxes, amortzaton of deferred fnancing costs and debt discount, adjustments to our provision for credit losses and sales returns, the EVERFI impairment charges, loss on dispositon of business; and (ii) changes in our working capital.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Working capital changes are comprised of changes in accounts receivable, prepaid expenses and other assets, trade accounts payable, accrued expenses and other liabilites and deferred revenue.</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cash provided by operatng actvites increased by $96.3 million during the year ended December 31, 2024, when compared to the same period in 2023, primarily due to a $49.4 million increase in net income adjusted for non-cash expenses and a $46.9 million increase in cash fow from operatons associated with working capital.</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increase in cash fow from operatons associated with working capital during 2024, when compared to 2023, was primarily due to:</w:t>
      </w:r>
    </w:p>
    <w:p>
      <w:pPr>
        <w:spacing w:after="0" w:line="104" w:lineRule="exact"/>
        <w:rPr>
          <w:sz w:val="20"/>
          <w:szCs w:val="20"/>
          <w:color w:val="auto"/>
        </w:rPr>
      </w:pPr>
    </w:p>
    <w:p>
      <w:pPr>
        <w:ind w:left="640" w:hanging="308"/>
        <w:spacing w:after="0"/>
        <w:tabs>
          <w:tab w:leader="none" w:pos="640" w:val="left"/>
        </w:tabs>
        <w:numPr>
          <w:ilvl w:val="0"/>
          <w:numId w:val="42"/>
        </w:numPr>
        <w:rPr>
          <w:rFonts w:ascii="Calibri" w:cs="Calibri" w:eastAsia="Calibri" w:hAnsi="Calibri"/>
          <w:sz w:val="18"/>
          <w:szCs w:val="18"/>
          <w:color w:val="51555C"/>
        </w:rPr>
      </w:pPr>
      <w:r>
        <w:rPr>
          <w:rFonts w:ascii="Calibri" w:cs="Calibri" w:eastAsia="Calibri" w:hAnsi="Calibri"/>
          <w:sz w:val="18"/>
          <w:szCs w:val="18"/>
          <w:color w:val="51555C"/>
        </w:rPr>
        <w:t>fuctuatons in the tming of vendor payments;</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42"/>
        </w:numPr>
        <w:rPr>
          <w:rFonts w:ascii="Calibri" w:cs="Calibri" w:eastAsia="Calibri" w:hAnsi="Calibri"/>
          <w:sz w:val="18"/>
          <w:szCs w:val="18"/>
          <w:color w:val="51555C"/>
        </w:rPr>
      </w:pPr>
      <w:r>
        <w:rPr>
          <w:rFonts w:ascii="Calibri" w:cs="Calibri" w:eastAsia="Calibri" w:hAnsi="Calibri"/>
          <w:sz w:val="18"/>
          <w:szCs w:val="18"/>
          <w:color w:val="51555C"/>
        </w:rPr>
        <w:t>a decrease in accrued expenses related to the Security Incident; partally ofset by</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42"/>
        </w:numPr>
        <w:rPr>
          <w:rFonts w:ascii="Calibri" w:cs="Calibri" w:eastAsia="Calibri" w:hAnsi="Calibri"/>
          <w:sz w:val="18"/>
          <w:szCs w:val="18"/>
          <w:color w:val="51555C"/>
        </w:rPr>
      </w:pPr>
      <w:r>
        <w:rPr>
          <w:rFonts w:ascii="Calibri" w:cs="Calibri" w:eastAsia="Calibri" w:hAnsi="Calibri"/>
          <w:sz w:val="18"/>
          <w:szCs w:val="18"/>
          <w:color w:val="51555C"/>
        </w:rPr>
        <w:t>an increase in cash taxes paid.</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February 2025, we made a one-tme cash release payment of $28 million to the lessor in connecton with a release from our lease for ofce space in Washington, DC (which was acquired as part of our acquisiton of EVERFI in December 2021). Due to our remote-frst workforce strategy, we had not used the ofce space since February 2023 and had subleased a porton of the space.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 update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discussed in Note 11 to our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53). For full year 2024, we had net cash outlays of $15.9 million related to the Security Incident, which included ongoing legal fees and the $6.8 million paid during the third quarter of 2024 related to our setlement with the Atorney General of the State of California. For full year 2025, we currently expect net pre-tax expense of approximately $2.0 million to $3.0 million and net cash outlays of approximately $3.0 million to $4.0 million for ongoing legal fees related to the Security Incident.</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have recorded approximately $0.7 million in aggregate liabilites for loss contngencies based primarily on recent negotatons with certain customers related to the Security Incident that we believe we can reasonably estmate in accordance with our loss contngency procedures described in Note 11. It is reasonably possible that our estmated or actual losses may change in the near term for those maters and be materially in excess of the amounts accrued, but we are unable at this tme to reasonably estmate the possible additonal loss.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for which we have not recorded a liability for a loss contngency as of December 31,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7289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Investng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2025, we expect our total capital expenditures, including estmated outlays for capitalized sofware development costs, to be between approximately $55.0 million and $65.0 million.</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Net cash used in investng actvites of $73.4 million increased by $9.0 million during 2024, when compared to 2023.</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2024, we used $59.8 million for sofware and content development costs, which was up $0.3 million from cash spent during 2023. We also spent $7.4 million of cash for purchases of property and equipment during 2024, which was an increase of $2.8 million from cash spent in 2023. In additon, we used net cash of $1.2 million in the dispositon of a business and $5.0 million for a minority investment in a business during 2024.</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Financing Cash Flow</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During 2024, we had a net increase in borrowings of $296.7 million, primarily due to our stock repurchase program, including our ASR Transacton (as defned on page 105) in March 2024. During 2024, we repurchased $418.0 million of our common stock compared to $18.8 million during 2023 (see additonal details below regarding our stock repurchase program). We also paid $6.5 million in debt issuance costs in conjuncton with our April 2024 refnancing.</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paid $56.8 million to satsfy tax obligatons of employees upon setlement or exercise of equity awards during 2024 compared to $35.9 million during 2023. The amount of taxes paid by us on behalf of employees related to the setlement or exercise of equity awards varies from period to period based upon the tming of grants and vestng, as well as the market price for shares of our common stock at the tme of setlement. Most of our equity awards currently vest in our frst quarter.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2024, cash fow from fnancing actvites associated with changes in restricted cash due to customers increased $47.0 million, compared to a decrease of $6.8 million during 2023. This line in the statement of cash fows represents the change in the amount of restricted cash held and payable by us to customers from one period to the next. This restricted cash due to customers is not available to us for operatonal purposes.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Stock repurchase program</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January 17, 2024, our Board of Directors reauthorized, expanded and replenished our stock repurchase program by raising the total capacity under the program from $250.0 million to $500.0 million available for repurchases. The program does not have an expiraton date. Under the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may be limited, suspended or discontnued at any tme without prior notce.</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March 2024, we announced that we intended to repurchase during 2024 between 7% and 10% of our outstanding common stock as of December 31, 2023 under our repurchase program. Consistent with that commitment, in March 2024, we entered into the ASR Transacton to repurchase an aggregate $200 million of shares of our common stock.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was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We funded the ASR Transacton prepayment with borrowings pursuant to a revolving credit loan under the then efectve 2020 Credit Agreement. On October 29, 2024, in connecton with the setlement of the ASR Transacton, we received approximately 490,000 shares of our common stock, in additon to the 2.1 million shares received in March 2024. No cash was exchanged as part of the setlement of the ASR Transacton.</w:t>
      </w:r>
    </w:p>
    <w:p>
      <w:pPr>
        <w:spacing w:after="0" w:line="33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56</w:t>
      </w:r>
      <w:r>
        <w:rPr>
          <w:sz w:val="20"/>
          <w:szCs w:val="20"/>
          <w:color w:val="auto"/>
        </w:rPr>
        <w:tab/>
      </w:r>
      <w:r>
        <w:rPr>
          <w:sz w:val="1"/>
          <w:szCs w:val="1"/>
          <w:color w:val="auto"/>
        </w:rPr>
        <w:drawing>
          <wp:inline distT="0" distB="0" distL="0" distR="0">
            <wp:extent cx="728345" cy="1885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July 16, 2024, our Board of Directors reauthorized, expanded and replenished our stock repurchase program by expanding the total capacity under the program from $500.0 million to $800.0 million available for repurchases.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2024, we repurchased an aggregate of 5,362,439 shares for $418.0 million, including the shares repurchased pursuant to the ASR Transacton and representng approximately 10.0% of the Company's common stock outstanding as of December 31, 2023. When including the net share setlement on employee stock-based compensaton, this fgure increases to approximately 11%. The remaining amount available to purchase stock under the approved stock repurchase program was $644.6 million as of December 31, 2024. During 2025, we intend to repurchase between 3% and 5% of our outstanding common stock as of December 31, 2024 under our existng stock repurchase program.</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2024 Credit Facilites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Historically, we have drawn on our credit facility from tme to tme to help us meet fnancial needs primarily due to the seasonality of our cash fows from operatons and fnancing for business acquisitons. At December 31, 2024, our available borrowing capacity under the 2024 Credit Facilites was $468.7 million. The 2024 Credit Facilites mature in April 2029.</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At December 31, 2024, the carrying amount of our debt under the 2024 Credit Facilites was $1.0 billion. Our average daily borrowings were $929.5 million during 2024.</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term loans under the 2024 Credit Facilites and our other debt require periodic principal payments. The balance of the term loans and any amounts drawn on the revolving credit loans are due upon maturity of the 2024 Credit Facilites in April 2029. Certain real estate loans (as described in Note 9 to our audited consolidated fnancial statements included in this report) also require periodic principal payments and the balances of the real estate loans are due upon maturity in April 2038.</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is a summary of the fnancial covenants under the 2024 Credit Facilites: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Financial Covenant</w:t>
            </w:r>
          </w:p>
        </w:tc>
        <w:tc>
          <w:tcPr>
            <w:tcW w:w="28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Requirement</w:t>
            </w:r>
          </w:p>
        </w:tc>
        <w:tc>
          <w:tcPr>
            <w:tcW w:w="33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Rato as of December 31, 2024</w:t>
            </w:r>
          </w:p>
        </w:tc>
      </w:tr>
      <w:tr>
        <w:trPr>
          <w:trHeight w:val="67"/>
        </w:trPr>
        <w:tc>
          <w:tcPr>
            <w:tcW w:w="4990" w:type="dxa"/>
            <w:vAlign w:val="bottom"/>
            <w:shd w:val="clear" w:color="auto" w:fill="004054"/>
          </w:tcPr>
          <w:p>
            <w:pPr>
              <w:spacing w:after="0"/>
              <w:rPr>
                <w:sz w:val="5"/>
                <w:szCs w:val="5"/>
                <w:color w:val="auto"/>
              </w:rPr>
            </w:pPr>
          </w:p>
        </w:tc>
        <w:tc>
          <w:tcPr>
            <w:tcW w:w="2860" w:type="dxa"/>
            <w:vAlign w:val="bottom"/>
            <w:shd w:val="clear" w:color="auto" w:fill="004054"/>
          </w:tcPr>
          <w:p>
            <w:pPr>
              <w:spacing w:after="0"/>
              <w:rPr>
                <w:sz w:val="5"/>
                <w:szCs w:val="5"/>
                <w:color w:val="auto"/>
              </w:rPr>
            </w:pPr>
          </w:p>
        </w:tc>
        <w:tc>
          <w:tcPr>
            <w:tcW w:w="3370" w:type="dxa"/>
            <w:vAlign w:val="bottom"/>
            <w:shd w:val="clear" w:color="auto" w:fill="004054"/>
          </w:tcPr>
          <w:p>
            <w:pPr>
              <w:spacing w:after="0"/>
              <w:rPr>
                <w:sz w:val="5"/>
                <w:szCs w:val="5"/>
                <w:color w:val="auto"/>
              </w:rPr>
            </w:pPr>
          </w:p>
        </w:tc>
      </w:tr>
      <w:tr>
        <w:trPr>
          <w:trHeight w:val="324"/>
        </w:trPr>
        <w:tc>
          <w:tcPr>
            <w:tcW w:w="499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Net Leverage Rato</w:t>
            </w:r>
            <w:r>
              <w:rPr>
                <w:rFonts w:ascii="Calibri" w:cs="Calibri" w:eastAsia="Calibri" w:hAnsi="Calibri"/>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7"/>
              </w:rPr>
              <w:t>≤ 3.75 to 1.00</w:t>
            </w:r>
          </w:p>
        </w:tc>
        <w:tc>
          <w:tcPr>
            <w:tcW w:w="337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8"/>
              </w:rPr>
              <w:t>2.57 to 1.00</w:t>
            </w:r>
          </w:p>
        </w:tc>
      </w:tr>
      <w:tr>
        <w:trPr>
          <w:trHeight w:val="220"/>
        </w:trPr>
        <w:tc>
          <w:tcPr>
            <w:tcW w:w="4990" w:type="dxa"/>
            <w:vAlign w:val="bottom"/>
          </w:tcPr>
          <w:p>
            <w:pPr>
              <w:ind w:left="20"/>
              <w:spacing w:after="0"/>
              <w:rPr>
                <w:sz w:val="20"/>
                <w:szCs w:val="20"/>
                <w:color w:val="auto"/>
              </w:rPr>
            </w:pPr>
            <w:r>
              <w:rPr>
                <w:rFonts w:ascii="Calibri" w:cs="Calibri" w:eastAsia="Calibri" w:hAnsi="Calibri"/>
                <w:sz w:val="18"/>
                <w:szCs w:val="18"/>
                <w:color w:val="51555C"/>
              </w:rPr>
              <w:t>Interest Coverage Rato</w:t>
            </w:r>
          </w:p>
        </w:tc>
        <w:tc>
          <w:tcPr>
            <w:tcW w:w="2860" w:type="dxa"/>
            <w:vAlign w:val="bottom"/>
          </w:tcPr>
          <w:p>
            <w:pPr>
              <w:jc w:val="center"/>
              <w:spacing w:after="0"/>
              <w:rPr>
                <w:sz w:val="20"/>
                <w:szCs w:val="20"/>
                <w:color w:val="auto"/>
              </w:rPr>
            </w:pPr>
            <w:r>
              <w:rPr>
                <w:rFonts w:ascii="Calibri" w:cs="Calibri" w:eastAsia="Calibri" w:hAnsi="Calibri"/>
                <w:sz w:val="18"/>
                <w:szCs w:val="18"/>
                <w:color w:val="51555C"/>
                <w:w w:val="97"/>
              </w:rPr>
              <w:t>≥ 2.50 to 1.00</w:t>
            </w:r>
          </w:p>
        </w:tc>
        <w:tc>
          <w:tcPr>
            <w:tcW w:w="3370" w:type="dxa"/>
            <w:vAlign w:val="bottom"/>
          </w:tcPr>
          <w:p>
            <w:pPr>
              <w:jc w:val="center"/>
              <w:spacing w:after="0"/>
              <w:rPr>
                <w:sz w:val="20"/>
                <w:szCs w:val="20"/>
                <w:color w:val="auto"/>
              </w:rPr>
            </w:pPr>
            <w:r>
              <w:rPr>
                <w:rFonts w:ascii="Calibri" w:cs="Calibri" w:eastAsia="Calibri" w:hAnsi="Calibri"/>
                <w:sz w:val="18"/>
                <w:szCs w:val="18"/>
                <w:color w:val="51555C"/>
                <w:w w:val="98"/>
              </w:rPr>
              <w:t>7.13 to 1.00</w:t>
            </w:r>
          </w:p>
        </w:tc>
      </w:tr>
      <w:tr>
        <w:trPr>
          <w:trHeight w:val="50"/>
        </w:trPr>
        <w:tc>
          <w:tcPr>
            <w:tcW w:w="4990" w:type="dxa"/>
            <w:vAlign w:val="bottom"/>
            <w:tcBorders>
              <w:bottom w:val="single" w:sz="8" w:color="0CD973"/>
            </w:tcBorders>
          </w:tcPr>
          <w:p>
            <w:pPr>
              <w:spacing w:after="0"/>
              <w:rPr>
                <w:sz w:val="4"/>
                <w:szCs w:val="4"/>
                <w:color w:val="auto"/>
              </w:rPr>
            </w:pPr>
          </w:p>
        </w:tc>
        <w:tc>
          <w:tcPr>
            <w:tcW w:w="2860" w:type="dxa"/>
            <w:vAlign w:val="bottom"/>
            <w:tcBorders>
              <w:bottom w:val="single" w:sz="8" w:color="0CD973"/>
            </w:tcBorders>
          </w:tcPr>
          <w:p>
            <w:pPr>
              <w:spacing w:after="0"/>
              <w:rPr>
                <w:sz w:val="4"/>
                <w:szCs w:val="4"/>
                <w:color w:val="auto"/>
              </w:rPr>
            </w:pPr>
          </w:p>
        </w:tc>
        <w:tc>
          <w:tcPr>
            <w:tcW w:w="3370" w:type="dxa"/>
            <w:vAlign w:val="bottom"/>
            <w:tcBorders>
              <w:bottom w:val="single" w:sz="8" w:color="0CD973"/>
            </w:tcBorders>
          </w:tcPr>
          <w:p>
            <w:pPr>
              <w:spacing w:after="0"/>
              <w:rPr>
                <w:sz w:val="4"/>
                <w:szCs w:val="4"/>
                <w:color w:val="auto"/>
              </w:rPr>
            </w:pPr>
          </w:p>
        </w:tc>
      </w:tr>
    </w:tbl>
    <w:p>
      <w:pPr>
        <w:spacing w:after="0" w:line="67" w:lineRule="exact"/>
        <w:rPr>
          <w:sz w:val="20"/>
          <w:szCs w:val="20"/>
          <w:color w:val="auto"/>
        </w:rPr>
      </w:pPr>
    </w:p>
    <w:p>
      <w:pPr>
        <w:ind w:left="340" w:right="20" w:hanging="332"/>
        <w:spacing w:after="0" w:line="233" w:lineRule="auto"/>
        <w:tabs>
          <w:tab w:leader="none" w:pos="338" w:val="left"/>
        </w:tabs>
        <w:numPr>
          <w:ilvl w:val="0"/>
          <w:numId w:val="43"/>
        </w:numPr>
        <w:rPr>
          <w:rFonts w:ascii="Calibri" w:cs="Calibri" w:eastAsia="Calibri" w:hAnsi="Calibri"/>
          <w:sz w:val="14"/>
          <w:szCs w:val="14"/>
          <w:color w:val="51555C"/>
        </w:rPr>
      </w:pPr>
      <w:r>
        <w:rPr>
          <w:rFonts w:ascii="Calibri" w:cs="Calibri" w:eastAsia="Calibri" w:hAnsi="Calibri"/>
          <w:sz w:val="14"/>
          <w:szCs w:val="14"/>
          <w:color w:val="51555C"/>
        </w:rPr>
        <w:t>Under the terms of the 2024 Credit Facilites, the Net Leverage Rato requirement may be increased by up to 0.50 provided we satsfy certain requirements, including a permited business acquisiton, and provided that the maximum Net Leverage Rato shall not exceed 4.25 to 1.00.</w:t>
      </w:r>
    </w:p>
    <w:p>
      <w:pPr>
        <w:spacing w:after="0" w:line="173"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Under the 2024 Credit Facilites, we also have restrictons on our ability to declare and pay dividends and our ability to repurchase shares of our common stock. In order to pay any cash dividends and/or repurchase shares of stock: (i) no default or event of default shall have occurred and be contnuing under the 2024 Credit Facilites, and (ii) our pro forma net leverage rato, as set forth in the 2024 Credit Facilites, must be 0.25 less than the net leverage rato requirement at the tme of dividend declaraton or stock repurchase. At December 31, 2024, we were in compliance with our debt covenants under the 2024 Credit Facilites. See Note 9 to our consolidated fnancial statements included in this report for additonal informaton regarding the 2024 Credit Facilites.</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Commitments and Contngencies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As of December 31, 2024, we had contractual obligatons with future minimum commitments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2640" w:type="dxa"/>
            <w:vAlign w:val="bottom"/>
            <w:gridSpan w:val="4"/>
            <w:shd w:val="clear" w:color="auto" w:fill="004054"/>
          </w:tcPr>
          <w:p>
            <w:pPr>
              <w:jc w:val="right"/>
              <w:ind w:right="270"/>
              <w:spacing w:after="0"/>
              <w:rPr>
                <w:sz w:val="20"/>
                <w:szCs w:val="20"/>
                <w:color w:val="auto"/>
              </w:rPr>
            </w:pPr>
            <w:r>
              <w:rPr>
                <w:rFonts w:ascii="Calibri" w:cs="Calibri" w:eastAsia="Calibri" w:hAnsi="Calibri"/>
                <w:sz w:val="14"/>
                <w:szCs w:val="14"/>
                <w:b w:val="1"/>
                <w:bCs w:val="1"/>
                <w:color w:val="FFFFFF"/>
              </w:rPr>
              <w:t>Payments due by period</w:t>
            </w: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7280" w:type="dxa"/>
            <w:vAlign w:val="bottom"/>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Less than</w:t>
            </w:r>
          </w:p>
        </w:tc>
        <w:tc>
          <w:tcPr>
            <w:tcW w:w="38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More than</w:t>
            </w:r>
          </w:p>
        </w:tc>
        <w:tc>
          <w:tcPr>
            <w:tcW w:w="420" w:type="dxa"/>
            <w:vAlign w:val="bottom"/>
            <w:shd w:val="clear" w:color="auto" w:fill="004054"/>
          </w:tcPr>
          <w:p>
            <w:pPr>
              <w:spacing w:after="0"/>
              <w:rPr>
                <w:sz w:val="20"/>
                <w:szCs w:val="20"/>
                <w:color w:val="auto"/>
              </w:rPr>
            </w:pPr>
          </w:p>
        </w:tc>
        <w:tc>
          <w:tcPr>
            <w:tcW w:w="9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r>
      <w:tr>
        <w:trPr>
          <w:trHeight w:val="229"/>
        </w:trPr>
        <w:tc>
          <w:tcPr>
            <w:tcW w:w="728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millions)</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380" w:type="dxa"/>
            <w:vAlign w:val="bottom"/>
            <w:tcBorders>
              <w:bottom w:val="single" w:sz="8" w:color="004054"/>
            </w:tcBorders>
            <w:shd w:val="clear" w:color="auto" w:fill="004054"/>
          </w:tcPr>
          <w:p>
            <w:pPr>
              <w:spacing w:after="0"/>
              <w:rPr>
                <w:sz w:val="19"/>
                <w:szCs w:val="19"/>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r>
              <w:rPr>
                <w:rFonts w:ascii="Calibri" w:cs="Calibri" w:eastAsia="Calibri" w:hAnsi="Calibri"/>
                <w:sz w:val="18"/>
                <w:szCs w:val="18"/>
                <w:b w:val="1"/>
                <w:bCs w:val="1"/>
                <w:color w:val="FFFFFF"/>
                <w:vertAlign w:val="superscript"/>
              </w:rPr>
              <w:t>(1)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Recorded contractual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Debt</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23.9</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1,053.9</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1,077.8</w:t>
            </w:r>
          </w:p>
        </w:tc>
        <w:tc>
          <w:tcPr>
            <w:tcW w:w="20" w:type="dxa"/>
            <w:vAlign w:val="bottom"/>
          </w:tcPr>
          <w:p>
            <w:pPr>
              <w:spacing w:after="0"/>
              <w:rPr>
                <w:sz w:val="19"/>
                <w:szCs w:val="19"/>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6.3</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39.1</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45.4</w:t>
            </w:r>
          </w:p>
        </w:tc>
        <w:tc>
          <w:tcPr>
            <w:tcW w:w="20" w:type="dxa"/>
            <w:vAlign w:val="bottom"/>
          </w:tcPr>
          <w:p>
            <w:pPr>
              <w:spacing w:after="0"/>
              <w:rPr>
                <w:sz w:val="21"/>
                <w:szCs w:val="21"/>
                <w:color w:val="auto"/>
              </w:rPr>
            </w:pPr>
          </w:p>
        </w:tc>
      </w:tr>
      <w:tr>
        <w:trPr>
          <w:trHeight w:val="219"/>
        </w:trPr>
        <w:tc>
          <w:tcPr>
            <w:tcW w:w="7280" w:type="dxa"/>
            <w:vAlign w:val="bottom"/>
          </w:tcPr>
          <w:p>
            <w:pPr>
              <w:ind w:left="20"/>
              <w:spacing w:after="0"/>
              <w:rPr>
                <w:sz w:val="20"/>
                <w:szCs w:val="20"/>
                <w:color w:val="auto"/>
              </w:rPr>
            </w:pPr>
            <w:r>
              <w:rPr>
                <w:rFonts w:ascii="Calibri" w:cs="Calibri" w:eastAsia="Calibri" w:hAnsi="Calibri"/>
                <w:sz w:val="18"/>
                <w:szCs w:val="18"/>
                <w:b w:val="1"/>
                <w:bCs w:val="1"/>
                <w:color w:val="51555C"/>
              </w:rPr>
              <w:t>Unrecorded contractual obligatons: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Purchase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78.5</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106.0</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184.4</w:t>
            </w:r>
          </w:p>
        </w:tc>
        <w:tc>
          <w:tcPr>
            <w:tcW w:w="20" w:type="dxa"/>
            <w:vAlign w:val="bottom"/>
          </w:tcPr>
          <w:p>
            <w:pPr>
              <w:spacing w:after="0"/>
              <w:rPr>
                <w:sz w:val="21"/>
                <w:szCs w:val="2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Interest payments on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60.1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213.3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273.4</w:t>
            </w:r>
          </w:p>
        </w:tc>
        <w:tc>
          <w:tcPr>
            <w:tcW w:w="20" w:type="dxa"/>
            <w:vAlign w:val="bottom"/>
          </w:tcPr>
          <w:p>
            <w:pPr>
              <w:spacing w:after="0"/>
              <w:rPr>
                <w:sz w:val="19"/>
                <w:szCs w:val="19"/>
                <w:color w:val="auto"/>
              </w:rPr>
            </w:pPr>
          </w:p>
        </w:tc>
      </w:tr>
      <w:tr>
        <w:trPr>
          <w:trHeight w:val="50"/>
        </w:trPr>
        <w:tc>
          <w:tcPr>
            <w:tcW w:w="728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tcBorders>
              <w:bottom w:val="single" w:sz="8" w:color="0CD973"/>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Total contractual obligatons</w:t>
            </w:r>
            <w:r>
              <w:rPr>
                <w:rFonts w:ascii="Calibri" w:cs="Calibri" w:eastAsia="Calibri" w:hAnsi="Calibri"/>
                <w:sz w:val="23"/>
                <w:szCs w:val="23"/>
                <w:b w:val="1"/>
                <w:bCs w:val="1"/>
                <w:color w:val="51555C"/>
                <w:vertAlign w:val="superscript"/>
              </w:rPr>
              <w:t>(1)</w:t>
            </w:r>
          </w:p>
        </w:tc>
        <w:tc>
          <w:tcPr>
            <w:tcW w:w="420" w:type="dxa"/>
            <w:vAlign w:val="bottom"/>
            <w:tcBorders>
              <w:bottom w:val="single" w:sz="8" w:color="0CD973"/>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168.7</w:t>
            </w:r>
          </w:p>
        </w:tc>
        <w:tc>
          <w:tcPr>
            <w:tcW w:w="38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1,412.3</w:t>
            </w:r>
          </w:p>
        </w:tc>
        <w:tc>
          <w:tcPr>
            <w:tcW w:w="420" w:type="dxa"/>
            <w:vAlign w:val="bottom"/>
            <w:tcBorders>
              <w:bottom w:val="single" w:sz="8" w:color="0CD973"/>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1,581.0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-1516380</wp:posOffset>
            </wp:positionV>
            <wp:extent cx="25285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44"/>
        </w:numPr>
        <w:rPr>
          <w:rFonts w:ascii="Calibri" w:cs="Calibri" w:eastAsia="Calibri" w:hAnsi="Calibri"/>
          <w:sz w:val="14"/>
          <w:szCs w:val="14"/>
          <w:color w:val="51555C"/>
        </w:rPr>
      </w:pPr>
      <w:r>
        <w:rPr>
          <w:rFonts w:ascii="Calibri" w:cs="Calibri" w:eastAsia="Calibri" w:hAnsi="Calibri"/>
          <w:sz w:val="14"/>
          <w:szCs w:val="14"/>
          <w:color w:val="51555C"/>
        </w:rPr>
        <w:t>The individual amounts may not sum to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226695</wp:posOffset>
            </wp:positionV>
            <wp:extent cx="7289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total remaining principal payments of $1.1 billion. These payments represent principal payments only, under the following assumptons: (i) that the amounts outstanding under the 2024 Credit Facilites, our real estate loans and our other debt at December 31, 2024 will remain outstanding untl maturity, with minimum payments occurring as currently scheduled, and (ii) that there are no assumed future borrowings on the 2024 Revolving Facility for the purposes of determining minimum commitment amounts. See Note 9 to our consolidated fnancial statements in this report for more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Interest payments on 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to principal payments, as of December 31, 2024, we expect to pay interest expense over the life of our debt obligatons of approximately $273.4 million. These payments represent our estmated future interest payments on debt using our debt balances and the related weighted average efectve interest rates as of December 31, 2024, which includes the efect of interest rate swap agreements. The actual interest expense recognized in our consolidated statements of comprehensive loss will depend on the amount of debt, the length of tme the debt is outstanding and the interest rate, which could be diferent from our assumptons on our remaining principal payments described above.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Operatng leases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remaining operatng lease payments of $45.4 million. These payments have not been reduced by sublease income, incentve payments, reimbursement of leasehold improvements or the amount representng imputed interest of $6.7 million. Our operatng leases are generally for corporate ofces, subleased ofces and certain equipment and furniture. Given our remote-frst workforce strategy and real estate footprint optmizaton eforts, as discussed above, we do not antcipate entering any new, material operatng leases for ofces for the foreseeable future. See Note 11 to our consolidated fnancial statements in this report for more informaton.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February 2025, we made a one-tme cash release payment of $28 million to the lessor in connecton with a release from our lease for ofce space in Washington, DC (which was acquired as part of our acquisiton of EVERFI in December 2021). Due to our remote-frst workforce strategy, we had not used the ofce space since February 2023 and had subleased a porton of the space.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Purchase obligatons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2024, we had remaining purchase obligatons of $184.4 million. These purchase obligatons are for third-party technology used in our solutons and for other services we purchase as part of our normal operatons. In certain cases, these arrangements require a minimum annual purchase commitment by us. Our purchase obligatons are not recorded as liabilites on our consolidated balance sheets as of December 31, 2024, as we had not received the related services. See Note 11 to our consolidated fnancial statements in this report for more informaton.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total liability for uncertain tax positons as of December 31, 2024 was $5.2 million. Our accrued interest and penaltes related to tax positons taken on our tax returns was $0.9 million as of December 31, 2024.</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setlement of the mult-state Atorneys General investgaton, the California Atorney General investgaton and the FTC investgaton relatng to the Security Incident, as discussed in Note 11 to our consolidated fnancial statements in this report, we have agreed to implement and improve certain of our cybersecurity programs and tools through May 2044. The currently antcipated costs in connecton with these eforts are expected to be expensed as incurred.</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58</w:t>
      </w:r>
      <w:r>
        <w:rPr>
          <w:sz w:val="20"/>
          <w:szCs w:val="20"/>
          <w:color w:val="auto"/>
        </w:rPr>
        <w:tab/>
      </w:r>
      <w:r>
        <w:rPr>
          <w:sz w:val="1"/>
          <w:szCs w:val="1"/>
          <w:color w:val="auto"/>
        </w:rPr>
        <w:drawing>
          <wp:inline distT="0" distB="0" distL="0" distR="0">
            <wp:extent cx="728345" cy="18859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Approximately 14% of our total revenue for 2024 was generated from operatons outside the U.S. We do not have signifcant operatons in countries in which the economy is considered to be highly infatonary. Our consolidated fnancial statements are denominated in U.S. dollars and, accordingly, changes in the exchange rate between foreign currencies and the U.S. dollar will afect the translaton of our subsidiaries’ fnancial results into U.S. dollars for purposes of reportng our consolidated fnancial results. The accumulated currency translaton adjustment, recorded within accumulated other comprehensive loss as a component of stockholders’ equity, was a loss of $12.7 million as of December 31, 2024 and a loss of $9.8 million as of December 31, 2023. We have entered into foreign currency forward contracts to hedge a porton of the foreign currency exposure that arises on translaton of our investments denominated in Britsh Pounds into U.S. dollars.</w:t>
      </w:r>
    </w:p>
    <w:p>
      <w:pPr>
        <w:spacing w:after="0" w:line="168"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The vast majority of our contracts are entered into by our U.S. or U.K. enttes. The contracts entered into by the U.S. entty are almost always denominated in U.S. dollars or Canadian dollars, and contracts entered into by our U.K., Australian and Irish subsidiaries are generally denominated in Britsh Pounds, Australian dollars and Euros, respectvely. Historically, as the U.S. dollar weakened, foreign currency translaton resulted in an increase in our revenues and expenses denominated in non-U.S. currencies. Conversely, as the U.S. dollar strengthened, foreign currency translaton resulted in a decrease in our revenues and expenses denominated in non-U.S. currencies. During 2024, foreign translaton resulted in increases in our revenues and expenses denominated in non-U.S. currencies. Though we have exposure to fuctuatons in currency exchange rates, primarily those between the U.S. dollar and both the Britsh Pound and Canadian dollar, the impact has generally not been material to our consolidated results of operatons or fnancial positon. During 2024, the fuctuaton in foreign currency exchange rates increased our total revenue and our income from operatons by $3.0 million and $1.1 million, respectvely. We have entered into foreign currency forward contracts to hedge revenues denominated in the Canadian dollar against changes in the exchange rate with the U.S. dollar. We will contnue monitoring such exposure and take acton as appropriate. To determine the impacts on revenue (or income from operatons) from fuctuatons in currency exchange rates, current period revenues (or income from operatons) from enttes reportng in foreign currencies were translated into U.S. dollars using the comparable prior year period's weighted average foreign currency exchange rates. These impacts are non-GAAP fnancial informaton and are not in accordance with, or an alternatve to, informaton prepared in accordance with GAAP.</w:t>
      </w:r>
    </w:p>
    <w:p>
      <w:pPr>
        <w:spacing w:after="0" w:line="19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Critcal Accountng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discussion and analysis of fnancial conditon and results of operatons are based upon our consolidated fnancial statements, which have been prepared in accordance with accountng principles generally accepted in the United States ("GAAP"). The preparaton of these fnancial statements requires us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base our estmates on historical experience, current trends and various other assumptons that we believe to be reasonable under the circumstances, the results of which form the basis for making judgments about the carrying values of assets and liabilites that are not readily apparent from other sources. Actual results could materially difer from any of our estmates under diferent assumptons or conditons. Our signifcant accountng policies are discussed in Note 2 to our consolidated fnancial statements in this report. We believe the accountng estmates listed below are the most critcal to aid in fully understanding and evaluatng our reported fnancial results, and they require our most difcult, subjectve or complex judgments, resultng from the need to make estmates about the efect of maters that are inherently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231775</wp:posOffset>
            </wp:positionV>
            <wp:extent cx="7289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59</w:t>
            </w:r>
          </w:p>
        </w:tc>
      </w:tr>
      <w:tr>
        <w:trPr>
          <w:trHeight w:val="337"/>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Revenue Recogniton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right="20"/>
        <w:spacing w:after="0" w:line="245" w:lineRule="auto"/>
        <w:rPr>
          <w:sz w:val="20"/>
          <w:szCs w:val="20"/>
          <w:color w:val="auto"/>
        </w:rPr>
      </w:pPr>
      <w:r>
        <w:rPr>
          <w:rFonts w:ascii="Calibri" w:cs="Calibri" w:eastAsia="Calibri" w:hAnsi="Calibri"/>
          <w:sz w:val="14"/>
          <w:szCs w:val="14"/>
          <w:color w:val="51555C"/>
        </w:rPr>
        <w:t>See Note 2 to our consolidated fnancial statements in this report for a complete discussion of our revenue recogniton policies.</w:t>
      </w:r>
    </w:p>
    <w:p>
      <w:pPr>
        <w:spacing w:after="0" w:line="232" w:lineRule="exact"/>
        <w:rPr>
          <w:sz w:val="20"/>
          <w:szCs w:val="20"/>
          <w:color w:val="auto"/>
        </w:rPr>
      </w:pPr>
    </w:p>
    <w:p>
      <w:pPr>
        <w:ind w:left="20"/>
        <w:spacing w:after="0" w:line="246" w:lineRule="auto"/>
        <w:rPr>
          <w:sz w:val="20"/>
          <w:szCs w:val="20"/>
          <w:color w:val="auto"/>
        </w:rPr>
      </w:pPr>
      <w:r>
        <w:rPr>
          <w:rFonts w:ascii="Calibri" w:cs="Calibri" w:eastAsia="Calibri" w:hAnsi="Calibri"/>
          <w:sz w:val="14"/>
          <w:szCs w:val="14"/>
          <w:color w:val="51555C"/>
        </w:rPr>
        <w:t>Revenues are recognized when control of our services is transferred to our customers, in an amount that refects the consideraton we expect to be enttled to in exchange for those services.</w:t>
      </w:r>
    </w:p>
    <w:p>
      <w:pPr>
        <w:spacing w:after="0" w:line="244" w:lineRule="exact"/>
        <w:rPr>
          <w:sz w:val="20"/>
          <w:szCs w:val="20"/>
          <w:color w:val="auto"/>
        </w:rPr>
      </w:pPr>
    </w:p>
    <w:p>
      <w:pPr>
        <w:ind w:left="20" w:right="160"/>
        <w:spacing w:after="0" w:line="233" w:lineRule="auto"/>
        <w:rPr>
          <w:sz w:val="20"/>
          <w:szCs w:val="20"/>
          <w:color w:val="auto"/>
        </w:rPr>
      </w:pPr>
      <w:r>
        <w:rPr>
          <w:rFonts w:ascii="Calibri" w:cs="Calibri" w:eastAsia="Calibri" w:hAnsi="Calibri"/>
          <w:sz w:val="14"/>
          <w:szCs w:val="14"/>
          <w:color w:val="51555C"/>
        </w:rPr>
        <w:t>We determine revenue recogniton through the following steps:</w:t>
      </w:r>
    </w:p>
    <w:p>
      <w:pPr>
        <w:spacing w:after="0" w:line="249" w:lineRule="exact"/>
        <w:rPr>
          <w:sz w:val="20"/>
          <w:szCs w:val="20"/>
          <w:color w:val="auto"/>
        </w:rPr>
      </w:pPr>
    </w:p>
    <w:p>
      <w:pPr>
        <w:ind w:left="20" w:right="440" w:firstLine="6"/>
        <w:spacing w:after="0" w:line="245" w:lineRule="auto"/>
        <w:tabs>
          <w:tab w:leader="none" w:pos="213"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Identfcaton of the contract, or contracts, with a customer;</w:t>
      </w:r>
    </w:p>
    <w:p>
      <w:pPr>
        <w:spacing w:after="0" w:line="245" w:lineRule="exact"/>
        <w:rPr>
          <w:rFonts w:ascii="Calibri" w:cs="Calibri" w:eastAsia="Calibri" w:hAnsi="Calibri"/>
          <w:sz w:val="14"/>
          <w:szCs w:val="14"/>
          <w:color w:val="51555C"/>
        </w:rPr>
      </w:pPr>
    </w:p>
    <w:p>
      <w:pPr>
        <w:ind w:left="20" w:right="320" w:firstLine="6"/>
        <w:spacing w:after="0" w:line="245" w:lineRule="auto"/>
        <w:tabs>
          <w:tab w:leader="none" w:pos="213"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Identfcaton of the performance obligatons in the contract;</w:t>
      </w:r>
    </w:p>
    <w:p>
      <w:pPr>
        <w:spacing w:after="0" w:line="230" w:lineRule="exact"/>
        <w:rPr>
          <w:rFonts w:ascii="Calibri" w:cs="Calibri" w:eastAsia="Calibri" w:hAnsi="Calibri"/>
          <w:sz w:val="14"/>
          <w:szCs w:val="14"/>
          <w:color w:val="51555C"/>
        </w:rPr>
      </w:pPr>
    </w:p>
    <w:p>
      <w:pPr>
        <w:ind w:left="220" w:hanging="194"/>
        <w:spacing w:after="0"/>
        <w:tabs>
          <w:tab w:leader="none" w:pos="220"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Determinaton of the transacton price;</w:t>
      </w:r>
    </w:p>
    <w:p>
      <w:pPr>
        <w:spacing w:after="0" w:line="248" w:lineRule="exact"/>
        <w:rPr>
          <w:rFonts w:ascii="Calibri" w:cs="Calibri" w:eastAsia="Calibri" w:hAnsi="Calibri"/>
          <w:sz w:val="14"/>
          <w:szCs w:val="14"/>
          <w:color w:val="51555C"/>
        </w:rPr>
      </w:pPr>
    </w:p>
    <w:p>
      <w:pPr>
        <w:ind w:left="20" w:right="160" w:firstLine="6"/>
        <w:spacing w:after="0" w:line="245" w:lineRule="auto"/>
        <w:tabs>
          <w:tab w:leader="none" w:pos="213"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Allocaton of the transacton price to the performance obligatons in the contract; and</w:t>
      </w:r>
    </w:p>
    <w:p>
      <w:pPr>
        <w:spacing w:after="0" w:line="245" w:lineRule="exact"/>
        <w:rPr>
          <w:rFonts w:ascii="Calibri" w:cs="Calibri" w:eastAsia="Calibri" w:hAnsi="Calibri"/>
          <w:sz w:val="14"/>
          <w:szCs w:val="14"/>
          <w:color w:val="51555C"/>
        </w:rPr>
      </w:pPr>
    </w:p>
    <w:p>
      <w:pPr>
        <w:ind w:left="20" w:right="500" w:firstLine="6"/>
        <w:spacing w:after="0" w:line="245" w:lineRule="auto"/>
        <w:tabs>
          <w:tab w:leader="none" w:pos="213"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Recogniton of revenue when, or as, we satsfy a performance obligaton.</w:t>
      </w:r>
    </w:p>
    <w:p>
      <w:pPr>
        <w:spacing w:after="0" w:line="151" w:lineRule="exact"/>
        <w:rPr>
          <w:sz w:val="20"/>
          <w:szCs w:val="20"/>
          <w:color w:val="auto"/>
        </w:rPr>
      </w:pPr>
    </w:p>
    <w:p>
      <w:pPr>
        <w:jc w:val="both"/>
        <w:ind w:left="20" w:right="8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recognize revenue during the year ended December 31, 2024.</w:t>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Calibri" w:cs="Calibri" w:eastAsia="Calibri" w:hAnsi="Calibri"/>
          <w:sz w:val="14"/>
          <w:szCs w:val="14"/>
          <w:color w:val="51555C"/>
        </w:rPr>
        <w:t>Our revenue recogniton accountng methodology may contain uncertaintes because it could require us to make signifcant estmates and assumptons, and to apply judgment for certain customer contracts.</w:t>
      </w:r>
    </w:p>
    <w:p>
      <w:pPr>
        <w:spacing w:after="0" w:line="169" w:lineRule="exact"/>
        <w:rPr>
          <w:sz w:val="20"/>
          <w:szCs w:val="20"/>
          <w:color w:val="auto"/>
        </w:rPr>
      </w:pPr>
    </w:p>
    <w:p>
      <w:pPr>
        <w:spacing w:after="0" w:line="243" w:lineRule="auto"/>
        <w:rPr>
          <w:sz w:val="20"/>
          <w:szCs w:val="20"/>
          <w:color w:val="auto"/>
        </w:rPr>
      </w:pPr>
      <w:r>
        <w:rPr>
          <w:rFonts w:ascii="Calibri" w:cs="Calibri" w:eastAsia="Calibri" w:hAnsi="Calibri"/>
          <w:sz w:val="14"/>
          <w:szCs w:val="14"/>
          <w:color w:val="51555C"/>
        </w:rPr>
        <w:t>For example, for certain arrangements that have multple performance obligatons, we may need to exercise judgment and use estmates in order to (1) determine whether performance obligatons are distnct and should be accounted for separately; (2) determine the standalone selling price of each performance obligaton; (3) allocate the transacton price among the various performance obligatons on a relatve standalone selling price basis; and (4) determine whether revenue for each performance obligaton should be recognized at a point in tme or over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1995170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Calibri" w:cs="Calibri" w:eastAsia="Calibri" w:hAnsi="Calibri"/>
          <w:sz w:val="14"/>
          <w:szCs w:val="14"/>
          <w:color w:val="51555C"/>
        </w:rPr>
        <w:t>If we were to change any of these judgments or estmates, it could cause a material increase or decrease in the amount of revenue or deferred revenue that we report in a partcular period.</w:t>
      </w:r>
    </w:p>
    <w:p>
      <w:pPr>
        <w:spacing w:after="0" w:line="5009" w:lineRule="exact"/>
        <w:rPr>
          <w:sz w:val="20"/>
          <w:szCs w:val="20"/>
          <w:color w:val="auto"/>
        </w:rPr>
      </w:pPr>
    </w:p>
    <w:p>
      <w:pPr>
        <w:sectPr>
          <w:pgSz w:w="11900" w:h="16838" w:orient="portrait"/>
          <w:cols w:equalWidth="0" w:num="3">
            <w:col w:w="3520" w:space="20"/>
            <w:col w:w="4040" w:space="80"/>
            <w:col w:w="3600"/>
          </w:cols>
          <w:pgMar w:left="320" w:top="111" w:right="319" w:bottom="1440" w:gutter="0" w:footer="0" w:header="0"/>
          <w:type w:val="continuous"/>
        </w:sectPr>
      </w:pPr>
    </w:p>
    <w:p>
      <w:pPr>
        <w:spacing w:after="0" w:line="25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60</w:t>
      </w:r>
      <w:r>
        <w:rPr>
          <w:sz w:val="20"/>
          <w:szCs w:val="20"/>
          <w:color w:val="auto"/>
        </w:rPr>
        <w:tab/>
      </w:r>
      <w:r>
        <w:rPr>
          <w:sz w:val="1"/>
          <w:szCs w:val="1"/>
          <w:color w:val="auto"/>
        </w:rPr>
        <w:drawing>
          <wp:inline distT="0" distB="0" distL="0" distR="0">
            <wp:extent cx="728345" cy="18859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Business Combinatons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spacing w:after="0" w:line="242" w:lineRule="auto"/>
        <w:rPr>
          <w:sz w:val="20"/>
          <w:szCs w:val="20"/>
          <w:color w:val="auto"/>
        </w:rPr>
      </w:pPr>
      <w:r>
        <w:rPr>
          <w:rFonts w:ascii="Calibri" w:cs="Calibri" w:eastAsia="Calibri" w:hAnsi="Calibri"/>
          <w:sz w:val="14"/>
          <w:szCs w:val="14"/>
          <w:color w:val="51555C"/>
        </w:rPr>
        <w:t>We allocate the purchase price of an acquired business to its identfable assets acquired and liabilites assumed at the acquisiton date based upon their estmated fair values. The excess of the purchase price over the amount allocated to the identfable assets acquired and liabilites assumed, if any, is recorded as goodwill.</w:t>
      </w:r>
    </w:p>
    <w:p>
      <w:pPr>
        <w:spacing w:after="0" w:line="248" w:lineRule="exact"/>
        <w:rPr>
          <w:sz w:val="20"/>
          <w:szCs w:val="20"/>
          <w:color w:val="auto"/>
        </w:rPr>
      </w:pPr>
    </w:p>
    <w:p>
      <w:pPr>
        <w:ind w:left="20"/>
        <w:spacing w:after="0"/>
        <w:rPr>
          <w:sz w:val="20"/>
          <w:szCs w:val="20"/>
          <w:color w:val="auto"/>
        </w:rPr>
      </w:pPr>
      <w:r>
        <w:rPr>
          <w:rFonts w:ascii="Calibri" w:cs="Calibri" w:eastAsia="Calibri" w:hAnsi="Calibri"/>
          <w:sz w:val="14"/>
          <w:szCs w:val="14"/>
          <w:color w:val="51555C"/>
        </w:rPr>
        <w:t>We use available informaton to estmate fair values. We typically engage outside appraisal frms to assist in the fair value determinaton of long-lived and identfable intangible assets, and any other signifcant assets or liabilites. We adjust the preliminary purchase price allocaton, as necessary, up to one year afer the acquisiton closing date as we obtain new informaton about facts and circumstances that existed as of the closing date.</w:t>
      </w:r>
    </w:p>
    <w:p>
      <w:pPr>
        <w:spacing w:after="0" w:line="172" w:lineRule="exact"/>
        <w:rPr>
          <w:sz w:val="20"/>
          <w:szCs w:val="20"/>
          <w:color w:val="auto"/>
        </w:rPr>
      </w:pPr>
    </w:p>
    <w:p>
      <w:pPr>
        <w:jc w:val="both"/>
        <w:ind w:left="20" w:right="6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for business combinatons during the year ended December 31, 2024.</w:t>
      </w:r>
    </w:p>
    <w:p>
      <w:pPr>
        <w:spacing w:after="0" w:line="20" w:lineRule="exact"/>
        <w:rPr>
          <w:sz w:val="20"/>
          <w:szCs w:val="20"/>
          <w:color w:val="auto"/>
        </w:rPr>
      </w:pPr>
      <w:r>
        <w:rPr>
          <w:sz w:val="20"/>
          <w:szCs w:val="20"/>
          <w:color w:val="auto"/>
        </w:rPr>
        <w:br w:type="column"/>
      </w:r>
    </w:p>
    <w:p>
      <w:pPr>
        <w:ind w:right="20"/>
        <w:spacing w:after="0" w:line="241" w:lineRule="auto"/>
        <w:rPr>
          <w:sz w:val="20"/>
          <w:szCs w:val="20"/>
          <w:color w:val="auto"/>
        </w:rPr>
      </w:pPr>
      <w:r>
        <w:rPr>
          <w:rFonts w:ascii="Calibri" w:cs="Calibri" w:eastAsia="Calibri" w:hAnsi="Calibri"/>
          <w:sz w:val="14"/>
          <w:szCs w:val="14"/>
          <w:color w:val="51555C"/>
        </w:rPr>
        <w:t>Our purchase price allocaton methodology contains uncertaintes because it requires us to make signifcant estmates and assumptons, and to apply judgment to estmate the fair value of assets acquired and liabilites assumed, especially with respect to long-lived and intangible assets.</w:t>
      </w:r>
    </w:p>
    <w:p>
      <w:pPr>
        <w:spacing w:after="0" w:line="248" w:lineRule="exact"/>
        <w:rPr>
          <w:sz w:val="20"/>
          <w:szCs w:val="20"/>
          <w:color w:val="auto"/>
        </w:rPr>
      </w:pPr>
    </w:p>
    <w:p>
      <w:pPr>
        <w:spacing w:after="0" w:line="241" w:lineRule="auto"/>
        <w:rPr>
          <w:sz w:val="20"/>
          <w:szCs w:val="20"/>
          <w:color w:val="auto"/>
        </w:rPr>
      </w:pPr>
      <w:r>
        <w:rPr>
          <w:rFonts w:ascii="Calibri" w:cs="Calibri" w:eastAsia="Calibri" w:hAnsi="Calibri"/>
          <w:sz w:val="14"/>
          <w:szCs w:val="14"/>
          <w:color w:val="51555C"/>
        </w:rPr>
        <w:t>Management estmates the fair value of assets acquired and liabilites assumed based on quoted market prices, the carrying value of the acquired assets and widely accepted valuaton techniques, including discounted cash fows, market multple analyses and replacement cost.</w:t>
      </w:r>
    </w:p>
    <w:p>
      <w:pPr>
        <w:spacing w:after="0" w:line="200" w:lineRule="exact"/>
        <w:rPr>
          <w:sz w:val="20"/>
          <w:szCs w:val="20"/>
          <w:color w:val="auto"/>
        </w:rPr>
      </w:pPr>
    </w:p>
    <w:p>
      <w:pPr>
        <w:spacing w:after="0" w:line="221" w:lineRule="exact"/>
        <w:rPr>
          <w:sz w:val="20"/>
          <w:szCs w:val="20"/>
          <w:color w:val="auto"/>
        </w:rPr>
      </w:pPr>
    </w:p>
    <w:p>
      <w:pPr>
        <w:spacing w:after="0" w:line="242" w:lineRule="auto"/>
        <w:rPr>
          <w:sz w:val="20"/>
          <w:szCs w:val="20"/>
          <w:color w:val="auto"/>
        </w:rPr>
      </w:pPr>
      <w:r>
        <w:rPr>
          <w:rFonts w:ascii="Calibri" w:cs="Calibri" w:eastAsia="Calibri" w:hAnsi="Calibri"/>
          <w:sz w:val="14"/>
          <w:szCs w:val="14"/>
          <w:color w:val="51555C"/>
        </w:rPr>
        <w:t>We apply signifcant judgement in estmatng the fair value of intangible assets acquired, which involves the use of signifcant assumptons. Signifcant assumptons used in the valuaton of customer relatonships include future revenue and operatng expenses, customer atriton rates, contributory asset charges, tax amortzaton beneft, and discount rates. Signifcant assumptons used in the valuaton of certain developed technology assets include future revenue, proprietary technology obsolescence curve, royalty rate, and discount rate. Signifcant assumptons used in the valuaton of marketng assets include assumptons about the period of tme the brand will contnue to be valuable, royalty rate, and discount rate. Signifcant assumptons used in the valuaton of content intangible assets include cost-based assumptons. Our estmates of fair value are based upon assumptons we believe to be reasonable, but which are inherently uncertain and unpredictable, and unantcipated events and changes in circumstances may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41275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3" w:lineRule="auto"/>
        <w:rPr>
          <w:sz w:val="20"/>
          <w:szCs w:val="20"/>
          <w:color w:val="auto"/>
        </w:rPr>
      </w:pPr>
      <w:r>
        <w:rPr>
          <w:rFonts w:ascii="Calibri" w:cs="Calibri" w:eastAsia="Calibri" w:hAnsi="Calibri"/>
          <w:sz w:val="14"/>
          <w:szCs w:val="14"/>
          <w:color w:val="51555C"/>
        </w:rPr>
        <w:t>If actual results are materially diferent than the assumptons we used to determine fair value of the assets acquired and liabilites assumed through a business combinaton as well as the estmated useful lives of the acquired intangible assets, it is possible that adjustments to the carrying values of such assets and liabilites will have a material impact on our fnancial positon and results of operatons.</w:t>
      </w:r>
    </w:p>
    <w:p>
      <w:pPr>
        <w:spacing w:after="0" w:line="200" w:lineRule="exact"/>
        <w:rPr>
          <w:sz w:val="20"/>
          <w:szCs w:val="20"/>
          <w:color w:val="auto"/>
        </w:rPr>
      </w:pPr>
    </w:p>
    <w:p>
      <w:pPr>
        <w:spacing w:after="0" w:line="208" w:lineRule="exact"/>
        <w:rPr>
          <w:sz w:val="20"/>
          <w:szCs w:val="20"/>
          <w:color w:val="auto"/>
        </w:rPr>
      </w:pPr>
    </w:p>
    <w:p>
      <w:pPr>
        <w:jc w:val="both"/>
        <w:ind w:right="180"/>
        <w:spacing w:after="0" w:line="245" w:lineRule="auto"/>
        <w:rPr>
          <w:sz w:val="20"/>
          <w:szCs w:val="20"/>
          <w:color w:val="auto"/>
        </w:rPr>
      </w:pPr>
      <w:r>
        <w:rPr>
          <w:rFonts w:ascii="Calibri" w:cs="Calibri" w:eastAsia="Calibri" w:hAnsi="Calibri"/>
          <w:sz w:val="14"/>
          <w:szCs w:val="14"/>
          <w:color w:val="51555C"/>
        </w:rPr>
        <w:t>See Note 3 to our consolidated fnancial statements in this report for informaton regarding our business acquisitons.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2222500</wp:posOffset>
            </wp:positionV>
            <wp:extent cx="7289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202" w:lineRule="exact"/>
        <w:rPr>
          <w:sz w:val="20"/>
          <w:szCs w:val="20"/>
          <w:color w:val="auto"/>
        </w:rPr>
      </w:pPr>
    </w:p>
    <w:p>
      <w:pPr>
        <w:sectPr>
          <w:pgSz w:w="11900" w:h="16838" w:orient="portrait"/>
          <w:cols w:equalWidth="0" w:num="3">
            <w:col w:w="3500" w:space="40"/>
            <w:col w:w="4080" w:space="40"/>
            <w:col w:w="3600"/>
          </w:cols>
          <w:pgMar w:left="320" w:top="111" w:right="319" w:bottom="1440" w:gutter="0" w:footer="0" w:header="0"/>
          <w:type w:val="continuous"/>
        </w:sect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right="160"/>
        <w:spacing w:after="0" w:line="239" w:lineRule="auto"/>
        <w:rPr>
          <w:sz w:val="20"/>
          <w:szCs w:val="20"/>
          <w:color w:val="auto"/>
        </w:rPr>
      </w:pPr>
      <w:r>
        <w:rPr>
          <w:rFonts w:ascii="Calibri" w:cs="Calibri" w:eastAsia="Calibri" w:hAnsi="Calibri"/>
          <w:sz w:val="14"/>
          <w:szCs w:val="14"/>
          <w:color w:val="51555C"/>
        </w:rPr>
        <w:t>We make estmates and judgments in accountng for income taxes. Our income tax returns, like those of most companies, are periodically audited by domestc and foreign tax authorites.</w:t>
      </w:r>
    </w:p>
    <w:p>
      <w:pPr>
        <w:spacing w:after="0" w:line="250" w:lineRule="exact"/>
        <w:rPr>
          <w:sz w:val="20"/>
          <w:szCs w:val="20"/>
          <w:color w:val="auto"/>
        </w:rPr>
      </w:pPr>
    </w:p>
    <w:p>
      <w:pPr>
        <w:ind w:left="20" w:right="40"/>
        <w:spacing w:after="0" w:line="242" w:lineRule="auto"/>
        <w:rPr>
          <w:sz w:val="20"/>
          <w:szCs w:val="20"/>
          <w:color w:val="auto"/>
        </w:rPr>
      </w:pPr>
      <w:r>
        <w:rPr>
          <w:rFonts w:ascii="Calibri" w:cs="Calibri" w:eastAsia="Calibri" w:hAnsi="Calibri"/>
          <w:sz w:val="14"/>
          <w:szCs w:val="14"/>
          <w:color w:val="51555C"/>
        </w:rPr>
        <w:t>We measure and recognize uncertain tax positons. To recognize uncertain tax positons, we must frst determine if it is more likely than not that the positon will be sustained upon audit. We must then measure the beneft as the largest amount that is more than 50% likely of being realized upon ultmate setlement.</w:t>
      </w:r>
    </w:p>
    <w:p>
      <w:pPr>
        <w:spacing w:after="0" w:line="249" w:lineRule="exact"/>
        <w:rPr>
          <w:sz w:val="20"/>
          <w:szCs w:val="20"/>
          <w:color w:val="auto"/>
        </w:rPr>
      </w:pPr>
    </w:p>
    <w:p>
      <w:pPr>
        <w:ind w:left="20"/>
        <w:spacing w:after="0" w:line="241" w:lineRule="auto"/>
        <w:rPr>
          <w:sz w:val="20"/>
          <w:szCs w:val="20"/>
          <w:color w:val="auto"/>
        </w:rPr>
      </w:pPr>
      <w:r>
        <w:rPr>
          <w:rFonts w:ascii="Calibri" w:cs="Calibri" w:eastAsia="Calibri" w:hAnsi="Calibri"/>
          <w:sz w:val="14"/>
          <w:szCs w:val="14"/>
          <w:color w:val="51555C"/>
        </w:rPr>
        <w:t>We make estmates in determining tax assets and liabilites, which arise from diferences in the tming of recogniton of revenue and expense for tax and fnancial reportng purposes. We record valuaton allowances to reduce our deferred tax assets to the amount expected to be realized.</w:t>
      </w:r>
    </w:p>
    <w:p>
      <w:pPr>
        <w:spacing w:after="0" w:line="168" w:lineRule="exact"/>
        <w:rPr>
          <w:sz w:val="20"/>
          <w:szCs w:val="20"/>
          <w:color w:val="auto"/>
        </w:rPr>
      </w:pPr>
    </w:p>
    <w:p>
      <w:pPr>
        <w:jc w:val="both"/>
        <w:ind w:left="20" w:right="4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income tax during the year ended December 31, 2024.</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Calibri" w:cs="Calibri" w:eastAsia="Calibri" w:hAnsi="Calibri"/>
          <w:sz w:val="14"/>
          <w:szCs w:val="14"/>
          <w:color w:val="51555C"/>
        </w:rPr>
        <w:t>The calculaton of our income tax provision requires estmates due to transactons, credits and calculatons where the ultmate tax determinaton is uncertain. Uncertaintes arise as a consequence of the actual source of taxable income between domestc and foreign locatons, the outcome of tax audits and the ultmate utlizaton of tax credits.</w:t>
      </w:r>
    </w:p>
    <w:p>
      <w:pPr>
        <w:spacing w:after="0" w:line="167"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Our efectve income tax rate is also afected by changes in the geographic distributon of our earnings or losses, changes in tax law in jurisdictons where we conduct business.</w:t>
      </w:r>
    </w:p>
    <w:p>
      <w:pPr>
        <w:spacing w:after="0" w:line="169" w:lineRule="exact"/>
        <w:rPr>
          <w:sz w:val="20"/>
          <w:szCs w:val="20"/>
          <w:color w:val="auto"/>
        </w:rPr>
      </w:pPr>
    </w:p>
    <w:p>
      <w:pPr>
        <w:ind w:right="40"/>
        <w:spacing w:after="0" w:line="241" w:lineRule="auto"/>
        <w:rPr>
          <w:sz w:val="20"/>
          <w:szCs w:val="20"/>
          <w:color w:val="auto"/>
        </w:rPr>
      </w:pPr>
      <w:r>
        <w:rPr>
          <w:rFonts w:ascii="Calibri" w:cs="Calibri" w:eastAsia="Calibri" w:hAnsi="Calibri"/>
          <w:sz w:val="14"/>
          <w:szCs w:val="14"/>
          <w:color w:val="51555C"/>
        </w:rPr>
        <w:t>Signifcant judgment is required in the identfcaton and measurement of uncertain tax positons. Our liability for unrecognized tax benefts contains uncertaintes because management is required to make assumptons and to apply judgment to estmate the exposures associated with our various fling positons.</w:t>
      </w:r>
    </w:p>
    <w:p>
      <w:pPr>
        <w:spacing w:after="0" w:line="168" w:lineRule="exact"/>
        <w:rPr>
          <w:sz w:val="20"/>
          <w:szCs w:val="20"/>
          <w:color w:val="auto"/>
        </w:rPr>
      </w:pPr>
    </w:p>
    <w:p>
      <w:pPr>
        <w:ind w:right="20"/>
        <w:spacing w:after="0" w:line="241" w:lineRule="auto"/>
        <w:rPr>
          <w:sz w:val="20"/>
          <w:szCs w:val="20"/>
          <w:color w:val="auto"/>
        </w:rPr>
      </w:pPr>
      <w:r>
        <w:rPr>
          <w:rFonts w:ascii="Calibri" w:cs="Calibri" w:eastAsia="Calibri" w:hAnsi="Calibri"/>
          <w:sz w:val="14"/>
          <w:szCs w:val="14"/>
          <w:color w:val="51555C"/>
        </w:rPr>
        <w:t>In assessing the adequacy of a recorded valuaton allowance signifcant judgment is required. We consider all positve and negatve evidence and a variety of factors including the scheduled reversal of deferred tax liabilites, historical and projected future taxable income, and prudent and feasible tax planning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38735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39" w:lineRule="auto"/>
        <w:rPr>
          <w:sz w:val="20"/>
          <w:szCs w:val="20"/>
          <w:color w:val="auto"/>
        </w:rPr>
      </w:pPr>
      <w:r>
        <w:rPr>
          <w:rFonts w:ascii="Calibri" w:cs="Calibri" w:eastAsia="Calibri" w:hAnsi="Calibri"/>
          <w:sz w:val="14"/>
          <w:szCs w:val="14"/>
          <w:color w:val="51555C"/>
        </w:rPr>
        <w:t>Although we believe that the judgments and estmates discussed herein are reasonable, actual results could difer, and we may be exposed to losses or gains that could be material.</w:t>
      </w:r>
    </w:p>
    <w:p>
      <w:pPr>
        <w:spacing w:after="0" w:line="169" w:lineRule="exact"/>
        <w:rPr>
          <w:sz w:val="20"/>
          <w:szCs w:val="20"/>
          <w:color w:val="auto"/>
        </w:rPr>
      </w:pPr>
    </w:p>
    <w:p>
      <w:pPr>
        <w:ind w:right="140"/>
        <w:spacing w:after="0" w:line="245" w:lineRule="auto"/>
        <w:rPr>
          <w:sz w:val="20"/>
          <w:szCs w:val="20"/>
          <w:color w:val="auto"/>
        </w:rPr>
      </w:pPr>
      <w:r>
        <w:rPr>
          <w:rFonts w:ascii="Calibri" w:cs="Calibri" w:eastAsia="Calibri" w:hAnsi="Calibri"/>
          <w:sz w:val="14"/>
          <w:szCs w:val="14"/>
          <w:color w:val="51555C"/>
        </w:rPr>
        <w:t>To the extent actual results difer from estmated amounts recorded, such diferences will impact the income tax provision in the period in which the determinaton is made.</w:t>
      </w:r>
    </w:p>
    <w:p>
      <w:pPr>
        <w:spacing w:after="0" w:line="165" w:lineRule="exact"/>
        <w:rPr>
          <w:sz w:val="20"/>
          <w:szCs w:val="20"/>
          <w:color w:val="auto"/>
        </w:rPr>
      </w:pPr>
    </w:p>
    <w:p>
      <w:pPr>
        <w:ind w:right="40"/>
        <w:spacing w:after="0" w:line="242" w:lineRule="auto"/>
        <w:rPr>
          <w:sz w:val="20"/>
          <w:szCs w:val="20"/>
          <w:color w:val="auto"/>
        </w:rPr>
      </w:pPr>
      <w:r>
        <w:rPr>
          <w:rFonts w:ascii="Calibri" w:cs="Calibri" w:eastAsia="Calibri" w:hAnsi="Calibri"/>
          <w:sz w:val="14"/>
          <w:szCs w:val="14"/>
          <w:color w:val="51555C"/>
        </w:rPr>
        <w:t>If we determine there is less than a 50% likelihood that we will be able to use a deferred tax asset in the future in excess of its net carrying value, then an adjustment to the deferred tax asset valuaton allowance is made to increase income tax expense, thereby reducing net income in the period such determinaton was made.</w:t>
      </w:r>
    </w:p>
    <w:p>
      <w:pPr>
        <w:spacing w:after="0" w:line="1390" w:lineRule="exact"/>
        <w:rPr>
          <w:sz w:val="20"/>
          <w:szCs w:val="20"/>
          <w:color w:val="auto"/>
        </w:rPr>
      </w:pPr>
    </w:p>
    <w:p>
      <w:pPr>
        <w:sectPr>
          <w:pgSz w:w="11900" w:h="16838" w:orient="portrait"/>
          <w:cols w:equalWidth="0" w:num="3">
            <w:col w:w="3480" w:space="60"/>
            <w:col w:w="4100" w:space="20"/>
            <w:col w:w="3600"/>
          </w:cols>
          <w:pgMar w:left="320" w:top="111" w:right="31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Long-lived Assets and Intangible Assets Other Than Goodwill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shd w:val="clear" w:color="auto" w:fill="004054"/>
          </w:tcPr>
          <w:p>
            <w:pPr>
              <w:spacing w:after="0"/>
              <w:rPr>
                <w:sz w:val="15"/>
                <w:szCs w:val="15"/>
                <w:color w:val="auto"/>
              </w:rPr>
            </w:pPr>
          </w:p>
        </w:tc>
        <w:tc>
          <w:tcPr>
            <w:tcW w:w="4110" w:type="dxa"/>
            <w:vAlign w:val="bottom"/>
            <w:shd w:val="clear" w:color="auto" w:fill="004054"/>
          </w:tcPr>
          <w:p>
            <w:pPr>
              <w:spacing w:after="0"/>
              <w:rPr>
                <w:sz w:val="15"/>
                <w:szCs w:val="15"/>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83"/>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type w:val="continuous"/>
        </w:sectPr>
      </w:pPr>
    </w:p>
    <w:p>
      <w:pPr>
        <w:ind w:left="20"/>
        <w:spacing w:after="0" w:line="242" w:lineRule="auto"/>
        <w:rPr>
          <w:sz w:val="20"/>
          <w:szCs w:val="20"/>
          <w:color w:val="auto"/>
        </w:rPr>
      </w:pPr>
      <w:r>
        <w:rPr>
          <w:rFonts w:ascii="Calibri" w:cs="Calibri" w:eastAsia="Calibri" w:hAnsi="Calibri"/>
          <w:sz w:val="14"/>
          <w:szCs w:val="14"/>
          <w:color w:val="51555C"/>
        </w:rPr>
        <w:t>We review our long-lived assets and intangible assets other than goodwill for impairment when events or changes in circumstances indicate the carrying amount may not be recoverable. If such events or changes in circumstances occur, we use the undiscounted cash fow method to determine whether our long-lived and intangible assets other than goodwill are impaired. To the extent that the carrying value of the asset or asset group exceeds the undiscounted cash fows over the estmated remaining life of the asset, we measure the impairment using discounted cash fows.</w:t>
      </w:r>
    </w:p>
    <w:p>
      <w:pPr>
        <w:spacing w:after="0" w:line="156" w:lineRule="exact"/>
        <w:rPr>
          <w:sz w:val="20"/>
          <w:szCs w:val="20"/>
          <w:color w:val="auto"/>
        </w:rPr>
      </w:pPr>
    </w:p>
    <w:p>
      <w:pPr>
        <w:jc w:val="both"/>
        <w:ind w:left="20" w:right="4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impairment loss during the year ended December 31, 2024.</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Calibri" w:cs="Calibri" w:eastAsia="Calibri" w:hAnsi="Calibri"/>
          <w:sz w:val="14"/>
          <w:szCs w:val="14"/>
          <w:color w:val="51555C"/>
        </w:rPr>
        <w:t>In estmatng future cash fows, assets are grouped at the lowest level for which there is identfable cash fows that are largely independent of cash fows from other asset groups.</w:t>
      </w:r>
    </w:p>
    <w:p>
      <w:pPr>
        <w:spacing w:after="0" w:line="168" w:lineRule="exact"/>
        <w:rPr>
          <w:sz w:val="20"/>
          <w:szCs w:val="20"/>
          <w:color w:val="auto"/>
        </w:rPr>
      </w:pPr>
    </w:p>
    <w:p>
      <w:pPr>
        <w:ind w:right="80"/>
        <w:spacing w:after="0" w:line="242" w:lineRule="auto"/>
        <w:rPr>
          <w:sz w:val="20"/>
          <w:szCs w:val="20"/>
          <w:color w:val="auto"/>
        </w:rPr>
      </w:pPr>
      <w:r>
        <w:rPr>
          <w:rFonts w:ascii="Calibri" w:cs="Calibri" w:eastAsia="Calibri" w:hAnsi="Calibri"/>
          <w:sz w:val="14"/>
          <w:szCs w:val="14"/>
          <w:color w:val="51555C"/>
        </w:rPr>
        <w:t>When measuring impairment of an asset or asset group using discounted cash fows, we make assumptons and apply judgment in estmatng future cash fows and asset or asset group fair values, including annual revenue growth rates, a terminal year growth rate and selectng a discount rate that refects the risk inherent in future cash fows.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587375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20"/>
        <w:spacing w:after="0" w:line="242" w:lineRule="auto"/>
        <w:rPr>
          <w:sz w:val="20"/>
          <w:szCs w:val="20"/>
          <w:color w:val="auto"/>
        </w:rPr>
      </w:pPr>
      <w:r>
        <w:rPr>
          <w:rFonts w:ascii="Calibri" w:cs="Calibri" w:eastAsia="Calibri" w:hAnsi="Calibri"/>
          <w:sz w:val="14"/>
          <w:szCs w:val="14"/>
          <w:color w:val="51555C"/>
        </w:rPr>
        <w:t>During 2024, we recorded material noncash impairment charges against our EVERFI asset group, which primarily included fnite-lived intangible assets and capitalized sofware and content development costs. For additonal informaton, see Note 4 to our consolidated fnancial statements in this report.</w:t>
      </w:r>
    </w:p>
    <w:p>
      <w:pPr>
        <w:spacing w:after="0" w:line="154" w:lineRule="exact"/>
        <w:rPr>
          <w:sz w:val="20"/>
          <w:szCs w:val="20"/>
          <w:color w:val="auto"/>
        </w:rPr>
      </w:pPr>
    </w:p>
    <w:p>
      <w:pPr>
        <w:ind w:right="40"/>
        <w:spacing w:after="0" w:line="243" w:lineRule="auto"/>
        <w:rPr>
          <w:sz w:val="20"/>
          <w:szCs w:val="20"/>
          <w:color w:val="auto"/>
        </w:rPr>
      </w:pPr>
      <w:r>
        <w:rPr>
          <w:rFonts w:ascii="Calibri" w:cs="Calibri" w:eastAsia="Calibri" w:hAnsi="Calibri"/>
          <w:sz w:val="14"/>
          <w:szCs w:val="14"/>
          <w:color w:val="51555C"/>
        </w:rPr>
        <w:t>We do not believe there is a reasonable likelihood that there will be a material change in the future estmates or assumptons we use to assess impairment losses. However, if actual results are not consistent with our estmates or assumptons, we may be exposed to an impairment charge that could materially adversely impact our consolidated fnancial positon and results of operatons.</w:t>
      </w:r>
    </w:p>
    <w:p>
      <w:pPr>
        <w:spacing w:after="0" w:line="214" w:lineRule="exact"/>
        <w:rPr>
          <w:sz w:val="20"/>
          <w:szCs w:val="20"/>
          <w:color w:val="auto"/>
        </w:rPr>
      </w:pPr>
    </w:p>
    <w:p>
      <w:pPr>
        <w:sectPr>
          <w:pgSz w:w="11900" w:h="16838" w:orient="portrait"/>
          <w:cols w:equalWidth="0" w:num="3">
            <w:col w:w="3480" w:space="60"/>
            <w:col w:w="4060" w:space="60"/>
            <w:col w:w="3600"/>
          </w:cols>
          <w:pgMar w:left="320" w:top="111" w:right="319" w:bottom="1440" w:gutter="0" w:footer="0" w:header="0"/>
          <w:type w:val="continuous"/>
        </w:sectPr>
      </w:pPr>
    </w:p>
    <w:p>
      <w:pPr>
        <w:spacing w:after="0" w:line="25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62</w:t>
      </w:r>
      <w:r>
        <w:rPr>
          <w:sz w:val="20"/>
          <w:szCs w:val="20"/>
          <w:color w:val="auto"/>
        </w:rPr>
        <w:tab/>
      </w:r>
      <w:r>
        <w:rPr>
          <w:sz w:val="1"/>
          <w:szCs w:val="1"/>
          <w:color w:val="auto"/>
        </w:rPr>
        <w:drawing>
          <wp:inline distT="0" distB="0" distL="0" distR="0">
            <wp:extent cx="728345" cy="18859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Loss Contngencies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spacing w:after="0" w:line="242" w:lineRule="auto"/>
        <w:rPr>
          <w:sz w:val="20"/>
          <w:szCs w:val="20"/>
          <w:color w:val="auto"/>
        </w:rPr>
      </w:pPr>
      <w:r>
        <w:rPr>
          <w:rFonts w:ascii="Calibri" w:cs="Calibri" w:eastAsia="Calibri" w:hAnsi="Calibri"/>
          <w:sz w:val="14"/>
          <w:szCs w:val="14"/>
          <w:color w:val="51555C"/>
        </w:rPr>
        <w:t>We are subject to the possibility of various loss contngencies, including legal proceedings and claims, that arise in the normal course of business, as well as certain other non-ordinary course proceedings, claims and investgatons, as described in Note 11 to the consolidated fnancial statements in this report. We record an accrual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w:t>
      </w:r>
    </w:p>
    <w:p>
      <w:pPr>
        <w:spacing w:after="0" w:line="340" w:lineRule="exact"/>
        <w:rPr>
          <w:sz w:val="20"/>
          <w:szCs w:val="20"/>
          <w:color w:val="auto"/>
        </w:rPr>
      </w:pPr>
    </w:p>
    <w:p>
      <w:pPr>
        <w:ind w:left="20" w:right="6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loss contngencies during the year ended December 31, 2024.</w:t>
      </w:r>
    </w:p>
    <w:p>
      <w:pPr>
        <w:spacing w:after="0" w:line="20" w:lineRule="exact"/>
        <w:rPr>
          <w:sz w:val="20"/>
          <w:szCs w:val="20"/>
          <w:color w:val="auto"/>
        </w:rPr>
      </w:pPr>
      <w:r>
        <w:rPr>
          <w:sz w:val="20"/>
          <w:szCs w:val="20"/>
          <w:color w:val="auto"/>
        </w:rPr>
        <w:br w:type="column"/>
      </w:r>
    </w:p>
    <w:p>
      <w:pPr>
        <w:ind w:right="120"/>
        <w:spacing w:after="0" w:line="239" w:lineRule="auto"/>
        <w:rPr>
          <w:sz w:val="20"/>
          <w:szCs w:val="20"/>
          <w:color w:val="auto"/>
        </w:rPr>
      </w:pPr>
      <w:r>
        <w:rPr>
          <w:rFonts w:ascii="Calibri" w:cs="Calibri" w:eastAsia="Calibri" w:hAnsi="Calibri"/>
          <w:sz w:val="14"/>
          <w:szCs w:val="14"/>
          <w:color w:val="51555C"/>
        </w:rPr>
        <w:t>We review any such loss contngency accruals at least quarterly and adjust them to refect the impacts of negotatons, setlements, rulings, advice of legal counsel and other informaton and events pertaining to a partcular case.</w:t>
      </w:r>
    </w:p>
    <w:p>
      <w:pPr>
        <w:spacing w:after="0" w:line="250" w:lineRule="exact"/>
        <w:rPr>
          <w:sz w:val="20"/>
          <w:szCs w:val="20"/>
          <w:color w:val="auto"/>
        </w:rPr>
      </w:pPr>
    </w:p>
    <w:p>
      <w:pPr>
        <w:spacing w:after="0" w:line="241" w:lineRule="auto"/>
        <w:rPr>
          <w:sz w:val="20"/>
          <w:szCs w:val="20"/>
          <w:color w:val="auto"/>
        </w:rPr>
      </w:pPr>
      <w:r>
        <w:rPr>
          <w:rFonts w:ascii="Calibri" w:cs="Calibri" w:eastAsia="Calibri" w:hAnsi="Calibri"/>
          <w:sz w:val="14"/>
          <w:szCs w:val="14"/>
          <w:color w:val="51555C"/>
        </w:rPr>
        <w:t>Ofen these issues are subject to substantal uncertaintes and, therefore, the probability of loss and the estmaton of damages are difcult to ascertain. These assessments can involve a series of complex judgments about future events and can rely heavily on estmates and assumptons that have been deemed reasonable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1418590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00"/>
        <w:spacing w:after="0" w:line="243" w:lineRule="auto"/>
        <w:rPr>
          <w:sz w:val="20"/>
          <w:szCs w:val="20"/>
          <w:color w:val="auto"/>
        </w:rPr>
      </w:pPr>
      <w:r>
        <w:rPr>
          <w:rFonts w:ascii="Calibri" w:cs="Calibri" w:eastAsia="Calibri" w:hAnsi="Calibri"/>
          <w:sz w:val="14"/>
          <w:szCs w:val="14"/>
          <w:color w:val="51555C"/>
        </w:rPr>
        <w:t>With the excepton of the 2020 Security Incident, we do not believe there is a reasonable likelihood that there will be a material change in the future estmates or assumptons we use to determine loss contngencies. However, if facts and circumstances change in the future that change our belief regarding assumptons used to determine our estmates, we may be exposed to losses that could be material.</w:t>
      </w:r>
    </w:p>
    <w:p>
      <w:pPr>
        <w:spacing w:after="0" w:line="166" w:lineRule="exact"/>
        <w:rPr>
          <w:sz w:val="20"/>
          <w:szCs w:val="20"/>
          <w:color w:val="auto"/>
        </w:rPr>
      </w:pPr>
    </w:p>
    <w:p>
      <w:pPr>
        <w:ind w:right="80"/>
        <w:spacing w:after="0" w:line="239" w:lineRule="auto"/>
        <w:rPr>
          <w:sz w:val="20"/>
          <w:szCs w:val="20"/>
          <w:color w:val="auto"/>
        </w:rPr>
      </w:pPr>
      <w:r>
        <w:rPr>
          <w:rFonts w:ascii="Calibri" w:cs="Calibri" w:eastAsia="Calibri" w:hAnsi="Calibri"/>
          <w:sz w:val="14"/>
          <w:szCs w:val="14"/>
          <w:color w:val="51555C"/>
        </w:rPr>
        <w:t>Although we believe we have substantal defenses in these maters, we could incur judgments or enter into setlements of claims that could have a material adverse efect on our consolidated fnancial positon, results of operatons or cash fows in any partcular period. For additonal informaton, see Note 11 to our consolidated fnancial statements in this report.</w:t>
      </w:r>
    </w:p>
    <w:p>
      <w:pPr>
        <w:spacing w:after="0" w:line="1435" w:lineRule="exact"/>
        <w:rPr>
          <w:sz w:val="20"/>
          <w:szCs w:val="20"/>
          <w:color w:val="auto"/>
        </w:rPr>
      </w:pPr>
    </w:p>
    <w:p>
      <w:pPr>
        <w:sectPr>
          <w:pgSz w:w="11900" w:h="16838" w:orient="portrait"/>
          <w:cols w:equalWidth="0" w:num="3">
            <w:col w:w="3500" w:space="40"/>
            <w:col w:w="4060" w:space="60"/>
            <w:col w:w="3600"/>
          </w:cols>
          <w:pgMar w:left="320" w:top="111" w:right="319" w:bottom="1440" w:gutter="0" w:footer="0" w:header="0"/>
          <w:type w:val="continuous"/>
        </w:sectPr>
      </w:pPr>
    </w:p>
    <w:p>
      <w:pPr>
        <w:spacing w:after="0" w:line="1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Recently Issued Accountng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For a discussion of the impact that recently issued accountng pronouncements are expected to have on our fnancial positon and results of operatons when adopted in the future, see Note 2 to our consolidated fnancial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229870</wp:posOffset>
            </wp:positionV>
            <wp:extent cx="7289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We have market rate sensitvity for interest rates and foreign currency exchange rates.</w:t>
      </w:r>
    </w:p>
    <w:p>
      <w:pPr>
        <w:spacing w:after="0" w:line="19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variable rate debt is our primary fnancial instrument with market risk exposure for changing interest rates. We manage our variable rate interest rate risk through a combinaton of short-term and long-term borrowings and the use of derivatve instruments entered into for hedging purposes. Additonally, our interest income that we primarily earn on restricted cash due to customers for our payment processing solutons acts as a partal natural hedge against our interest rate risk. Our interest rate exposure includes SOFR rates. Due to the nature of our debt, the materiality of the fair values of the derivatve instruments and the highly liquid, short-term nature and level of our cash and cash equivalents as of December 31, 2024, we believe that the risk of exposure to changing interest rates for those positons is immaterial. There were no signifcant changes in how we manage interest rate risk between December 31, 2023 and December 31, 2024.</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our exposure to foreign currency exchange rate fuctuatons, see “Management’s Discussion and Analysis of Financial Conditon and Results of Operatons — Foreign Currency Exchange Rates” in Item 7 of this report.</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64</w:t>
      </w:r>
      <w:r>
        <w:rPr>
          <w:sz w:val="20"/>
          <w:szCs w:val="20"/>
          <w:color w:val="auto"/>
        </w:rPr>
        <w:tab/>
      </w:r>
      <w:r>
        <w:rPr>
          <w:sz w:val="1"/>
          <w:szCs w:val="1"/>
          <w:color w:val="auto"/>
        </w:rPr>
        <w:drawing>
          <wp:inline distT="0" distB="0" distL="0" distR="0">
            <wp:extent cx="728345" cy="1885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8. FINANCIAL STATEMENTS AND SUPPLEMENTARY DATA</w:t>
      </w:r>
    </w:p>
    <w:p>
      <w:pPr>
        <w:spacing w:after="0" w:line="173"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15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Index to Consolidated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60" w:type="dxa"/>
            <w:vAlign w:val="bottom"/>
            <w:shd w:val="clear" w:color="auto" w:fill="004054"/>
          </w:tcPr>
          <w:p>
            <w:pPr>
              <w:spacing w:after="0"/>
              <w:rPr>
                <w:sz w:val="16"/>
                <w:szCs w:val="16"/>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Page No.</w:t>
            </w:r>
          </w:p>
        </w:tc>
        <w:tc>
          <w:tcPr>
            <w:tcW w:w="20" w:type="dxa"/>
            <w:vAlign w:val="bottom"/>
            <w:shd w:val="clear" w:color="auto" w:fill="004054"/>
          </w:tcPr>
          <w:p>
            <w:pPr>
              <w:spacing w:after="0"/>
              <w:rPr>
                <w:sz w:val="16"/>
                <w:szCs w:val="16"/>
                <w:color w:val="auto"/>
              </w:rPr>
            </w:pPr>
          </w:p>
        </w:tc>
      </w:tr>
      <w:tr>
        <w:trPr>
          <w:trHeight w:val="67"/>
        </w:trPr>
        <w:tc>
          <w:tcPr>
            <w:tcW w:w="1026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Reports of Independent Registered Public Accountng Firms (PCAOB ID 42)</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66</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Consolidated Balance Sheets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69</w:t>
            </w:r>
          </w:p>
        </w:tc>
        <w:tc>
          <w:tcPr>
            <w:tcW w:w="20" w:type="dxa"/>
            <w:vAlign w:val="bottom"/>
          </w:tcPr>
          <w:p>
            <w:pPr>
              <w:spacing w:after="0"/>
              <w:rPr>
                <w:sz w:val="19"/>
                <w:szCs w:val="19"/>
                <w:color w:val="auto"/>
              </w:rPr>
            </w:pPr>
          </w:p>
        </w:tc>
      </w:tr>
      <w:tr>
        <w:trPr>
          <w:trHeight w:val="50"/>
        </w:trPr>
        <w:tc>
          <w:tcPr>
            <w:tcW w:w="10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Consolidated Statements of Comprehensive Loss</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70</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Consolidated Statements of Cash Flows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71</w:t>
            </w:r>
          </w:p>
        </w:tc>
        <w:tc>
          <w:tcPr>
            <w:tcW w:w="20" w:type="dxa"/>
            <w:vAlign w:val="bottom"/>
          </w:tcPr>
          <w:p>
            <w:pPr>
              <w:spacing w:after="0"/>
              <w:rPr>
                <w:sz w:val="19"/>
                <w:szCs w:val="19"/>
                <w:color w:val="auto"/>
              </w:rPr>
            </w:pPr>
          </w:p>
        </w:tc>
      </w:tr>
      <w:tr>
        <w:trPr>
          <w:trHeight w:val="50"/>
        </w:trPr>
        <w:tc>
          <w:tcPr>
            <w:tcW w:w="10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Consolidated Statements of Stockholders’ Equity</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72</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Notes to Consolidated Financial Statements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73</w:t>
            </w:r>
          </w:p>
        </w:tc>
        <w:tc>
          <w:tcPr>
            <w:tcW w:w="20" w:type="dxa"/>
            <w:vAlign w:val="bottom"/>
          </w:tcPr>
          <w:p>
            <w:pPr>
              <w:spacing w:after="0"/>
              <w:rPr>
                <w:sz w:val="19"/>
                <w:szCs w:val="19"/>
                <w:color w:val="auto"/>
              </w:rPr>
            </w:pPr>
          </w:p>
        </w:tc>
      </w:tr>
      <w:tr>
        <w:trPr>
          <w:trHeight w:val="50"/>
        </w:trPr>
        <w:tc>
          <w:tcPr>
            <w:tcW w:w="1026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662"/>
        </w:trPr>
        <w:tc>
          <w:tcPr>
            <w:tcW w:w="1026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80" w:type="dxa"/>
            <w:vAlign w:val="bottom"/>
          </w:tcPr>
          <w:p>
            <w:pPr>
              <w:jc w:val="right"/>
              <w:spacing w:after="0"/>
              <w:rPr>
                <w:sz w:val="20"/>
                <w:szCs w:val="20"/>
                <w:color w:val="auto"/>
              </w:rPr>
            </w:pPr>
            <w:r>
              <w:rPr>
                <w:rFonts w:ascii="Calibri" w:cs="Calibri" w:eastAsia="Calibri" w:hAnsi="Calibri"/>
                <w:sz w:val="14"/>
                <w:szCs w:val="14"/>
                <w:color w:val="51555C"/>
              </w:rPr>
              <w:t>65</w:t>
            </w:r>
          </w:p>
        </w:tc>
        <w:tc>
          <w:tcPr>
            <w:tcW w:w="20" w:type="dxa"/>
            <w:vAlign w:val="bottom"/>
          </w:tcPr>
          <w:p>
            <w:pPr>
              <w:spacing w:after="0"/>
              <w:rPr>
                <w:sz w:val="24"/>
                <w:szCs w:val="24"/>
                <w:color w:val="auto"/>
              </w:rPr>
            </w:pPr>
          </w:p>
        </w:tc>
      </w:tr>
      <w:tr>
        <w:trPr>
          <w:trHeight w:val="338"/>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-385445</wp:posOffset>
            </wp:positionV>
            <wp:extent cx="7289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67" w:name="page68"/>
    <w:bookmarkEnd w:id="67"/>
    <w:p>
      <w:pPr>
        <w:ind w:left="3540"/>
        <w:spacing w:after="0"/>
        <w:rPr>
          <w:sz w:val="20"/>
          <w:szCs w:val="20"/>
          <w:color w:val="auto"/>
        </w:rPr>
      </w:pPr>
      <w:r>
        <w:rPr>
          <w:rFonts w:ascii="Calibri" w:cs="Calibri" w:eastAsia="Calibri" w:hAnsi="Calibri"/>
          <w:sz w:val="18"/>
          <w:szCs w:val="18"/>
          <w:b w:val="1"/>
          <w:bCs w:val="1"/>
          <w:color w:val="51555C"/>
        </w:rPr>
        <w:t>Report of Independent Registered Public Accountng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To the Stockholders and the Board of Directors of Blackbaud, Inc.</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Opinion on the Financial Statements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audited the accompanying consolidated balance sheets of Blackbaud, Inc. (the Company) as of December 31, 2024 and 2023, the related consolidated statements of comprehensive loss, cash fows and stockholders’ equity for each of the three years in the period ended December 31, 2024, and the related notes (collectvely referred to as the “consolidated fnancial statements”). In our opinion, the consolidated fnancial statements present fairly, in all material respects, the fnancial positon of the Company at December 31, 2024 and 2023, and the results of its operatons and its cash fows for each of the three years in the period ended December 31, 2024, in conformity with U.S. generally accepted accountng principles.</w:t>
      </w:r>
    </w:p>
    <w:p>
      <w:pPr>
        <w:spacing w:after="0" w:line="16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We also have audited, in accordance with the standards of the Public Company Accountng Oversight Board (United States) (PCAOB), the Company's internal control over fnancial reportng as of December 31, 2024, based on criteria established in Internal Control—Integrated Framework issued by the Commitee of Sponsoring Organizatons of the Treadway Commission (2013 framework), and our report dated February 21, 2025 expressed an unqualifed opinion thereon.</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for Opinion</w:t>
      </w:r>
    </w:p>
    <w:p>
      <w:pPr>
        <w:spacing w:after="0" w:line="1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Critcal Audit Mater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 or disclosure to which it relates.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9860" w:type="dxa"/>
            <w:vAlign w:val="bottom"/>
          </w:tcPr>
          <w:p>
            <w:pPr>
              <w:ind w:left="880"/>
              <w:spacing w:after="0"/>
              <w:rPr>
                <w:sz w:val="20"/>
                <w:szCs w:val="20"/>
                <w:color w:val="auto"/>
              </w:rPr>
            </w:pPr>
            <w:r>
              <w:rPr>
                <w:rFonts w:ascii="Calibri" w:cs="Calibri" w:eastAsia="Calibri" w:hAnsi="Calibri"/>
                <w:sz w:val="18"/>
                <w:szCs w:val="18"/>
                <w:b w:val="1"/>
                <w:bCs w:val="1"/>
                <w:i w:val="1"/>
                <w:iCs w:val="1"/>
                <w:color w:val="51555C"/>
              </w:rPr>
              <w:t>Revenue Recogniton - Payment Processing Services</w:t>
            </w:r>
          </w:p>
        </w:tc>
      </w:tr>
      <w:tr>
        <w:trPr>
          <w:trHeight w:val="270"/>
        </w:trPr>
        <w:tc>
          <w:tcPr>
            <w:tcW w:w="1380" w:type="dxa"/>
            <w:vAlign w:val="bottom"/>
          </w:tcPr>
          <w:p>
            <w:pPr>
              <w:ind w:left="20"/>
              <w:spacing w:after="0"/>
              <w:rPr>
                <w:sz w:val="20"/>
                <w:szCs w:val="20"/>
                <w:color w:val="auto"/>
              </w:rPr>
            </w:pPr>
            <w:r>
              <w:rPr>
                <w:rFonts w:ascii="Calibri" w:cs="Calibri" w:eastAsia="Calibri" w:hAnsi="Calibri"/>
                <w:sz w:val="18"/>
                <w:szCs w:val="18"/>
                <w:i w:val="1"/>
                <w:iCs w:val="1"/>
                <w:color w:val="51555C"/>
              </w:rPr>
              <w:t>Descripton of</w:t>
            </w:r>
          </w:p>
        </w:tc>
        <w:tc>
          <w:tcPr>
            <w:tcW w:w="9860" w:type="dxa"/>
            <w:vAlign w:val="bottom"/>
          </w:tcPr>
          <w:p>
            <w:pPr>
              <w:ind w:left="880"/>
              <w:spacing w:after="0"/>
              <w:rPr>
                <w:sz w:val="20"/>
                <w:szCs w:val="20"/>
                <w:color w:val="auto"/>
              </w:rPr>
            </w:pPr>
            <w:r>
              <w:rPr>
                <w:rFonts w:ascii="Calibri" w:cs="Calibri" w:eastAsia="Calibri" w:hAnsi="Calibri"/>
                <w:sz w:val="18"/>
                <w:szCs w:val="18"/>
                <w:color w:val="51555C"/>
                <w:w w:val="99"/>
              </w:rPr>
              <w:t>The Company recorded transactonal recurring revenues of $354 million for the year ended December 31, 2024. Included in</w:t>
            </w:r>
          </w:p>
        </w:tc>
      </w:tr>
      <w:tr>
        <w:trPr>
          <w:trHeight w:val="216"/>
        </w:trPr>
        <w:tc>
          <w:tcPr>
            <w:tcW w:w="138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51555C"/>
              </w:rPr>
              <w:t>the Mater</w:t>
            </w: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transactonal recurring revenues are revenues related to payment processing services. As discussed in Note 2 to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w w:val="99"/>
              </w:rPr>
              <w:t>consolidated fnancial statements, the Company recognizes revenue for payment processing services over tme based on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w w:val="97"/>
              </w:rPr>
              <w:t>amount billable to the customer, since it has the right to invoice the customer in an amount that directly corresponds with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w w:val="99"/>
              </w:rPr>
              <w:t>value to the customer for the Company’s performance to date. The processing of transactons and recording of revenues for</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these services involves a signifcant volume of transactons that are highly automated and are based on contractual terms</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with the customer and the Company’s third-party vendors.</w:t>
            </w:r>
          </w:p>
        </w:tc>
      </w:tr>
      <w:tr>
        <w:trPr>
          <w:trHeight w:val="324"/>
        </w:trPr>
        <w:tc>
          <w:tcPr>
            <w:tcW w:w="1380" w:type="dxa"/>
            <w:vAlign w:val="bottom"/>
          </w:tcPr>
          <w:p>
            <w:pPr>
              <w:spacing w:after="0"/>
              <w:rPr>
                <w:sz w:val="24"/>
                <w:szCs w:val="24"/>
                <w:color w:val="auto"/>
              </w:rPr>
            </w:pPr>
          </w:p>
        </w:tc>
        <w:tc>
          <w:tcPr>
            <w:tcW w:w="9860" w:type="dxa"/>
            <w:vAlign w:val="bottom"/>
          </w:tcPr>
          <w:p>
            <w:pPr>
              <w:ind w:left="880"/>
              <w:spacing w:after="0"/>
              <w:rPr>
                <w:sz w:val="20"/>
                <w:szCs w:val="20"/>
                <w:color w:val="auto"/>
              </w:rPr>
            </w:pPr>
            <w:r>
              <w:rPr>
                <w:rFonts w:ascii="Calibri" w:cs="Calibri" w:eastAsia="Calibri" w:hAnsi="Calibri"/>
                <w:sz w:val="18"/>
                <w:szCs w:val="18"/>
                <w:color w:val="51555C"/>
              </w:rPr>
              <w:t>Auditng the revenues for these payment processing services is complex because the processes are highly automated and</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involve multple IT systems with a signifcant volume of transactons and related underlying data. Further, auditng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revenues for these payment processing services required the involvement of data professionals to assist in validatng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integrity of the underlying data and recalculatng the revenues recorded during the period.</w:t>
            </w:r>
          </w:p>
        </w:tc>
      </w:tr>
      <w:tr>
        <w:trPr>
          <w:trHeight w:val="719"/>
        </w:trPr>
        <w:tc>
          <w:tcPr>
            <w:tcW w:w="1380" w:type="dxa"/>
            <w:vAlign w:val="bottom"/>
          </w:tcPr>
          <w:p>
            <w:pPr>
              <w:ind w:left="20"/>
              <w:spacing w:after="0"/>
              <w:rPr>
                <w:sz w:val="20"/>
                <w:szCs w:val="20"/>
                <w:color w:val="auto"/>
              </w:rPr>
            </w:pPr>
            <w:r>
              <w:rPr>
                <w:rFonts w:ascii="Calibri" w:cs="Calibri" w:eastAsia="Calibri" w:hAnsi="Calibri"/>
                <w:sz w:val="14"/>
                <w:szCs w:val="14"/>
                <w:color w:val="51555C"/>
              </w:rPr>
              <w:t>66</w:t>
            </w:r>
          </w:p>
        </w:tc>
        <w:tc>
          <w:tcPr>
            <w:tcW w:w="9860" w:type="dxa"/>
            <w:vAlign w:val="bottom"/>
          </w:tcPr>
          <w:p>
            <w:pPr>
              <w:ind w:left="380"/>
              <w:spacing w:after="0"/>
              <w:rPr>
                <w:sz w:val="20"/>
                <w:szCs w:val="20"/>
                <w:color w:val="auto"/>
              </w:rPr>
            </w:pPr>
            <w:r>
              <w:rPr>
                <w:rFonts w:ascii="Calibri" w:cs="Calibri" w:eastAsia="Calibri" w:hAnsi="Calibri"/>
                <w:sz w:val="14"/>
                <w:szCs w:val="14"/>
                <w:color w:val="51555C"/>
              </w:rPr>
              <w:t>2024 Form 10-K</w:t>
            </w:r>
          </w:p>
        </w:tc>
      </w:tr>
      <w:tr>
        <w:trPr>
          <w:trHeight w:val="351"/>
        </w:trPr>
        <w:tc>
          <w:tcPr>
            <w:tcW w:w="13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8" w:name="page69"/>
    <w:bookmarkEnd w:id="68"/>
    <w:p>
      <w:pPr>
        <w:ind w:left="20"/>
        <w:spacing w:after="0" w:line="235" w:lineRule="auto"/>
        <w:rPr>
          <w:sz w:val="20"/>
          <w:szCs w:val="20"/>
          <w:color w:val="auto"/>
        </w:rPr>
      </w:pPr>
      <w:r>
        <w:rPr>
          <w:rFonts w:ascii="Calibri" w:cs="Calibri" w:eastAsia="Calibri" w:hAnsi="Calibri"/>
          <w:sz w:val="18"/>
          <w:szCs w:val="18"/>
          <w:i w:val="1"/>
          <w:iCs w:val="1"/>
          <w:color w:val="51555C"/>
        </w:rPr>
        <w:t>How We Addressed the Mater in Our Audit</w:t>
      </w:r>
    </w:p>
    <w:p>
      <w:pPr>
        <w:spacing w:after="0" w:line="20" w:lineRule="exact"/>
        <w:rPr>
          <w:sz w:val="20"/>
          <w:szCs w:val="20"/>
          <w:color w:val="auto"/>
        </w:rPr>
      </w:pPr>
      <w:r>
        <w:rPr>
          <w:sz w:val="20"/>
          <w:szCs w:val="20"/>
          <w:color w:val="auto"/>
        </w:rPr>
        <w:br w:type="column"/>
      </w:r>
    </w:p>
    <w:p>
      <w:pPr>
        <w:jc w:val="both"/>
        <w:ind w:right="20"/>
        <w:spacing w:after="0" w:line="235" w:lineRule="auto"/>
        <w:rPr>
          <w:sz w:val="20"/>
          <w:szCs w:val="20"/>
          <w:color w:val="auto"/>
        </w:rPr>
      </w:pPr>
      <w:r>
        <w:rPr>
          <w:rFonts w:ascii="Calibri" w:cs="Calibri" w:eastAsia="Calibri" w:hAnsi="Calibri"/>
          <w:sz w:val="18"/>
          <w:szCs w:val="18"/>
          <w:color w:val="51555C"/>
        </w:rPr>
        <w:t>We obtained an understanding, evaluated the design, and tested the operatng efectveness of the Company’s controls over its payment processing services. We identfed the relevant systems used in these payment processing services, including relevant third-party service organizaton systems, and evaluated the IT general controls over each of these systems. We also tested the relevant automated controls and other business processes controls.</w:t>
      </w:r>
    </w:p>
    <w:p>
      <w:pPr>
        <w:spacing w:after="0" w:line="111" w:lineRule="exact"/>
        <w:rPr>
          <w:sz w:val="20"/>
          <w:szCs w:val="20"/>
          <w:color w:val="auto"/>
        </w:rPr>
      </w:pPr>
    </w:p>
    <w:p>
      <w:pPr>
        <w:sectPr>
          <w:pgSz w:w="11900" w:h="16838" w:orient="portrait"/>
          <w:cols w:equalWidth="0" w:num="2">
            <w:col w:w="1680" w:space="580"/>
            <w:col w:w="8980"/>
          </w:cols>
          <w:pgMar w:left="320" w:top="1359" w:right="339" w:bottom="1440" w:gutter="0" w:footer="0" w:header="0"/>
        </w:sectPr>
      </w:pPr>
    </w:p>
    <w:p>
      <w:pPr>
        <w:jc w:val="both"/>
        <w:ind w:left="2260" w:right="20"/>
        <w:spacing w:after="0" w:line="235" w:lineRule="auto"/>
        <w:rPr>
          <w:sz w:val="20"/>
          <w:szCs w:val="20"/>
          <w:color w:val="auto"/>
        </w:rPr>
      </w:pPr>
      <w:r>
        <w:rPr>
          <w:rFonts w:ascii="Calibri" w:cs="Calibri" w:eastAsia="Calibri" w:hAnsi="Calibri"/>
          <w:sz w:val="18"/>
          <w:szCs w:val="18"/>
          <w:color w:val="51555C"/>
        </w:rPr>
        <w:t>To test revenue recognized for payment processing services, our procedures included, among others, the involvement of data professionals to recalculate the revenue recognized. For a selecton of payment processing transactons, we also agreed the amount of revenues recognized for processing fees retained by the Company to source documents and tested the mathematcal accuracy of the recorded revenue. We also evaluated if the transactons were processed, and funds received, including sending confrmatons directly to fnancial insttutons.</w:t>
      </w:r>
    </w:p>
    <w:p>
      <w:pPr>
        <w:sectPr>
          <w:pgSz w:w="11900" w:h="16838" w:orient="portrait"/>
          <w:cols w:equalWidth="0" w:num="1">
            <w:col w:w="11240"/>
          </w:cols>
          <w:pgMar w:left="320" w:top="1359" w:right="3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51555C"/>
        </w:rPr>
        <w:t>/s/ Ernst &amp; Young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have served as the Company's auditor since 2021.</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Raleigh, North Carolina</w:t>
      </w:r>
    </w:p>
    <w:p>
      <w:pPr>
        <w:spacing w:after="0" w:line="235" w:lineRule="auto"/>
        <w:rPr>
          <w:sz w:val="20"/>
          <w:szCs w:val="20"/>
          <w:color w:val="auto"/>
        </w:rPr>
      </w:pPr>
      <w:r>
        <w:rPr>
          <w:rFonts w:ascii="Calibri" w:cs="Calibri" w:eastAsia="Calibri" w:hAnsi="Calibri"/>
          <w:sz w:val="18"/>
          <w:szCs w:val="18"/>
          <w:color w:val="51555C"/>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3049905</wp:posOffset>
            </wp:positionV>
            <wp:extent cx="7289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69" w:name="page70"/>
    <w:bookmarkEnd w:id="69"/>
    <w:p>
      <w:pPr>
        <w:jc w:val="center"/>
        <w:spacing w:after="0"/>
        <w:rPr>
          <w:sz w:val="20"/>
          <w:szCs w:val="20"/>
          <w:color w:val="auto"/>
        </w:rPr>
      </w:pPr>
      <w:r>
        <w:rPr>
          <w:rFonts w:ascii="Calibri" w:cs="Calibri" w:eastAsia="Calibri" w:hAnsi="Calibri"/>
          <w:sz w:val="18"/>
          <w:szCs w:val="18"/>
          <w:b w:val="1"/>
          <w:bCs w:val="1"/>
          <w:color w:val="51555C"/>
        </w:rPr>
        <w:t>Report of Independent Registered Public Accountng Firm</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alibri" w:cs="Calibri" w:eastAsia="Calibri" w:hAnsi="Calibri"/>
          <w:sz w:val="18"/>
          <w:szCs w:val="18"/>
          <w:color w:val="51555C"/>
        </w:rPr>
        <w:t>To the Stockholders and the Board of Directors of Blackbaud, Inc.</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Opinion on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audited Blackbaud, Inc.’s internal control over fnancial reportng as of December 31, 2024, based on criteria established in Internal Control— Integrated Framework issued by the Commitee of Sponsoring Organizatons of the Treadway Commission (2013 Framework) (the COSO criteria). In our opinion, Blackbaud, Inc. (the Company) maintained, in all material respects, efectve internal control over fnancial reportng as of December 31, 2024, based on the COSO criteria.</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also have audited, in accordance with the standards of the Public Company Accountng Oversight Board (United States) (PCAOB), the consolidated balance sheets of the Company as of December 31, 2024 and 2023, and the related consolidated statements of comprehensive loss, cash fows, and stockholders' equity for each of the three years in the period ended December 31, 2024, and the related notes and our report dated February 21, 2025 expressed an unqualifed opinion thereon.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Defniton and Limitatons of Internal Control Over Financial Reportng</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color w:val="51555C"/>
        </w:rPr>
        <w:t>/s/ Ernst &amp; Young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Raleigh, North Carolina</w:t>
      </w:r>
    </w:p>
    <w:p>
      <w:pPr>
        <w:spacing w:after="0" w:line="235" w:lineRule="auto"/>
        <w:rPr>
          <w:sz w:val="20"/>
          <w:szCs w:val="20"/>
          <w:color w:val="auto"/>
        </w:rPr>
      </w:pPr>
      <w:r>
        <w:rPr>
          <w:rFonts w:ascii="Calibri" w:cs="Calibri" w:eastAsia="Calibri" w:hAnsi="Calibri"/>
          <w:sz w:val="18"/>
          <w:szCs w:val="18"/>
          <w:color w:val="51555C"/>
        </w:rPr>
        <w:t>February 21, 2025</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68</w:t>
      </w:r>
      <w:r>
        <w:rPr>
          <w:sz w:val="20"/>
          <w:szCs w:val="20"/>
          <w:color w:val="auto"/>
        </w:rPr>
        <w:tab/>
      </w:r>
      <w:r>
        <w:rPr>
          <w:sz w:val="1"/>
          <w:szCs w:val="1"/>
          <w:color w:val="auto"/>
        </w:rPr>
        <w:drawing>
          <wp:inline distT="0" distB="0" distL="0" distR="0">
            <wp:extent cx="728345" cy="1885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0" w:name="page71"/>
    <w:bookmarkEnd w:id="70"/>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ind w:right="-19"/>
        <w:spacing w:after="0" w:line="235" w:lineRule="auto"/>
        <w:rPr>
          <w:sz w:val="20"/>
          <w:szCs w:val="20"/>
          <w:color w:val="auto"/>
        </w:rPr>
      </w:pPr>
      <w:r>
        <w:rPr>
          <w:rFonts w:ascii="Calibri" w:cs="Calibri" w:eastAsia="Calibri" w:hAnsi="Calibri"/>
          <w:sz w:val="18"/>
          <w:szCs w:val="18"/>
          <w:b w:val="1"/>
          <w:bCs w:val="1"/>
          <w:color w:val="51555C"/>
        </w:rPr>
        <w:t>Consolidated Balance Sheets</w:t>
      </w: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950" w:type="dxa"/>
            <w:vAlign w:val="bottom"/>
            <w:shd w:val="clear" w:color="auto" w:fill="004054"/>
          </w:tcPr>
          <w:p>
            <w:pPr>
              <w:spacing w:after="0"/>
              <w:rPr>
                <w:sz w:val="16"/>
                <w:szCs w:val="16"/>
                <w:color w:val="auto"/>
              </w:rPr>
            </w:pP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70"/>
        </w:trPr>
        <w:tc>
          <w:tcPr>
            <w:tcW w:w="795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795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15175"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p>
      <w:pPr>
        <w:spacing w:after="0" w:line="7" w:lineRule="exact"/>
        <w:rPr>
          <w:sz w:val="20"/>
          <w:szCs w:val="20"/>
          <w:color w:val="auto"/>
        </w:rPr>
      </w:pPr>
    </w:p>
    <w:p>
      <w:pPr>
        <w:ind w:left="40"/>
        <w:spacing w:after="0"/>
        <w:rPr>
          <w:sz w:val="20"/>
          <w:szCs w:val="20"/>
          <w:color w:val="auto"/>
        </w:rPr>
      </w:pPr>
      <w:r>
        <w:rPr>
          <w:rFonts w:ascii="Calibri" w:cs="Calibri" w:eastAsia="Calibri" w:hAnsi="Calibri"/>
          <w:sz w:val="16"/>
          <w:szCs w:val="16"/>
          <w:b w:val="1"/>
          <w:bCs w:val="1"/>
          <w:color w:val="51555C"/>
        </w:rPr>
        <w:t>Assets</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Cash and cash equivalents</w:t>
      </w:r>
    </w:p>
    <w:p>
      <w:pPr>
        <w:spacing w:after="0" w:line="4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283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5175" cy="283210"/>
                    </a:xfrm>
                    <a:prstGeom prst="rect">
                      <a:avLst/>
                    </a:prstGeom>
                    <a:noFill/>
                  </pic:spPr>
                </pic:pic>
              </a:graphicData>
            </a:graphic>
          </wp:anchor>
        </w:drawing>
      </w:r>
    </w:p>
    <w:p>
      <w:pPr>
        <w:spacing w:after="0" w:line="30" w:lineRule="exact"/>
        <w:rPr>
          <w:sz w:val="20"/>
          <w:szCs w:val="20"/>
          <w:color w:val="auto"/>
        </w:rPr>
      </w:pPr>
    </w:p>
    <w:p>
      <w:pPr>
        <w:ind w:left="480" w:right="160"/>
        <w:spacing w:after="0" w:line="235" w:lineRule="auto"/>
        <w:rPr>
          <w:sz w:val="20"/>
          <w:szCs w:val="20"/>
          <w:color w:val="auto"/>
        </w:rPr>
      </w:pPr>
      <w:r>
        <w:rPr>
          <w:rFonts w:ascii="Calibri" w:cs="Calibri" w:eastAsia="Calibri" w:hAnsi="Calibri"/>
          <w:sz w:val="16"/>
          <w:szCs w:val="16"/>
          <w:color w:val="51555C"/>
        </w:rPr>
        <w:t>Accounts receivable, net of allowance of $5,228 and $6,907 at December 31, 2024 and December 31, 2023, respectvely</w:t>
      </w:r>
    </w:p>
    <w:p>
      <w:pPr>
        <w:spacing w:after="0" w:line="61"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Prepaid expenses and other current assets</w:t>
      </w:r>
    </w:p>
    <w:p>
      <w:pPr>
        <w:spacing w:after="0" w:line="48" w:lineRule="exact"/>
        <w:rPr>
          <w:sz w:val="20"/>
          <w:szCs w:val="20"/>
          <w:color w:val="auto"/>
        </w:rPr>
      </w:pPr>
    </w:p>
    <w:p>
      <w:pPr>
        <w:ind w:left="680"/>
        <w:spacing w:after="0"/>
        <w:rPr>
          <w:sz w:val="20"/>
          <w:szCs w:val="20"/>
          <w:color w:val="auto"/>
        </w:rPr>
      </w:pPr>
      <w:r>
        <w:rPr>
          <w:rFonts w:ascii="Calibri" w:cs="Calibri" w:eastAsia="Calibri" w:hAnsi="Calibri"/>
          <w:sz w:val="16"/>
          <w:szCs w:val="16"/>
          <w:color w:val="51555C"/>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Property and equipment, net</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Operatng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Sofware and content development costs, net</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Intangible assets, net</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Calibri" w:cs="Calibri" w:eastAsia="Calibri" w:hAnsi="Calibri"/>
          <w:sz w:val="16"/>
          <w:szCs w:val="16"/>
          <w:b w:val="1"/>
          <w:bCs w:val="1"/>
          <w:color w:val="51555C"/>
        </w:rPr>
        <w:t>Total assets</w:t>
      </w:r>
    </w:p>
    <w:p>
      <w:pPr>
        <w:spacing w:after="0" w:line="61" w:lineRule="exact"/>
        <w:rPr>
          <w:sz w:val="20"/>
          <w:szCs w:val="20"/>
          <w:color w:val="auto"/>
        </w:rPr>
      </w:pPr>
    </w:p>
    <w:p>
      <w:pPr>
        <w:ind w:left="40"/>
        <w:spacing w:after="0"/>
        <w:rPr>
          <w:sz w:val="20"/>
          <w:szCs w:val="20"/>
          <w:color w:val="auto"/>
        </w:rPr>
      </w:pPr>
      <w:r>
        <w:rPr>
          <w:rFonts w:ascii="Calibri" w:cs="Calibri" w:eastAsia="Calibri" w:hAnsi="Calibri"/>
          <w:sz w:val="16"/>
          <w:szCs w:val="16"/>
          <w:b w:val="1"/>
          <w:bCs w:val="1"/>
          <w:color w:val="51555C"/>
        </w:rPr>
        <w:t>Liabilites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Current liabilites:</w:t>
      </w:r>
    </w:p>
    <w:p>
      <w:pPr>
        <w:spacing w:after="0" w:line="4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Accrued expenses and other current liabilites</w:t>
      </w:r>
    </w:p>
    <w:p>
      <w:pPr>
        <w:spacing w:after="0" w:line="4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Debt, current porton</w:t>
      </w:r>
    </w:p>
    <w:p>
      <w:pPr>
        <w:spacing w:after="0" w:line="4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Deferred revenue,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Calibri" w:cs="Calibri" w:eastAsia="Calibri" w:hAnsi="Calibri"/>
          <w:sz w:val="16"/>
          <w:szCs w:val="16"/>
          <w:color w:val="51555C"/>
        </w:rPr>
        <w:t>Total current liabilites</w:t>
      </w:r>
    </w:p>
    <w:p>
      <w:pPr>
        <w:spacing w:after="0" w:line="61"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Debt,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Deferred tax liability</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Deferred revenue,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Operatng lease liabilites, net of current porton</w:t>
      </w:r>
    </w:p>
    <w:p>
      <w:pPr>
        <w:spacing w:after="0" w:line="4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Other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900"/>
        <w:spacing w:after="0"/>
        <w:rPr>
          <w:sz w:val="20"/>
          <w:szCs w:val="20"/>
          <w:color w:val="auto"/>
        </w:rPr>
      </w:pPr>
      <w:r>
        <w:rPr>
          <w:rFonts w:ascii="Calibri" w:cs="Calibri" w:eastAsia="Calibri" w:hAnsi="Calibri"/>
          <w:sz w:val="16"/>
          <w:szCs w:val="16"/>
          <w:b w:val="1"/>
          <w:bCs w:val="1"/>
          <w:color w:val="51555C"/>
        </w:rPr>
        <w:t>Total liabilites</w:t>
      </w:r>
    </w:p>
    <w:p>
      <w:pPr>
        <w:spacing w:after="0" w:line="61"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Commitments and contngencies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Calibri" w:cs="Calibri" w:eastAsia="Calibri" w:hAnsi="Calibri"/>
          <w:sz w:val="16"/>
          <w:szCs w:val="16"/>
          <w:color w:val="51555C"/>
        </w:rPr>
        <w:t>Stockholders’ equity:</w:t>
      </w:r>
    </w:p>
    <w:p>
      <w:pPr>
        <w:spacing w:after="0" w:line="4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Preferred stock; 20,000,000 shares authorized;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402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175" cy="402590"/>
                    </a:xfrm>
                    <a:prstGeom prst="rect">
                      <a:avLst/>
                    </a:prstGeom>
                    <a:noFill/>
                  </pic:spPr>
                </pic:pic>
              </a:graphicData>
            </a:graphic>
          </wp:anchor>
        </w:drawing>
      </w:r>
    </w:p>
    <w:p>
      <w:pPr>
        <w:spacing w:after="0" w:line="30" w:lineRule="exact"/>
        <w:rPr>
          <w:sz w:val="20"/>
          <w:szCs w:val="20"/>
          <w:color w:val="auto"/>
        </w:rPr>
      </w:pPr>
    </w:p>
    <w:p>
      <w:pPr>
        <w:ind w:left="480"/>
        <w:spacing w:after="0" w:line="239" w:lineRule="auto"/>
        <w:rPr>
          <w:sz w:val="20"/>
          <w:szCs w:val="20"/>
          <w:color w:val="auto"/>
        </w:rPr>
      </w:pPr>
      <w:r>
        <w:rPr>
          <w:rFonts w:ascii="Calibri" w:cs="Calibri" w:eastAsia="Calibri" w:hAnsi="Calibri"/>
          <w:sz w:val="16"/>
          <w:szCs w:val="16"/>
          <w:color w:val="51555C"/>
        </w:rPr>
        <w:t>Common stock, $0.001 par value; 180,000,000 shares authorized; 70,943,373 and 69,188,304 shares issued at December 31, 2024 and December 31, 2023, respectvely; 49,245,588 and 53,625,440 shares outstanding at December 31, 2024 and December 31, 2023, respectvely</w:t>
      </w:r>
    </w:p>
    <w:p>
      <w:pPr>
        <w:spacing w:after="0" w:line="49"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Additonal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2825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30" w:lineRule="exact"/>
        <w:rPr>
          <w:sz w:val="20"/>
          <w:szCs w:val="20"/>
          <w:color w:val="auto"/>
        </w:rPr>
      </w:pPr>
    </w:p>
    <w:p>
      <w:pPr>
        <w:ind w:left="480" w:right="280"/>
        <w:spacing w:after="0" w:line="235" w:lineRule="auto"/>
        <w:rPr>
          <w:sz w:val="20"/>
          <w:szCs w:val="20"/>
          <w:color w:val="auto"/>
        </w:rPr>
      </w:pPr>
      <w:r>
        <w:rPr>
          <w:rFonts w:ascii="Calibri" w:cs="Calibri" w:eastAsia="Calibri" w:hAnsi="Calibri"/>
          <w:sz w:val="16"/>
          <w:szCs w:val="16"/>
          <w:color w:val="51555C"/>
        </w:rPr>
        <w:t>Treasury stock, at cost; 21,697,785 and 15,562,864 shares at December 31, 2024 and December 31, 2023, respectvely</w:t>
      </w:r>
    </w:p>
    <w:p>
      <w:pPr>
        <w:spacing w:after="0" w:line="61"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80"/>
        <w:spacing w:after="0"/>
        <w:rPr>
          <w:sz w:val="20"/>
          <w:szCs w:val="20"/>
          <w:color w:val="auto"/>
        </w:rPr>
      </w:pPr>
      <w:r>
        <w:rPr>
          <w:rFonts w:ascii="Calibri" w:cs="Calibri" w:eastAsia="Calibri" w:hAnsi="Calibri"/>
          <w:sz w:val="16"/>
          <w:szCs w:val="16"/>
          <w:color w:val="51555C"/>
        </w:rPr>
        <w:t>(Accumulated defcit) 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jc w:val="right"/>
              <w:ind w:right="29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67,628</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31,251</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741,884</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697,006</w:t>
            </w:r>
          </w:p>
        </w:tc>
      </w:tr>
      <w:tr>
        <w:trPr>
          <w:trHeight w:val="445"/>
        </w:trPr>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83,539</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101,862</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1,970</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353</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81,287</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99,285</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976,308</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929,757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91,926</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98,689</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26,554</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36,927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148,319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160,194</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1,052,506</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1,053,738</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132,881</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581,937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67,221</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51,037</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480" w:type="dxa"/>
            <w:vAlign w:val="bottom"/>
          </w:tcPr>
          <w:p>
            <w:pPr>
              <w:jc w:val="right"/>
              <w:ind w:right="29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2,495,715</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2,912,279</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668"/>
        </w:trPr>
        <w:tc>
          <w:tcPr>
            <w:tcW w:w="480" w:type="dxa"/>
            <w:vAlign w:val="bottom"/>
          </w:tcPr>
          <w:p>
            <w:pPr>
              <w:jc w:val="right"/>
              <w:ind w:right="299"/>
              <w:spacing w:after="0"/>
              <w:rPr>
                <w:sz w:val="20"/>
                <w:szCs w:val="20"/>
                <w:color w:val="auto"/>
              </w:rPr>
            </w:pPr>
            <w:r>
              <w:rPr>
                <w:rFonts w:ascii="Calibri" w:cs="Calibri" w:eastAsia="Calibri" w:hAnsi="Calibri"/>
                <w:sz w:val="16"/>
                <w:szCs w:val="16"/>
                <w:color w:val="51555C"/>
                <w:w w:val="97"/>
              </w:rPr>
              <w:t>$</w:t>
            </w: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50,810</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25,184</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75,543</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64,322</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742,340</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695,842</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23,875</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19,259</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359,529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392,530</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6"/>
        </w:trPr>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1,252,097</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1,197,137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1,051,110</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760,405</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9,518</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93,292</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2,015</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2,397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34,186</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40,085</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4,796</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10,258</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2,353,722</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2,103,574</w:t>
            </w:r>
          </w:p>
        </w:tc>
      </w:tr>
      <w:tr>
        <w:trPr>
          <w:trHeight w:val="41"/>
        </w:trPr>
        <w:tc>
          <w:tcPr>
            <w:tcW w:w="48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668"/>
        </w:trPr>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635"/>
        </w:trPr>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71</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1,291,442</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1,203,012</w:t>
            </w:r>
          </w:p>
        </w:tc>
      </w:tr>
      <w:tr>
        <w:trPr>
          <w:trHeight w:val="445"/>
        </w:trPr>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(1,060,348)</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(591,557)</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(4,869)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(1,688)</w:t>
            </w:r>
          </w:p>
        </w:tc>
      </w:tr>
      <w:tr>
        <w:trPr>
          <w:trHeight w:val="243"/>
        </w:trPr>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51555C"/>
              </w:rPr>
              <w:t>(84,303)</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198,869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0745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7680" w:space="280"/>
            <w:col w:w="3280"/>
          </w:cols>
          <w:pgMar w:left="320" w:top="274" w:right="339" w:bottom="1440" w:gutter="0" w:footer="0" w:header="0"/>
          <w:type w:val="continuous"/>
        </w:sectPr>
      </w:pPr>
    </w:p>
    <w:tbl>
      <w:tblPr>
        <w:tblLayout w:type="fixed"/>
        <w:tblInd w:w="20" w:type="dxa"/>
        <w:tblCellMar>
          <w:top w:w="0" w:type="dxa"/>
          <w:left w:w="0" w:type="dxa"/>
          <w:bottom w:w="0" w:type="dxa"/>
          <w:right w:w="0" w:type="dxa"/>
        </w:tblCellMar>
      </w:tblPr>
      <w:tr>
        <w:trPr>
          <w:trHeight w:val="209"/>
        </w:trPr>
        <w:tc>
          <w:tcPr>
            <w:tcW w:w="7940" w:type="dxa"/>
            <w:vAlign w:val="bottom"/>
          </w:tcPr>
          <w:p>
            <w:pPr>
              <w:ind w:left="880"/>
              <w:spacing w:after="0"/>
              <w:rPr>
                <w:sz w:val="20"/>
                <w:szCs w:val="20"/>
                <w:color w:val="auto"/>
              </w:rPr>
            </w:pPr>
            <w:r>
              <w:rPr>
                <w:rFonts w:ascii="Calibri" w:cs="Calibri" w:eastAsia="Calibri" w:hAnsi="Calibri"/>
                <w:sz w:val="16"/>
                <w:szCs w:val="16"/>
                <w:b w:val="1"/>
                <w:bCs w:val="1"/>
                <w:color w:val="51555C"/>
              </w:rPr>
              <w:t>Total stockholders’ equity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141,993</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808,705</w:t>
            </w:r>
          </w:p>
        </w:tc>
      </w:tr>
      <w:tr>
        <w:trPr>
          <w:trHeight w:val="41"/>
        </w:trPr>
        <w:tc>
          <w:tcPr>
            <w:tcW w:w="794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216"/>
        </w:trPr>
        <w:tc>
          <w:tcPr>
            <w:tcW w:w="7940" w:type="dxa"/>
            <w:vAlign w:val="bottom"/>
            <w:tcBorders>
              <w:bottom w:val="single" w:sz="8" w:color="EBFBFF"/>
            </w:tcBorders>
            <w:shd w:val="clear" w:color="auto" w:fill="EBFBFF"/>
          </w:tcPr>
          <w:p>
            <w:pPr>
              <w:ind w:left="880"/>
              <w:spacing w:after="0" w:line="182" w:lineRule="exact"/>
              <w:rPr>
                <w:sz w:val="20"/>
                <w:szCs w:val="20"/>
                <w:color w:val="auto"/>
              </w:rPr>
            </w:pPr>
            <w:r>
              <w:rPr>
                <w:rFonts w:ascii="Calibri" w:cs="Calibri" w:eastAsia="Calibri" w:hAnsi="Calibri"/>
                <w:sz w:val="16"/>
                <w:szCs w:val="16"/>
                <w:b w:val="1"/>
                <w:bCs w:val="1"/>
                <w:color w:val="51555C"/>
              </w:rPr>
              <w:t>Total liabilites and stockholders’ equity</w:t>
            </w:r>
          </w:p>
        </w:tc>
        <w:tc>
          <w:tcPr>
            <w:tcW w:w="500" w:type="dxa"/>
            <w:vAlign w:val="bottom"/>
            <w:tcBorders>
              <w:bottom w:val="single" w:sz="8" w:color="EBFBFF"/>
            </w:tcBorders>
            <w:shd w:val="clear" w:color="auto" w:fill="EBFBFF"/>
          </w:tcPr>
          <w:p>
            <w:pPr>
              <w:jc w:val="right"/>
              <w:ind w:right="319"/>
              <w:spacing w:after="0"/>
              <w:rPr>
                <w:sz w:val="20"/>
                <w:szCs w:val="20"/>
                <w:color w:val="auto"/>
              </w:rPr>
            </w:pPr>
            <w:r>
              <w:rPr>
                <w:rFonts w:ascii="Calibri" w:cs="Calibri" w:eastAsia="Calibri" w:hAnsi="Calibri"/>
                <w:sz w:val="16"/>
                <w:szCs w:val="16"/>
                <w:color w:val="51555C"/>
                <w:w w:val="9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2,495,715</w:t>
            </w:r>
          </w:p>
        </w:tc>
        <w:tc>
          <w:tcPr>
            <w:tcW w:w="520" w:type="dxa"/>
            <w:vAlign w:val="bottom"/>
            <w:tcBorders>
              <w:bottom w:val="single" w:sz="8" w:color="EBFBFF"/>
            </w:tcBorders>
            <w:shd w:val="clear" w:color="auto" w:fill="EBFBFF"/>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2,912,279</w:t>
            </w:r>
          </w:p>
        </w:tc>
      </w:tr>
      <w:tr>
        <w:trPr>
          <w:trHeight w:val="20"/>
        </w:trPr>
        <w:tc>
          <w:tcPr>
            <w:tcW w:w="7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291465</wp:posOffset>
            </wp:positionV>
            <wp:extent cx="7289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1" w:name="page72"/>
    <w:bookmarkEnd w:id="71"/>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360" w:type="dxa"/>
            <w:vAlign w:val="bottom"/>
            <w:shd w:val="clear" w:color="auto" w:fill="004054"/>
          </w:tcPr>
          <w:p>
            <w:pPr>
              <w:spacing w:after="0"/>
              <w:rPr>
                <w:sz w:val="24"/>
                <w:szCs w:val="24"/>
                <w:color w:val="auto"/>
              </w:rPr>
            </w:pPr>
          </w:p>
        </w:tc>
        <w:tc>
          <w:tcPr>
            <w:tcW w:w="280" w:type="dxa"/>
            <w:vAlign w:val="bottom"/>
            <w:shd w:val="clear" w:color="auto" w:fill="004054"/>
          </w:tcPr>
          <w:p>
            <w:pPr>
              <w:spacing w:after="0"/>
              <w:rPr>
                <w:sz w:val="24"/>
                <w:szCs w:val="24"/>
                <w:color w:val="auto"/>
              </w:rPr>
            </w:pPr>
          </w:p>
        </w:tc>
        <w:tc>
          <w:tcPr>
            <w:tcW w:w="100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230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24"/>
                <w:szCs w:val="24"/>
                <w:color w:val="auto"/>
              </w:rPr>
            </w:pPr>
          </w:p>
        </w:tc>
      </w:tr>
      <w:tr>
        <w:trPr>
          <w:trHeight w:val="364"/>
        </w:trPr>
        <w:tc>
          <w:tcPr>
            <w:tcW w:w="73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28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4"/>
                <w:szCs w:val="24"/>
                <w:color w:val="auto"/>
              </w:rPr>
            </w:pPr>
          </w:p>
        </w:tc>
      </w:tr>
      <w:tr>
        <w:trPr>
          <w:trHeight w:val="74"/>
        </w:trPr>
        <w:tc>
          <w:tcPr>
            <w:tcW w:w="736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23"/>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Revenue</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Recurring</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1,129,114</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1,071,520</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1,011,733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One-tme services and other</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26,381</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33,912</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46,372</w:t>
            </w:r>
          </w:p>
        </w:tc>
        <w:tc>
          <w:tcPr>
            <w:tcW w:w="20" w:type="dxa"/>
            <w:vAlign w:val="bottom"/>
          </w:tcPr>
          <w:p>
            <w:pPr>
              <w:spacing w:after="0"/>
              <w:rPr>
                <w:sz w:val="21"/>
                <w:szCs w:val="21"/>
                <w:color w:val="auto"/>
              </w:rPr>
            </w:pPr>
          </w:p>
        </w:tc>
      </w:tr>
      <w:tr>
        <w:trPr>
          <w:trHeight w:val="196"/>
        </w:trPr>
        <w:tc>
          <w:tcPr>
            <w:tcW w:w="7360" w:type="dxa"/>
            <w:vAlign w:val="bottom"/>
          </w:tcPr>
          <w:p>
            <w:pPr>
              <w:ind w:left="460"/>
              <w:spacing w:after="0" w:line="182" w:lineRule="exact"/>
              <w:rPr>
                <w:sz w:val="20"/>
                <w:szCs w:val="20"/>
                <w:color w:val="auto"/>
              </w:rPr>
            </w:pPr>
            <w:r>
              <w:rPr>
                <w:rFonts w:ascii="Calibri" w:cs="Calibri" w:eastAsia="Calibri" w:hAnsi="Calibri"/>
                <w:sz w:val="16"/>
                <w:szCs w:val="16"/>
                <w:b w:val="1"/>
                <w:bCs w:val="1"/>
                <w:color w:val="51555C"/>
              </w:rPr>
              <w:t>Total revenue</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1,155,495</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1,105,432</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1,058,105</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Cost of revenue</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Cost of recurring</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494,588</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470,455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463,449</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Cost of one-tme services and other</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21,704</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31,733</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41,940</w:t>
            </w:r>
          </w:p>
        </w:tc>
        <w:tc>
          <w:tcPr>
            <w:tcW w:w="20" w:type="dxa"/>
            <w:vAlign w:val="bottom"/>
          </w:tcPr>
          <w:p>
            <w:pPr>
              <w:spacing w:after="0"/>
              <w:rPr>
                <w:sz w:val="21"/>
                <w:szCs w:val="21"/>
                <w:color w:val="auto"/>
              </w:rPr>
            </w:pPr>
          </w:p>
        </w:tc>
      </w:tr>
      <w:tr>
        <w:trPr>
          <w:trHeight w:val="195"/>
        </w:trPr>
        <w:tc>
          <w:tcPr>
            <w:tcW w:w="7360" w:type="dxa"/>
            <w:vAlign w:val="bottom"/>
          </w:tcPr>
          <w:p>
            <w:pPr>
              <w:ind w:left="460"/>
              <w:spacing w:after="0" w:line="182" w:lineRule="exact"/>
              <w:rPr>
                <w:sz w:val="20"/>
                <w:szCs w:val="20"/>
                <w:color w:val="auto"/>
              </w:rPr>
            </w:pPr>
            <w:r>
              <w:rPr>
                <w:rFonts w:ascii="Calibri" w:cs="Calibri" w:eastAsia="Calibri" w:hAnsi="Calibri"/>
                <w:sz w:val="16"/>
                <w:szCs w:val="16"/>
                <w:b w:val="1"/>
                <w:bCs w:val="1"/>
                <w:color w:val="51555C"/>
              </w:rPr>
              <w:t>Total cost of revenue</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516,292</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502,188</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505,389</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73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Gross proft</w:t>
            </w:r>
          </w:p>
        </w:tc>
        <w:tc>
          <w:tcPr>
            <w:tcW w:w="28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639,203</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603,244</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552,716</w:t>
            </w:r>
          </w:p>
        </w:tc>
        <w:tc>
          <w:tcPr>
            <w:tcW w:w="20" w:type="dxa"/>
            <w:vAlign w:val="bottom"/>
          </w:tcPr>
          <w:p>
            <w:pPr>
              <w:spacing w:after="0"/>
              <w:rPr>
                <w:sz w:val="20"/>
                <w:szCs w:val="20"/>
                <w:color w:val="auto"/>
              </w:rPr>
            </w:pPr>
          </w:p>
        </w:tc>
      </w:tr>
      <w:tr>
        <w:trPr>
          <w:trHeight w:val="182"/>
        </w:trPr>
        <w:tc>
          <w:tcPr>
            <w:tcW w:w="736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Operatng expenses</w:t>
            </w:r>
          </w:p>
        </w:tc>
        <w:tc>
          <w:tcPr>
            <w:tcW w:w="28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Sales, marketng and customer success</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197,499</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212,158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221,455</w:t>
            </w: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Research and development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160,586</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153,304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156,913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General and administratve</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142,723</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189,938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199,908</w:t>
            </w: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Amortzaton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3,541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3,139</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2,925</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EVERFI dispositon</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405,360</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21"/>
                <w:szCs w:val="21"/>
                <w:color w:val="auto"/>
              </w:rPr>
            </w:pPr>
          </w:p>
        </w:tc>
      </w:tr>
      <w:tr>
        <w:trPr>
          <w:trHeight w:val="195"/>
        </w:trPr>
        <w:tc>
          <w:tcPr>
            <w:tcW w:w="7360" w:type="dxa"/>
            <w:vAlign w:val="bottom"/>
          </w:tcPr>
          <w:p>
            <w:pPr>
              <w:ind w:left="460"/>
              <w:spacing w:after="0" w:line="182" w:lineRule="exact"/>
              <w:rPr>
                <w:sz w:val="20"/>
                <w:szCs w:val="20"/>
                <w:color w:val="auto"/>
              </w:rPr>
            </w:pPr>
            <w:r>
              <w:rPr>
                <w:rFonts w:ascii="Calibri" w:cs="Calibri" w:eastAsia="Calibri" w:hAnsi="Calibri"/>
                <w:sz w:val="16"/>
                <w:szCs w:val="16"/>
                <w:b w:val="1"/>
                <w:bCs w:val="1"/>
                <w:color w:val="51555C"/>
              </w:rPr>
              <w:t>Total operatng expenses</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909,709</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558,539</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581,201</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73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(Loss) income from operatons</w:t>
            </w:r>
          </w:p>
        </w:tc>
        <w:tc>
          <w:tcPr>
            <w:tcW w:w="28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(270,506)</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44,705</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(28,485)</w:t>
            </w:r>
          </w:p>
        </w:tc>
        <w:tc>
          <w:tcPr>
            <w:tcW w:w="20" w:type="dxa"/>
            <w:vAlign w:val="bottom"/>
          </w:tcPr>
          <w:p>
            <w:pPr>
              <w:spacing w:after="0"/>
              <w:rPr>
                <w:sz w:val="20"/>
                <w:szCs w:val="20"/>
                <w:color w:val="auto"/>
              </w:rPr>
            </w:pPr>
          </w:p>
        </w:tc>
      </w:tr>
      <w:tr>
        <w:trPr>
          <w:trHeight w:val="196"/>
        </w:trPr>
        <w:tc>
          <w:tcPr>
            <w:tcW w:w="7360" w:type="dxa"/>
            <w:vAlign w:val="bottom"/>
          </w:tcPr>
          <w:p>
            <w:pPr>
              <w:ind w:left="240"/>
              <w:spacing w:after="0" w:line="182" w:lineRule="exact"/>
              <w:rPr>
                <w:sz w:val="20"/>
                <w:szCs w:val="20"/>
                <w:color w:val="auto"/>
              </w:rPr>
            </w:pPr>
            <w:r>
              <w:rPr>
                <w:rFonts w:ascii="Calibri" w:cs="Calibri" w:eastAsia="Calibri" w:hAnsi="Calibri"/>
                <w:sz w:val="16"/>
                <w:szCs w:val="16"/>
                <w:color w:val="51555C"/>
              </w:rPr>
              <w:t>Interest expense</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(55,634)</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(39,922)</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(35,803)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Other income, net</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14,549</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12,861</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8,713</w:t>
            </w:r>
          </w:p>
        </w:tc>
        <w:tc>
          <w:tcPr>
            <w:tcW w:w="20" w:type="dxa"/>
            <w:vAlign w:val="bottom"/>
          </w:tcPr>
          <w:p>
            <w:pPr>
              <w:spacing w:after="0"/>
              <w:rPr>
                <w:sz w:val="21"/>
                <w:szCs w:val="21"/>
                <w:color w:val="auto"/>
              </w:rPr>
            </w:pPr>
          </w:p>
        </w:tc>
      </w:tr>
      <w:tr>
        <w:trPr>
          <w:trHeight w:val="195"/>
        </w:trPr>
        <w:tc>
          <w:tcPr>
            <w:tcW w:w="736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(Loss) income before (beneft) provision for income taxes</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(311,591)</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17,644</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(55,575)</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Income tax (beneft) provision</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(28,419)</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15,824</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(10,168)</w:t>
            </w:r>
          </w:p>
        </w:tc>
        <w:tc>
          <w:tcPr>
            <w:tcW w:w="20" w:type="dxa"/>
            <w:vAlign w:val="bottom"/>
          </w:tcPr>
          <w:p>
            <w:pPr>
              <w:spacing w:after="0"/>
              <w:rPr>
                <w:sz w:val="21"/>
                <w:szCs w:val="21"/>
                <w:color w:val="auto"/>
              </w:rPr>
            </w:pPr>
          </w:p>
        </w:tc>
      </w:tr>
      <w:tr>
        <w:trPr>
          <w:trHeight w:val="196"/>
        </w:trPr>
        <w:tc>
          <w:tcPr>
            <w:tcW w:w="736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Net (loss) income</w:t>
            </w:r>
          </w:p>
        </w:tc>
        <w:tc>
          <w:tcPr>
            <w:tcW w:w="280" w:type="dxa"/>
            <w:vAlign w:val="bottom"/>
            <w:tcBorders>
              <w:top w:val="single" w:sz="8" w:color="51555C"/>
            </w:tcBorders>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(283,172)</w:t>
            </w:r>
          </w:p>
        </w:tc>
        <w:tc>
          <w:tcPr>
            <w:tcW w:w="300" w:type="dxa"/>
            <w:vAlign w:val="bottom"/>
            <w:tcBorders>
              <w:top w:val="single" w:sz="8" w:color="51555C"/>
            </w:tcBorders>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1,820</w:t>
            </w:r>
          </w:p>
        </w:tc>
        <w:tc>
          <w:tcPr>
            <w:tcW w:w="300" w:type="dxa"/>
            <w:vAlign w:val="bottom"/>
            <w:tcBorders>
              <w:top w:val="single" w:sz="8" w:color="51555C"/>
            </w:tcBorders>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(45,407)</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73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(Loss) earnings per share</w:t>
            </w:r>
          </w:p>
        </w:tc>
        <w:tc>
          <w:tcPr>
            <w:tcW w:w="28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Basic</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(5.60)</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0.03</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(0.88)</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Diluted</w:t>
            </w:r>
          </w:p>
        </w:tc>
        <w:tc>
          <w:tcPr>
            <w:tcW w:w="280" w:type="dxa"/>
            <w:vAlign w:val="bottom"/>
            <w:tcBorders>
              <w:bottom w:val="single" w:sz="8" w:color="EBFBFF"/>
            </w:tcBorders>
            <w:shd w:val="clear" w:color="auto" w:fill="EBFBFF"/>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(5.60)</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0.03</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(0.88)</w:t>
            </w:r>
          </w:p>
        </w:tc>
        <w:tc>
          <w:tcPr>
            <w:tcW w:w="20" w:type="dxa"/>
            <w:vAlign w:val="bottom"/>
          </w:tcPr>
          <w:p>
            <w:pPr>
              <w:spacing w:after="0"/>
              <w:rPr>
                <w:sz w:val="19"/>
                <w:szCs w:val="19"/>
                <w:color w:val="auto"/>
              </w:rPr>
            </w:pPr>
          </w:p>
        </w:tc>
      </w:tr>
      <w:tr>
        <w:trPr>
          <w:trHeight w:val="202"/>
        </w:trPr>
        <w:tc>
          <w:tcPr>
            <w:tcW w:w="7360" w:type="dxa"/>
            <w:vAlign w:val="bottom"/>
          </w:tcPr>
          <w:p>
            <w:pPr>
              <w:ind w:left="20"/>
              <w:spacing w:after="0"/>
              <w:rPr>
                <w:sz w:val="20"/>
                <w:szCs w:val="20"/>
                <w:color w:val="auto"/>
              </w:rPr>
            </w:pPr>
            <w:r>
              <w:rPr>
                <w:rFonts w:ascii="Calibri" w:cs="Calibri" w:eastAsia="Calibri" w:hAnsi="Calibri"/>
                <w:sz w:val="16"/>
                <w:szCs w:val="16"/>
                <w:b w:val="1"/>
                <w:bCs w:val="1"/>
                <w:color w:val="51555C"/>
              </w:rPr>
              <w:t>Common shares and equivalents outstanding</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Basic weighted average shares</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50,560,538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52,546,406</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51,569,148</w:t>
            </w: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Diluted weighted average shares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50,560,538</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53,721,342</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51,569,148</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Other comprehensive (loss) income</w:t>
            </w:r>
          </w:p>
        </w:tc>
        <w:tc>
          <w:tcPr>
            <w:tcW w:w="28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360" w:type="dxa"/>
            <w:vAlign w:val="bottom"/>
          </w:tcPr>
          <w:p>
            <w:pPr>
              <w:ind w:left="240"/>
              <w:spacing w:after="0"/>
              <w:rPr>
                <w:sz w:val="20"/>
                <w:szCs w:val="20"/>
                <w:color w:val="auto"/>
              </w:rPr>
            </w:pPr>
            <w:r>
              <w:rPr>
                <w:rFonts w:ascii="Calibri" w:cs="Calibri" w:eastAsia="Calibri" w:hAnsi="Calibri"/>
                <w:sz w:val="16"/>
                <w:szCs w:val="16"/>
                <w:color w:val="51555C"/>
              </w:rPr>
              <w:t>Foreign currency translaton adjustment</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(2,822)</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5,049</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(16,160)</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6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6"/>
                <w:szCs w:val="16"/>
                <w:color w:val="51555C"/>
              </w:rPr>
              <w:t>Unrealized (loss) gain on derivatve instruments, net of tax</w:t>
            </w:r>
          </w:p>
        </w:tc>
        <w:tc>
          <w:tcPr>
            <w:tcW w:w="2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(359)</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(15,675)</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18,576</w:t>
            </w:r>
          </w:p>
        </w:tc>
        <w:tc>
          <w:tcPr>
            <w:tcW w:w="20" w:type="dxa"/>
            <w:vAlign w:val="bottom"/>
          </w:tcPr>
          <w:p>
            <w:pPr>
              <w:spacing w:after="0"/>
              <w:rPr>
                <w:sz w:val="21"/>
                <w:szCs w:val="21"/>
                <w:color w:val="auto"/>
              </w:rPr>
            </w:pPr>
          </w:p>
        </w:tc>
      </w:tr>
      <w:tr>
        <w:trPr>
          <w:trHeight w:val="195"/>
        </w:trPr>
        <w:tc>
          <w:tcPr>
            <w:tcW w:w="7360" w:type="dxa"/>
            <w:vAlign w:val="bottom"/>
          </w:tcPr>
          <w:p>
            <w:pPr>
              <w:ind w:left="460"/>
              <w:spacing w:after="0" w:line="182" w:lineRule="exact"/>
              <w:rPr>
                <w:sz w:val="20"/>
                <w:szCs w:val="20"/>
                <w:color w:val="auto"/>
              </w:rPr>
            </w:pPr>
            <w:r>
              <w:rPr>
                <w:rFonts w:ascii="Calibri" w:cs="Calibri" w:eastAsia="Calibri" w:hAnsi="Calibri"/>
                <w:sz w:val="16"/>
                <w:szCs w:val="16"/>
                <w:b w:val="1"/>
                <w:bCs w:val="1"/>
                <w:color w:val="51555C"/>
              </w:rPr>
              <w:t>Total other comprehensive (loss) income</w:t>
            </w:r>
          </w:p>
        </w:tc>
        <w:tc>
          <w:tcPr>
            <w:tcW w:w="28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(3,181)</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(10,626)</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2,416</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73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Comprehensive loss</w:t>
            </w:r>
          </w:p>
        </w:tc>
        <w:tc>
          <w:tcPr>
            <w:tcW w:w="280" w:type="dxa"/>
            <w:vAlign w:val="bottom"/>
            <w:tcBorders>
              <w:bottom w:val="single" w:sz="8" w:color="EBFBFF"/>
            </w:tcBorders>
            <w:shd w:val="clear" w:color="auto" w:fill="EBFBFF"/>
          </w:tcPr>
          <w:p>
            <w:pPr>
              <w:jc w:val="right"/>
              <w:ind w:right="9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(286,353)</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(8,806)</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(42,991)</w:t>
            </w:r>
          </w:p>
        </w:tc>
        <w:tc>
          <w:tcPr>
            <w:tcW w:w="20" w:type="dxa"/>
            <w:vAlign w:val="bottom"/>
          </w:tcPr>
          <w:p>
            <w:pPr>
              <w:spacing w:after="0"/>
              <w:rPr>
                <w:sz w:val="18"/>
                <w:szCs w:val="18"/>
                <w:color w:val="auto"/>
              </w:rPr>
            </w:pPr>
          </w:p>
        </w:tc>
      </w:tr>
      <w:tr>
        <w:trPr>
          <w:trHeight w:val="20"/>
        </w:trPr>
        <w:tc>
          <w:tcPr>
            <w:tcW w:w="736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-5425440</wp:posOffset>
            </wp:positionV>
            <wp:extent cx="24771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8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70</w:t>
      </w:r>
      <w:r>
        <w:rPr>
          <w:sz w:val="20"/>
          <w:szCs w:val="20"/>
          <w:color w:val="auto"/>
        </w:rPr>
        <w:tab/>
      </w:r>
      <w:r>
        <w:rPr>
          <w:sz w:val="1"/>
          <w:szCs w:val="1"/>
          <w:color w:val="auto"/>
        </w:rPr>
        <w:drawing>
          <wp:inline distT="0" distB="0" distL="0" distR="0">
            <wp:extent cx="728345" cy="18859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72" w:name="page73"/>
    <w:bookmarkEnd w:id="72"/>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40575" cy="4718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40"/>
        <w:spacing w:after="0"/>
        <w:rPr>
          <w:sz w:val="20"/>
          <w:szCs w:val="20"/>
          <w:color w:val="auto"/>
        </w:rPr>
      </w:pPr>
      <w:r>
        <w:rPr>
          <w:rFonts w:ascii="Calibri" w:cs="Calibri" w:eastAsia="Calibri" w:hAnsi="Calibri"/>
          <w:sz w:val="14"/>
          <w:szCs w:val="14"/>
          <w:b w:val="1"/>
          <w:bCs w:val="1"/>
          <w:color w:val="FFFFFF"/>
        </w:rPr>
        <w:t>Years ended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1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1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tcPr>
          <w:p>
            <w:pPr>
              <w:spacing w:after="0"/>
              <w:rPr>
                <w:sz w:val="16"/>
                <w:szCs w:val="16"/>
                <w:color w:val="auto"/>
              </w:rPr>
            </w:pPr>
          </w:p>
        </w:tc>
      </w:tr>
      <w:tr>
        <w:trPr>
          <w:trHeight w:val="53"/>
        </w:trPr>
        <w:tc>
          <w:tcPr>
            <w:tcW w:w="7920" w:type="dxa"/>
            <w:vAlign w:val="bottom"/>
            <w:tcBorders>
              <w:bottom w:val="single" w:sz="8" w:color="004054"/>
            </w:tcBorders>
          </w:tcPr>
          <w:p>
            <w:pPr>
              <w:spacing w:after="0"/>
              <w:rPr>
                <w:sz w:val="4"/>
                <w:szCs w:val="4"/>
                <w:color w:val="auto"/>
              </w:rPr>
            </w:pPr>
          </w:p>
        </w:tc>
        <w:tc>
          <w:tcPr>
            <w:tcW w:w="1110" w:type="dxa"/>
            <w:vAlign w:val="bottom"/>
            <w:tcBorders>
              <w:bottom w:val="single" w:sz="8" w:color="004054"/>
            </w:tcBorders>
            <w:shd w:val="clear" w:color="auto" w:fill="004054"/>
          </w:tcPr>
          <w:p>
            <w:pPr>
              <w:spacing w:after="0"/>
              <w:rPr>
                <w:sz w:val="4"/>
                <w:szCs w:val="4"/>
                <w:color w:val="auto"/>
              </w:rPr>
            </w:pPr>
          </w:p>
        </w:tc>
        <w:tc>
          <w:tcPr>
            <w:tcW w:w="111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tcPr>
          <w:p>
            <w:pPr>
              <w:spacing w:after="0"/>
              <w:rPr>
                <w:sz w:val="4"/>
                <w:szCs w:val="4"/>
                <w:color w:val="auto"/>
              </w:rPr>
            </w:pPr>
          </w:p>
        </w:tc>
      </w:tr>
    </w:tbl>
    <w:p>
      <w:pPr>
        <w:spacing w:after="0" w:line="7" w:lineRule="exact"/>
        <w:rPr>
          <w:sz w:val="20"/>
          <w:szCs w:val="20"/>
          <w:color w:val="auto"/>
        </w:rPr>
      </w:pPr>
    </w:p>
    <w:p>
      <w:pPr>
        <w:sectPr>
          <w:pgSz w:w="11900" w:h="16838" w:orient="portrait"/>
          <w:cols w:equalWidth="0" w:num="1">
            <w:col w:w="11260"/>
          </w:cols>
          <w:pgMar w:left="320" w:top="274" w:right="319" w:bottom="352" w:gutter="0" w:footer="0" w:header="0"/>
        </w:sectPr>
      </w:pPr>
    </w:p>
    <w:p>
      <w:pPr>
        <w:ind w:left="20"/>
        <w:spacing w:after="0"/>
        <w:rPr>
          <w:sz w:val="20"/>
          <w:szCs w:val="20"/>
          <w:color w:val="auto"/>
        </w:rPr>
      </w:pPr>
      <w:r>
        <w:rPr>
          <w:rFonts w:ascii="Calibri" w:cs="Calibri" w:eastAsia="Calibri" w:hAnsi="Calibri"/>
          <w:sz w:val="16"/>
          <w:szCs w:val="16"/>
          <w:b w:val="1"/>
          <w:bCs w:val="1"/>
          <w:color w:val="51555C"/>
        </w:rPr>
        <w:t>Cash fows from operatng actvites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Adjustments to reconcile net (loss) income to net cash provided by operatng actvites: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Provision for credit losses and sales returns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Stock-based compensaton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Deferred taxes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Amortzaton of deferred fnancing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Loss on dispositon of businesses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EVERFI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Other non-cash adjustments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Changes in operatng assets and liabilites, net of acquisiton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Accounts receivable</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Trade accounts payable</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Accrued expenses and other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Deferred revenue</w:t>
      </w:r>
    </w:p>
    <w:p>
      <w:pPr>
        <w:spacing w:after="0" w:line="4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provided by operatng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Calibri" w:cs="Calibri" w:eastAsia="Calibri" w:hAnsi="Calibri"/>
          <w:sz w:val="16"/>
          <w:szCs w:val="16"/>
          <w:b w:val="1"/>
          <w:bCs w:val="1"/>
          <w:color w:val="51555C"/>
        </w:rPr>
        <w:t>Cash fows from investng actvites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Capitalized sofware and content development costs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net assets of acquired companies,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Cash (used) received in dispositon of business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used in investng actvites</w:t>
      </w:r>
    </w:p>
    <w:p>
      <w:pPr>
        <w:spacing w:after="0" w:line="61" w:lineRule="exact"/>
        <w:rPr>
          <w:sz w:val="20"/>
          <w:szCs w:val="20"/>
          <w:color w:val="auto"/>
        </w:rPr>
      </w:pPr>
    </w:p>
    <w:p>
      <w:pPr>
        <w:ind w:left="140"/>
        <w:spacing w:after="0"/>
        <w:rPr>
          <w:sz w:val="20"/>
          <w:szCs w:val="20"/>
          <w:color w:val="auto"/>
        </w:rPr>
      </w:pPr>
      <w:r>
        <w:rPr>
          <w:rFonts w:ascii="Calibri" w:cs="Calibri" w:eastAsia="Calibri" w:hAnsi="Calibri"/>
          <w:sz w:val="16"/>
          <w:szCs w:val="16"/>
          <w:b w:val="1"/>
          <w:bCs w:val="1"/>
          <w:color w:val="51555C"/>
        </w:rPr>
        <w:t>Cash fows from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Proceeds from issuance of debt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Debt issuance costs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40" w:right="2280"/>
        <w:spacing w:after="0" w:line="296" w:lineRule="auto"/>
        <w:rPr>
          <w:sz w:val="20"/>
          <w:szCs w:val="20"/>
          <w:color w:val="auto"/>
        </w:rPr>
      </w:pPr>
      <w:r>
        <w:rPr>
          <w:rFonts w:ascii="Calibri" w:cs="Calibri" w:eastAsia="Calibri" w:hAnsi="Calibri"/>
          <w:sz w:val="16"/>
          <w:szCs w:val="16"/>
          <w:color w:val="51555C"/>
        </w:rPr>
        <w:t>Employee taxes paid for withheld shares upon equity award setlement 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40"/>
        <w:spacing w:after="0"/>
        <w:rPr>
          <w:sz w:val="20"/>
          <w:szCs w:val="20"/>
          <w:color w:val="auto"/>
        </w:rPr>
      </w:pPr>
      <w:r>
        <w:rPr>
          <w:rFonts w:ascii="Calibri" w:cs="Calibri" w:eastAsia="Calibri" w:hAnsi="Calibri"/>
          <w:sz w:val="16"/>
          <w:szCs w:val="16"/>
          <w:color w:val="51555C"/>
        </w:rPr>
        <w:t>Change in customer funds receivable</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used in fnancing actvites</w:t>
      </w:r>
    </w:p>
    <w:p>
      <w:pPr>
        <w:spacing w:after="0" w:line="61"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Efect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Net increase (decrease) in cash, cash equivalents and restricted cash</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Supplemental disclosure of cash fow informaton</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Cash (paid) for taxes, net of refunds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Non-cash investng and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40" w:right="2240"/>
        <w:spacing w:after="0" w:line="296" w:lineRule="auto"/>
        <w:rPr>
          <w:sz w:val="20"/>
          <w:szCs w:val="20"/>
          <w:color w:val="auto"/>
        </w:rPr>
      </w:pPr>
      <w:r>
        <w:rPr>
          <w:rFonts w:ascii="Calibri" w:cs="Calibri" w:eastAsia="Calibri" w:hAnsi="Calibri"/>
          <w:sz w:val="16"/>
          <w:szCs w:val="16"/>
          <w:color w:val="51555C"/>
        </w:rPr>
        <w:t>Purchase of sofware and services by assuming directly related liabilites Purchase of equipment and other assets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jc w:val="right"/>
              <w:ind w:right="39"/>
              <w:spacing w:after="0"/>
              <w:rPr>
                <w:sz w:val="20"/>
                <w:szCs w:val="20"/>
                <w:color w:val="auto"/>
              </w:rPr>
            </w:pPr>
            <w:r>
              <w:rPr>
                <w:rFonts w:ascii="Calibri" w:cs="Calibri" w:eastAsia="Calibri" w:hAnsi="Calibri"/>
                <w:sz w:val="16"/>
                <w:szCs w:val="16"/>
                <w:color w:val="51555C"/>
                <w:w w:val="97"/>
              </w:rPr>
              <w:t>$</w:t>
            </w: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(283,172)</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(45,407)</w:t>
            </w:r>
          </w:p>
        </w:tc>
      </w:tr>
      <w:tr>
        <w:trPr>
          <w:trHeight w:val="486"/>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121,665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109,487</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102,369</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4,932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4,500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6,066</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104,968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127,762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110,294</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(85,011)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(24,368)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(26,644)</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2,538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1,775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2,364</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16,847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390,204</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2,462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5,023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5,676</w:t>
            </w:r>
          </w:p>
        </w:tc>
      </w:tr>
      <w:tr>
        <w:trPr>
          <w:trHeight w:val="486"/>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4,729</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(3,237)</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(7,340)</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3,339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16,851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26,235</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28,336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(18,576)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21,607</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(13,328)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(30,275)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(2,386)</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(2,541)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8,872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11,059</w:t>
            </w:r>
          </w:p>
        </w:tc>
      </w:tr>
      <w:tr>
        <w:trPr>
          <w:trHeight w:val="41"/>
        </w:trPr>
        <w:tc>
          <w:tcPr>
            <w:tcW w:w="2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6"/>
        </w:trPr>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295,968</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199,634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203,893</w:t>
            </w:r>
          </w:p>
        </w:tc>
      </w:tr>
      <w:tr>
        <w:trPr>
          <w:trHeight w:val="486"/>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(7,443)</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(4,685)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(12,289)</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(59,757)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(59,443)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(58,774)</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(20,912)</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(1,179)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6,426</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(5,029)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(250)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41"/>
        </w:trPr>
        <w:tc>
          <w:tcPr>
            <w:tcW w:w="2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(73,408)</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(64,391)</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(85,549)</w:t>
            </w:r>
          </w:p>
        </w:tc>
      </w:tr>
      <w:tr>
        <w:trPr>
          <w:trHeight w:val="486"/>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1,441,400</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293,200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211,000</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(1,144,709)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(374,595)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(310,740)</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(6,458)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(1,339)</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(56,828)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(35,867)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(36,376)</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46,957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(6,812)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111,386</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(1,679)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380</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(418,034)</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(18,831)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41"/>
        </w:trPr>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5"/>
        </w:trPr>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(139,351)</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(142,965)</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(25,689)</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(1,954)</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2,048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(10,486)</w:t>
            </w:r>
          </w:p>
        </w:tc>
      </w:tr>
      <w:tr>
        <w:trPr>
          <w:trHeight w:val="41"/>
        </w:trPr>
        <w:tc>
          <w:tcPr>
            <w:tcW w:w="2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81,255</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(5,674)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82,169</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728,257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733,931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651,762</w:t>
            </w:r>
          </w:p>
        </w:tc>
      </w:tr>
      <w:tr>
        <w:trPr>
          <w:trHeight w:val="41"/>
        </w:trPr>
        <w:tc>
          <w:tcPr>
            <w:tcW w:w="2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20" w:type="dxa"/>
            <w:vAlign w:val="bottom"/>
          </w:tcPr>
          <w:p>
            <w:pPr>
              <w:jc w:val="right"/>
              <w:ind w:right="39"/>
              <w:spacing w:after="0"/>
              <w:rPr>
                <w:sz w:val="20"/>
                <w:szCs w:val="20"/>
                <w:color w:val="auto"/>
              </w:rPr>
            </w:pPr>
            <w:r>
              <w:rPr>
                <w:rFonts w:ascii="Calibri" w:cs="Calibri" w:eastAsia="Calibri" w:hAnsi="Calibri"/>
                <w:sz w:val="16"/>
                <w:szCs w:val="16"/>
                <w:color w:val="51555C"/>
                <w:w w:val="97"/>
              </w:rPr>
              <w:t>$</w:t>
            </w:r>
          </w:p>
        </w:tc>
        <w:tc>
          <w:tcPr>
            <w:tcW w:w="880" w:type="dxa"/>
            <w:vAlign w:val="bottom"/>
          </w:tcPr>
          <w:p>
            <w:pPr>
              <w:jc w:val="right"/>
              <w:spacing w:after="0"/>
              <w:rPr>
                <w:sz w:val="20"/>
                <w:szCs w:val="20"/>
                <w:color w:val="auto"/>
              </w:rPr>
            </w:pPr>
            <w:r>
              <w:rPr>
                <w:rFonts w:ascii="Calibri" w:cs="Calibri" w:eastAsia="Calibri" w:hAnsi="Calibri"/>
                <w:sz w:val="16"/>
                <w:szCs w:val="16"/>
                <w:color w:val="51555C"/>
              </w:rPr>
              <w:t>809,512</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728,257</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733,931</w:t>
            </w:r>
          </w:p>
        </w:tc>
      </w:tr>
      <w:tr>
        <w:trPr>
          <w:trHeight w:val="41"/>
        </w:trPr>
        <w:tc>
          <w:tcPr>
            <w:tcW w:w="2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479"/>
        </w:trPr>
        <w:tc>
          <w:tcPr>
            <w:tcW w:w="220" w:type="dxa"/>
            <w:vAlign w:val="bottom"/>
          </w:tcPr>
          <w:p>
            <w:pPr>
              <w:jc w:val="right"/>
              <w:ind w:right="39"/>
              <w:spacing w:after="0"/>
              <w:rPr>
                <w:sz w:val="20"/>
                <w:szCs w:val="20"/>
                <w:color w:val="auto"/>
              </w:rPr>
            </w:pPr>
            <w:r>
              <w:rPr>
                <w:rFonts w:ascii="Calibri" w:cs="Calibri" w:eastAsia="Calibri" w:hAnsi="Calibri"/>
                <w:sz w:val="16"/>
                <w:szCs w:val="16"/>
                <w:color w:val="51555C"/>
                <w:w w:val="97"/>
              </w:rPr>
              <w:t>$</w:t>
            </w:r>
          </w:p>
        </w:tc>
        <w:tc>
          <w:tcPr>
            <w:tcW w:w="880" w:type="dxa"/>
            <w:vAlign w:val="bottom"/>
          </w:tcPr>
          <w:p>
            <w:pPr>
              <w:jc w:val="right"/>
              <w:spacing w:after="0"/>
              <w:rPr>
                <w:sz w:val="20"/>
                <w:szCs w:val="20"/>
                <w:color w:val="auto"/>
              </w:rPr>
            </w:pPr>
            <w:r>
              <w:rPr>
                <w:rFonts w:ascii="Calibri" w:cs="Calibri" w:eastAsia="Calibri" w:hAnsi="Calibri"/>
                <w:sz w:val="16"/>
                <w:szCs w:val="16"/>
                <w:color w:val="51555C"/>
              </w:rPr>
              <w:t>(51,881)</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(38,052)</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(33,371)</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(60,668)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(35,619)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(9,670)</w:t>
            </w:r>
          </w:p>
        </w:tc>
      </w:tr>
      <w:tr>
        <w:trPr>
          <w:trHeight w:val="486"/>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(2,073)</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(2,491)</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(1,710)</w:t>
            </w:r>
          </w:p>
        </w:tc>
      </w:tr>
      <w:tr>
        <w:trPr>
          <w:trHeight w:val="243"/>
        </w:trPr>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6"/>
                <w:szCs w:val="16"/>
                <w:color w:val="51555C"/>
              </w:rPr>
              <w:t>(31)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(837)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(158)</w:t>
            </w:r>
          </w:p>
        </w:tc>
      </w:tr>
    </w:tbl>
    <w:p>
      <w:pPr>
        <w:spacing w:after="0" w:line="171" w:lineRule="exact"/>
        <w:rPr>
          <w:sz w:val="20"/>
          <w:szCs w:val="20"/>
          <w:color w:val="auto"/>
        </w:rPr>
      </w:pPr>
    </w:p>
    <w:p>
      <w:pPr>
        <w:sectPr>
          <w:pgSz w:w="11900" w:h="16838" w:orient="portrait"/>
          <w:cols w:equalWidth="0" w:num="2">
            <w:col w:w="7200" w:space="720"/>
            <w:col w:w="3340"/>
          </w:cols>
          <w:pgMar w:left="320" w:top="274" w:right="319" w:bottom="352" w:gutter="0" w:footer="0" w:header="0"/>
          <w:type w:val="continuous"/>
        </w:sectPr>
      </w:pPr>
    </w:p>
    <w:p>
      <w:pPr>
        <w:ind w:right="20"/>
        <w:spacing w:after="0" w:line="235" w:lineRule="auto"/>
        <w:rPr>
          <w:sz w:val="20"/>
          <w:szCs w:val="20"/>
          <w:color w:val="auto"/>
        </w:rPr>
      </w:pPr>
      <w:r>
        <w:rPr>
          <w:rFonts w:ascii="Calibri" w:cs="Calibri" w:eastAsia="Calibri" w:hAnsi="Calibri"/>
          <w:sz w:val="16"/>
          <w:szCs w:val="16"/>
          <w:color w:val="51555C"/>
        </w:rPr>
        <w:t>The following table provides a reconciliaton of cash and cash equivalents and restricted cash reported within the consolidated balance sheets that sum to the total of the same such amounts shown above in the consolidated statements of cash fows: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4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6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4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794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23"/>
        </w:trPr>
        <w:tc>
          <w:tcPr>
            <w:tcW w:w="7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Cash and cash equivalents</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67,628</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31,251</w:t>
            </w:r>
          </w:p>
        </w:tc>
        <w:tc>
          <w:tcPr>
            <w:tcW w:w="20" w:type="dxa"/>
            <w:vAlign w:val="bottom"/>
          </w:tcPr>
          <w:p>
            <w:pPr>
              <w:spacing w:after="0"/>
              <w:rPr>
                <w:sz w:val="19"/>
                <w:szCs w:val="19"/>
                <w:color w:val="auto"/>
              </w:rPr>
            </w:pPr>
          </w:p>
        </w:tc>
      </w:tr>
      <w:tr>
        <w:trPr>
          <w:trHeight w:val="202"/>
        </w:trPr>
        <w:tc>
          <w:tcPr>
            <w:tcW w:w="7940" w:type="dxa"/>
            <w:vAlign w:val="bottom"/>
          </w:tcPr>
          <w:p>
            <w:pPr>
              <w:ind w:left="20"/>
              <w:spacing w:after="0"/>
              <w:rPr>
                <w:sz w:val="20"/>
                <w:szCs w:val="20"/>
                <w:color w:val="auto"/>
              </w:rPr>
            </w:pPr>
            <w:r>
              <w:rPr>
                <w:rFonts w:ascii="Calibri" w:cs="Calibri" w:eastAsia="Calibri" w:hAnsi="Calibri"/>
                <w:sz w:val="16"/>
                <w:szCs w:val="16"/>
                <w:color w:val="51555C"/>
              </w:rPr>
              <w:t>Restricted cash</w:t>
            </w: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Calibri" w:cs="Calibri" w:eastAsia="Calibri" w:hAnsi="Calibri"/>
                <w:sz w:val="16"/>
                <w:szCs w:val="16"/>
                <w:color w:val="51555C"/>
              </w:rPr>
              <w:t>741,884</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697,006</w:t>
            </w:r>
          </w:p>
        </w:tc>
        <w:tc>
          <w:tcPr>
            <w:tcW w:w="20" w:type="dxa"/>
            <w:vAlign w:val="bottom"/>
          </w:tcPr>
          <w:p>
            <w:pPr>
              <w:spacing w:after="0"/>
              <w:rPr>
                <w:sz w:val="17"/>
                <w:szCs w:val="17"/>
                <w:color w:val="auto"/>
              </w:rPr>
            </w:pPr>
          </w:p>
        </w:tc>
      </w:tr>
      <w:tr>
        <w:trPr>
          <w:trHeight w:val="41"/>
        </w:trPr>
        <w:tc>
          <w:tcPr>
            <w:tcW w:w="7940" w:type="dxa"/>
            <w:vAlign w:val="bottom"/>
            <w:tcBorders>
              <w:bottom w:val="single" w:sz="8" w:color="EBFBFF"/>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794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color w:val="51555C"/>
              </w:rPr>
              <w:t>Total cash, cash equivalents and restricted cash in the statement of cash fows</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809,512</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728,257</w:t>
            </w:r>
          </w:p>
        </w:tc>
        <w:tc>
          <w:tcPr>
            <w:tcW w:w="20" w:type="dxa"/>
            <w:vAlign w:val="bottom"/>
          </w:tcPr>
          <w:p>
            <w:pPr>
              <w:spacing w:after="0"/>
              <w:rPr>
                <w:sz w:val="18"/>
                <w:szCs w:val="18"/>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240030</wp:posOffset>
            </wp:positionV>
            <wp:extent cx="72898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352" w:gutter="0" w:footer="0" w:header="0"/>
          <w:type w:val="continuous"/>
        </w:sectPr>
      </w:pPr>
    </w:p>
    <w:bookmarkStart w:id="73" w:name="page74"/>
    <w:bookmarkEnd w:id="73"/>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3740" w:type="dxa"/>
            <w:vAlign w:val="bottom"/>
            <w:shd w:val="clear" w:color="auto" w:fill="004054"/>
          </w:tcPr>
          <w:p>
            <w:pPr>
              <w:spacing w:after="0"/>
              <w:rPr>
                <w:sz w:val="24"/>
                <w:szCs w:val="24"/>
                <w:color w:val="auto"/>
              </w:rPr>
            </w:pPr>
          </w:p>
        </w:tc>
        <w:tc>
          <w:tcPr>
            <w:tcW w:w="920" w:type="dxa"/>
            <w:vAlign w:val="bottom"/>
            <w:shd w:val="clear" w:color="auto" w:fill="004054"/>
          </w:tcPr>
          <w:p>
            <w:pPr>
              <w:spacing w:after="0"/>
              <w:rPr>
                <w:sz w:val="24"/>
                <w:szCs w:val="24"/>
                <w:color w:val="auto"/>
              </w:rPr>
            </w:pPr>
          </w:p>
        </w:tc>
        <w:tc>
          <w:tcPr>
            <w:tcW w:w="140" w:type="dxa"/>
            <w:vAlign w:val="bottom"/>
            <w:shd w:val="clear" w:color="auto" w:fill="004054"/>
          </w:tcPr>
          <w:p>
            <w:pPr>
              <w:spacing w:after="0"/>
              <w:rPr>
                <w:sz w:val="24"/>
                <w:szCs w:val="24"/>
                <w:color w:val="auto"/>
              </w:rPr>
            </w:pPr>
          </w:p>
        </w:tc>
        <w:tc>
          <w:tcPr>
            <w:tcW w:w="640" w:type="dxa"/>
            <w:vAlign w:val="bottom"/>
            <w:shd w:val="clear" w:color="auto" w:fill="004054"/>
          </w:tcPr>
          <w:p>
            <w:pPr>
              <w:spacing w:after="0"/>
              <w:rPr>
                <w:sz w:val="24"/>
                <w:szCs w:val="24"/>
                <w:color w:val="auto"/>
              </w:rPr>
            </w:pPr>
          </w:p>
        </w:tc>
        <w:tc>
          <w:tcPr>
            <w:tcW w:w="920" w:type="dxa"/>
            <w:vAlign w:val="bottom"/>
            <w:shd w:val="clear" w:color="auto" w:fill="004054"/>
          </w:tcPr>
          <w:p>
            <w:pPr>
              <w:spacing w:after="0"/>
              <w:rPr>
                <w:sz w:val="24"/>
                <w:szCs w:val="24"/>
                <w:color w:val="auto"/>
              </w:rPr>
            </w:pPr>
          </w:p>
        </w:tc>
        <w:tc>
          <w:tcPr>
            <w:tcW w:w="120" w:type="dxa"/>
            <w:vAlign w:val="bottom"/>
            <w:shd w:val="clear" w:color="auto" w:fill="004054"/>
          </w:tcPr>
          <w:p>
            <w:pPr>
              <w:spacing w:after="0"/>
              <w:rPr>
                <w:sz w:val="24"/>
                <w:szCs w:val="24"/>
                <w:color w:val="auto"/>
              </w:rPr>
            </w:pPr>
          </w:p>
        </w:tc>
        <w:tc>
          <w:tcPr>
            <w:tcW w:w="880" w:type="dxa"/>
            <w:vAlign w:val="bottom"/>
            <w:shd w:val="clear" w:color="auto" w:fill="004054"/>
          </w:tcPr>
          <w:p>
            <w:pPr>
              <w:spacing w:after="0"/>
              <w:rPr>
                <w:sz w:val="24"/>
                <w:szCs w:val="24"/>
                <w:color w:val="auto"/>
              </w:rPr>
            </w:pPr>
          </w:p>
        </w:tc>
        <w:tc>
          <w:tcPr>
            <w:tcW w:w="120" w:type="dxa"/>
            <w:vAlign w:val="bottom"/>
            <w:shd w:val="clear" w:color="auto" w:fill="004054"/>
          </w:tcPr>
          <w:p>
            <w:pPr>
              <w:spacing w:after="0"/>
              <w:rPr>
                <w:sz w:val="24"/>
                <w:szCs w:val="24"/>
                <w:color w:val="auto"/>
              </w:rPr>
            </w:pPr>
          </w:p>
        </w:tc>
        <w:tc>
          <w:tcPr>
            <w:tcW w:w="720" w:type="dxa"/>
            <w:vAlign w:val="bottom"/>
            <w:shd w:val="clear" w:color="auto" w:fill="004054"/>
          </w:tcPr>
          <w:p>
            <w:pPr>
              <w:spacing w:after="0"/>
              <w:rPr>
                <w:sz w:val="24"/>
                <w:szCs w:val="24"/>
                <w:color w:val="auto"/>
              </w:rPr>
            </w:pPr>
          </w:p>
        </w:tc>
        <w:tc>
          <w:tcPr>
            <w:tcW w:w="160" w:type="dxa"/>
            <w:vAlign w:val="bottom"/>
            <w:shd w:val="clear" w:color="auto" w:fill="004054"/>
          </w:tcPr>
          <w:p>
            <w:pPr>
              <w:spacing w:after="0"/>
              <w:rPr>
                <w:sz w:val="24"/>
                <w:szCs w:val="24"/>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w:t>
            </w:r>
          </w:p>
        </w:tc>
        <w:tc>
          <w:tcPr>
            <w:tcW w:w="880" w:type="dxa"/>
            <w:vAlign w:val="bottom"/>
            <w:gridSpan w:val="2"/>
            <w:shd w:val="clear" w:color="auto" w:fill="004054"/>
          </w:tcPr>
          <w:p>
            <w:pPr>
              <w:ind w:left="20"/>
              <w:spacing w:after="0"/>
              <w:rPr>
                <w:sz w:val="20"/>
                <w:szCs w:val="20"/>
                <w:color w:val="auto"/>
              </w:rPr>
            </w:pPr>
            <w:r>
              <w:rPr>
                <w:rFonts w:ascii="Calibri" w:cs="Calibri" w:eastAsia="Calibri" w:hAnsi="Calibri"/>
                <w:sz w:val="14"/>
                <w:szCs w:val="14"/>
                <w:b w:val="1"/>
                <w:bCs w:val="1"/>
                <w:color w:val="FFFFFF"/>
              </w:rPr>
              <w:t>(Accumulated</w:t>
            </w:r>
          </w:p>
        </w:tc>
        <w:tc>
          <w:tcPr>
            <w:tcW w:w="160" w:type="dxa"/>
            <w:vAlign w:val="bottom"/>
            <w:shd w:val="clear" w:color="auto" w:fill="004054"/>
          </w:tcPr>
          <w:p>
            <w:pPr>
              <w:spacing w:after="0"/>
              <w:rPr>
                <w:sz w:val="24"/>
                <w:szCs w:val="24"/>
                <w:color w:val="auto"/>
              </w:rPr>
            </w:pPr>
          </w:p>
        </w:tc>
        <w:tc>
          <w:tcPr>
            <w:tcW w:w="860" w:type="dxa"/>
            <w:vAlign w:val="bottom"/>
            <w:shd w:val="clear" w:color="auto" w:fill="004054"/>
          </w:tcPr>
          <w:p>
            <w:pPr>
              <w:spacing w:after="0"/>
              <w:rPr>
                <w:sz w:val="24"/>
                <w:szCs w:val="24"/>
                <w:color w:val="auto"/>
              </w:rPr>
            </w:pPr>
          </w:p>
        </w:tc>
        <w:tc>
          <w:tcPr>
            <w:tcW w:w="20" w:type="dxa"/>
            <w:vAlign w:val="bottom"/>
            <w:shd w:val="clear" w:color="auto" w:fill="004054"/>
          </w:tcPr>
          <w:p>
            <w:pPr>
              <w:spacing w:after="0"/>
              <w:rPr>
                <w:sz w:val="24"/>
                <w:szCs w:val="24"/>
                <w:color w:val="auto"/>
              </w:rPr>
            </w:pPr>
          </w:p>
        </w:tc>
      </w:tr>
      <w:tr>
        <w:trPr>
          <w:trHeight w:val="182"/>
        </w:trPr>
        <w:tc>
          <w:tcPr>
            <w:tcW w:w="3740" w:type="dxa"/>
            <w:vAlign w:val="bottom"/>
            <w:shd w:val="clear" w:color="auto" w:fill="004054"/>
          </w:tcPr>
          <w:p>
            <w:pPr>
              <w:spacing w:after="0"/>
              <w:rPr>
                <w:sz w:val="15"/>
                <w:szCs w:val="15"/>
                <w:color w:val="auto"/>
              </w:rPr>
            </w:pPr>
          </w:p>
        </w:tc>
        <w:tc>
          <w:tcPr>
            <w:tcW w:w="1700" w:type="dxa"/>
            <w:vAlign w:val="bottom"/>
            <w:gridSpan w:val="3"/>
            <w:shd w:val="clear" w:color="auto" w:fill="004054"/>
          </w:tcPr>
          <w:p>
            <w:pPr>
              <w:jc w:val="right"/>
              <w:ind w:right="39"/>
              <w:spacing w:after="0"/>
              <w:rPr>
                <w:sz w:val="20"/>
                <w:szCs w:val="20"/>
                <w:color w:val="auto"/>
              </w:rPr>
            </w:pPr>
            <w:r>
              <w:rPr>
                <w:rFonts w:ascii="Calibri" w:cs="Calibri" w:eastAsia="Calibri" w:hAnsi="Calibri"/>
                <w:sz w:val="14"/>
                <w:szCs w:val="14"/>
                <w:b w:val="1"/>
                <w:bCs w:val="1"/>
                <w:color w:val="FFFFFF"/>
              </w:rPr>
              <w:t>Common stock</w:t>
            </w:r>
          </w:p>
        </w:tc>
        <w:tc>
          <w:tcPr>
            <w:tcW w:w="920" w:type="dxa"/>
            <w:vAlign w:val="bottom"/>
            <w:shd w:val="clear" w:color="auto" w:fill="004054"/>
          </w:tcPr>
          <w:p>
            <w:pPr>
              <w:spacing w:after="0"/>
              <w:rPr>
                <w:sz w:val="15"/>
                <w:szCs w:val="15"/>
                <w:color w:val="auto"/>
              </w:rPr>
            </w:pPr>
          </w:p>
        </w:tc>
        <w:tc>
          <w:tcPr>
            <w:tcW w:w="1000" w:type="dxa"/>
            <w:vAlign w:val="bottom"/>
            <w:gridSpan w:val="2"/>
            <w:shd w:val="clear" w:color="auto" w:fill="004054"/>
          </w:tcPr>
          <w:p>
            <w:pPr>
              <w:ind w:left="20"/>
              <w:spacing w:after="0"/>
              <w:rPr>
                <w:sz w:val="20"/>
                <w:szCs w:val="20"/>
                <w:color w:val="auto"/>
              </w:rPr>
            </w:pPr>
            <w:r>
              <w:rPr>
                <w:rFonts w:ascii="Calibri" w:cs="Calibri" w:eastAsia="Calibri" w:hAnsi="Calibri"/>
                <w:sz w:val="14"/>
                <w:szCs w:val="14"/>
                <w:b w:val="1"/>
                <w:bCs w:val="1"/>
                <w:color w:val="FFFFFF"/>
              </w:rPr>
              <w:t>Treasury stock</w:t>
            </w:r>
          </w:p>
        </w:tc>
        <w:tc>
          <w:tcPr>
            <w:tcW w:w="120" w:type="dxa"/>
            <w:vAlign w:val="bottom"/>
            <w:shd w:val="clear" w:color="auto" w:fill="004054"/>
          </w:tcPr>
          <w:p>
            <w:pPr>
              <w:spacing w:after="0"/>
              <w:rPr>
                <w:sz w:val="15"/>
                <w:szCs w:val="15"/>
                <w:color w:val="auto"/>
              </w:rPr>
            </w:pPr>
          </w:p>
        </w:tc>
        <w:tc>
          <w:tcPr>
            <w:tcW w:w="7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Additonal</w:t>
            </w: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other</w:t>
            </w:r>
          </w:p>
        </w:tc>
        <w:tc>
          <w:tcPr>
            <w:tcW w:w="160" w:type="dxa"/>
            <w:vAlign w:val="bottom"/>
            <w:shd w:val="clear" w:color="auto" w:fill="004054"/>
          </w:tcPr>
          <w:p>
            <w:pPr>
              <w:spacing w:after="0"/>
              <w:rPr>
                <w:sz w:val="15"/>
                <w:szCs w:val="15"/>
                <w:color w:val="auto"/>
              </w:rPr>
            </w:pPr>
          </w:p>
        </w:tc>
        <w:tc>
          <w:tcPr>
            <w:tcW w:w="7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defcit)</w:t>
            </w:r>
          </w:p>
        </w:tc>
        <w:tc>
          <w:tcPr>
            <w:tcW w:w="16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5"/>
                <w:szCs w:val="15"/>
                <w:color w:val="auto"/>
              </w:rPr>
            </w:pPr>
          </w:p>
        </w:tc>
      </w:tr>
      <w:tr>
        <w:trPr>
          <w:trHeight w:val="161"/>
        </w:trPr>
        <w:tc>
          <w:tcPr>
            <w:tcW w:w="374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40" w:type="dxa"/>
            <w:vAlign w:val="bottom"/>
            <w:shd w:val="clear" w:color="auto" w:fill="004054"/>
          </w:tcPr>
          <w:p>
            <w:pPr>
              <w:spacing w:after="0"/>
              <w:rPr>
                <w:sz w:val="14"/>
                <w:szCs w:val="14"/>
                <w:color w:val="auto"/>
              </w:rPr>
            </w:pPr>
          </w:p>
        </w:tc>
        <w:tc>
          <w:tcPr>
            <w:tcW w:w="64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720" w:type="dxa"/>
            <w:vAlign w:val="bottom"/>
            <w:shd w:val="clear" w:color="auto" w:fill="004054"/>
          </w:tcPr>
          <w:p>
            <w:pPr>
              <w:jc w:val="right"/>
              <w:spacing w:after="0" w:line="161" w:lineRule="exact"/>
              <w:rPr>
                <w:sz w:val="20"/>
                <w:szCs w:val="20"/>
                <w:color w:val="auto"/>
              </w:rPr>
            </w:pPr>
            <w:r>
              <w:rPr>
                <w:rFonts w:ascii="Calibri" w:cs="Calibri" w:eastAsia="Calibri" w:hAnsi="Calibri"/>
                <w:sz w:val="14"/>
                <w:szCs w:val="14"/>
                <w:b w:val="1"/>
                <w:bCs w:val="1"/>
                <w:color w:val="FFFFFF"/>
              </w:rPr>
              <w:t>paid-in</w:t>
            </w:r>
          </w:p>
        </w:tc>
        <w:tc>
          <w:tcPr>
            <w:tcW w:w="160" w:type="dxa"/>
            <w:vAlign w:val="bottom"/>
            <w:shd w:val="clear" w:color="auto" w:fill="004054"/>
          </w:tcPr>
          <w:p>
            <w:pPr>
              <w:spacing w:after="0"/>
              <w:rPr>
                <w:sz w:val="14"/>
                <w:szCs w:val="14"/>
                <w:color w:val="auto"/>
              </w:rPr>
            </w:pPr>
          </w:p>
        </w:tc>
        <w:tc>
          <w:tcPr>
            <w:tcW w:w="980" w:type="dxa"/>
            <w:vAlign w:val="bottom"/>
            <w:shd w:val="clear" w:color="auto" w:fill="004054"/>
          </w:tcPr>
          <w:p>
            <w:pPr>
              <w:jc w:val="right"/>
              <w:spacing w:after="0" w:line="161" w:lineRule="exact"/>
              <w:rPr>
                <w:sz w:val="20"/>
                <w:szCs w:val="20"/>
                <w:color w:val="auto"/>
              </w:rPr>
            </w:pPr>
            <w:r>
              <w:rPr>
                <w:rFonts w:ascii="Calibri" w:cs="Calibri" w:eastAsia="Calibri" w:hAnsi="Calibri"/>
                <w:sz w:val="14"/>
                <w:szCs w:val="14"/>
                <w:b w:val="1"/>
                <w:bCs w:val="1"/>
                <w:color w:val="FFFFFF"/>
              </w:rPr>
              <w:t>comprehensive</w:t>
            </w:r>
          </w:p>
        </w:tc>
        <w:tc>
          <w:tcPr>
            <w:tcW w:w="160" w:type="dxa"/>
            <w:vAlign w:val="bottom"/>
            <w:shd w:val="clear" w:color="auto" w:fill="004054"/>
          </w:tcPr>
          <w:p>
            <w:pPr>
              <w:spacing w:after="0"/>
              <w:rPr>
                <w:sz w:val="14"/>
                <w:szCs w:val="14"/>
                <w:color w:val="auto"/>
              </w:rPr>
            </w:pPr>
          </w:p>
        </w:tc>
        <w:tc>
          <w:tcPr>
            <w:tcW w:w="720" w:type="dxa"/>
            <w:vAlign w:val="bottom"/>
            <w:shd w:val="clear" w:color="auto" w:fill="004054"/>
          </w:tcPr>
          <w:p>
            <w:pPr>
              <w:jc w:val="right"/>
              <w:spacing w:after="0" w:line="161" w:lineRule="exact"/>
              <w:rPr>
                <w:sz w:val="20"/>
                <w:szCs w:val="20"/>
                <w:color w:val="auto"/>
              </w:rPr>
            </w:pPr>
            <w:r>
              <w:rPr>
                <w:rFonts w:ascii="Calibri" w:cs="Calibri" w:eastAsia="Calibri" w:hAnsi="Calibri"/>
                <w:sz w:val="14"/>
                <w:szCs w:val="14"/>
                <w:b w:val="1"/>
                <w:bCs w:val="1"/>
                <w:color w:val="FFFFFF"/>
              </w:rPr>
              <w:t>retained</w:t>
            </w:r>
          </w:p>
        </w:tc>
        <w:tc>
          <w:tcPr>
            <w:tcW w:w="160" w:type="dxa"/>
            <w:vAlign w:val="bottom"/>
            <w:shd w:val="clear" w:color="auto" w:fill="004054"/>
          </w:tcPr>
          <w:p>
            <w:pPr>
              <w:spacing w:after="0"/>
              <w:rPr>
                <w:sz w:val="14"/>
                <w:szCs w:val="14"/>
                <w:color w:val="auto"/>
              </w:rPr>
            </w:pPr>
          </w:p>
        </w:tc>
        <w:tc>
          <w:tcPr>
            <w:tcW w:w="860" w:type="dxa"/>
            <w:vAlign w:val="bottom"/>
            <w:shd w:val="clear" w:color="auto" w:fill="004054"/>
          </w:tcPr>
          <w:p>
            <w:pPr>
              <w:jc w:val="right"/>
              <w:spacing w:after="0" w:line="161" w:lineRule="exact"/>
              <w:rPr>
                <w:sz w:val="20"/>
                <w:szCs w:val="20"/>
                <w:color w:val="auto"/>
              </w:rPr>
            </w:pPr>
            <w:r>
              <w:rPr>
                <w:rFonts w:ascii="Calibri" w:cs="Calibri" w:eastAsia="Calibri" w:hAnsi="Calibri"/>
                <w:sz w:val="14"/>
                <w:szCs w:val="14"/>
                <w:b w:val="1"/>
                <w:bCs w:val="1"/>
                <w:color w:val="FFFFFF"/>
              </w:rPr>
              <w:t>stockholders'</w:t>
            </w:r>
          </w:p>
        </w:tc>
        <w:tc>
          <w:tcPr>
            <w:tcW w:w="20" w:type="dxa"/>
            <w:vAlign w:val="bottom"/>
            <w:shd w:val="clear" w:color="auto" w:fill="004054"/>
          </w:tcPr>
          <w:p>
            <w:pPr>
              <w:spacing w:after="0"/>
              <w:rPr>
                <w:sz w:val="14"/>
                <w:szCs w:val="14"/>
                <w:color w:val="auto"/>
              </w:rPr>
            </w:pPr>
          </w:p>
        </w:tc>
      </w:tr>
      <w:tr>
        <w:trPr>
          <w:trHeight w:val="183"/>
        </w:trPr>
        <w:tc>
          <w:tcPr>
            <w:tcW w:w="37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40" w:type="dxa"/>
            <w:vAlign w:val="bottom"/>
            <w:shd w:val="clear" w:color="auto" w:fill="004054"/>
          </w:tcPr>
          <w:p>
            <w:pPr>
              <w:spacing w:after="0"/>
              <w:rPr>
                <w:sz w:val="15"/>
                <w:szCs w:val="15"/>
                <w:color w:val="auto"/>
              </w:rPr>
            </w:pPr>
          </w:p>
        </w:tc>
        <w:tc>
          <w:tcPr>
            <w:tcW w:w="640" w:type="dxa"/>
            <w:vAlign w:val="bottom"/>
            <w:shd w:val="clear" w:color="auto" w:fill="004054"/>
          </w:tcPr>
          <w:p>
            <w:pPr>
              <w:jc w:val="right"/>
              <w:ind w:right="39"/>
              <w:spacing w:after="0"/>
              <w:rPr>
                <w:sz w:val="20"/>
                <w:szCs w:val="20"/>
                <w:color w:val="auto"/>
              </w:rPr>
            </w:pPr>
            <w:r>
              <w:rPr>
                <w:rFonts w:ascii="Calibri" w:cs="Calibri" w:eastAsia="Calibri" w:hAnsi="Calibri"/>
                <w:sz w:val="14"/>
                <w:szCs w:val="14"/>
                <w:b w:val="1"/>
                <w:bCs w:val="1"/>
                <w:color w:val="FFFFFF"/>
              </w:rPr>
              <w:t>Amount</w:t>
            </w: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20" w:type="dxa"/>
            <w:vAlign w:val="bottom"/>
            <w:shd w:val="clear" w:color="auto" w:fill="004054"/>
          </w:tcPr>
          <w:p>
            <w:pPr>
              <w:spacing w:after="0"/>
              <w:rPr>
                <w:sz w:val="15"/>
                <w:szCs w:val="15"/>
                <w:color w:val="auto"/>
              </w:rPr>
            </w:pPr>
          </w:p>
        </w:tc>
        <w:tc>
          <w:tcPr>
            <w:tcW w:w="880" w:type="dxa"/>
            <w:vAlign w:val="bottom"/>
            <w:shd w:val="clear" w:color="auto" w:fill="004054"/>
          </w:tcPr>
          <w:p>
            <w:pPr>
              <w:jc w:val="right"/>
              <w:ind w:right="39"/>
              <w:spacing w:after="0"/>
              <w:rPr>
                <w:sz w:val="20"/>
                <w:szCs w:val="20"/>
                <w:color w:val="auto"/>
              </w:rPr>
            </w:pPr>
            <w:r>
              <w:rPr>
                <w:rFonts w:ascii="Calibri" w:cs="Calibri" w:eastAsia="Calibri" w:hAnsi="Calibri"/>
                <w:sz w:val="14"/>
                <w:szCs w:val="14"/>
                <w:b w:val="1"/>
                <w:bCs w:val="1"/>
                <w:color w:val="FFFFFF"/>
              </w:rPr>
              <w:t>Amount</w:t>
            </w:r>
          </w:p>
        </w:tc>
        <w:tc>
          <w:tcPr>
            <w:tcW w:w="120" w:type="dxa"/>
            <w:vAlign w:val="bottom"/>
            <w:shd w:val="clear" w:color="auto" w:fill="004054"/>
          </w:tcPr>
          <w:p>
            <w:pPr>
              <w:spacing w:after="0"/>
              <w:rPr>
                <w:sz w:val="15"/>
                <w:szCs w:val="15"/>
                <w:color w:val="auto"/>
              </w:rPr>
            </w:pPr>
          </w:p>
        </w:tc>
        <w:tc>
          <w:tcPr>
            <w:tcW w:w="7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capital</w:t>
            </w: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w:t>
            </w:r>
          </w:p>
        </w:tc>
        <w:tc>
          <w:tcPr>
            <w:tcW w:w="160" w:type="dxa"/>
            <w:vAlign w:val="bottom"/>
            <w:shd w:val="clear" w:color="auto" w:fill="004054"/>
          </w:tcPr>
          <w:p>
            <w:pPr>
              <w:spacing w:after="0"/>
              <w:rPr>
                <w:sz w:val="15"/>
                <w:szCs w:val="15"/>
                <w:color w:val="auto"/>
              </w:rPr>
            </w:pPr>
          </w:p>
        </w:tc>
        <w:tc>
          <w:tcPr>
            <w:tcW w:w="7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earnings</w:t>
            </w:r>
          </w:p>
        </w:tc>
        <w:tc>
          <w:tcPr>
            <w:tcW w:w="16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equity</w:t>
            </w:r>
          </w:p>
        </w:tc>
        <w:tc>
          <w:tcPr>
            <w:tcW w:w="20" w:type="dxa"/>
            <w:vAlign w:val="bottom"/>
            <w:shd w:val="clear" w:color="auto" w:fill="004054"/>
          </w:tcPr>
          <w:p>
            <w:pPr>
              <w:spacing w:after="0"/>
              <w:rPr>
                <w:sz w:val="15"/>
                <w:szCs w:val="15"/>
                <w:color w:val="auto"/>
              </w:rPr>
            </w:pPr>
          </w:p>
        </w:tc>
      </w:tr>
      <w:tr>
        <w:trPr>
          <w:trHeight w:val="60"/>
        </w:trPr>
        <w:tc>
          <w:tcPr>
            <w:tcW w:w="374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64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72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72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23"/>
        </w:trPr>
        <w:tc>
          <w:tcPr>
            <w:tcW w:w="37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Balance at December 31, 2021</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66,165,666</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66</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(14,182,805)</w:t>
            </w:r>
          </w:p>
        </w:tc>
        <w:tc>
          <w:tcPr>
            <w:tcW w:w="1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w w:val="97"/>
              </w:rPr>
              <w:t>$</w:t>
            </w:r>
          </w:p>
        </w:tc>
        <w:tc>
          <w:tcPr>
            <w:tcW w:w="880" w:type="dxa"/>
            <w:vAlign w:val="bottom"/>
            <w:tcBorders>
              <w:bottom w:val="single" w:sz="8" w:color="EBFBFF"/>
            </w:tcBorders>
            <w:shd w:val="clear" w:color="auto" w:fill="EBFBFF"/>
          </w:tcPr>
          <w:p>
            <w:pPr>
              <w:jc w:val="right"/>
              <w:ind w:right="39"/>
              <w:spacing w:after="0"/>
              <w:rPr>
                <w:sz w:val="20"/>
                <w:szCs w:val="20"/>
                <w:color w:val="auto"/>
              </w:rPr>
            </w:pPr>
            <w:r>
              <w:rPr>
                <w:rFonts w:ascii="Calibri" w:cs="Calibri" w:eastAsia="Calibri" w:hAnsi="Calibri"/>
                <w:sz w:val="16"/>
                <w:szCs w:val="16"/>
                <w:color w:val="51555C"/>
              </w:rPr>
              <w:t>(500,911)</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968,927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6,522</w:t>
            </w:r>
          </w:p>
        </w:tc>
        <w:tc>
          <w:tcPr>
            <w:tcW w:w="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242,456</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717,060</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Net loss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(45,407)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(45,407)</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Common stock issued in purchase of EVERFI</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(1,352)</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(1,352)</w:t>
            </w:r>
          </w:p>
        </w:tc>
        <w:tc>
          <w:tcPr>
            <w:tcW w:w="20" w:type="dxa"/>
            <w:vAlign w:val="bottom"/>
          </w:tcPr>
          <w:p>
            <w:pPr>
              <w:spacing w:after="0"/>
              <w:rPr>
                <w:sz w:val="19"/>
                <w:szCs w:val="19"/>
                <w:color w:val="auto"/>
              </w:rPr>
            </w:pPr>
          </w:p>
        </w:tc>
      </w:tr>
      <w:tr>
        <w:trPr>
          <w:trHeight w:val="243"/>
        </w:trPr>
        <w:tc>
          <w:tcPr>
            <w:tcW w:w="3740" w:type="dxa"/>
            <w:vAlign w:val="bottom"/>
          </w:tcPr>
          <w:p>
            <w:pPr>
              <w:ind w:left="140"/>
              <w:spacing w:after="0" w:line="243" w:lineRule="exact"/>
              <w:rPr>
                <w:sz w:val="20"/>
                <w:szCs w:val="20"/>
                <w:color w:val="auto"/>
              </w:rPr>
            </w:pPr>
            <w:r>
              <w:rPr>
                <w:rFonts w:ascii="Calibri" w:cs="Calibri" w:eastAsia="Calibri" w:hAnsi="Calibri"/>
                <w:sz w:val="16"/>
                <w:szCs w:val="16"/>
                <w:color w:val="51555C"/>
              </w:rPr>
              <w:t>Retrements of common stock</w:t>
            </w:r>
            <w:r>
              <w:rPr>
                <w:rFonts w:ascii="Calibri" w:cs="Calibri" w:eastAsia="Calibri" w:hAnsi="Calibri"/>
                <w:sz w:val="21"/>
                <w:szCs w:val="21"/>
                <w:color w:val="51555C"/>
                <w:vertAlign w:val="superscript"/>
              </w:rPr>
              <w:t>(1)</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(33,535)</w:t>
            </w:r>
          </w:p>
        </w:tc>
        <w:tc>
          <w:tcPr>
            <w:tcW w:w="140" w:type="dxa"/>
            <w:vAlign w:val="bottom"/>
          </w:tcPr>
          <w:p>
            <w:pPr>
              <w:spacing w:after="0"/>
              <w:rPr>
                <w:sz w:val="21"/>
                <w:szCs w:val="21"/>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(2,605)</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(2,605)</w:t>
            </w:r>
          </w:p>
        </w:tc>
        <w:tc>
          <w:tcPr>
            <w:tcW w:w="20" w:type="dxa"/>
            <w:vAlign w:val="bottom"/>
          </w:tcPr>
          <w:p>
            <w:pPr>
              <w:spacing w:after="0"/>
              <w:rPr>
                <w:sz w:val="21"/>
                <w:szCs w:val="21"/>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1,015,304</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(562,425)</w:t>
            </w: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Calibri" w:cs="Calibri" w:eastAsia="Calibri" w:hAnsi="Calibri"/>
                <w:sz w:val="16"/>
                <w:szCs w:val="16"/>
                <w:color w:val="51555C"/>
              </w:rPr>
              <w:t>(36,376)</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(36,376)</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110,294</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110,294</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846,295</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2</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(179,686)</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Other comprehensive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2,416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2,416</w:t>
            </w:r>
          </w:p>
        </w:tc>
        <w:tc>
          <w:tcPr>
            <w:tcW w:w="20" w:type="dxa"/>
            <w:vAlign w:val="bottom"/>
          </w:tcPr>
          <w:p>
            <w:pPr>
              <w:spacing w:after="0"/>
              <w:rPr>
                <w:sz w:val="17"/>
                <w:szCs w:val="17"/>
                <w:color w:val="auto"/>
              </w:rPr>
            </w:pPr>
          </w:p>
        </w:tc>
      </w:tr>
      <w:tr>
        <w:trPr>
          <w:trHeight w:val="41"/>
        </w:trPr>
        <w:tc>
          <w:tcPr>
            <w:tcW w:w="3740" w:type="dxa"/>
            <w:vAlign w:val="bottom"/>
            <w:tcBorders>
              <w:bottom w:val="single" w:sz="8" w:color="EBFBFF"/>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7"/>
        </w:trPr>
        <w:tc>
          <w:tcPr>
            <w:tcW w:w="374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2022</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67,814,044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68</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(14,745,230)</w:t>
            </w:r>
          </w:p>
        </w:tc>
        <w:tc>
          <w:tcPr>
            <w:tcW w:w="1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w w:val="97"/>
              </w:rPr>
              <w:t>$</w:t>
            </w:r>
          </w:p>
        </w:tc>
        <w:tc>
          <w:tcPr>
            <w:tcW w:w="880" w:type="dxa"/>
            <w:vAlign w:val="bottom"/>
            <w:tcBorders>
              <w:bottom w:val="single" w:sz="8" w:color="EBFBFF"/>
            </w:tcBorders>
            <w:shd w:val="clear" w:color="auto" w:fill="EBFBFF"/>
          </w:tcPr>
          <w:p>
            <w:pPr>
              <w:jc w:val="right"/>
              <w:ind w:right="39"/>
              <w:spacing w:after="0"/>
              <w:rPr>
                <w:sz w:val="20"/>
                <w:szCs w:val="20"/>
                <w:color w:val="auto"/>
              </w:rPr>
            </w:pPr>
            <w:r>
              <w:rPr>
                <w:rFonts w:ascii="Calibri" w:cs="Calibri" w:eastAsia="Calibri" w:hAnsi="Calibri"/>
                <w:sz w:val="16"/>
                <w:szCs w:val="16"/>
                <w:color w:val="51555C"/>
              </w:rPr>
              <w:t>(537,287)</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8"/>
              </w:rPr>
              <w:t>1,075,264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8,938</w:t>
            </w:r>
          </w:p>
        </w:tc>
        <w:tc>
          <w:tcPr>
            <w:tcW w:w="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197,049</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744,032</w:t>
            </w:r>
          </w:p>
        </w:tc>
        <w:tc>
          <w:tcPr>
            <w:tcW w:w="20" w:type="dxa"/>
            <w:vAlign w:val="bottom"/>
          </w:tcPr>
          <w:p>
            <w:pPr>
              <w:spacing w:after="0"/>
              <w:rPr>
                <w:sz w:val="18"/>
                <w:szCs w:val="18"/>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3740" w:type="dxa"/>
            <w:vAlign w:val="bottom"/>
            <w:shd w:val="clear" w:color="auto" w:fill="EBFBFF"/>
          </w:tcPr>
          <w:p>
            <w:pPr>
              <w:ind w:left="140"/>
              <w:spacing w:after="0" w:line="243" w:lineRule="exact"/>
              <w:rPr>
                <w:sz w:val="20"/>
                <w:szCs w:val="20"/>
                <w:color w:val="auto"/>
              </w:rPr>
            </w:pPr>
            <w:r>
              <w:rPr>
                <w:rFonts w:ascii="Calibri" w:cs="Calibri" w:eastAsia="Calibri" w:hAnsi="Calibri"/>
                <w:sz w:val="16"/>
                <w:szCs w:val="16"/>
                <w:color w:val="51555C"/>
              </w:rPr>
              <w:t>Retrements of common stock</w:t>
            </w:r>
            <w:r>
              <w:rPr>
                <w:rFonts w:ascii="Calibri" w:cs="Calibri" w:eastAsia="Calibri" w:hAnsi="Calibri"/>
                <w:sz w:val="21"/>
                <w:szCs w:val="21"/>
                <w:color w:val="51555C"/>
                <w:vertAlign w:val="superscript"/>
              </w:rPr>
              <w:t>(1)</w:t>
            </w:r>
          </w:p>
        </w:tc>
        <w:tc>
          <w:tcPr>
            <w:tcW w:w="9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(143)</w:t>
            </w:r>
          </w:p>
        </w:tc>
        <w:tc>
          <w:tcPr>
            <w:tcW w:w="140" w:type="dxa"/>
            <w:vAlign w:val="bottom"/>
            <w:shd w:val="clear" w:color="auto" w:fill="EBFBFF"/>
          </w:tcPr>
          <w:p>
            <w:pPr>
              <w:spacing w:after="0"/>
              <w:rPr>
                <w:sz w:val="21"/>
                <w:szCs w:val="21"/>
                <w:color w:val="auto"/>
              </w:rPr>
            </w:pPr>
          </w:p>
        </w:tc>
        <w:tc>
          <w:tcPr>
            <w:tcW w:w="640" w:type="dxa"/>
            <w:vAlign w:val="bottom"/>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shd w:val="clear" w:color="auto" w:fill="EBFBFF"/>
          </w:tcPr>
          <w:p>
            <w:pPr>
              <w:spacing w:after="0"/>
              <w:rPr>
                <w:sz w:val="21"/>
                <w:szCs w:val="21"/>
                <w:color w:val="auto"/>
              </w:rPr>
            </w:pPr>
          </w:p>
        </w:tc>
        <w:tc>
          <w:tcPr>
            <w:tcW w:w="880" w:type="dxa"/>
            <w:vAlign w:val="bottom"/>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shd w:val="clear" w:color="auto" w:fill="EBFBFF"/>
          </w:tcPr>
          <w:p>
            <w:pPr>
              <w:spacing w:after="0"/>
              <w:rPr>
                <w:sz w:val="21"/>
                <w:szCs w:val="21"/>
                <w:color w:val="auto"/>
              </w:rPr>
            </w:pPr>
          </w:p>
        </w:tc>
        <w:tc>
          <w:tcPr>
            <w:tcW w:w="7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shd w:val="clear" w:color="auto" w:fill="EBFBFF"/>
          </w:tcPr>
          <w:p>
            <w:pPr>
              <w:spacing w:after="0"/>
              <w:rPr>
                <w:sz w:val="21"/>
                <w:szCs w:val="21"/>
                <w:color w:val="auto"/>
              </w:rPr>
            </w:pPr>
          </w:p>
        </w:tc>
        <w:tc>
          <w:tcPr>
            <w:tcW w:w="7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w:t>
            </w:r>
          </w:p>
        </w:tc>
        <w:tc>
          <w:tcPr>
            <w:tcW w:w="20" w:type="dxa"/>
            <w:vAlign w:val="bottom"/>
          </w:tcPr>
          <w:p>
            <w:pPr>
              <w:spacing w:after="0"/>
              <w:rPr>
                <w:sz w:val="21"/>
                <w:szCs w:val="21"/>
                <w:color w:val="auto"/>
              </w:rPr>
            </w:pPr>
          </w:p>
        </w:tc>
      </w:tr>
      <w:tr>
        <w:trPr>
          <w:trHeight w:val="198"/>
        </w:trPr>
        <w:tc>
          <w:tcPr>
            <w:tcW w:w="3740" w:type="dxa"/>
            <w:vAlign w:val="bottom"/>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3740" w:type="dxa"/>
            <w:vAlign w:val="bottom"/>
          </w:tcPr>
          <w:p>
            <w:pPr>
              <w:ind w:left="140"/>
              <w:spacing w:after="0" w:line="193" w:lineRule="exact"/>
              <w:rPr>
                <w:sz w:val="20"/>
                <w:szCs w:val="20"/>
                <w:color w:val="auto"/>
              </w:rPr>
            </w:pPr>
            <w:r>
              <w:rPr>
                <w:rFonts w:ascii="Calibri" w:cs="Calibri" w:eastAsia="Calibri" w:hAnsi="Calibri"/>
                <w:sz w:val="16"/>
                <w:szCs w:val="16"/>
                <w:color w:val="51555C"/>
              </w:rPr>
              <w:t>program</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(221,836)</w:t>
            </w: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Calibri" w:cs="Calibri" w:eastAsia="Calibri" w:hAnsi="Calibri"/>
                <w:sz w:val="16"/>
                <w:szCs w:val="16"/>
                <w:color w:val="51555C"/>
              </w:rPr>
              <w:t>(18,831)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(18,831)</w:t>
            </w:r>
          </w:p>
        </w:tc>
        <w:tc>
          <w:tcPr>
            <w:tcW w:w="20" w:type="dxa"/>
            <w:vAlign w:val="bottom"/>
          </w:tcPr>
          <w:p>
            <w:pPr>
              <w:spacing w:after="0"/>
              <w:rPr>
                <w:sz w:val="18"/>
                <w:szCs w:val="18"/>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1,007,921</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(595,798)</w:t>
            </w:r>
          </w:p>
        </w:tc>
        <w:tc>
          <w:tcPr>
            <w:tcW w:w="1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Calibri" w:cs="Calibri" w:eastAsia="Calibri" w:hAnsi="Calibri"/>
                <w:sz w:val="16"/>
                <w:szCs w:val="16"/>
                <w:color w:val="51555C"/>
              </w:rPr>
              <w:t>(35,439)</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(35,439)</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127,762</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127,762</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473,341</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1</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(106,859)</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Other comprehensive loss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(10,626)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(10,626)</w:t>
            </w:r>
          </w:p>
        </w:tc>
        <w:tc>
          <w:tcPr>
            <w:tcW w:w="20" w:type="dxa"/>
            <w:vAlign w:val="bottom"/>
          </w:tcPr>
          <w:p>
            <w:pPr>
              <w:spacing w:after="0"/>
              <w:rPr>
                <w:sz w:val="17"/>
                <w:szCs w:val="17"/>
                <w:color w:val="auto"/>
              </w:rPr>
            </w:pPr>
          </w:p>
        </w:tc>
      </w:tr>
      <w:tr>
        <w:trPr>
          <w:trHeight w:val="41"/>
        </w:trPr>
        <w:tc>
          <w:tcPr>
            <w:tcW w:w="3740" w:type="dxa"/>
            <w:vAlign w:val="bottom"/>
            <w:tcBorders>
              <w:bottom w:val="single" w:sz="8" w:color="EBFBFF"/>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7"/>
        </w:trPr>
        <w:tc>
          <w:tcPr>
            <w:tcW w:w="374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2023</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69,188,304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69</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(15,562,864)</w:t>
            </w:r>
          </w:p>
        </w:tc>
        <w:tc>
          <w:tcPr>
            <w:tcW w:w="1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w w:val="97"/>
              </w:rPr>
              <w:t>$</w:t>
            </w:r>
          </w:p>
        </w:tc>
        <w:tc>
          <w:tcPr>
            <w:tcW w:w="880" w:type="dxa"/>
            <w:vAlign w:val="bottom"/>
            <w:tcBorders>
              <w:bottom w:val="single" w:sz="8" w:color="EBFBFF"/>
            </w:tcBorders>
            <w:shd w:val="clear" w:color="auto" w:fill="EBFBFF"/>
          </w:tcPr>
          <w:p>
            <w:pPr>
              <w:jc w:val="right"/>
              <w:ind w:right="39"/>
              <w:spacing w:after="0"/>
              <w:rPr>
                <w:sz w:val="20"/>
                <w:szCs w:val="20"/>
                <w:color w:val="auto"/>
              </w:rPr>
            </w:pPr>
            <w:r>
              <w:rPr>
                <w:rFonts w:ascii="Calibri" w:cs="Calibri" w:eastAsia="Calibri" w:hAnsi="Calibri"/>
                <w:sz w:val="16"/>
                <w:szCs w:val="16"/>
                <w:color w:val="51555C"/>
              </w:rPr>
              <w:t>(591,557)</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8"/>
              </w:rPr>
              <w:t>1,203,012</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(1,688)</w:t>
            </w:r>
          </w:p>
        </w:tc>
        <w:tc>
          <w:tcPr>
            <w:tcW w:w="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198,869</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808,705</w:t>
            </w:r>
          </w:p>
        </w:tc>
        <w:tc>
          <w:tcPr>
            <w:tcW w:w="20" w:type="dxa"/>
            <w:vAlign w:val="bottom"/>
          </w:tcPr>
          <w:p>
            <w:pPr>
              <w:spacing w:after="0"/>
              <w:rPr>
                <w:sz w:val="18"/>
                <w:szCs w:val="18"/>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Net loss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(283,172)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(283,172)</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3740" w:type="dxa"/>
            <w:vAlign w:val="bottom"/>
            <w:shd w:val="clear" w:color="auto" w:fill="EBFBFF"/>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2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640" w:type="dxa"/>
            <w:vAlign w:val="bottom"/>
            <w:shd w:val="clear" w:color="auto" w:fill="EBFBFF"/>
          </w:tcPr>
          <w:p>
            <w:pPr>
              <w:spacing w:after="0"/>
              <w:rPr>
                <w:sz w:val="17"/>
                <w:szCs w:val="17"/>
                <w:color w:val="auto"/>
              </w:rPr>
            </w:pPr>
          </w:p>
        </w:tc>
        <w:tc>
          <w:tcPr>
            <w:tcW w:w="92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88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72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72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8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3740" w:type="dxa"/>
            <w:vAlign w:val="bottom"/>
            <w:tcBorders>
              <w:bottom w:val="single" w:sz="8" w:color="EBFBFF"/>
            </w:tcBorders>
            <w:shd w:val="clear" w:color="auto" w:fill="EBFBFF"/>
          </w:tcPr>
          <w:p>
            <w:pPr>
              <w:ind w:left="140"/>
              <w:spacing w:after="0" w:line="193" w:lineRule="exact"/>
              <w:rPr>
                <w:sz w:val="20"/>
                <w:szCs w:val="20"/>
                <w:color w:val="auto"/>
              </w:rPr>
            </w:pPr>
            <w:r>
              <w:rPr>
                <w:rFonts w:ascii="Calibri" w:cs="Calibri" w:eastAsia="Calibri" w:hAnsi="Calibri"/>
                <w:sz w:val="16"/>
                <w:szCs w:val="16"/>
                <w:color w:val="51555C"/>
              </w:rPr>
              <w:t>program, inclusive of excise tax</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(5,362,439)</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39"/>
              <w:spacing w:after="0"/>
              <w:rPr>
                <w:sz w:val="20"/>
                <w:szCs w:val="20"/>
                <w:color w:val="auto"/>
              </w:rPr>
            </w:pPr>
            <w:r>
              <w:rPr>
                <w:rFonts w:ascii="Calibri" w:cs="Calibri" w:eastAsia="Calibri" w:hAnsi="Calibri"/>
                <w:sz w:val="16"/>
                <w:szCs w:val="16"/>
                <w:color w:val="51555C"/>
              </w:rPr>
              <w:t>(411,963)</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(9,246)</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(421,209)</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1,410,169</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(772,482)</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39"/>
              <w:spacing w:after="0"/>
              <w:rPr>
                <w:sz w:val="20"/>
                <w:szCs w:val="20"/>
                <w:color w:val="auto"/>
              </w:rPr>
            </w:pPr>
            <w:r>
              <w:rPr>
                <w:rFonts w:ascii="Calibri" w:cs="Calibri" w:eastAsia="Calibri" w:hAnsi="Calibri"/>
                <w:sz w:val="16"/>
                <w:szCs w:val="16"/>
                <w:color w:val="51555C"/>
              </w:rPr>
              <w:t>(56,828)</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(56,828)</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97,676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97,676</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422,685</w:t>
            </w:r>
          </w:p>
        </w:tc>
        <w:tc>
          <w:tcPr>
            <w:tcW w:w="140" w:type="dxa"/>
            <w:vAlign w:val="bottom"/>
            <w:tcBorders>
              <w:bottom w:val="single" w:sz="8" w:color="EBFBFF"/>
            </w:tcBorders>
            <w:shd w:val="clear" w:color="auto" w:fill="EBFBFF"/>
          </w:tcPr>
          <w:p>
            <w:pPr>
              <w:spacing w:after="0"/>
              <w:rPr>
                <w:sz w:val="19"/>
                <w:szCs w:val="19"/>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2</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w:t>
            </w:r>
          </w:p>
        </w:tc>
        <w:tc>
          <w:tcPr>
            <w:tcW w:w="20" w:type="dxa"/>
            <w:vAlign w:val="bottom"/>
          </w:tcPr>
          <w:p>
            <w:pPr>
              <w:spacing w:after="0"/>
              <w:rPr>
                <w:sz w:val="19"/>
                <w:szCs w:val="19"/>
                <w:color w:val="auto"/>
              </w:rPr>
            </w:pPr>
          </w:p>
        </w:tc>
      </w:tr>
      <w:tr>
        <w:trPr>
          <w:trHeight w:val="202"/>
        </w:trPr>
        <w:tc>
          <w:tcPr>
            <w:tcW w:w="3740" w:type="dxa"/>
            <w:vAlign w:val="bottom"/>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(77,785)</w:t>
            </w:r>
          </w:p>
        </w:tc>
        <w:tc>
          <w:tcPr>
            <w:tcW w:w="14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7"/>
                <w:szCs w:val="17"/>
                <w:color w:val="auto"/>
              </w:rPr>
            </w:pPr>
          </w:p>
        </w:tc>
      </w:tr>
      <w:tr>
        <w:trPr>
          <w:trHeight w:val="41"/>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37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Other comprehensive loss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64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ind w:right="79"/>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(3,181)</w:t>
            </w:r>
          </w:p>
        </w:tc>
        <w:tc>
          <w:tcPr>
            <w:tcW w:w="16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(3,181)</w:t>
            </w:r>
          </w:p>
        </w:tc>
        <w:tc>
          <w:tcPr>
            <w:tcW w:w="20" w:type="dxa"/>
            <w:vAlign w:val="bottom"/>
          </w:tcPr>
          <w:p>
            <w:pPr>
              <w:spacing w:after="0"/>
              <w:rPr>
                <w:sz w:val="21"/>
                <w:szCs w:val="21"/>
                <w:color w:val="auto"/>
              </w:rPr>
            </w:pPr>
          </w:p>
        </w:tc>
      </w:tr>
      <w:tr>
        <w:trPr>
          <w:trHeight w:val="195"/>
        </w:trPr>
        <w:tc>
          <w:tcPr>
            <w:tcW w:w="3740" w:type="dxa"/>
            <w:vAlign w:val="bottom"/>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2024</w:t>
            </w: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70,943,373</w:t>
            </w:r>
          </w:p>
        </w:tc>
        <w:tc>
          <w:tcPr>
            <w:tcW w:w="14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640" w:type="dxa"/>
            <w:vAlign w:val="bottom"/>
            <w:tcBorders>
              <w:top w:val="single" w:sz="8" w:color="51555C"/>
            </w:tcBorders>
          </w:tcPr>
          <w:p>
            <w:pPr>
              <w:jc w:val="right"/>
              <w:ind w:right="79"/>
              <w:spacing w:after="0"/>
              <w:rPr>
                <w:sz w:val="20"/>
                <w:szCs w:val="20"/>
                <w:color w:val="auto"/>
              </w:rPr>
            </w:pPr>
            <w:r>
              <w:rPr>
                <w:rFonts w:ascii="Calibri" w:cs="Calibri" w:eastAsia="Calibri" w:hAnsi="Calibri"/>
                <w:sz w:val="16"/>
                <w:szCs w:val="16"/>
                <w:color w:val="51555C"/>
              </w:rPr>
              <w:t>71</w:t>
            </w:r>
          </w:p>
        </w:tc>
        <w:tc>
          <w:tcPr>
            <w:tcW w:w="9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(21,697,785)</w:t>
            </w:r>
          </w:p>
        </w:tc>
        <w:tc>
          <w:tcPr>
            <w:tcW w:w="120" w:type="dxa"/>
            <w:vAlign w:val="bottom"/>
            <w:tcBorders>
              <w:top w:val="single" w:sz="8" w:color="51555C"/>
            </w:tcBorders>
          </w:tcPr>
          <w:p>
            <w:pPr>
              <w:ind w:left="20"/>
              <w:spacing w:after="0"/>
              <w:rPr>
                <w:sz w:val="20"/>
                <w:szCs w:val="20"/>
                <w:color w:val="auto"/>
              </w:rPr>
            </w:pPr>
            <w:r>
              <w:rPr>
                <w:rFonts w:ascii="Calibri" w:cs="Calibri" w:eastAsia="Calibri" w:hAnsi="Calibri"/>
                <w:sz w:val="16"/>
                <w:szCs w:val="16"/>
                <w:color w:val="51555C"/>
                <w:w w:val="97"/>
              </w:rPr>
              <w:t>$</w:t>
            </w:r>
          </w:p>
        </w:tc>
        <w:tc>
          <w:tcPr>
            <w:tcW w:w="880" w:type="dxa"/>
            <w:vAlign w:val="bottom"/>
            <w:tcBorders>
              <w:top w:val="single" w:sz="8" w:color="51555C"/>
            </w:tcBorders>
          </w:tcPr>
          <w:p>
            <w:pPr>
              <w:jc w:val="right"/>
              <w:ind w:right="39"/>
              <w:spacing w:after="0"/>
              <w:rPr>
                <w:sz w:val="20"/>
                <w:szCs w:val="20"/>
                <w:color w:val="auto"/>
              </w:rPr>
            </w:pPr>
            <w:r>
              <w:rPr>
                <w:rFonts w:ascii="Calibri" w:cs="Calibri" w:eastAsia="Calibri" w:hAnsi="Calibri"/>
                <w:sz w:val="16"/>
                <w:szCs w:val="16"/>
                <w:color w:val="51555C"/>
                <w:w w:val="99"/>
              </w:rPr>
              <w:t>(1,060,348)</w:t>
            </w:r>
          </w:p>
        </w:tc>
        <w:tc>
          <w:tcPr>
            <w:tcW w:w="1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7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8"/>
              </w:rPr>
              <w:t>1,291,442</w:t>
            </w:r>
          </w:p>
        </w:tc>
        <w:tc>
          <w:tcPr>
            <w:tcW w:w="1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98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(4,869)</w:t>
            </w:r>
          </w:p>
        </w:tc>
        <w:tc>
          <w:tcPr>
            <w:tcW w:w="160" w:type="dxa"/>
            <w:vAlign w:val="bottom"/>
            <w:tcBorders>
              <w:top w:val="single" w:sz="8" w:color="51555C"/>
            </w:tcBorders>
          </w:tcPr>
          <w:p>
            <w:pPr>
              <w:ind w:left="20"/>
              <w:spacing w:after="0"/>
              <w:rPr>
                <w:sz w:val="20"/>
                <w:szCs w:val="20"/>
                <w:color w:val="auto"/>
              </w:rPr>
            </w:pPr>
            <w:r>
              <w:rPr>
                <w:rFonts w:ascii="Calibri" w:cs="Calibri" w:eastAsia="Calibri" w:hAnsi="Calibri"/>
                <w:sz w:val="16"/>
                <w:szCs w:val="16"/>
                <w:color w:val="51555C"/>
              </w:rPr>
              <w:t>$</w:t>
            </w:r>
          </w:p>
        </w:tc>
        <w:tc>
          <w:tcPr>
            <w:tcW w:w="72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(84,303)</w:t>
            </w:r>
          </w:p>
        </w:tc>
        <w:tc>
          <w:tcPr>
            <w:tcW w:w="1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141,993</w:t>
            </w:r>
          </w:p>
        </w:tc>
        <w:tc>
          <w:tcPr>
            <w:tcW w:w="20" w:type="dxa"/>
            <w:vAlign w:val="bottom"/>
          </w:tcPr>
          <w:p>
            <w:pPr>
              <w:spacing w:after="0"/>
              <w:rPr>
                <w:sz w:val="17"/>
                <w:szCs w:val="17"/>
                <w:color w:val="auto"/>
              </w:rPr>
            </w:pPr>
          </w:p>
        </w:tc>
      </w:tr>
      <w:tr>
        <w:trPr>
          <w:trHeight w:val="41"/>
        </w:trPr>
        <w:tc>
          <w:tcPr>
            <w:tcW w:w="374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64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88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72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98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72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86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-5117465</wp:posOffset>
            </wp:positionV>
            <wp:extent cx="223710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Calibri" w:cs="Calibri" w:eastAsia="Calibri" w:hAnsi="Calibri"/>
          <w:sz w:val="13"/>
          <w:szCs w:val="13"/>
          <w:color w:val="51555C"/>
        </w:rPr>
        <w:t>(1)  Represents shares retred afer determining certain EVERFI's selling shareholders would be paid in cash, rather than shares of our common stock.</w:t>
      </w:r>
    </w:p>
    <w:p>
      <w:pPr>
        <w:spacing w:after="0" w:line="206"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0" w:lineRule="exact"/>
        <w:rPr>
          <w:sz w:val="20"/>
          <w:szCs w:val="20"/>
          <w:color w:val="auto"/>
        </w:rPr>
      </w:pPr>
    </w:p>
    <w:p>
      <w:pPr>
        <w:spacing w:after="0" w:line="222" w:lineRule="exact"/>
        <w:rPr>
          <w:sz w:val="20"/>
          <w:szCs w:val="20"/>
          <w:color w:val="auto"/>
        </w:rPr>
      </w:pPr>
    </w:p>
    <w:p>
      <w:pPr>
        <w:ind w:left="140"/>
        <w:spacing w:after="0"/>
        <w:tabs>
          <w:tab w:leader="none" w:pos="446" w:val="left"/>
        </w:tabs>
        <w:rPr>
          <w:sz w:val="20"/>
          <w:szCs w:val="20"/>
          <w:color w:val="auto"/>
        </w:rPr>
      </w:pPr>
      <w:r>
        <w:rPr>
          <w:rFonts w:ascii="Calibri" w:cs="Calibri" w:eastAsia="Calibri" w:hAnsi="Calibri"/>
          <w:sz w:val="14"/>
          <w:szCs w:val="14"/>
          <w:color w:val="51555C"/>
        </w:rPr>
        <w:t>72</w:t>
      </w:r>
      <w:r>
        <w:rPr>
          <w:sz w:val="20"/>
          <w:szCs w:val="20"/>
          <w:color w:val="auto"/>
        </w:rPr>
        <w:tab/>
      </w:r>
      <w:r>
        <w:rPr>
          <w:sz w:val="1"/>
          <w:szCs w:val="1"/>
          <w:color w:val="auto"/>
        </w:rPr>
        <w:drawing>
          <wp:inline distT="0" distB="0" distL="0" distR="0">
            <wp:extent cx="728345" cy="18859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 Organizaton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India and the United Kingdom, supportng users in 100+ countries.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2.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of presentaton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consolidated fnancial statements have been prepared in accordance with accountng principles generally accepted in the United States (“GAAP”).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of consolidaton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consolidated fnancial statements include the accounts of Blackbaud, Inc. and its wholly owned subsidiaries. All intercompany balances and transactons have been eliminated in consolidaton.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Use of estmates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preparaton of fnancial statements in conformity with GAAP requires management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 including those that impact revenue recogniton, long-lived and intangible assets, income taxes, business combinatons, stock-based compensaton, capitalizaton of sofware development costs, our allowances for credit losses and sales returns, costs of obtaining contracts, valuaton of derivatve instruments, loss contngencies and insurance recoveries, among others. Changes in the facts or circumstances underlying these estmates could result in material changes and actual results could materially difer from these estmates.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Recently adopted accountng pronouncements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In November 2023, the Financial Accountng Standards Board issued Accountng Standards Update 2023-07, </w:t>
      </w:r>
      <w:r>
        <w:rPr>
          <w:rFonts w:ascii="Calibri" w:cs="Calibri" w:eastAsia="Calibri" w:hAnsi="Calibri"/>
          <w:sz w:val="18"/>
          <w:szCs w:val="18"/>
          <w:i w:val="1"/>
          <w:iCs w:val="1"/>
          <w:color w:val="51555C"/>
        </w:rPr>
        <w:t>Segment Reportng (Topic 280): Improvements to</w:t>
      </w:r>
      <w:r>
        <w:rPr>
          <w:rFonts w:ascii="Calibri" w:cs="Calibri" w:eastAsia="Calibri" w:hAnsi="Calibri"/>
          <w:sz w:val="18"/>
          <w:szCs w:val="18"/>
          <w:color w:val="51555C"/>
        </w:rPr>
        <w:t xml:space="preserve"> </w:t>
      </w:r>
      <w:r>
        <w:rPr>
          <w:rFonts w:ascii="Calibri" w:cs="Calibri" w:eastAsia="Calibri" w:hAnsi="Calibri"/>
          <w:sz w:val="18"/>
          <w:szCs w:val="18"/>
          <w:i w:val="1"/>
          <w:iCs w:val="1"/>
          <w:color w:val="51555C"/>
        </w:rPr>
        <w:t xml:space="preserve">Reportable Segment Disclosures </w:t>
      </w:r>
      <w:r>
        <w:rPr>
          <w:rFonts w:ascii="Calibri" w:cs="Calibri" w:eastAsia="Calibri" w:hAnsi="Calibri"/>
          <w:sz w:val="18"/>
          <w:szCs w:val="18"/>
          <w:color w:val="51555C"/>
        </w:rPr>
        <w:t>("ASU 2023-07"). This update requires disclosures to include signifcant segment expenses that are regularly provided to the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chief operatng decision maker ("CODM"), a descripton of other segment items by reportable segment, and any additonal measures of a segment's proft or loss used by the CODM when deciding how to allocate resources. We adopted ASU 2023-07 on December 31, 2024 and the adopton did not have a material impact on our condensed consolidated fnancial statements.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Recently issued accountng pronouncements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no recently issued accountng pronouncements that are expected to have a material impact on our fnancial positon or results of operatons when adopted in the future.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signifcant accountng policies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Revenue recogniton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revenue is primarily generated from the following sources: (i) charging for the use of our sofware solutons in cloud and hosted environments; and (ii) providing payment and transacton services. Revenue is recognized when control of these services is transferred to our customers, in an amount that refects the consideraton we expect to be enttled to in exchange for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230505</wp:posOffset>
            </wp:positionV>
            <wp:extent cx="7289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We determine revenue recogniton through the following steps:</w:t>
      </w:r>
    </w:p>
    <w:p>
      <w:pPr>
        <w:spacing w:after="0" w:line="50" w:lineRule="exact"/>
        <w:rPr>
          <w:sz w:val="20"/>
          <w:szCs w:val="20"/>
          <w:color w:val="auto"/>
        </w:rPr>
      </w:pPr>
    </w:p>
    <w:p>
      <w:pPr>
        <w:ind w:left="640" w:hanging="308"/>
        <w:spacing w:after="0"/>
        <w:tabs>
          <w:tab w:leader="none" w:pos="640" w:val="left"/>
        </w:tabs>
        <w:numPr>
          <w:ilvl w:val="0"/>
          <w:numId w:val="46"/>
        </w:numPr>
        <w:rPr>
          <w:rFonts w:ascii="Calibri" w:cs="Calibri" w:eastAsia="Calibri" w:hAnsi="Calibri"/>
          <w:sz w:val="18"/>
          <w:szCs w:val="18"/>
          <w:color w:val="51555C"/>
        </w:rPr>
      </w:pPr>
      <w:r>
        <w:rPr>
          <w:rFonts w:ascii="Calibri" w:cs="Calibri" w:eastAsia="Calibri" w:hAnsi="Calibri"/>
          <w:sz w:val="18"/>
          <w:szCs w:val="18"/>
          <w:color w:val="51555C"/>
        </w:rPr>
        <w:t>Identfcaton of the contract, or contracts, with a customer;</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6"/>
        </w:numPr>
        <w:rPr>
          <w:rFonts w:ascii="Calibri" w:cs="Calibri" w:eastAsia="Calibri" w:hAnsi="Calibri"/>
          <w:sz w:val="18"/>
          <w:szCs w:val="18"/>
          <w:color w:val="51555C"/>
        </w:rPr>
      </w:pPr>
      <w:r>
        <w:rPr>
          <w:rFonts w:ascii="Calibri" w:cs="Calibri" w:eastAsia="Calibri" w:hAnsi="Calibri"/>
          <w:sz w:val="18"/>
          <w:szCs w:val="18"/>
          <w:color w:val="51555C"/>
        </w:rPr>
        <w:t>Identfcaton of the performance obligatons in the contract;</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6"/>
        </w:numPr>
        <w:rPr>
          <w:rFonts w:ascii="Calibri" w:cs="Calibri" w:eastAsia="Calibri" w:hAnsi="Calibri"/>
          <w:sz w:val="18"/>
          <w:szCs w:val="18"/>
          <w:color w:val="51555C"/>
        </w:rPr>
      </w:pPr>
      <w:r>
        <w:rPr>
          <w:rFonts w:ascii="Calibri" w:cs="Calibri" w:eastAsia="Calibri" w:hAnsi="Calibri"/>
          <w:sz w:val="18"/>
          <w:szCs w:val="18"/>
          <w:color w:val="51555C"/>
        </w:rPr>
        <w:t>Determinaton of the transacton price;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6"/>
        </w:numPr>
        <w:rPr>
          <w:rFonts w:ascii="Calibri" w:cs="Calibri" w:eastAsia="Calibri" w:hAnsi="Calibri"/>
          <w:sz w:val="18"/>
          <w:szCs w:val="18"/>
          <w:color w:val="51555C"/>
        </w:rPr>
      </w:pPr>
      <w:r>
        <w:rPr>
          <w:rFonts w:ascii="Calibri" w:cs="Calibri" w:eastAsia="Calibri" w:hAnsi="Calibri"/>
          <w:sz w:val="18"/>
          <w:szCs w:val="18"/>
          <w:color w:val="51555C"/>
        </w:rPr>
        <w:t>Allocaton of the transacton price to the performance obligatons in the contract;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6"/>
        </w:numPr>
        <w:rPr>
          <w:rFonts w:ascii="Calibri" w:cs="Calibri" w:eastAsia="Calibri" w:hAnsi="Calibri"/>
          <w:sz w:val="18"/>
          <w:szCs w:val="18"/>
          <w:color w:val="51555C"/>
        </w:rPr>
      </w:pPr>
      <w:r>
        <w:rPr>
          <w:rFonts w:ascii="Calibri" w:cs="Calibri" w:eastAsia="Calibri" w:hAnsi="Calibri"/>
          <w:sz w:val="18"/>
          <w:szCs w:val="18"/>
          <w:color w:val="51555C"/>
        </w:rPr>
        <w:t>Recogniton of revenue when, or as, we satsfy a performance obligaton.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recurring revenue includes two components: contractual recurring and transactonal recurring.</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Contractual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is primarily comprised of fees for the use of our subscripton-based sofware solutons, which includes providing access to cloud solutons, online training programs and subscripton-based analytc services. Contractual recurring revenue also includes fees from maintenance services for our on-premises solutons.</w:t>
      </w:r>
    </w:p>
    <w:p>
      <w:pPr>
        <w:spacing w:after="0" w:line="165"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Contractual recurring revenue represents stand-ready performance obligatons in which we are making our solutons or services available to our customers contnuously over tme or the value of the contract renews. Therefore, contractual recurring revenue is generally recognized over tme on a ratable basis over the contract term, beginning on the date that the soluton or service is made available to the customer. Our contractual recurring revenue contracts are generally for a term of three years at contract incepton with three-year renewals thereafer, billed annually in advance and non-cancelable.</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Transactonal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Transactonal recurring revenue is comprised of transacton fees associated with the use of our solutons, including donaton processing, tuiton management, consumer giving and event-based usage.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payment services are ofered with the assistance of third-party vendors. In general, when we are the principal in a transacton based on the factors identfed in ASC 606-10-55-36 through 55-40, we record the revenue and related costs on a gross basis. Otherwise, we net the cost of revenue associated with the service against the gross revenue (amount withheld for the transacton fees) and record the net amount as revenue. For payment and transacton services, we have the right to invoice the customer in an amount that directly corresponds with the value to the customer of our performance to date. Therefore, we recognize revenue for these services over tme based on the amount we withhold for the transacton fees in accordance with the 'as invoiced' practcal expedient in ASC 606-10-55-18.</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One-tme services and other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is primarily comprised of fees for one-tme consultng, analytc and onsite training services and fees for retained and managed services contracts that we do not expect to have a term consistent with our cloud soluton contracts.</w:t>
      </w:r>
    </w:p>
    <w:p>
      <w:pPr>
        <w:spacing w:after="0" w:line="164"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generally bill consultng services based on hourly rates plus reimbursable travel-related expenses. Fixed price consultng engagements are generally billed as milestones towards completon are reached. Revenue for one-tme consultng services is generally recognized over tme as the services are performed.</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Fees for retained and managed services contracts are generally billed in advance and recognized over tme on a ratable basis over the contract term, beginning on the date the service is made available to the customer.</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Contracts with multple performance obligatons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Some of our contracts with customers contain multple performance obligatons. For these contracts, we account for individual performance obligatons separately if they are distnct. The transacton price is allocated to the separate performance obligatons on a relatve standalone selling price basis. Standalone selling prices of our solutons and services are typically estmated based on observable transactons when the solutons or services are sold on a standalone basis.</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74</w:t>
      </w:r>
      <w:r>
        <w:rPr>
          <w:sz w:val="20"/>
          <w:szCs w:val="20"/>
          <w:color w:val="auto"/>
        </w:rPr>
        <w:tab/>
      </w:r>
      <w:r>
        <w:rPr>
          <w:sz w:val="1"/>
          <w:szCs w:val="1"/>
          <w:color w:val="auto"/>
        </w:rPr>
        <w:drawing>
          <wp:inline distT="0" distB="0" distL="0" distR="0">
            <wp:extent cx="728345" cy="18859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Costs of obtaining contracts, contract assets and deferred revenue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pay sales commissions at the tme contracts with customers are signed or shortly thereafer, depending on the size and duraton of the sales contract. Sales commissions and related fringe benefts earned by our sales force are considered incremental and recoverable costs of obtaining a contract with a customer. These costs are deferred and then amortzed in a manner that aligns with the expected period of beneft, which we have determined to be six years. We determined the period of beneft by taking into consideraton our customer contracts, including renewals, retenton, our technology and other factors. We generally do not pay commissions for contract renewals that are commensurate with the commission paid on the inital contract. The related amortzaton expense is included in sales, marketng and customer success expense in our consolidated statements of comprehensive loss.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contract asset is recorded when revenue is recognized in advance of our right to receive consideraton (i.e., we must satsfy additonal performance obligatons in order to receive consideraton). Amounts are recorded as receivables when our right to consideraton is unconditonal (i.e., only the passage of tme is required before payment of the consideraton is due). Our contract assets are recorded within prepaid expenses and other current assets on our consolidated balance sheets. To the extent that our customers are billed for our solutons and services in advance of us satsfying the related performance obligatons, we record such amounts in deferred revenue.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Sales taxes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present sales taxes and other taxes collected from customers and remited to governmental authorites on a net basis and, as such, exclude them from revenues.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Fair value measurements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certain fnancial assets and liabilites at fair value on a recurring basis, including derivatve instruments. Fair value is defned as the price that would be received to sell an asset or paid to transfer a liability (an exit price) in an orderly transacton between market partcipants at the measurement date. An actve market is defned as a market in which transactons for the asset or liability take place with sufcient frequency and volume to provide pricing informaton on an ongoing basis. We use a three-ter fair value hierarchy to measure fair value. This hierarchy prioritzes the inputs into three broad levels as follows:</w:t>
      </w:r>
    </w:p>
    <w:p>
      <w:pPr>
        <w:spacing w:after="0" w:line="53" w:lineRule="exact"/>
        <w:rPr>
          <w:sz w:val="20"/>
          <w:szCs w:val="20"/>
          <w:color w:val="auto"/>
        </w:rPr>
      </w:pPr>
    </w:p>
    <w:p>
      <w:pPr>
        <w:ind w:left="640" w:hanging="308"/>
        <w:spacing w:after="0"/>
        <w:tabs>
          <w:tab w:leader="none" w:pos="640" w:val="left"/>
        </w:tabs>
        <w:numPr>
          <w:ilvl w:val="0"/>
          <w:numId w:val="47"/>
        </w:numPr>
        <w:rPr>
          <w:rFonts w:ascii="Calibri" w:cs="Calibri" w:eastAsia="Calibri" w:hAnsi="Calibri"/>
          <w:sz w:val="18"/>
          <w:szCs w:val="18"/>
          <w:color w:val="51555C"/>
        </w:rPr>
      </w:pPr>
      <w:r>
        <w:rPr>
          <w:rFonts w:ascii="Calibri" w:cs="Calibri" w:eastAsia="Calibri" w:hAnsi="Calibri"/>
          <w:sz w:val="18"/>
          <w:szCs w:val="18"/>
          <w:color w:val="51555C"/>
        </w:rPr>
        <w:t>Level 1 - Quoted prices for identcal assets or liabilites in actve markets;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47"/>
        </w:numPr>
        <w:rPr>
          <w:rFonts w:ascii="Calibri" w:cs="Calibri" w:eastAsia="Calibri" w:hAnsi="Calibri"/>
          <w:sz w:val="18"/>
          <w:szCs w:val="18"/>
          <w:color w:val="51555C"/>
        </w:rPr>
      </w:pPr>
      <w:r>
        <w:rPr>
          <w:rFonts w:ascii="Calibri" w:cs="Calibri" w:eastAsia="Calibri" w:hAnsi="Calibri"/>
          <w:sz w:val="18"/>
          <w:szCs w:val="18"/>
          <w:color w:val="51555C"/>
        </w:rPr>
        <w:t>Level 2 - Quoted prices for similar assets and liabilites in actve markets, quoted prices for identcal or similar assets in markets that are not actve, and model-derived valuatons in which all signifcant inputs and signifcant value drivers are observable in actve markets;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7"/>
        </w:numPr>
        <w:rPr>
          <w:rFonts w:ascii="Calibri" w:cs="Calibri" w:eastAsia="Calibri" w:hAnsi="Calibri"/>
          <w:sz w:val="18"/>
          <w:szCs w:val="18"/>
          <w:color w:val="51555C"/>
        </w:rPr>
      </w:pPr>
      <w:r>
        <w:rPr>
          <w:rFonts w:ascii="Calibri" w:cs="Calibri" w:eastAsia="Calibri" w:hAnsi="Calibri"/>
          <w:sz w:val="18"/>
          <w:szCs w:val="18"/>
          <w:color w:val="51555C"/>
        </w:rPr>
        <w:t>Level 3 - Valuatons derived from valuaton techniques in which one or more signifcant inputs are unobservable.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fnancial assets and liabilites are classifed in their entrety within the hierarchy based on the lowest level of input that is signifcant to fair value measurement. Changes to a fnancial asset's or liability's level within the fair value hierarchy are determined as of the end of a reportng period. All methods of assessing fair value result in a general approximaton of value, and such value may never actually be realized.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Derivatve instruments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generally use derivatve instruments to manage interest rate and foreign currency exchange risk. We view derivatve instruments as risk management tools and do not use them for trading or speculatve purposes. Our policy requires that derivatves used for hedging purposes be designated and efectve as a hedge of the identfed risk exposure at the incepton of the contract. Accordingly, changes in fair value of the derivatve contract must be highly correlated with changes in the fair value of the underlying hedged item at incepton of the hedge and over the life of the hedge contract.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record all derivatve instruments on our consolidated balance sheets at fair value as either an asset or liability. If the derivatve is designated as a cash fow hedge, the efectve portons of the changes in fair value of the derivatve are recorded in other comprehensive loss and reclassifed to earnings in a manner that matches the tming of the earnings impact of the hedged transactons. If the derivatve is designated as a net investment hedge, the efectve portons of the changes in fair value of the derivatve are recorded to translaton adjustment, a component of other comprehensive loss, and recognized in earnings only when the hedged investment is liquidated. Inefectve portons of the changes in the fair value of cash fow hedges are recognized currently in earnings. See Note 10 to these consolidated fnancial statements for further discussion of our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222885</wp:posOffset>
            </wp:positionV>
            <wp:extent cx="72898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Cash and cash equivalents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consider all highly liquid investments purchased with an original maturity of three months or less and cash items in transit to be cash equivalents.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Restricted cash due to customers; Customer funds receivable; Due to customers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Restricted cash due to customers consists of monies collected and held at banks, payment processors, or other fnancial insttutons (or in transit) and payable to our customers, net of the associated transacton fees earned. Monies associated with amounts due to customers are segregated in separate bank accounts and used exclusively for the payment of amounts due to customers. This usage restricton is either legally or internally imposed and refects our intenton with regard to such deposits. Customer funds receivable consists of monies we expect to collect and remit to our customers.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Concentraton of credit risk</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Financial instruments that potentally subject us to concentratons of credit risk consist of cash and cash equivalents, restricted cash due to customers and accounts receivable. Our cash and cash equivalents and restricted cash due to customers are placed with high credit-quality fnancial insttutons. Our accounts receivable is derived from sales to customers. With respect to accounts receivable, we perform ongoing evaluatons of our customers and maintain an allowance for credit losses based on historical experience and our expectatons of future credit losses. As of and for the years ended December 31, 2024, 2023 and 2022, there were no signifcant concentratons with respect to our consolidated revenues or accounts receivable.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Property and equipment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record property and equipment assets at cost and depreciate them over their estmated useful lives using the straight-line method. Leasehold improvements are depreciated over the lesser of the term of the lease or the estmated useful life of the asset. Upon retrement or sale, the cost of assets disposed of and the related accumulated depreciaton are removed from the accounts and any resultng gain or loss is credited or charged to earnings. Repair and maintenance costs are expensed as incurred.</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Constructon-in-progress primarily related to purchases of informaton technology assets which had not been placed in service at the respectve balance sheet dates. We transfer these assets to the applicable property and equipment category on the date they are placed in service. There was no capitalized interest applicable to constructon-in-progress for the years ended December 31, 2024 and 2023.</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Business combinatons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include the operatng results of acquired companies as well as the net assets acquired and liabilites assumed in our consolidated fnancial statements from the date of acquisiton. We are required to allocate the purchase price of acquired companies to the tangible and intangible assets acquired and liabilites assumed at the acquisiton date based upon their estmated fair values. Goodwill as of the acquisiton date represents the excess of the purchase consideraton of an acquired business over the fair value of the underlying net tangible and intangible assets acquired and liabilites assumed.</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apply signifcant judgement in estmatng the fair value of intangible assets acquired, which involves the use of signifcant assumptons. Signifcant assumptons used in the valuaton of customer relatonships include future revenue and operatng expenses, customer atriton rates, contributory asset charges, tax amortzaton beneft, and discount rates. Signifcant assumptons used in the valuaton of certain developed technology assets include future revenue, proprietary technology obsolescence curve, royalty rate, and discount rate. Signifcant assumptons used in the valuaton of marketng assets include assumptons about the period of tme the brand will contnue to be valuable, royalty rate, and discount rate. Signifcant assumptons used in the valuaton of content intangible assets include cost-based assumptons. Our estmates of fair value are based upon assumptons we believe to be reasonable, but which are inherently uncertain and unpredictable, and unantcipated events and changes in circumstances may occur.</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Goodwill</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Goodwill represents the purchase price in excess of the net amount assigned to assets acquired and liabilites assumed by us in a business combinaton. Goodwill is not amortzed, but tested annually for impairment on the frst day of our fourth quarter, or more frequently if indicators of potental impairment arise.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76</w:t>
      </w:r>
      <w:r>
        <w:rPr>
          <w:sz w:val="20"/>
          <w:szCs w:val="20"/>
          <w:color w:val="auto"/>
        </w:rPr>
        <w:tab/>
      </w:r>
      <w:r>
        <w:rPr>
          <w:sz w:val="1"/>
          <w:szCs w:val="1"/>
          <w:color w:val="auto"/>
        </w:rPr>
        <w:drawing>
          <wp:inline distT="0" distB="0" distL="0" distR="0">
            <wp:extent cx="728345" cy="18859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2" w:lineRule="auto"/>
        <w:rPr>
          <w:sz w:val="20"/>
          <w:szCs w:val="20"/>
          <w:color w:val="auto"/>
        </w:rPr>
      </w:pPr>
      <w:r>
        <w:rPr>
          <w:rFonts w:ascii="Calibri" w:cs="Calibri" w:eastAsia="Calibri" w:hAnsi="Calibri"/>
          <w:sz w:val="17"/>
          <w:szCs w:val="17"/>
          <w:color w:val="51555C"/>
        </w:rPr>
        <w:t>Accountng guidance permits enttes to frst assess qualitatve factors to determine whether it is more likely than not that the fair value of a reportng unit is less than its carrying amount as a basis to determine whether it is necessary to perform the quanttatve impairment test. Signifcant judgment is required in the assessment of qualitatve factors, including but not limited to an evaluaton of macroeconomic conditons as they relate to our business, industry and market trends, as well as the overall future fnancial performance of identfed reportng units and future opportunites in the markets in which we operate.</w:t>
      </w:r>
    </w:p>
    <w:p>
      <w:pPr>
        <w:spacing w:after="0" w:line="15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quanttatve impairment test compares the fair values of identfed reportng units with their respectve carrying amounts. If the carrying amount of a reportng unit exceeds its fair value, an impairment loss is recognized in an amount equal to that excess. Based on our current internal reportng structure, we have one operatng segment, one reportable segment, and one reportng unit. In each of 2024, 2023 and 2022, we performed the quanttatve impairment test, which indicated that the estmated fair values of the identfed reportng units signifcantly exceeded their respectve carrying values. There were no impairments of goodwill during 2024, 2023 and 2022.</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Intangible assets other than goodwill</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amortze fnite-lived intangible assets over their estmated useful lives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shd w:val="clear" w:color="auto" w:fill="004054"/>
          </w:tcPr>
          <w:p>
            <w:pPr>
              <w:spacing w:after="0"/>
              <w:rPr>
                <w:sz w:val="16"/>
                <w:szCs w:val="16"/>
                <w:color w:val="auto"/>
              </w:rPr>
            </w:pPr>
          </w:p>
        </w:tc>
        <w:tc>
          <w:tcPr>
            <w:tcW w:w="3580" w:type="dxa"/>
            <w:vAlign w:val="bottom"/>
            <w:shd w:val="clear" w:color="auto" w:fill="004054"/>
          </w:tcPr>
          <w:p>
            <w:pPr>
              <w:spacing w:after="0"/>
              <w:rPr>
                <w:sz w:val="16"/>
                <w:szCs w:val="16"/>
                <w:color w:val="auto"/>
              </w:rPr>
            </w:pPr>
          </w:p>
        </w:tc>
        <w:tc>
          <w:tcPr>
            <w:tcW w:w="640" w:type="dxa"/>
            <w:vAlign w:val="bottom"/>
            <w:shd w:val="clear" w:color="auto" w:fill="004054"/>
          </w:tcPr>
          <w:p>
            <w:pPr>
              <w:spacing w:after="0"/>
              <w:rPr>
                <w:sz w:val="16"/>
                <w:szCs w:val="16"/>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Amortzaton</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40" w:type="dxa"/>
            <w:vAlign w:val="bottom"/>
            <w:shd w:val="clear" w:color="auto" w:fill="004054"/>
          </w:tcPr>
          <w:p>
            <w:pPr>
              <w:spacing w:after="0"/>
              <w:rPr>
                <w:sz w:val="14"/>
                <w:szCs w:val="14"/>
                <w:color w:val="auto"/>
              </w:rPr>
            </w:pPr>
          </w:p>
        </w:tc>
        <w:tc>
          <w:tcPr>
            <w:tcW w:w="4220" w:type="dxa"/>
            <w:vAlign w:val="bottom"/>
            <w:gridSpan w:val="2"/>
            <w:vMerge w:val="restart"/>
            <w:shd w:val="clear" w:color="auto" w:fill="004054"/>
          </w:tcPr>
          <w:p>
            <w:pPr>
              <w:ind w:left="2940"/>
              <w:spacing w:after="0"/>
              <w:rPr>
                <w:sz w:val="20"/>
                <w:szCs w:val="20"/>
                <w:color w:val="auto"/>
              </w:rPr>
            </w:pPr>
            <w:r>
              <w:rPr>
                <w:rFonts w:ascii="Calibri" w:cs="Calibri" w:eastAsia="Calibri" w:hAnsi="Calibri"/>
                <w:sz w:val="14"/>
                <w:szCs w:val="14"/>
                <w:b w:val="1"/>
                <w:bCs w:val="1"/>
                <w:color w:val="FFFFFF"/>
              </w:rPr>
              <w:t>Basis of amortzaton</w:t>
            </w: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period</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004054"/>
          </w:tcPr>
          <w:p>
            <w:pPr>
              <w:spacing w:after="0"/>
              <w:rPr>
                <w:sz w:val="15"/>
                <w:szCs w:val="15"/>
                <w:color w:val="auto"/>
              </w:rPr>
            </w:pPr>
          </w:p>
        </w:tc>
        <w:tc>
          <w:tcPr>
            <w:tcW w:w="4220" w:type="dxa"/>
            <w:vAlign w:val="bottom"/>
            <w:gridSpan w:val="2"/>
            <w:vMerge w:val="continue"/>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years)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5440" w:type="dxa"/>
            <w:vAlign w:val="bottom"/>
            <w:shd w:val="clear" w:color="auto" w:fill="004054"/>
          </w:tcPr>
          <w:p>
            <w:pPr>
              <w:spacing w:after="0"/>
              <w:rPr>
                <w:sz w:val="5"/>
                <w:szCs w:val="5"/>
                <w:color w:val="auto"/>
              </w:rPr>
            </w:pPr>
          </w:p>
        </w:tc>
        <w:tc>
          <w:tcPr>
            <w:tcW w:w="3580" w:type="dxa"/>
            <w:vAlign w:val="bottom"/>
            <w:shd w:val="clear" w:color="auto" w:fill="004054"/>
          </w:tcPr>
          <w:p>
            <w:pPr>
              <w:spacing w:after="0"/>
              <w:rPr>
                <w:sz w:val="5"/>
                <w:szCs w:val="5"/>
                <w:color w:val="auto"/>
              </w:rPr>
            </w:pPr>
          </w:p>
        </w:tc>
        <w:tc>
          <w:tcPr>
            <w:tcW w:w="640" w:type="dxa"/>
            <w:vAlign w:val="bottom"/>
            <w:shd w:val="clear" w:color="auto" w:fill="004054"/>
          </w:tcPr>
          <w:p>
            <w:pPr>
              <w:spacing w:after="0"/>
              <w:rPr>
                <w:sz w:val="5"/>
                <w:szCs w:val="5"/>
                <w:color w:val="auto"/>
              </w:rPr>
            </w:pPr>
          </w:p>
        </w:tc>
        <w:tc>
          <w:tcPr>
            <w:tcW w:w="15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Customer relatonships</w:t>
            </w:r>
          </w:p>
        </w:tc>
        <w:tc>
          <w:tcPr>
            <w:tcW w:w="3580" w:type="dxa"/>
            <w:vAlign w:val="bottom"/>
            <w:vMerge w:val="restart"/>
            <w:shd w:val="clear" w:color="auto" w:fill="EBFBFF"/>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shd w:val="clear" w:color="auto" w:fill="EBFBFF"/>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10-17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5440" w:type="dxa"/>
            <w:vAlign w:val="bottom"/>
            <w:tcBorders>
              <w:bottom w:val="single" w:sz="8" w:color="EBFBFF"/>
            </w:tcBorders>
            <w:shd w:val="clear" w:color="auto" w:fill="EBFBFF"/>
          </w:tcPr>
          <w:p>
            <w:pPr>
              <w:spacing w:after="0"/>
              <w:rPr>
                <w:sz w:val="7"/>
                <w:szCs w:val="7"/>
                <w:color w:val="auto"/>
              </w:rPr>
            </w:pPr>
          </w:p>
        </w:tc>
        <w:tc>
          <w:tcPr>
            <w:tcW w:w="3580" w:type="dxa"/>
            <w:vAlign w:val="bottom"/>
            <w:tcBorders>
              <w:bottom w:val="single" w:sz="8" w:color="EBFBFF"/>
            </w:tcBorders>
            <w:vMerge w:val="continue"/>
            <w:shd w:val="clear" w:color="auto" w:fill="EBFBFF"/>
          </w:tcPr>
          <w:p>
            <w:pPr>
              <w:spacing w:after="0"/>
              <w:rPr>
                <w:sz w:val="7"/>
                <w:szCs w:val="7"/>
                <w:color w:val="auto"/>
              </w:rPr>
            </w:pPr>
          </w:p>
        </w:tc>
        <w:tc>
          <w:tcPr>
            <w:tcW w:w="640" w:type="dxa"/>
            <w:vAlign w:val="bottom"/>
            <w:tcBorders>
              <w:bottom w:val="single" w:sz="8" w:color="EBFBFF"/>
            </w:tcBorders>
            <w:shd w:val="clear" w:color="auto" w:fill="EBFBFF"/>
          </w:tcPr>
          <w:p>
            <w:pPr>
              <w:spacing w:after="0"/>
              <w:rPr>
                <w:sz w:val="7"/>
                <w:szCs w:val="7"/>
                <w:color w:val="auto"/>
              </w:rPr>
            </w:pPr>
          </w:p>
        </w:tc>
        <w:tc>
          <w:tcPr>
            <w:tcW w:w="158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Calibri" w:cs="Calibri" w:eastAsia="Calibri" w:hAnsi="Calibri"/>
                <w:sz w:val="18"/>
                <w:szCs w:val="18"/>
                <w:color w:val="51555C"/>
              </w:rPr>
              <w:t>Marketng assets</w:t>
            </w:r>
          </w:p>
        </w:tc>
        <w:tc>
          <w:tcPr>
            <w:tcW w:w="3580" w:type="dxa"/>
            <w:vAlign w:val="bottom"/>
            <w:vMerge w:val="restart"/>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tcPr>
          <w:p>
            <w:pPr>
              <w:jc w:val="right"/>
              <w:spacing w:after="0"/>
              <w:rPr>
                <w:sz w:val="20"/>
                <w:szCs w:val="20"/>
                <w:color w:val="auto"/>
              </w:rPr>
            </w:pPr>
            <w:r>
              <w:rPr>
                <w:rFonts w:ascii="Calibri" w:cs="Calibri" w:eastAsia="Calibri" w:hAnsi="Calibri"/>
                <w:sz w:val="18"/>
                <w:szCs w:val="18"/>
                <w:color w:val="51555C"/>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54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Developed technology</w:t>
            </w:r>
          </w:p>
        </w:tc>
        <w:tc>
          <w:tcPr>
            <w:tcW w:w="3580" w:type="dxa"/>
            <w:vAlign w:val="bottom"/>
            <w:vMerge w:val="restart"/>
            <w:shd w:val="clear" w:color="auto" w:fill="EBFBFF"/>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shd w:val="clear" w:color="auto" w:fill="EBFBFF"/>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5440" w:type="dxa"/>
            <w:vAlign w:val="bottom"/>
            <w:tcBorders>
              <w:bottom w:val="single" w:sz="8" w:color="EBFBFF"/>
            </w:tcBorders>
            <w:shd w:val="clear" w:color="auto" w:fill="EBFBFF"/>
          </w:tcPr>
          <w:p>
            <w:pPr>
              <w:spacing w:after="0"/>
              <w:rPr>
                <w:sz w:val="7"/>
                <w:szCs w:val="7"/>
                <w:color w:val="auto"/>
              </w:rPr>
            </w:pPr>
          </w:p>
        </w:tc>
        <w:tc>
          <w:tcPr>
            <w:tcW w:w="3580" w:type="dxa"/>
            <w:vAlign w:val="bottom"/>
            <w:tcBorders>
              <w:bottom w:val="single" w:sz="8" w:color="EBFBFF"/>
            </w:tcBorders>
            <w:vMerge w:val="continue"/>
            <w:shd w:val="clear" w:color="auto" w:fill="EBFBFF"/>
          </w:tcPr>
          <w:p>
            <w:pPr>
              <w:spacing w:after="0"/>
              <w:rPr>
                <w:sz w:val="7"/>
                <w:szCs w:val="7"/>
                <w:color w:val="auto"/>
              </w:rPr>
            </w:pPr>
          </w:p>
        </w:tc>
        <w:tc>
          <w:tcPr>
            <w:tcW w:w="640" w:type="dxa"/>
            <w:vAlign w:val="bottom"/>
            <w:tcBorders>
              <w:bottom w:val="single" w:sz="8" w:color="EBFBFF"/>
            </w:tcBorders>
            <w:shd w:val="clear" w:color="auto" w:fill="EBFBFF"/>
          </w:tcPr>
          <w:p>
            <w:pPr>
              <w:spacing w:after="0"/>
              <w:rPr>
                <w:sz w:val="7"/>
                <w:szCs w:val="7"/>
                <w:color w:val="auto"/>
              </w:rPr>
            </w:pPr>
          </w:p>
        </w:tc>
        <w:tc>
          <w:tcPr>
            <w:tcW w:w="158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0CD973"/>
          </w:tcPr>
          <w:p>
            <w:pPr>
              <w:spacing w:after="0" w:line="20" w:lineRule="exact"/>
              <w:rPr>
                <w:sz w:val="1"/>
                <w:szCs w:val="1"/>
                <w:color w:val="auto"/>
              </w:rPr>
            </w:pPr>
          </w:p>
        </w:tc>
        <w:tc>
          <w:tcPr>
            <w:tcW w:w="3580" w:type="dxa"/>
            <w:vAlign w:val="bottom"/>
            <w:shd w:val="clear" w:color="auto" w:fill="0CD973"/>
          </w:tcPr>
          <w:p>
            <w:pPr>
              <w:spacing w:after="0" w:line="20" w:lineRule="exact"/>
              <w:rPr>
                <w:sz w:val="1"/>
                <w:szCs w:val="1"/>
                <w:color w:val="auto"/>
              </w:rPr>
            </w:pPr>
          </w:p>
        </w:tc>
        <w:tc>
          <w:tcPr>
            <w:tcW w:w="640" w:type="dxa"/>
            <w:vAlign w:val="bottom"/>
            <w:shd w:val="clear" w:color="auto" w:fill="0CD973"/>
          </w:tcPr>
          <w:p>
            <w:pPr>
              <w:spacing w:after="0" w:line="20" w:lineRule="exact"/>
              <w:rPr>
                <w:sz w:val="1"/>
                <w:szCs w:val="1"/>
                <w:color w:val="auto"/>
              </w:rPr>
            </w:pPr>
          </w:p>
        </w:tc>
        <w:tc>
          <w:tcPr>
            <w:tcW w:w="15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8"/>
        </w:numPr>
        <w:rPr>
          <w:rFonts w:ascii="Calibri" w:cs="Calibri" w:eastAsia="Calibri" w:hAnsi="Calibri"/>
          <w:sz w:val="14"/>
          <w:szCs w:val="14"/>
          <w:color w:val="51555C"/>
        </w:rPr>
      </w:pPr>
      <w:r>
        <w:rPr>
          <w:rFonts w:ascii="Calibri" w:cs="Calibri" w:eastAsia="Calibri" w:hAnsi="Calibri"/>
          <w:sz w:val="14"/>
          <w:szCs w:val="14"/>
          <w:color w:val="51555C"/>
        </w:rPr>
        <w:t>Certain of the customer relatonships, marketng assets and developed technology assets are amortzed on a curve that represents the expected period of economic beneft.</w:t>
      </w:r>
    </w:p>
    <w:p>
      <w:pPr>
        <w:spacing w:after="0" w:line="160"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write of the gross carrying amount and accumulated amortzaton balances for all fully amortzed intangible assets. We evaluate the estmated useful lives and the potental for impairment of fnite and indefnite-lived intangible assets on an annual basis or more frequently if events or circumstances indicate revised estmates of useful lives may be appropriate or that the carrying amount may be impaired. If the carrying amount of a fnite-lived intangible asset is no longer recoverable based upon the undiscounted cash fows of the asset, the amount of impairment is the diference between the carrying amount and the fair value of the asset. All of our intangible assets were acquired in business combinatons. See Note 6 to these consolidated fnancial statements for a discussion of our impairment of certain intangible assets during 2024 and 2022. There were no impairments of acquired intangible assets during 2023.</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Impairment of long-lived assets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review long-lived assets for impairment when events change or circumstances indicate the carrying amount may not be recoverable. Events or changes in circumstances that indicate the carrying amount may not be recoverable include, but are not limited to, a signifcant decrease in the market value of the business or asset acquired, a signifcant adverse change in the extent or manner in which the business or asset acquired is used or signifcant adverse change in the business climate. If such events or changes in circumstances are present, the undiscounted cash fow method is used to determine whether the asset or asset group is impaired. See Note 6 to these consolidated fnancial statements for a discussion of our impairment of certain long-lived assets during 2024, 2023 and 2022.</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Deferred fnancing costs and debt discount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Deferred fnancing costs included in other assets represent the direct third-party costs of entering into the revolving (line-of-credit) porton of our credit facility in April 2024 and portons of the unamortzed deferred fnancing costs from prior facilites. These costs are amortzed ratably over the term of the credit facility as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229870</wp:posOffset>
            </wp:positionV>
            <wp:extent cx="7289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77</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Other debt issuance costs, as well as the debt discount associated with the 2024 Credit Facilites (as defned below) and portons of the unamortzed balances from prior facilites, are recorded as a direct deducton from debt. These costs are amortzed over the term of the credit facility as interest expense.</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Stock-based compensaton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stock-based compensaton cost at the grant date based on the fair value of the award and recognize it as expense over the requisite service period, which is the vestng period.</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recognize the efect of awards for which the requisite service period is not rendered when the award is forfeited (that is, we recognize the efect of forfeitures in compensaton cost when they occur). Previously recognized compensaton cost for an award is reversed in the period that the award is forfeited. Income tax benefts resultng from the vestng and exercise of stock-based compensaton awards are recognized in the period the unit or award is vested or opton or right is exercised.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Income taxes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make estmates and judgments in accountng for income taxes. The calculaton of the income tax provision requires estmates due to transactons, credits and calculatons where the ultmate tax determinaton is uncertain. Uncertaintes arise as a consequence of the actual source of taxable income between domestc and foreign locatons, the outcome of tax audits and the ultmate utlizaton of tax credits. To the extent actual results difer from estmated amounts recorded, such diferences will impact the income tax provision in the period in which the determinaton is made.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make estmates in determining tax assets and liabilites, which arise from diferences in the tming of recogniton of revenue and expense for tax and fnancial statement purposes. We record valuaton allowances to reduce our deferred tax assets to the amount expected to be realized. In assessing the adequacy of a recorded valuaton allowance signifcant judgment is required. We consider all positve and negatve evidence and a variety of factors including the scheduled reversal of deferred tax liabilites,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valuaton allowance is made to increase income tax expense, thereby reducing net income in the period such determinaton was made.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and recognize uncertain tax positons. To recognize such positons, we must frst determine if it is more likely than not that the positon will be sustained upon audit. We must then measure the beneft as the largest amount that is more than 50% likely of being realized upon ultmate setlement. Signifcant judgment is required in the identfcaton and measurement of uncertain tax positons.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Foreign currency</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assets recorded in a foreign currency are translated at the exchange rate on the balance sheet date. Revenue and expense items are translated using an average of monthly exchange rates. The resultng translaton adjustments are recorded in accumulated other comprehensive income.</w:t>
      </w:r>
    </w:p>
    <w:p>
      <w:pPr>
        <w:spacing w:after="0" w:line="16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Gains and losses resultng from foreign currency transactons denominated in currency other than the functonal currency are recorded at the approximate rate of exchange at the transacton date in other income, net. For the years ended December 31, 2024 and 2022, we recorded net foreign currency gains that were insignifcant and $4.6 million, respectvely. During the year ended December 31, 2023, we recorded a net foreign currency loss that was insignifcant.</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Research and development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Research and development costs are expensed as incurred except as noted below under </w:t>
      </w:r>
      <w:r>
        <w:rPr>
          <w:rFonts w:ascii="Calibri" w:cs="Calibri" w:eastAsia="Calibri" w:hAnsi="Calibri"/>
          <w:sz w:val="18"/>
          <w:szCs w:val="18"/>
          <w:i w:val="1"/>
          <w:iCs w:val="1"/>
          <w:color w:val="51555C"/>
        </w:rPr>
        <w:t>Sofware and content development costs</w:t>
      </w:r>
      <w:r>
        <w:rPr>
          <w:rFonts w:ascii="Calibri" w:cs="Calibri" w:eastAsia="Calibri" w:hAnsi="Calibri"/>
          <w:sz w:val="18"/>
          <w:szCs w:val="18"/>
          <w:color w:val="51555C"/>
        </w:rPr>
        <w:t>. These costs include compensaton costs for engineering and product management personnel, third-party contractor expenses, sofware development tools and other expenses related to researching and developing new solutons or upgrading and enhancing existng solutons that do not qualify for capitalizaton, and allocated depreciaton, facilites and IT support costs.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Sofware and content development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incur certain costs associated with the development of internal-use sofware and content, which are primarily related to actvites performed to develop our cloud solutons and the development of online educaton curriculum to be delivered on</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78</w:t>
      </w:r>
      <w:r>
        <w:rPr>
          <w:sz w:val="20"/>
          <w:szCs w:val="20"/>
          <w:color w:val="auto"/>
        </w:rPr>
        <w:tab/>
      </w:r>
      <w:r>
        <w:rPr>
          <w:sz w:val="1"/>
          <w:szCs w:val="1"/>
          <w:color w:val="auto"/>
        </w:rPr>
        <w:drawing>
          <wp:inline distT="0" distB="0" distL="0" distR="0">
            <wp:extent cx="728345" cy="18859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Company's cloud platorm. Internal and external costs incurred in the preliminary project stage of internal-use sofware development and content are expensed as incurred. Once the sofware or content being developed has reached the applicaton development stage, qualifying internal costs including payroll and payroll-related costs of employees who are directly associated with and devote tme to the sofware or content project as well as external direct costs of materials and services are capitalized. Capitalizaton ceases at the point at which the developed sofware or content is substantally complete and ready for its intended use, which is typically upon completon of all substantal testng. Qualifying costs capitalized during the applicaton development stage include those related to specifc upgrades and enhancements when it is probable that those costs incurred will result in additonal functonality. Overhead costs, including general and administratve costs, as well as maintenance, training and all other costs associated with post-implementaton stage actvites are expensed as incurred. In additon, internal costs that cannot be reasonably separated between maintenance and relatvely minor upgrades and enhancements are expensed as incurred. In certain circumstances, content development costs are considered deferred costs, when ownership of developed content belongs to the customer.</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Qualifying capitalized sofware and content development costs are amortzed on a straight-line basis over the sofware asset's estmated useful life, which is generally three to seven years. We evaluate the useful lives of these assets on an annual basis and test for impairment whenever events or changes in circumstances occur that could impact the recoverability of these assets. See Note 6 to these consolidated fnancial statements for a discussion of our impairment of certain capitalized sofware and content development costs during 2024 and 2022. There were no impairments of capitalized sofware assets during 2023. We write of the gross carrying amount and accumulated amortzaton balances for all fully amortzed capitalized sofware and content development cost assets.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Allowance for credit losses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accounts receivable consist of a single portolio segment. Accounts receivable are recorded at original invoice amounts less an allowance for credit losses, an amount we estmate to be sufcient to provide adequate protecton against lifetme expected losses resultng from extending credit to our customers. In judging the adequacy of the allowance for credit losses, we consider multple factors including historical bad debt experience, the current aging of our receivables and current economic conditons that may afect our customers' ability to pay. A considerable amount of judgment is required in assessing these factors and if any receivables were to deteriorate, an additonal provision for credit losses could be required. Accounts are writen of afer all means of collecton are exhausted and recovery is considered remote. Provisions for credit losses are recorded in general and administratve expense.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51555C"/>
        </w:rPr>
        <w:t>Below is a summary of the changes in our allowance for credit losses.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ended December 31,</w:t>
            </w:r>
          </w:p>
        </w:tc>
        <w:tc>
          <w:tcPr>
            <w:tcW w:w="500" w:type="dxa"/>
            <w:vAlign w:val="bottom"/>
            <w:shd w:val="clear" w:color="auto" w:fill="004054"/>
          </w:tcPr>
          <w:p>
            <w:pPr>
              <w:spacing w:after="0"/>
              <w:rPr>
                <w:sz w:val="16"/>
                <w:szCs w:val="16"/>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c>
          <w:tcPr>
            <w:tcW w:w="48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Provision/</w:t>
            </w:r>
          </w:p>
        </w:tc>
        <w:tc>
          <w:tcPr>
            <w:tcW w:w="54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r>
      <w:tr>
        <w:trPr>
          <w:trHeight w:val="170"/>
        </w:trPr>
        <w:tc>
          <w:tcPr>
            <w:tcW w:w="2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500" w:type="dxa"/>
            <w:vAlign w:val="bottom"/>
            <w:shd w:val="clear" w:color="auto" w:fill="004054"/>
          </w:tcPr>
          <w:p>
            <w:pPr>
              <w:spacing w:after="0"/>
              <w:rPr>
                <w:sz w:val="14"/>
                <w:szCs w:val="14"/>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beginning of year</w:t>
            </w:r>
          </w:p>
        </w:tc>
        <w:tc>
          <w:tcPr>
            <w:tcW w:w="48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adjustment</w:t>
            </w:r>
          </w:p>
        </w:tc>
        <w:tc>
          <w:tcPr>
            <w:tcW w:w="540" w:type="dxa"/>
            <w:vAlign w:val="bottom"/>
            <w:shd w:val="clear" w:color="auto" w:fill="004054"/>
          </w:tcPr>
          <w:p>
            <w:pPr>
              <w:spacing w:after="0"/>
              <w:rPr>
                <w:sz w:val="14"/>
                <w:szCs w:val="14"/>
                <w:color w:val="auto"/>
              </w:rPr>
            </w:pPr>
          </w:p>
        </w:tc>
        <w:tc>
          <w:tcPr>
            <w:tcW w:w="1000" w:type="dxa"/>
            <w:vAlign w:val="bottom"/>
            <w:shd w:val="clear" w:color="auto" w:fill="004054"/>
          </w:tcPr>
          <w:p>
            <w:pPr>
              <w:jc w:val="center"/>
              <w:ind w:left="335"/>
              <w:spacing w:after="0"/>
              <w:rPr>
                <w:sz w:val="20"/>
                <w:szCs w:val="20"/>
                <w:color w:val="auto"/>
              </w:rPr>
            </w:pPr>
            <w:r>
              <w:rPr>
                <w:rFonts w:ascii="Calibri" w:cs="Calibri" w:eastAsia="Calibri" w:hAnsi="Calibri"/>
                <w:sz w:val="14"/>
                <w:szCs w:val="14"/>
                <w:b w:val="1"/>
                <w:bCs w:val="1"/>
                <w:color w:val="FFFFFF"/>
              </w:rPr>
              <w:t>Write-of</w:t>
            </w:r>
          </w:p>
        </w:tc>
        <w:tc>
          <w:tcPr>
            <w:tcW w:w="560" w:type="dxa"/>
            <w:vAlign w:val="bottom"/>
            <w:shd w:val="clear" w:color="auto" w:fill="004054"/>
          </w:tcPr>
          <w:p>
            <w:pPr>
              <w:spacing w:after="0"/>
              <w:rPr>
                <w:sz w:val="14"/>
                <w:szCs w:val="1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Recovery</w:t>
            </w:r>
          </w:p>
        </w:tc>
        <w:tc>
          <w:tcPr>
            <w:tcW w:w="60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end of year</w:t>
            </w:r>
          </w:p>
        </w:tc>
      </w:tr>
      <w:tr>
        <w:trPr>
          <w:trHeight w:val="74"/>
        </w:trPr>
        <w:tc>
          <w:tcPr>
            <w:tcW w:w="280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46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r>
      <w:tr>
        <w:trPr>
          <w:trHeight w:val="304"/>
        </w:trPr>
        <w:tc>
          <w:tcPr>
            <w:tcW w:w="2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rPr>
              <w:t>$</w:t>
            </w: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6,096</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3,010</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tcBorders>
            <w:shd w:val="clear" w:color="auto" w:fill="EBFBFF"/>
          </w:tcPr>
          <w:p>
            <w:pPr>
              <w:jc w:val="center"/>
              <w:ind w:left="375"/>
              <w:spacing w:after="0"/>
              <w:rPr>
                <w:sz w:val="20"/>
                <w:szCs w:val="20"/>
                <w:color w:val="auto"/>
              </w:rPr>
            </w:pPr>
            <w:r>
              <w:rPr>
                <w:rFonts w:ascii="Calibri" w:cs="Calibri" w:eastAsia="Calibri" w:hAnsi="Calibri"/>
                <w:sz w:val="18"/>
                <w:szCs w:val="18"/>
                <w:color w:val="51555C"/>
                <w:w w:val="96"/>
              </w:rPr>
              <w:t>(4,833)</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215</w:t>
            </w:r>
          </w:p>
        </w:tc>
        <w:tc>
          <w:tcPr>
            <w:tcW w:w="600" w:type="dxa"/>
            <w:vAlign w:val="bottom"/>
            <w:tcBorders>
              <w:bottom w:val="single" w:sz="8" w:color="EBFBFF"/>
            </w:tcBorders>
            <w:shd w:val="clear" w:color="auto" w:fill="EBFBFF"/>
          </w:tcPr>
          <w:p>
            <w:pPr>
              <w:jc w:val="right"/>
              <w:ind w:right="410"/>
              <w:spacing w:after="0"/>
              <w:rPr>
                <w:sz w:val="20"/>
                <w:szCs w:val="20"/>
                <w:color w:val="auto"/>
              </w:rPr>
            </w:pPr>
            <w:r>
              <w:rPr>
                <w:rFonts w:ascii="Calibri" w:cs="Calibri" w:eastAsia="Calibri" w:hAnsi="Calibri"/>
                <w:sz w:val="18"/>
                <w:szCs w:val="18"/>
                <w:color w:val="51555C"/>
                <w:w w:val="8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4,488</w:t>
            </w:r>
          </w:p>
        </w:tc>
      </w:tr>
      <w:tr>
        <w:trPr>
          <w:trHeight w:val="274"/>
        </w:trPr>
        <w:tc>
          <w:tcPr>
            <w:tcW w:w="2800" w:type="dxa"/>
            <w:vAlign w:val="bottom"/>
          </w:tcPr>
          <w:p>
            <w:pPr>
              <w:ind w:left="20"/>
              <w:spacing w:after="0"/>
              <w:rPr>
                <w:sz w:val="20"/>
                <w:szCs w:val="20"/>
                <w:color w:val="auto"/>
              </w:rPr>
            </w:pPr>
            <w:r>
              <w:rPr>
                <w:rFonts w:ascii="Calibri" w:cs="Calibri" w:eastAsia="Calibri" w:hAnsi="Calibri"/>
                <w:sz w:val="18"/>
                <w:szCs w:val="18"/>
                <w:color w:val="51555C"/>
              </w:rPr>
              <w:t>2023</w:t>
            </w:r>
          </w:p>
        </w:tc>
        <w:tc>
          <w:tcPr>
            <w:tcW w:w="5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alibri" w:cs="Calibri" w:eastAsia="Calibri" w:hAnsi="Calibri"/>
                <w:sz w:val="18"/>
                <w:szCs w:val="18"/>
                <w:color w:val="51555C"/>
              </w:rPr>
              <w:t>6,022</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2,012</w:t>
            </w:r>
          </w:p>
        </w:tc>
        <w:tc>
          <w:tcPr>
            <w:tcW w:w="540" w:type="dxa"/>
            <w:vAlign w:val="bottom"/>
          </w:tcPr>
          <w:p>
            <w:pPr>
              <w:spacing w:after="0"/>
              <w:rPr>
                <w:sz w:val="23"/>
                <w:szCs w:val="23"/>
                <w:color w:val="auto"/>
              </w:rPr>
            </w:pPr>
          </w:p>
        </w:tc>
        <w:tc>
          <w:tcPr>
            <w:tcW w:w="1000" w:type="dxa"/>
            <w:vAlign w:val="bottom"/>
          </w:tcPr>
          <w:p>
            <w:pPr>
              <w:jc w:val="center"/>
              <w:ind w:left="375"/>
              <w:spacing w:after="0"/>
              <w:rPr>
                <w:sz w:val="20"/>
                <w:szCs w:val="20"/>
                <w:color w:val="auto"/>
              </w:rPr>
            </w:pPr>
            <w:r>
              <w:rPr>
                <w:rFonts w:ascii="Calibri" w:cs="Calibri" w:eastAsia="Calibri" w:hAnsi="Calibri"/>
                <w:sz w:val="18"/>
                <w:szCs w:val="18"/>
                <w:color w:val="51555C"/>
                <w:w w:val="96"/>
              </w:rPr>
              <w:t>(2,539)</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601</w:t>
            </w: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51555C"/>
              </w:rPr>
              <w:t>6,096</w:t>
            </w:r>
          </w:p>
        </w:tc>
      </w:tr>
      <w:tr>
        <w:trPr>
          <w:trHeight w:val="50"/>
        </w:trPr>
        <w:tc>
          <w:tcPr>
            <w:tcW w:w="2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2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2022</w:t>
            </w:r>
          </w:p>
        </w:tc>
        <w:tc>
          <w:tcPr>
            <w:tcW w:w="500" w:type="dxa"/>
            <w:vAlign w:val="bottom"/>
            <w:tcBorders>
              <w:bottom w:val="single" w:sz="8" w:color="EBFBFF"/>
            </w:tcBorders>
            <w:shd w:val="clear" w:color="auto" w:fill="EBFBFF"/>
          </w:tcPr>
          <w:p>
            <w:pPr>
              <w:spacing w:after="0"/>
              <w:rPr>
                <w:sz w:val="24"/>
                <w:szCs w:val="24"/>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9,375</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1,281</w:t>
            </w:r>
          </w:p>
        </w:tc>
        <w:tc>
          <w:tcPr>
            <w:tcW w:w="54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center"/>
              <w:ind w:left="375"/>
              <w:spacing w:after="0"/>
              <w:rPr>
                <w:sz w:val="20"/>
                <w:szCs w:val="20"/>
                <w:color w:val="auto"/>
              </w:rPr>
            </w:pPr>
            <w:r>
              <w:rPr>
                <w:rFonts w:ascii="Calibri" w:cs="Calibri" w:eastAsia="Calibri" w:hAnsi="Calibri"/>
                <w:sz w:val="18"/>
                <w:szCs w:val="18"/>
                <w:color w:val="51555C"/>
                <w:w w:val="96"/>
              </w:rPr>
              <w:t>(5,162)</w:t>
            </w:r>
          </w:p>
        </w:tc>
        <w:tc>
          <w:tcPr>
            <w:tcW w:w="56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528</w:t>
            </w:r>
          </w:p>
        </w:tc>
        <w:tc>
          <w:tcPr>
            <w:tcW w:w="60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6,022</w:t>
            </w:r>
          </w:p>
        </w:tc>
      </w:tr>
      <w:tr>
        <w:trPr>
          <w:trHeight w:val="20"/>
        </w:trPr>
        <w:tc>
          <w:tcPr>
            <w:tcW w:w="28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4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60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Allowance for sales returns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maintain a reserve for returns and credits which is estmated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Below is a summary of the changes in our allowance for sales returns.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ended December 31,</w:t>
            </w:r>
          </w:p>
        </w:tc>
        <w:tc>
          <w:tcPr>
            <w:tcW w:w="1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c>
          <w:tcPr>
            <w:tcW w:w="2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Provision/</w:t>
            </w:r>
          </w:p>
        </w:tc>
        <w:tc>
          <w:tcPr>
            <w:tcW w:w="2330" w:type="dxa"/>
            <w:vAlign w:val="bottom"/>
            <w:shd w:val="clear" w:color="auto" w:fill="004054"/>
          </w:tcPr>
          <w:p>
            <w:pPr>
              <w:spacing w:after="0"/>
              <w:rPr>
                <w:sz w:val="15"/>
                <w:szCs w:val="15"/>
                <w:color w:val="auto"/>
              </w:rPr>
            </w:pPr>
          </w:p>
        </w:tc>
        <w:tc>
          <w:tcPr>
            <w:tcW w:w="1790" w:type="dxa"/>
            <w:vAlign w:val="bottom"/>
            <w:shd w:val="clear" w:color="auto" w:fill="004054"/>
          </w:tcPr>
          <w:p>
            <w:pPr>
              <w:jc w:val="center"/>
              <w:ind w:left="978"/>
              <w:spacing w:after="0"/>
              <w:rPr>
                <w:sz w:val="20"/>
                <w:szCs w:val="20"/>
                <w:color w:val="auto"/>
              </w:rPr>
            </w:pPr>
            <w:r>
              <w:rPr>
                <w:rFonts w:ascii="Calibri" w:cs="Calibri" w:eastAsia="Calibri" w:hAnsi="Calibri"/>
                <w:sz w:val="14"/>
                <w:szCs w:val="14"/>
                <w:b w:val="1"/>
                <w:bCs w:val="1"/>
                <w:color w:val="FFFFFF"/>
              </w:rPr>
              <w:t>Balance at</w:t>
            </w:r>
          </w:p>
        </w:tc>
      </w:tr>
      <w:tr>
        <w:trPr>
          <w:trHeight w:val="183"/>
        </w:trPr>
        <w:tc>
          <w:tcPr>
            <w:tcW w:w="28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1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beginning of year</w:t>
            </w:r>
          </w:p>
        </w:tc>
        <w:tc>
          <w:tcPr>
            <w:tcW w:w="2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adjustment</w:t>
            </w:r>
          </w:p>
        </w:tc>
        <w:tc>
          <w:tcPr>
            <w:tcW w:w="2330" w:type="dxa"/>
            <w:vAlign w:val="bottom"/>
            <w:shd w:val="clear" w:color="auto" w:fill="004054"/>
          </w:tcPr>
          <w:p>
            <w:pPr>
              <w:ind w:left="1680"/>
              <w:spacing w:after="0"/>
              <w:rPr>
                <w:sz w:val="20"/>
                <w:szCs w:val="20"/>
                <w:color w:val="auto"/>
              </w:rPr>
            </w:pPr>
            <w:r>
              <w:rPr>
                <w:rFonts w:ascii="Calibri" w:cs="Calibri" w:eastAsia="Calibri" w:hAnsi="Calibri"/>
                <w:sz w:val="14"/>
                <w:szCs w:val="14"/>
                <w:b w:val="1"/>
                <w:bCs w:val="1"/>
                <w:color w:val="FFFFFF"/>
              </w:rPr>
              <w:t>Deducton</w:t>
            </w:r>
          </w:p>
        </w:tc>
        <w:tc>
          <w:tcPr>
            <w:tcW w:w="1790" w:type="dxa"/>
            <w:vAlign w:val="bottom"/>
            <w:shd w:val="clear" w:color="auto" w:fill="004054"/>
          </w:tcPr>
          <w:p>
            <w:pPr>
              <w:jc w:val="center"/>
              <w:ind w:left="998"/>
              <w:spacing w:after="0"/>
              <w:rPr>
                <w:sz w:val="20"/>
                <w:szCs w:val="20"/>
                <w:color w:val="auto"/>
              </w:rPr>
            </w:pPr>
            <w:r>
              <w:rPr>
                <w:rFonts w:ascii="Calibri" w:cs="Calibri" w:eastAsia="Calibri" w:hAnsi="Calibri"/>
                <w:sz w:val="14"/>
                <w:szCs w:val="14"/>
                <w:b w:val="1"/>
                <w:bCs w:val="1"/>
                <w:color w:val="FFFFFF"/>
              </w:rPr>
              <w:t>end of year</w:t>
            </w:r>
          </w:p>
        </w:tc>
      </w:tr>
      <w:tr>
        <w:trPr>
          <w:trHeight w:val="74"/>
        </w:trPr>
        <w:tc>
          <w:tcPr>
            <w:tcW w:w="2810" w:type="dxa"/>
            <w:vAlign w:val="bottom"/>
            <w:shd w:val="clear" w:color="auto" w:fill="004054"/>
          </w:tcPr>
          <w:p>
            <w:pPr>
              <w:spacing w:after="0"/>
              <w:rPr>
                <w:sz w:val="6"/>
                <w:szCs w:val="6"/>
                <w:color w:val="auto"/>
              </w:rPr>
            </w:pPr>
          </w:p>
        </w:tc>
        <w:tc>
          <w:tcPr>
            <w:tcW w:w="1970" w:type="dxa"/>
            <w:vAlign w:val="bottom"/>
            <w:shd w:val="clear" w:color="auto" w:fill="004054"/>
          </w:tcPr>
          <w:p>
            <w:pPr>
              <w:spacing w:after="0"/>
              <w:rPr>
                <w:sz w:val="6"/>
                <w:szCs w:val="6"/>
                <w:color w:val="auto"/>
              </w:rPr>
            </w:pPr>
          </w:p>
        </w:tc>
        <w:tc>
          <w:tcPr>
            <w:tcW w:w="2320" w:type="dxa"/>
            <w:vAlign w:val="bottom"/>
            <w:shd w:val="clear" w:color="auto" w:fill="004054"/>
          </w:tcPr>
          <w:p>
            <w:pPr>
              <w:spacing w:after="0"/>
              <w:rPr>
                <w:sz w:val="6"/>
                <w:szCs w:val="6"/>
                <w:color w:val="auto"/>
              </w:rPr>
            </w:pPr>
          </w:p>
        </w:tc>
        <w:tc>
          <w:tcPr>
            <w:tcW w:w="2330" w:type="dxa"/>
            <w:vAlign w:val="bottom"/>
            <w:shd w:val="clear" w:color="auto" w:fill="004054"/>
          </w:tcPr>
          <w:p>
            <w:pPr>
              <w:spacing w:after="0"/>
              <w:rPr>
                <w:sz w:val="6"/>
                <w:szCs w:val="6"/>
                <w:color w:val="auto"/>
              </w:rPr>
            </w:pPr>
          </w:p>
        </w:tc>
        <w:tc>
          <w:tcPr>
            <w:tcW w:w="179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5175" cy="2146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0" w:type="dxa"/>
            <w:vAlign w:val="bottom"/>
          </w:tcPr>
          <w:p>
            <w:pPr>
              <w:jc w:val="right"/>
              <w:ind w:right="1130"/>
              <w:spacing w:after="0"/>
              <w:rPr>
                <w:sz w:val="20"/>
                <w:szCs w:val="20"/>
                <w:color w:val="auto"/>
              </w:rPr>
            </w:pPr>
            <w:r>
              <w:rPr>
                <w:rFonts w:ascii="Calibri" w:cs="Calibri" w:eastAsia="Calibri" w:hAnsi="Calibri"/>
                <w:sz w:val="18"/>
                <w:szCs w:val="18"/>
                <w:color w:val="51555C"/>
                <w:w w:val="98"/>
              </w:rPr>
              <w:t>2024</w:t>
            </w:r>
          </w:p>
        </w:tc>
        <w:tc>
          <w:tcPr>
            <w:tcW w:w="2000" w:type="dxa"/>
            <w:vAlign w:val="bottom"/>
          </w:tcPr>
          <w:p>
            <w:pPr>
              <w:jc w:val="right"/>
              <w:ind w:right="590"/>
              <w:spacing w:after="0"/>
              <w:rPr>
                <w:sz w:val="20"/>
                <w:szCs w:val="20"/>
                <w:color w:val="auto"/>
              </w:rPr>
            </w:pPr>
            <w:r>
              <w:rPr>
                <w:rFonts w:ascii="Calibri" w:cs="Calibri" w:eastAsia="Calibri" w:hAnsi="Calibri"/>
                <w:sz w:val="18"/>
                <w:szCs w:val="18"/>
                <w:color w:val="51555C"/>
              </w:rPr>
              <w:t>$</w:t>
            </w: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811</w:t>
            </w:r>
          </w:p>
        </w:tc>
        <w:tc>
          <w:tcPr>
            <w:tcW w:w="1000" w:type="dxa"/>
            <w:vAlign w:val="bottom"/>
          </w:tcPr>
          <w:p>
            <w:pPr>
              <w:jc w:val="right"/>
              <w:ind w:right="790"/>
              <w:spacing w:after="0"/>
              <w:rPr>
                <w:sz w:val="20"/>
                <w:szCs w:val="20"/>
                <w:color w:val="auto"/>
              </w:rPr>
            </w:pPr>
            <w:r>
              <w:rPr>
                <w:rFonts w:ascii="Calibri" w:cs="Calibri" w:eastAsia="Calibri" w:hAnsi="Calibri"/>
                <w:sz w:val="18"/>
                <w:szCs w:val="18"/>
                <w:color w:val="51555C"/>
              </w:rPr>
              <w:t>$</w:t>
            </w:r>
          </w:p>
        </w:tc>
        <w:tc>
          <w:tcPr>
            <w:tcW w:w="1320" w:type="dxa"/>
            <w:vAlign w:val="bottom"/>
          </w:tcPr>
          <w:p>
            <w:pPr>
              <w:jc w:val="right"/>
              <w:spacing w:after="0"/>
              <w:rPr>
                <w:sz w:val="20"/>
                <w:szCs w:val="20"/>
                <w:color w:val="auto"/>
              </w:rPr>
            </w:pPr>
            <w:r>
              <w:rPr>
                <w:rFonts w:ascii="Calibri" w:cs="Calibri" w:eastAsia="Calibri" w:hAnsi="Calibri"/>
                <w:sz w:val="18"/>
                <w:szCs w:val="18"/>
                <w:color w:val="51555C"/>
              </w:rPr>
              <w:t>2,966</w:t>
            </w:r>
          </w:p>
        </w:tc>
        <w:tc>
          <w:tcPr>
            <w:tcW w:w="800" w:type="dxa"/>
            <w:vAlign w:val="bottom"/>
          </w:tcPr>
          <w:p>
            <w:pPr>
              <w:jc w:val="right"/>
              <w:ind w:right="590"/>
              <w:spacing w:after="0"/>
              <w:rPr>
                <w:sz w:val="20"/>
                <w:szCs w:val="20"/>
                <w:color w:val="auto"/>
              </w:rPr>
            </w:pPr>
            <w:r>
              <w:rPr>
                <w:rFonts w:ascii="Calibri" w:cs="Calibri" w:eastAsia="Calibri" w:hAnsi="Calibri"/>
                <w:sz w:val="18"/>
                <w:szCs w:val="18"/>
                <w:color w:val="51555C"/>
              </w:rPr>
              <w:t>$</w:t>
            </w:r>
          </w:p>
        </w:tc>
        <w:tc>
          <w:tcPr>
            <w:tcW w:w="1540" w:type="dxa"/>
            <w:vAlign w:val="bottom"/>
          </w:tcPr>
          <w:p>
            <w:pPr>
              <w:jc w:val="right"/>
              <w:spacing w:after="0"/>
              <w:rPr>
                <w:sz w:val="20"/>
                <w:szCs w:val="20"/>
                <w:color w:val="auto"/>
              </w:rPr>
            </w:pPr>
            <w:r>
              <w:rPr>
                <w:rFonts w:ascii="Calibri" w:cs="Calibri" w:eastAsia="Calibri" w:hAnsi="Calibri"/>
                <w:sz w:val="18"/>
                <w:szCs w:val="18"/>
                <w:color w:val="51555C"/>
              </w:rPr>
              <w:t>(3,037)</w:t>
            </w:r>
          </w:p>
        </w:tc>
        <w:tc>
          <w:tcPr>
            <w:tcW w:w="720" w:type="dxa"/>
            <w:vAlign w:val="bottom"/>
          </w:tcPr>
          <w:p>
            <w:pPr>
              <w:jc w:val="right"/>
              <w:ind w:right="530"/>
              <w:spacing w:after="0"/>
              <w:rPr>
                <w:sz w:val="20"/>
                <w:szCs w:val="20"/>
                <w:color w:val="auto"/>
              </w:rPr>
            </w:pPr>
            <w:r>
              <w:rPr>
                <w:rFonts w:ascii="Calibri" w:cs="Calibri" w:eastAsia="Calibri" w:hAnsi="Calibri"/>
                <w:sz w:val="18"/>
                <w:szCs w:val="18"/>
                <w:color w:val="51555C"/>
                <w:w w:val="87"/>
              </w:rPr>
              <w:t>$</w:t>
            </w: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740</w:t>
            </w:r>
          </w:p>
        </w:tc>
        <w:tc>
          <w:tcPr>
            <w:tcW w:w="20" w:type="dxa"/>
            <w:vAlign w:val="bottom"/>
          </w:tcPr>
          <w:p>
            <w:pPr>
              <w:spacing w:after="0"/>
              <w:rPr>
                <w:sz w:val="19"/>
                <w:szCs w:val="19"/>
                <w:color w:val="auto"/>
              </w:rPr>
            </w:pPr>
          </w:p>
        </w:tc>
      </w:tr>
      <w:tr>
        <w:trPr>
          <w:trHeight w:val="324"/>
        </w:trPr>
        <w:tc>
          <w:tcPr>
            <w:tcW w:w="1600" w:type="dxa"/>
            <w:vAlign w:val="bottom"/>
          </w:tcPr>
          <w:p>
            <w:pPr>
              <w:jc w:val="right"/>
              <w:ind w:right="1130"/>
              <w:spacing w:after="0"/>
              <w:rPr>
                <w:sz w:val="20"/>
                <w:szCs w:val="20"/>
                <w:color w:val="auto"/>
              </w:rPr>
            </w:pPr>
            <w:r>
              <w:rPr>
                <w:rFonts w:ascii="Calibri" w:cs="Calibri" w:eastAsia="Calibri" w:hAnsi="Calibri"/>
                <w:sz w:val="18"/>
                <w:szCs w:val="18"/>
                <w:color w:val="51555C"/>
                <w:w w:val="98"/>
              </w:rPr>
              <w:t>2023</w:t>
            </w:r>
          </w:p>
        </w:tc>
        <w:tc>
          <w:tcPr>
            <w:tcW w:w="2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1,296</w:t>
            </w:r>
          </w:p>
        </w:tc>
        <w:tc>
          <w:tcPr>
            <w:tcW w:w="10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51555C"/>
              </w:rPr>
              <w:t>2,488</w:t>
            </w:r>
          </w:p>
        </w:tc>
        <w:tc>
          <w:tcPr>
            <w:tcW w:w="8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alibri" w:cs="Calibri" w:eastAsia="Calibri" w:hAnsi="Calibri"/>
                <w:sz w:val="18"/>
                <w:szCs w:val="18"/>
                <w:color w:val="51555C"/>
              </w:rPr>
              <w:t>(2,973)</w:t>
            </w: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811</w:t>
            </w:r>
          </w:p>
        </w:tc>
        <w:tc>
          <w:tcPr>
            <w:tcW w:w="20" w:type="dxa"/>
            <w:vAlign w:val="bottom"/>
          </w:tcPr>
          <w:p>
            <w:pPr>
              <w:spacing w:after="0"/>
              <w:rPr>
                <w:sz w:val="24"/>
                <w:szCs w:val="24"/>
                <w:color w:val="auto"/>
              </w:rPr>
            </w:pPr>
          </w:p>
        </w:tc>
      </w:tr>
      <w:tr>
        <w:trPr>
          <w:trHeight w:val="50"/>
        </w:trPr>
        <w:tc>
          <w:tcPr>
            <w:tcW w:w="16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1600" w:type="dxa"/>
            <w:vAlign w:val="bottom"/>
            <w:tcBorders>
              <w:bottom w:val="single" w:sz="8" w:color="EBFBFF"/>
            </w:tcBorders>
            <w:shd w:val="clear" w:color="auto" w:fill="EBFBFF"/>
          </w:tcPr>
          <w:p>
            <w:pPr>
              <w:jc w:val="right"/>
              <w:ind w:right="1130"/>
              <w:spacing w:after="0"/>
              <w:rPr>
                <w:sz w:val="20"/>
                <w:szCs w:val="20"/>
                <w:color w:val="auto"/>
              </w:rPr>
            </w:pPr>
            <w:r>
              <w:rPr>
                <w:rFonts w:ascii="Calibri" w:cs="Calibri" w:eastAsia="Calibri" w:hAnsi="Calibri"/>
                <w:sz w:val="18"/>
                <w:szCs w:val="18"/>
                <w:color w:val="51555C"/>
                <w:w w:val="98"/>
              </w:rPr>
              <w:t>2022</w:t>
            </w:r>
          </w:p>
        </w:tc>
        <w:tc>
          <w:tcPr>
            <w:tcW w:w="2000" w:type="dxa"/>
            <w:vAlign w:val="bottom"/>
            <w:tcBorders>
              <w:bottom w:val="single" w:sz="8" w:color="EBFBFF"/>
            </w:tcBorders>
            <w:shd w:val="clear" w:color="auto" w:fill="EBFBFF"/>
          </w:tcPr>
          <w:p>
            <w:pPr>
              <w:spacing w:after="0"/>
              <w:rPr>
                <w:sz w:val="24"/>
                <w:szCs w:val="24"/>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1,780</w:t>
            </w:r>
          </w:p>
        </w:tc>
        <w:tc>
          <w:tcPr>
            <w:tcW w:w="1000" w:type="dxa"/>
            <w:vAlign w:val="bottom"/>
            <w:tcBorders>
              <w:bottom w:val="single" w:sz="8" w:color="EBFBFF"/>
            </w:tcBorders>
            <w:shd w:val="clear" w:color="auto" w:fill="EBFBFF"/>
          </w:tcPr>
          <w:p>
            <w:pPr>
              <w:spacing w:after="0"/>
              <w:rPr>
                <w:sz w:val="24"/>
                <w:szCs w:val="24"/>
                <w:color w:val="auto"/>
              </w:rPr>
            </w:pPr>
          </w:p>
        </w:tc>
        <w:tc>
          <w:tcPr>
            <w:tcW w:w="13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4,785</w:t>
            </w:r>
          </w:p>
        </w:tc>
        <w:tc>
          <w:tcPr>
            <w:tcW w:w="800" w:type="dxa"/>
            <w:vAlign w:val="bottom"/>
            <w:tcBorders>
              <w:bottom w:val="single" w:sz="8" w:color="EBFBFF"/>
            </w:tcBorders>
            <w:shd w:val="clear" w:color="auto" w:fill="EBFBFF"/>
          </w:tcPr>
          <w:p>
            <w:pPr>
              <w:spacing w:after="0"/>
              <w:rPr>
                <w:sz w:val="24"/>
                <w:szCs w:val="24"/>
                <w:color w:val="auto"/>
              </w:rPr>
            </w:pPr>
          </w:p>
        </w:tc>
        <w:tc>
          <w:tcPr>
            <w:tcW w:w="15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(5,269)</w:t>
            </w:r>
          </w:p>
        </w:tc>
        <w:tc>
          <w:tcPr>
            <w:tcW w:w="72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1,296</w:t>
            </w:r>
          </w:p>
        </w:tc>
        <w:tc>
          <w:tcPr>
            <w:tcW w:w="20" w:type="dxa"/>
            <w:vAlign w:val="bottom"/>
          </w:tcPr>
          <w:p>
            <w:pPr>
              <w:spacing w:after="0"/>
              <w:rPr>
                <w:sz w:val="24"/>
                <w:szCs w:val="24"/>
                <w:color w:val="auto"/>
              </w:rPr>
            </w:pPr>
          </w:p>
        </w:tc>
      </w:tr>
      <w:tr>
        <w:trPr>
          <w:trHeight w:val="20"/>
        </w:trPr>
        <w:tc>
          <w:tcPr>
            <w:tcW w:w="1600" w:type="dxa"/>
            <w:vAlign w:val="bottom"/>
            <w:shd w:val="clear" w:color="auto" w:fill="0CD973"/>
          </w:tcPr>
          <w:p>
            <w:pPr>
              <w:spacing w:after="0" w:line="20" w:lineRule="exact"/>
              <w:rPr>
                <w:sz w:val="1"/>
                <w:szCs w:val="1"/>
                <w:color w:val="auto"/>
              </w:rPr>
            </w:pPr>
          </w:p>
        </w:tc>
        <w:tc>
          <w:tcPr>
            <w:tcW w:w="200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800" w:type="dxa"/>
            <w:vAlign w:val="bottom"/>
            <w:shd w:val="clear" w:color="auto" w:fill="0CD973"/>
          </w:tcPr>
          <w:p>
            <w:pPr>
              <w:spacing w:after="0" w:line="20" w:lineRule="exact"/>
              <w:rPr>
                <w:sz w:val="1"/>
                <w:szCs w:val="1"/>
                <w:color w:val="auto"/>
              </w:rPr>
            </w:pPr>
          </w:p>
        </w:tc>
        <w:tc>
          <w:tcPr>
            <w:tcW w:w="2260" w:type="dxa"/>
            <w:vAlign w:val="bottom"/>
            <w:gridSpan w:val="2"/>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2"/>
        </w:trPr>
        <w:tc>
          <w:tcPr>
            <w:tcW w:w="1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2"/>
          </w:tcPr>
          <w:p>
            <w:pPr>
              <w:jc w:val="right"/>
              <w:ind w:right="590"/>
              <w:spacing w:after="0"/>
              <w:rPr>
                <w:sz w:val="20"/>
                <w:szCs w:val="20"/>
                <w:color w:val="auto"/>
              </w:rPr>
            </w:pPr>
            <w:r>
              <w:rPr>
                <w:rFonts w:ascii="Calibri" w:cs="Calibri" w:eastAsia="Calibri" w:hAnsi="Calibri"/>
                <w:sz w:val="14"/>
                <w:szCs w:val="14"/>
                <w:color w:val="51555C"/>
              </w:rPr>
              <w:t>2024 Form 10-K</w:t>
            </w:r>
          </w:p>
        </w:tc>
        <w:tc>
          <w:tcPr>
            <w:tcW w:w="1100" w:type="dxa"/>
            <w:vAlign w:val="bottom"/>
            <w:gridSpan w:val="2"/>
          </w:tcPr>
          <w:p>
            <w:pPr>
              <w:jc w:val="right"/>
              <w:ind w:right="20"/>
              <w:spacing w:after="0"/>
              <w:rPr>
                <w:sz w:val="20"/>
                <w:szCs w:val="20"/>
                <w:color w:val="auto"/>
              </w:rPr>
            </w:pPr>
            <w:r>
              <w:rPr>
                <w:rFonts w:ascii="Calibri" w:cs="Calibri" w:eastAsia="Calibri" w:hAnsi="Calibri"/>
                <w:sz w:val="14"/>
                <w:szCs w:val="14"/>
                <w:color w:val="51555C"/>
              </w:rPr>
              <w:t>79</w:t>
            </w:r>
          </w:p>
        </w:tc>
      </w:tr>
      <w:tr>
        <w:trPr>
          <w:trHeight w:val="338"/>
        </w:trPr>
        <w:tc>
          <w:tcPr>
            <w:tcW w:w="1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Advertsing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expense advertsing costs as incurred, which were $16.0 million, $14.0 million and $16.5 million for the years ended December 31, 2024, 2023 and 2022, respectvely.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Restructuring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Restructuring costs include charges for the costs of exit or disposal actvites. The liability for costs associated with exit or disposal actvites is measured initally at fair value and only recognized when the liability is incurred.</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Leases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determine if an arrangement is a lease at incepton. Operatng leases are included in operatng lease right-of-use ("ROU") assets, accrued expense and other current liabilites, and operatng lease liabilites, net of current porton in our consolidated balance sheet as of December 31, 2024 and 2023.</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ROU assets represent our right to use an underlying asset for the lease term and lease liabilites represent our obligaton to make lease payments arising from the lease. Operatng lease ROU assets and liabilites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estmated rate of interest for collateralized borrowing over a similar term of the lease payments at the commencement date. We use the implicit rate when readily determinable. The operatng lease ROU asset also includes any inital direct costs and lease payments made and excludes lease incentves. Our lease terms may include optons to extend or terminate the lease when it is reasonably certain that we will exercise that opton. Lease expense for lease payments related to our operatng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utlites and real estate taxes that are passed on from the lessor in proporton to the space leased by us, are recognized in operatng expenses in the period in which the obligaton for those payments is incurred.</w:t>
      </w:r>
    </w:p>
    <w:p>
      <w:pPr>
        <w:spacing w:after="0" w:line="167"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Loss contngencies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subject to the possibility of various loss contngencies, including legal proceedings and claims, that arise in the normal course of business, as well as certain other non-ordinary course proceedings, claims and investgatons, as described in Note 11 to these consolidated fnancial statements. We record an accrual for a loss contngency when it is both probable that a liability has been incurred and the amount of the loss can be reasonably estmated. Ofen these issues are subject to substantal uncertaintes and, therefore, the probability of loss and the estmaton of damages are difcult to ascertain. These assessments can involve a series of complex judgments about future events and can rely heavily on estmates and assumptons that have been deemed reasonable by us. Although we believe we have substantal defenses in these maters, we could incur judgments or enter into setlements of claims that could have a material adverse efect on our consolidated fnancial positon, results of operatons or cash fows in any partcular period.</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(Loss) earnings per share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compute basic (loss) earnings per share by dividing net (loss) income atributable to common stockholders by the weighted average number of common shares outstanding during the period. Diluted earnings per share is computed by dividing net income atributable to common stockholders by the weighted average number of common shares and dilutve potental common shares outstanding during the period. Diluted earnings per share refects the assumed exercise, setlement and vestng of all dilutve securites using the “treasury stock method” except when the efect is ant-dilutve. Potentally dilutve securites consist of shares issuable upon the exercise of stock optons and stock appreciaton rights and vestng of restricted stock awards and units. In periods where there are net losses and the inclusion of potentally dilutve securites would be ant-dilutve, diluted loss per share is the same as basic loss per share.</w:t>
      </w:r>
    </w:p>
    <w:p>
      <w:pPr>
        <w:spacing w:after="0" w:line="31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80</w:t>
      </w:r>
      <w:r>
        <w:rPr>
          <w:sz w:val="20"/>
          <w:szCs w:val="20"/>
          <w:color w:val="auto"/>
        </w:rPr>
        <w:tab/>
      </w:r>
      <w:r>
        <w:rPr>
          <w:sz w:val="1"/>
          <w:szCs w:val="1"/>
          <w:color w:val="auto"/>
        </w:rPr>
        <w:drawing>
          <wp:inline distT="0" distB="0" distL="0" distR="0">
            <wp:extent cx="728345" cy="18859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3. Business Combinatons and Dispositons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2024 dispositons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EVERFI, LLC</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December 31, 2024, we disposed of our EVERFI business, formerly a wholly-owned subsidiary of Blackbaud, Inc, to a private investment frm that is unafliated with Blackbaud for nominal cash consideraton. We incurred $14.0 million of costs associated with the dispositon of this business, all of which were recorded as accrued expenses and other liabilites as of December 31, 2024. As a result of the dispositon, we recorded a loss of $15.2 million, which included direct costs to sell the business. This loss on dispositon together with EVERFI impairment charges are recorded within EVERFI dispositon on our consolidated statements of comprehensive loss for the year ended December 31, 2024. See Note 4 to these consolidated fnancial statements for additonal informaton about the EVERFI impairment charges.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EVERFI Limited</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March 2, 2024, we completed a transacton to divest our U.K.-based creatve services business EVERFI Limited, formerly a wholly-owned subsidiary of EVERFI, Inc, which was a wholly-owned subsidiary of Blackbaud, Inc. EVERFI Limited's total revenue during 2023 was $8.4 million. We incurred an insignifcant amount of legal costs associated with the dispositon of this business. As a result of the dispositon, we recorded a $1.6 million loss, which was recorded in general and administratve expense on our consolidated statements of comprehensive loss for the year ended December 31, 2024.</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2022 dispositon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Blackbaud FIMS™ and DonorCentral® NXT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September 9, 2022, we sold our Foundaton Informaton Management System ("FIMS") and DonorCentral NXT solutons to Fusion Laboratories, LLC for cash proceeds of approximately $6.4 million, net of closing adjustments. During the year ended December 31, 2022, we recognized a noncash impairment charge of $2.0 million against certain insignifcant FIMS customer relatonship intangible assets that were then held for sale. The impairment charge was recorded in general and administratve expense on our consolidated statements of comprehensive loss.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2022 acquisiton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Kilter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August 19, 2022, we acquired all of the outstanding stock of Kilter, Inc., a Delaware corporaton, pursuant to an agreement and plan of merger, for approximately $2.9 million in cash, net of closing adjustments. In additon to the consideraton paid at closing, the agreement and plan of merger included cash consideraton payable, up to a maximum of $3.0 million, if during the two-year period commencing January 1, 2023 Kilter met certain applicaton partcipaton targets. These targets were not met and, therefore, no liability is recorded as of December 31, 2024. Fair values were also assigned to the other assets acquired and liabilites assumed, primarily consistng of goodwill and a fnite-lived developed technology intangible asset, which will be amortzed over an estmated useful life of three years. We fnalized the purchase price allocaton of Kilter, including the valuaton of assets acquired and liabilites assumed, during the third quarter of 2023. Insignifcant acquisiton-related costs, which primarily consisted of legal services, were recorded as general and administratve expense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224155</wp:posOffset>
            </wp:positionV>
            <wp:extent cx="7289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 in goodwill during 2024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6"/>
                <w:szCs w:val="16"/>
                <w:color w:val="auto"/>
              </w:rPr>
            </w:pPr>
          </w:p>
        </w:tc>
      </w:tr>
      <w:tr>
        <w:trPr>
          <w:trHeight w:val="67"/>
        </w:trPr>
        <w:tc>
          <w:tcPr>
            <w:tcW w:w="10060" w:type="dxa"/>
            <w:vAlign w:val="bottom"/>
            <w:shd w:val="clear" w:color="auto" w:fill="004054"/>
          </w:tcPr>
          <w:p>
            <w:pPr>
              <w:spacing w:after="0"/>
              <w:rPr>
                <w:sz w:val="5"/>
                <w:szCs w:val="5"/>
                <w:color w:val="auto"/>
              </w:rPr>
            </w:pPr>
          </w:p>
        </w:tc>
        <w:tc>
          <w:tcPr>
            <w:tcW w:w="26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10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Balance at December 31, 2023</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1,053,738</w:t>
            </w:r>
          </w:p>
        </w:tc>
        <w:tc>
          <w:tcPr>
            <w:tcW w:w="20" w:type="dxa"/>
            <w:vAlign w:val="bottom"/>
          </w:tcPr>
          <w:p>
            <w:pPr>
              <w:spacing w:after="0"/>
              <w:rPr>
                <w:sz w:val="21"/>
                <w:szCs w:val="21"/>
                <w:color w:val="auto"/>
              </w:rPr>
            </w:pPr>
          </w:p>
        </w:tc>
      </w:tr>
      <w:tr>
        <w:trPr>
          <w:trHeight w:val="220"/>
        </w:trPr>
        <w:tc>
          <w:tcPr>
            <w:tcW w:w="10060" w:type="dxa"/>
            <w:vAlign w:val="bottom"/>
          </w:tcPr>
          <w:p>
            <w:pPr>
              <w:ind w:left="140"/>
              <w:spacing w:after="0"/>
              <w:rPr>
                <w:sz w:val="20"/>
                <w:szCs w:val="20"/>
                <w:color w:val="auto"/>
              </w:rPr>
            </w:pPr>
            <w:r>
              <w:rPr>
                <w:rFonts w:ascii="Calibri" w:cs="Calibri" w:eastAsia="Calibri" w:hAnsi="Calibri"/>
                <w:sz w:val="18"/>
                <w:szCs w:val="18"/>
                <w:color w:val="51555C"/>
              </w:rPr>
              <w:t>Efect of foreign currency translaton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(1,232)</w:t>
            </w:r>
          </w:p>
        </w:tc>
        <w:tc>
          <w:tcPr>
            <w:tcW w:w="20" w:type="dxa"/>
            <w:vAlign w:val="bottom"/>
          </w:tcPr>
          <w:p>
            <w:pPr>
              <w:spacing w:after="0"/>
              <w:rPr>
                <w:sz w:val="19"/>
                <w:szCs w:val="19"/>
                <w:color w:val="auto"/>
              </w:rPr>
            </w:pPr>
          </w:p>
        </w:tc>
      </w:tr>
      <w:tr>
        <w:trPr>
          <w:trHeight w:val="50"/>
        </w:trPr>
        <w:tc>
          <w:tcPr>
            <w:tcW w:w="10060" w:type="dxa"/>
            <w:vAlign w:val="bottom"/>
            <w:tcBorders>
              <w:bottom w:val="single" w:sz="8" w:color="EBFBFF"/>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006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Balance at December 31, 2024</w:t>
            </w:r>
          </w:p>
        </w:tc>
        <w:tc>
          <w:tcPr>
            <w:tcW w:w="26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1,052,506</w:t>
            </w:r>
          </w:p>
        </w:tc>
        <w:tc>
          <w:tcPr>
            <w:tcW w:w="20" w:type="dxa"/>
            <w:vAlign w:val="bottom"/>
          </w:tcPr>
          <w:p>
            <w:pPr>
              <w:spacing w:after="0"/>
              <w:rPr>
                <w:sz w:val="21"/>
                <w:szCs w:val="21"/>
                <w:color w:val="auto"/>
              </w:rPr>
            </w:pPr>
          </w:p>
        </w:tc>
      </w:tr>
      <w:tr>
        <w:trPr>
          <w:trHeight w:val="20"/>
        </w:trPr>
        <w:tc>
          <w:tcPr>
            <w:tcW w:w="1006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recorded intangible assets acquired in various business combinatons based on their fair values at the date of acquisiton. The table below sets forth the balances of each class of intangible asset and related amortzaton as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236"/>
        </w:trPr>
        <w:tc>
          <w:tcPr>
            <w:tcW w:w="8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20"/>
                <w:szCs w:val="20"/>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20"/>
                <w:szCs w:val="20"/>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85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r>
      <w:tr>
        <w:trPr>
          <w:trHeight w:val="250"/>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Finite-lived gross carrying amount</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Customer relatonships</w:t>
            </w:r>
          </w:p>
        </w:tc>
        <w:tc>
          <w:tcPr>
            <w:tcW w:w="360" w:type="dxa"/>
            <w:vAlign w:val="bottom"/>
          </w:tcPr>
          <w:p>
            <w:pPr>
              <w:jc w:val="right"/>
              <w:ind w:right="170"/>
              <w:spacing w:after="0"/>
              <w:rPr>
                <w:sz w:val="20"/>
                <w:szCs w:val="20"/>
                <w:color w:val="auto"/>
              </w:rPr>
            </w:pPr>
            <w:r>
              <w:rPr>
                <w:rFonts w:ascii="Calibri" w:cs="Calibri" w:eastAsia="Calibri" w:hAnsi="Calibri"/>
                <w:sz w:val="18"/>
                <w:szCs w:val="18"/>
                <w:color w:val="51555C"/>
                <w:w w:val="87"/>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243,203</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570,104</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Marketng assets</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29,876</w:t>
            </w: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71,308</w:t>
            </w: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Developed technology</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110,606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182,956</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Content</w:t>
            </w:r>
          </w:p>
        </w:tc>
        <w:tc>
          <w:tcPr>
            <w:tcW w:w="3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3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17,900</w:t>
            </w:r>
          </w:p>
        </w:tc>
      </w:tr>
      <w:tr>
        <w:trPr>
          <w:trHeight w:val="213"/>
        </w:trPr>
        <w:tc>
          <w:tcPr>
            <w:tcW w:w="854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51555C"/>
              </w:rPr>
              <w:t>Total fnite-lived gross carrying amount</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383,685</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842,268</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Accumulated amortzaton</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Customer relatonships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(173,720)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(174,982)</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Marketng assets</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(11,660)</w:t>
            </w: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(11,985)</w:t>
            </w: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Developed technology</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(65,424)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(69,386)</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Content</w:t>
            </w:r>
          </w:p>
        </w:tc>
        <w:tc>
          <w:tcPr>
            <w:tcW w:w="3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3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(3,978)</w:t>
            </w:r>
          </w:p>
        </w:tc>
      </w:tr>
      <w:tr>
        <w:trPr>
          <w:trHeight w:val="213"/>
        </w:trPr>
        <w:tc>
          <w:tcPr>
            <w:tcW w:w="854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51555C"/>
              </w:rPr>
              <w:t>Total accumulated amortzaton</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(250,804)</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(260,331)</w:t>
            </w:r>
          </w:p>
        </w:tc>
      </w:tr>
      <w:tr>
        <w:trPr>
          <w:trHeight w:val="50"/>
        </w:trPr>
        <w:tc>
          <w:tcPr>
            <w:tcW w:w="8540" w:type="dxa"/>
            <w:vAlign w:val="bottom"/>
            <w:tcBorders>
              <w:bottom w:val="single" w:sz="8" w:color="EBFB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854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Intangible assets, net</w:t>
            </w:r>
          </w:p>
        </w:tc>
        <w:tc>
          <w:tcPr>
            <w:tcW w:w="360" w:type="dxa"/>
            <w:vAlign w:val="bottom"/>
            <w:tcBorders>
              <w:bottom w:val="single" w:sz="8" w:color="EBFBFF"/>
            </w:tcBorders>
            <w:shd w:val="clear" w:color="auto" w:fill="EBFBFF"/>
          </w:tcPr>
          <w:p>
            <w:pPr>
              <w:jc w:val="right"/>
              <w:ind w:right="170"/>
              <w:spacing w:after="0" w:line="213" w:lineRule="exact"/>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132,881</w:t>
            </w:r>
          </w:p>
        </w:tc>
        <w:tc>
          <w:tcPr>
            <w:tcW w:w="300" w:type="dxa"/>
            <w:vAlign w:val="bottom"/>
            <w:tcBorders>
              <w:bottom w:val="single" w:sz="8" w:color="EBFBFF"/>
            </w:tcBorders>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10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581,937</w:t>
            </w:r>
          </w:p>
        </w:tc>
      </w:tr>
      <w:tr>
        <w:trPr>
          <w:trHeight w:val="20"/>
        </w:trPr>
        <w:tc>
          <w:tcPr>
            <w:tcW w:w="85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-2425065</wp:posOffset>
            </wp:positionV>
            <wp:extent cx="17062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51555C"/>
        </w:rPr>
        <w:t>During the year ended December 31, 2024, changes to the gross carrying amounts of intangible asset classes were primarily related to the EVERFI impairment charges and subsequent dispositon discussed below, write-ofs of fully amortzed intangible assets and the efect of foreign currency translaton.</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EVERFI impairment charges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July 2024, we hired a strategic advisor to assist us in considering a range of alternatves for EVERFI, one of which included a potental divestture of the business. As part of evaluatng alternatves for EVERFI, during the fourth quarter of 2024, we prepared a revised business forecast that included a new level of detail, including separately identfable cash fows for EVERFI. The Company then reassessed its asset groupings under ASC 360-10 and determined there was a new asset group for EVERFI and evaluated this asset group for potental impairment. On December 9, 2024, the Company concluded that a material impairment charge was required related to its EVERFI asset group, which primarily included fnite-lived intangible assets and capitalized sofware and content development costs. On December 29, 2024, we classifed EVERFI's assets and liabilites as held for sale and we determined there would be an additonal impairment charge to record the EVERFI disposal group at its estmated fair value less costs to sell resultng in total noncash impairment charges of $390.2 million. On December 31, 2024, we disposed of EVERFI for a nominal amount that resulted in a loss on dispositon of $15.2 million, which together with the impairment charges, is recorded within EVERFI dispositon on our consolidated statements of</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82</w:t>
      </w:r>
      <w:r>
        <w:rPr>
          <w:sz w:val="20"/>
          <w:szCs w:val="20"/>
          <w:color w:val="auto"/>
        </w:rPr>
        <w:tab/>
      </w:r>
      <w:r>
        <w:rPr>
          <w:sz w:val="1"/>
          <w:szCs w:val="1"/>
          <w:color w:val="auto"/>
        </w:rPr>
        <w:drawing>
          <wp:inline distT="0" distB="0" distL="0" distR="0">
            <wp:extent cx="728345" cy="18859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comprehensive loss. See Note 3 to these consolidated fnancial statements for additonal informaton about the dispositon of EVERFI.</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Amortzaton expense</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Amortzaton expense related to fnite-lived intangible assets acquired in business combinatons is allocated to cost of revenue on the consolidated statements of comprehensive income based on the revenue stream to which the asset contributes, except for marketng assets and non-compete agreements, for which the associated amortzaton expense is included in operatng expenses.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amortzaton expense of our fnite-lived intangible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22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72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2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r>
      <w:tr>
        <w:trPr>
          <w:trHeight w:val="250"/>
        </w:trPr>
        <w:tc>
          <w:tcPr>
            <w:tcW w:w="72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cost of revenue:</w:t>
            </w: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r>
      <w:tr>
        <w:trPr>
          <w:trHeight w:val="219"/>
        </w:trPr>
        <w:tc>
          <w:tcPr>
            <w:tcW w:w="7200" w:type="dxa"/>
            <w:vAlign w:val="bottom"/>
          </w:tcPr>
          <w:p>
            <w:pPr>
              <w:ind w:left="140"/>
              <w:spacing w:after="0"/>
              <w:rPr>
                <w:sz w:val="20"/>
                <w:szCs w:val="20"/>
                <w:color w:val="auto"/>
              </w:rPr>
            </w:pPr>
            <w:r>
              <w:rPr>
                <w:rFonts w:ascii="Calibri" w:cs="Calibri" w:eastAsia="Calibri" w:hAnsi="Calibri"/>
                <w:sz w:val="18"/>
                <w:szCs w:val="18"/>
                <w:color w:val="51555C"/>
              </w:rPr>
              <w:t>Cost of recurring</w:t>
            </w:r>
          </w:p>
        </w:tc>
        <w:tc>
          <w:tcPr>
            <w:tcW w:w="440" w:type="dxa"/>
            <w:vAlign w:val="bottom"/>
          </w:tcPr>
          <w:p>
            <w:pPr>
              <w:jc w:val="right"/>
              <w:ind w:right="230"/>
              <w:spacing w:after="0"/>
              <w:rPr>
                <w:sz w:val="20"/>
                <w:szCs w:val="20"/>
                <w:color w:val="auto"/>
              </w:rPr>
            </w:pPr>
            <w:r>
              <w:rPr>
                <w:rFonts w:ascii="Calibri" w:cs="Calibri" w:eastAsia="Calibri" w:hAnsi="Calibri"/>
                <w:sz w:val="18"/>
                <w:szCs w:val="18"/>
                <w:color w:val="51555C"/>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55,659</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51,079</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47,085</w:t>
            </w:r>
          </w:p>
        </w:tc>
      </w:tr>
      <w:tr>
        <w:trPr>
          <w:trHeight w:val="51"/>
        </w:trPr>
        <w:tc>
          <w:tcPr>
            <w:tcW w:w="7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72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Cost of one-tme services and other</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1,298</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1,384</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1,407</w:t>
            </w:r>
          </w:p>
        </w:tc>
      </w:tr>
      <w:tr>
        <w:trPr>
          <w:trHeight w:val="213"/>
        </w:trPr>
        <w:tc>
          <w:tcPr>
            <w:tcW w:w="7200" w:type="dxa"/>
            <w:vAlign w:val="bottom"/>
          </w:tcPr>
          <w:p>
            <w:pPr>
              <w:ind w:left="240"/>
              <w:spacing w:after="0" w:line="199" w:lineRule="exact"/>
              <w:rPr>
                <w:sz w:val="20"/>
                <w:szCs w:val="20"/>
                <w:color w:val="auto"/>
              </w:rPr>
            </w:pPr>
            <w:r>
              <w:rPr>
                <w:rFonts w:ascii="Calibri" w:cs="Calibri" w:eastAsia="Calibri" w:hAnsi="Calibri"/>
                <w:sz w:val="18"/>
                <w:szCs w:val="18"/>
                <w:color w:val="51555C"/>
              </w:rPr>
              <w:t>Total included in cost of revenue</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56,957</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52,463</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48,492</w:t>
            </w:r>
          </w:p>
        </w:tc>
      </w:tr>
      <w:tr>
        <w:trPr>
          <w:trHeight w:val="50"/>
        </w:trPr>
        <w:tc>
          <w:tcPr>
            <w:tcW w:w="7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72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operatng expenses</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3,541</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3,139</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2,925</w:t>
            </w:r>
          </w:p>
        </w:tc>
      </w:tr>
      <w:tr>
        <w:trPr>
          <w:trHeight w:val="213"/>
        </w:trPr>
        <w:tc>
          <w:tcPr>
            <w:tcW w:w="7200" w:type="dxa"/>
            <w:vAlign w:val="bottom"/>
          </w:tcPr>
          <w:p>
            <w:pPr>
              <w:ind w:left="460"/>
              <w:spacing w:after="0" w:line="199" w:lineRule="exact"/>
              <w:rPr>
                <w:sz w:val="20"/>
                <w:szCs w:val="20"/>
                <w:color w:val="auto"/>
              </w:rPr>
            </w:pPr>
            <w:r>
              <w:rPr>
                <w:rFonts w:ascii="Calibri" w:cs="Calibri" w:eastAsia="Calibri" w:hAnsi="Calibri"/>
                <w:sz w:val="18"/>
                <w:szCs w:val="18"/>
                <w:color w:val="51555C"/>
              </w:rPr>
              <w:t>Total amortzaton of intangibles from business combinatons</w:t>
            </w:r>
          </w:p>
        </w:tc>
        <w:tc>
          <w:tcPr>
            <w:tcW w:w="440" w:type="dxa"/>
            <w:vAlign w:val="bottom"/>
            <w:tcBorders>
              <w:top w:val="single" w:sz="8" w:color="51555C"/>
            </w:tcBorders>
          </w:tcPr>
          <w:p>
            <w:pPr>
              <w:jc w:val="right"/>
              <w:ind w:right="230"/>
              <w:spacing w:after="0" w:line="213" w:lineRule="exact"/>
              <w:rPr>
                <w:sz w:val="20"/>
                <w:szCs w:val="20"/>
                <w:color w:val="auto"/>
              </w:rPr>
            </w:pPr>
            <w:r>
              <w:rPr>
                <w:rFonts w:ascii="Calibri" w:cs="Calibri" w:eastAsia="Calibri" w:hAnsi="Calibri"/>
                <w:sz w:val="18"/>
                <w:szCs w:val="18"/>
                <w:color w:val="51555C"/>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60,498</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55,602</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51,417</w:t>
            </w:r>
          </w:p>
        </w:tc>
      </w:tr>
      <w:tr>
        <w:trPr>
          <w:trHeight w:val="50"/>
        </w:trPr>
        <w:tc>
          <w:tcPr>
            <w:tcW w:w="72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-1216660</wp:posOffset>
            </wp:positionV>
            <wp:extent cx="255460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outlines the estmated future amortzaton expense for each of the next fve years for our fnite-lived intangible assets as of December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4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Amortzaton</w:t>
            </w:r>
          </w:p>
        </w:tc>
        <w:tc>
          <w:tcPr>
            <w:tcW w:w="20" w:type="dxa"/>
            <w:vAlign w:val="bottom"/>
            <w:shd w:val="clear" w:color="auto" w:fill="004054"/>
          </w:tcPr>
          <w:p>
            <w:pPr>
              <w:spacing w:after="0"/>
              <w:rPr>
                <w:sz w:val="15"/>
                <w:szCs w:val="15"/>
                <w:color w:val="auto"/>
              </w:rPr>
            </w:pPr>
          </w:p>
        </w:tc>
      </w:tr>
      <w:tr>
        <w:trPr>
          <w:trHeight w:val="170"/>
        </w:trPr>
        <w:tc>
          <w:tcPr>
            <w:tcW w:w="9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expense</w:t>
            </w:r>
          </w:p>
        </w:tc>
        <w:tc>
          <w:tcPr>
            <w:tcW w:w="20" w:type="dxa"/>
            <w:vAlign w:val="bottom"/>
            <w:shd w:val="clear" w:color="auto" w:fill="004054"/>
          </w:tcPr>
          <w:p>
            <w:pPr>
              <w:spacing w:after="0"/>
              <w:rPr>
                <w:sz w:val="14"/>
                <w:szCs w:val="14"/>
                <w:color w:val="auto"/>
              </w:rPr>
            </w:pPr>
          </w:p>
        </w:tc>
      </w:tr>
      <w:tr>
        <w:trPr>
          <w:trHeight w:val="87"/>
        </w:trPr>
        <w:tc>
          <w:tcPr>
            <w:tcW w:w="9600" w:type="dxa"/>
            <w:vAlign w:val="bottom"/>
            <w:shd w:val="clear" w:color="auto" w:fill="004054"/>
          </w:tcPr>
          <w:p>
            <w:pPr>
              <w:spacing w:after="0"/>
              <w:rPr>
                <w:sz w:val="7"/>
                <w:szCs w:val="7"/>
                <w:color w:val="auto"/>
              </w:rPr>
            </w:pPr>
          </w:p>
        </w:tc>
        <w:tc>
          <w:tcPr>
            <w:tcW w:w="480" w:type="dxa"/>
            <w:vAlign w:val="bottom"/>
            <w:shd w:val="clear" w:color="auto" w:fill="004054"/>
          </w:tcPr>
          <w:p>
            <w:pPr>
              <w:spacing w:after="0"/>
              <w:rPr>
                <w:sz w:val="7"/>
                <w:szCs w:val="7"/>
                <w:color w:val="auto"/>
              </w:rPr>
            </w:pPr>
          </w:p>
        </w:tc>
        <w:tc>
          <w:tcPr>
            <w:tcW w:w="1160" w:type="dxa"/>
            <w:vAlign w:val="bottom"/>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r>
      <w:tr>
        <w:trPr>
          <w:trHeight w:val="25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2025</w:t>
            </w:r>
          </w:p>
        </w:tc>
        <w:tc>
          <w:tcPr>
            <w:tcW w:w="4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29,498</w:t>
            </w:r>
          </w:p>
        </w:tc>
        <w:tc>
          <w:tcPr>
            <w:tcW w:w="20" w:type="dxa"/>
            <w:vAlign w:val="bottom"/>
          </w:tcPr>
          <w:p>
            <w:pPr>
              <w:spacing w:after="0"/>
              <w:rPr>
                <w:sz w:val="21"/>
                <w:szCs w:val="21"/>
                <w:color w:val="auto"/>
              </w:rPr>
            </w:pPr>
          </w:p>
        </w:tc>
      </w:tr>
      <w:tr>
        <w:trPr>
          <w:trHeight w:val="220"/>
        </w:trPr>
        <w:tc>
          <w:tcPr>
            <w:tcW w:w="9600" w:type="dxa"/>
            <w:vAlign w:val="bottom"/>
          </w:tcPr>
          <w:p>
            <w:pPr>
              <w:ind w:left="20"/>
              <w:spacing w:after="0"/>
              <w:rPr>
                <w:sz w:val="20"/>
                <w:szCs w:val="20"/>
                <w:color w:val="auto"/>
              </w:rPr>
            </w:pPr>
            <w:r>
              <w:rPr>
                <w:rFonts w:ascii="Calibri" w:cs="Calibri" w:eastAsia="Calibri" w:hAnsi="Calibri"/>
                <w:sz w:val="18"/>
                <w:szCs w:val="18"/>
                <w:color w:val="51555C"/>
              </w:rPr>
              <w:t>2026</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23,771</w:t>
            </w:r>
          </w:p>
        </w:tc>
        <w:tc>
          <w:tcPr>
            <w:tcW w:w="20" w:type="dxa"/>
            <w:vAlign w:val="bottom"/>
          </w:tcPr>
          <w:p>
            <w:pPr>
              <w:spacing w:after="0"/>
              <w:rPr>
                <w:sz w:val="19"/>
                <w:szCs w:val="19"/>
                <w:color w:val="auto"/>
              </w:rPr>
            </w:pPr>
          </w:p>
        </w:tc>
      </w:tr>
      <w:tr>
        <w:trPr>
          <w:trHeight w:val="50"/>
        </w:trPr>
        <w:tc>
          <w:tcPr>
            <w:tcW w:w="9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2027</w:t>
            </w:r>
          </w:p>
        </w:tc>
        <w:tc>
          <w:tcPr>
            <w:tcW w:w="4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20,518</w:t>
            </w:r>
          </w:p>
        </w:tc>
        <w:tc>
          <w:tcPr>
            <w:tcW w:w="20" w:type="dxa"/>
            <w:vAlign w:val="bottom"/>
          </w:tcPr>
          <w:p>
            <w:pPr>
              <w:spacing w:after="0"/>
              <w:rPr>
                <w:sz w:val="21"/>
                <w:szCs w:val="21"/>
                <w:color w:val="auto"/>
              </w:rPr>
            </w:pPr>
          </w:p>
        </w:tc>
      </w:tr>
      <w:tr>
        <w:trPr>
          <w:trHeight w:val="220"/>
        </w:trPr>
        <w:tc>
          <w:tcPr>
            <w:tcW w:w="9600" w:type="dxa"/>
            <w:vAlign w:val="bottom"/>
          </w:tcPr>
          <w:p>
            <w:pPr>
              <w:ind w:left="20"/>
              <w:spacing w:after="0"/>
              <w:rPr>
                <w:sz w:val="20"/>
                <w:szCs w:val="20"/>
                <w:color w:val="auto"/>
              </w:rPr>
            </w:pPr>
            <w:r>
              <w:rPr>
                <w:rFonts w:ascii="Calibri" w:cs="Calibri" w:eastAsia="Calibri" w:hAnsi="Calibri"/>
                <w:sz w:val="18"/>
                <w:szCs w:val="18"/>
                <w:color w:val="51555C"/>
              </w:rPr>
              <w:t>2028</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15,484</w:t>
            </w:r>
          </w:p>
        </w:tc>
        <w:tc>
          <w:tcPr>
            <w:tcW w:w="20" w:type="dxa"/>
            <w:vAlign w:val="bottom"/>
          </w:tcPr>
          <w:p>
            <w:pPr>
              <w:spacing w:after="0"/>
              <w:rPr>
                <w:sz w:val="19"/>
                <w:szCs w:val="19"/>
                <w:color w:val="auto"/>
              </w:rPr>
            </w:pPr>
          </w:p>
        </w:tc>
      </w:tr>
      <w:tr>
        <w:trPr>
          <w:trHeight w:val="50"/>
        </w:trPr>
        <w:tc>
          <w:tcPr>
            <w:tcW w:w="9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2029</w:t>
            </w:r>
          </w:p>
        </w:tc>
        <w:tc>
          <w:tcPr>
            <w:tcW w:w="4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14,061</w:t>
            </w:r>
          </w:p>
        </w:tc>
        <w:tc>
          <w:tcPr>
            <w:tcW w:w="20" w:type="dxa"/>
            <w:vAlign w:val="bottom"/>
          </w:tcPr>
          <w:p>
            <w:pPr>
              <w:spacing w:after="0"/>
              <w:rPr>
                <w:sz w:val="23"/>
                <w:szCs w:val="23"/>
                <w:color w:val="auto"/>
              </w:rPr>
            </w:pPr>
          </w:p>
        </w:tc>
      </w:tr>
      <w:tr>
        <w:trPr>
          <w:trHeight w:val="213"/>
        </w:trPr>
        <w:tc>
          <w:tcPr>
            <w:tcW w:w="9600" w:type="dxa"/>
            <w:vAlign w:val="bottom"/>
          </w:tcPr>
          <w:p>
            <w:pPr>
              <w:ind w:left="220"/>
              <w:spacing w:after="0" w:line="213" w:lineRule="exact"/>
              <w:rPr>
                <w:sz w:val="20"/>
                <w:szCs w:val="20"/>
                <w:color w:val="auto"/>
              </w:rPr>
            </w:pPr>
            <w:r>
              <w:rPr>
                <w:rFonts w:ascii="Calibri" w:cs="Calibri" w:eastAsia="Calibri" w:hAnsi="Calibri"/>
                <w:sz w:val="18"/>
                <w:szCs w:val="18"/>
                <w:color w:val="51555C"/>
              </w:rPr>
              <w:t>Total</w:t>
            </w:r>
          </w:p>
        </w:tc>
        <w:tc>
          <w:tcPr>
            <w:tcW w:w="480" w:type="dxa"/>
            <w:vAlign w:val="bottom"/>
            <w:tcBorders>
              <w:top w:val="single" w:sz="8" w:color="51555C"/>
            </w:tcBorders>
          </w:tcPr>
          <w:p>
            <w:pPr>
              <w:jc w:val="right"/>
              <w:ind w:right="290"/>
              <w:spacing w:after="0" w:line="213" w:lineRule="exact"/>
              <w:rPr>
                <w:sz w:val="20"/>
                <w:szCs w:val="20"/>
                <w:color w:val="auto"/>
              </w:rPr>
            </w:pPr>
            <w:r>
              <w:rPr>
                <w:rFonts w:ascii="Calibri" w:cs="Calibri" w:eastAsia="Calibri" w:hAnsi="Calibri"/>
                <w:sz w:val="18"/>
                <w:szCs w:val="18"/>
                <w:color w:val="51555C"/>
                <w:w w:val="87"/>
              </w:rPr>
              <w:t>$</w:t>
            </w: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103,332</w:t>
            </w:r>
          </w:p>
        </w:tc>
        <w:tc>
          <w:tcPr>
            <w:tcW w:w="20" w:type="dxa"/>
            <w:vAlign w:val="bottom"/>
          </w:tcPr>
          <w:p>
            <w:pPr>
              <w:spacing w:after="0"/>
              <w:rPr>
                <w:sz w:val="18"/>
                <w:szCs w:val="18"/>
                <w:color w:val="auto"/>
              </w:rPr>
            </w:pPr>
          </w:p>
        </w:tc>
      </w:tr>
      <w:tr>
        <w:trPr>
          <w:trHeight w:val="50"/>
        </w:trPr>
        <w:tc>
          <w:tcPr>
            <w:tcW w:w="9600" w:type="dxa"/>
            <w:vAlign w:val="bottom"/>
            <w:tcBorders>
              <w:bottom w:val="single" w:sz="8" w:color="0CD973"/>
            </w:tcBorders>
          </w:tcPr>
          <w:p>
            <w:pPr>
              <w:spacing w:after="0"/>
              <w:rPr>
                <w:sz w:val="4"/>
                <w:szCs w:val="4"/>
                <w:color w:val="auto"/>
              </w:rPr>
            </w:pPr>
          </w:p>
        </w:tc>
        <w:tc>
          <w:tcPr>
            <w:tcW w:w="48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662"/>
        </w:trPr>
        <w:tc>
          <w:tcPr>
            <w:tcW w:w="960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51555C"/>
              </w:rPr>
              <w:t>83</w:t>
            </w:r>
          </w:p>
        </w:tc>
        <w:tc>
          <w:tcPr>
            <w:tcW w:w="20" w:type="dxa"/>
            <w:vAlign w:val="bottom"/>
          </w:tcPr>
          <w:p>
            <w:pPr>
              <w:spacing w:after="0"/>
              <w:rPr>
                <w:sz w:val="24"/>
                <w:szCs w:val="24"/>
                <w:color w:val="auto"/>
              </w:rPr>
            </w:pPr>
          </w:p>
        </w:tc>
      </w:tr>
      <w:tr>
        <w:trPr>
          <w:trHeight w:val="338"/>
        </w:trPr>
        <w:tc>
          <w:tcPr>
            <w:tcW w:w="9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5. (Loss)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the computaton of basic and diluted (loss) earnings per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23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73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26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8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736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Numerator:</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7360" w:type="dxa"/>
            <w:vAlign w:val="bottom"/>
          </w:tcPr>
          <w:p>
            <w:pPr>
              <w:ind w:left="140"/>
              <w:spacing w:after="0"/>
              <w:rPr>
                <w:sz w:val="20"/>
                <w:szCs w:val="20"/>
                <w:color w:val="auto"/>
              </w:rPr>
            </w:pPr>
            <w:r>
              <w:rPr>
                <w:rFonts w:ascii="Calibri" w:cs="Calibri" w:eastAsia="Calibri" w:hAnsi="Calibri"/>
                <w:sz w:val="18"/>
                <w:szCs w:val="18"/>
                <w:color w:val="51555C"/>
              </w:rPr>
              <w:t>Net (loss) income</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(283,172)</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1,820</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(45,407)</w:t>
            </w:r>
          </w:p>
        </w:tc>
        <w:tc>
          <w:tcPr>
            <w:tcW w:w="20" w:type="dxa"/>
            <w:vAlign w:val="bottom"/>
          </w:tcPr>
          <w:p>
            <w:pPr>
              <w:spacing w:after="0"/>
              <w:rPr>
                <w:sz w:val="19"/>
                <w:szCs w:val="19"/>
                <w:color w:val="auto"/>
              </w:rPr>
            </w:pPr>
          </w:p>
        </w:tc>
      </w:tr>
      <w:tr>
        <w:trPr>
          <w:trHeight w:val="51"/>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Denominator:</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7360" w:type="dxa"/>
            <w:vAlign w:val="bottom"/>
          </w:tcPr>
          <w:p>
            <w:pPr>
              <w:ind w:left="140"/>
              <w:spacing w:after="0"/>
              <w:rPr>
                <w:sz w:val="20"/>
                <w:szCs w:val="20"/>
                <w:color w:val="auto"/>
              </w:rPr>
            </w:pPr>
            <w:r>
              <w:rPr>
                <w:rFonts w:ascii="Calibri" w:cs="Calibri" w:eastAsia="Calibri" w:hAnsi="Calibri"/>
                <w:sz w:val="18"/>
                <w:szCs w:val="18"/>
                <w:color w:val="51555C"/>
              </w:rPr>
              <w:t>Weighted average common shares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50,560,538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52,546,406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51,569,148</w:t>
            </w:r>
          </w:p>
        </w:tc>
        <w:tc>
          <w:tcPr>
            <w:tcW w:w="20" w:type="dxa"/>
            <w:vAlign w:val="bottom"/>
          </w:tcPr>
          <w:p>
            <w:pPr>
              <w:spacing w:after="0"/>
              <w:rPr>
                <w:sz w:val="19"/>
                <w:szCs w:val="19"/>
                <w:color w:val="auto"/>
              </w:rPr>
            </w:pPr>
          </w:p>
        </w:tc>
      </w:tr>
      <w:tr>
        <w:trPr>
          <w:trHeight w:val="51"/>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Add efect of dilutve securites:</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7360" w:type="dxa"/>
            <w:vAlign w:val="bottom"/>
          </w:tcPr>
          <w:p>
            <w:pPr>
              <w:ind w:left="360"/>
              <w:spacing w:after="0"/>
              <w:rPr>
                <w:sz w:val="20"/>
                <w:szCs w:val="20"/>
                <w:color w:val="auto"/>
              </w:rPr>
            </w:pPr>
            <w:r>
              <w:rPr>
                <w:rFonts w:ascii="Calibri" w:cs="Calibri" w:eastAsia="Calibri" w:hAnsi="Calibri"/>
                <w:sz w:val="18"/>
                <w:szCs w:val="18"/>
                <w:color w:val="51555C"/>
              </w:rPr>
              <w:t>Restricted stock and units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1,174,936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9"/>
                <w:szCs w:val="19"/>
                <w:color w:val="auto"/>
              </w:rPr>
            </w:pPr>
          </w:p>
        </w:tc>
      </w:tr>
      <w:tr>
        <w:trPr>
          <w:trHeight w:val="51"/>
        </w:trPr>
        <w:tc>
          <w:tcPr>
            <w:tcW w:w="7360" w:type="dxa"/>
            <w:vAlign w:val="bottom"/>
            <w:tcBorders>
              <w:bottom w:val="single" w:sz="8" w:color="EBFBFF"/>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736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Weighted average common shares assuming diluton</w:t>
            </w:r>
          </w:p>
        </w:tc>
        <w:tc>
          <w:tcPr>
            <w:tcW w:w="26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50,560,538</w:t>
            </w: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53,721,342</w:t>
            </w: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51,569,148</w:t>
            </w:r>
          </w:p>
        </w:tc>
        <w:tc>
          <w:tcPr>
            <w:tcW w:w="20" w:type="dxa"/>
            <w:vAlign w:val="bottom"/>
          </w:tcPr>
          <w:p>
            <w:pPr>
              <w:spacing w:after="0"/>
              <w:rPr>
                <w:sz w:val="22"/>
                <w:szCs w:val="22"/>
                <w:color w:val="auto"/>
              </w:rPr>
            </w:pPr>
          </w:p>
        </w:tc>
      </w:tr>
      <w:tr>
        <w:trPr>
          <w:trHeight w:val="199"/>
        </w:trPr>
        <w:tc>
          <w:tcPr>
            <w:tcW w:w="7360" w:type="dxa"/>
            <w:vAlign w:val="bottom"/>
          </w:tcPr>
          <w:p>
            <w:pPr>
              <w:ind w:left="20"/>
              <w:spacing w:after="0" w:line="199" w:lineRule="exact"/>
              <w:rPr>
                <w:sz w:val="20"/>
                <w:szCs w:val="20"/>
                <w:color w:val="auto"/>
              </w:rPr>
            </w:pPr>
            <w:r>
              <w:rPr>
                <w:rFonts w:ascii="Calibri" w:cs="Calibri" w:eastAsia="Calibri" w:hAnsi="Calibri"/>
                <w:sz w:val="18"/>
                <w:szCs w:val="18"/>
                <w:color w:val="51555C"/>
              </w:rPr>
              <w:t>(Loss) earnings per share</w:t>
            </w:r>
          </w:p>
        </w:tc>
        <w:tc>
          <w:tcPr>
            <w:tcW w:w="26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51"/>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Basic</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(5.60)</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0.03</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(0.88)</w:t>
            </w:r>
          </w:p>
        </w:tc>
        <w:tc>
          <w:tcPr>
            <w:tcW w:w="20" w:type="dxa"/>
            <w:vAlign w:val="bottom"/>
          </w:tcPr>
          <w:p>
            <w:pPr>
              <w:spacing w:after="0"/>
              <w:rPr>
                <w:sz w:val="21"/>
                <w:szCs w:val="21"/>
                <w:color w:val="auto"/>
              </w:rPr>
            </w:pPr>
          </w:p>
        </w:tc>
      </w:tr>
      <w:tr>
        <w:trPr>
          <w:trHeight w:val="219"/>
        </w:trPr>
        <w:tc>
          <w:tcPr>
            <w:tcW w:w="7360" w:type="dxa"/>
            <w:vAlign w:val="bottom"/>
          </w:tcPr>
          <w:p>
            <w:pPr>
              <w:ind w:left="140"/>
              <w:spacing w:after="0"/>
              <w:rPr>
                <w:sz w:val="20"/>
                <w:szCs w:val="20"/>
                <w:color w:val="auto"/>
              </w:rPr>
            </w:pPr>
            <w:r>
              <w:rPr>
                <w:rFonts w:ascii="Calibri" w:cs="Calibri" w:eastAsia="Calibri" w:hAnsi="Calibri"/>
                <w:sz w:val="18"/>
                <w:szCs w:val="18"/>
                <w:color w:val="51555C"/>
              </w:rPr>
              <w:t>Diluted</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(5.60)</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0.03</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(0.88)</w:t>
            </w:r>
          </w:p>
        </w:tc>
        <w:tc>
          <w:tcPr>
            <w:tcW w:w="20" w:type="dxa"/>
            <w:vAlign w:val="bottom"/>
          </w:tcPr>
          <w:p>
            <w:pPr>
              <w:spacing w:after="0"/>
              <w:rPr>
                <w:sz w:val="19"/>
                <w:szCs w:val="19"/>
                <w:color w:val="auto"/>
              </w:rPr>
            </w:pPr>
          </w:p>
        </w:tc>
      </w:tr>
      <w:tr>
        <w:trPr>
          <w:trHeight w:val="51"/>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3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19"/>
        </w:trPr>
        <w:tc>
          <w:tcPr>
            <w:tcW w:w="7360" w:type="dxa"/>
            <w:vAlign w:val="bottom"/>
          </w:tcPr>
          <w:p>
            <w:pPr>
              <w:ind w:left="20"/>
              <w:spacing w:after="0"/>
              <w:rPr>
                <w:sz w:val="20"/>
                <w:szCs w:val="20"/>
                <w:color w:val="auto"/>
              </w:rPr>
            </w:pPr>
            <w:r>
              <w:rPr>
                <w:rFonts w:ascii="Calibri" w:cs="Calibri" w:eastAsia="Calibri" w:hAnsi="Calibri"/>
                <w:sz w:val="18"/>
                <w:szCs w:val="18"/>
                <w:color w:val="51555C"/>
              </w:rPr>
              <w:t>Ant-dilutve shares excluded from calculatons of diluted (loss) earnings per share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54,236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45,614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1,046,307</w:t>
            </w:r>
          </w:p>
        </w:tc>
        <w:tc>
          <w:tcPr>
            <w:tcW w:w="20" w:type="dxa"/>
            <w:vAlign w:val="bottom"/>
          </w:tcPr>
          <w:p>
            <w:pPr>
              <w:spacing w:after="0"/>
              <w:rPr>
                <w:sz w:val="19"/>
                <w:szCs w:val="19"/>
                <w:color w:val="auto"/>
              </w:rPr>
            </w:pPr>
          </w:p>
        </w:tc>
      </w:tr>
      <w:tr>
        <w:trPr>
          <w:trHeight w:val="51"/>
        </w:trPr>
        <w:tc>
          <w:tcPr>
            <w:tcW w:w="736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-2236470</wp:posOffset>
            </wp:positionV>
            <wp:extent cx="24771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Diluted loss per share for the years ended December 31, 2024 and 2022 was the same as basic loss per share as there were net losses in each period and inclusion of potentally dilutve securites was ant-dilutve.</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84</w:t>
      </w:r>
      <w:r>
        <w:rPr>
          <w:sz w:val="20"/>
          <w:szCs w:val="20"/>
          <w:color w:val="auto"/>
        </w:rPr>
        <w:tab/>
      </w:r>
      <w:r>
        <w:rPr>
          <w:sz w:val="1"/>
          <w:szCs w:val="1"/>
          <w:color w:val="auto"/>
        </w:rPr>
        <w:drawing>
          <wp:inline distT="0" distB="0" distL="0" distR="0">
            <wp:extent cx="728345" cy="18859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Recurring fair value measurements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Financial assets and liabilites that are measured at fair value on a recurring basis consisted of the following, as of the dates indicated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880" w:type="dxa"/>
            <w:vAlign w:val="bottom"/>
            <w:gridSpan w:val="4"/>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 measurement using</w:t>
            </w:r>
          </w:p>
        </w:tc>
        <w:tc>
          <w:tcPr>
            <w:tcW w:w="100" w:type="dxa"/>
            <w:vAlign w:val="bottom"/>
            <w:shd w:val="clear" w:color="auto" w:fill="004054"/>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28"/>
        </w:trPr>
        <w:tc>
          <w:tcPr>
            <w:tcW w:w="4940" w:type="dxa"/>
            <w:vAlign w:val="bottom"/>
            <w:shd w:val="clear" w:color="auto" w:fill="004054"/>
          </w:tcPr>
          <w:p>
            <w:pPr>
              <w:spacing w:after="0"/>
              <w:rPr>
                <w:sz w:val="19"/>
                <w:szCs w:val="19"/>
                <w:color w:val="auto"/>
              </w:rPr>
            </w:pPr>
          </w:p>
        </w:tc>
        <w:tc>
          <w:tcPr>
            <w:tcW w:w="148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Quoted Prices in Actve</w:t>
            </w:r>
          </w:p>
        </w:tc>
        <w:tc>
          <w:tcPr>
            <w:tcW w:w="10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126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60" w:type="dxa"/>
            <w:vAlign w:val="bottom"/>
            <w:shd w:val="clear" w:color="auto" w:fill="004054"/>
          </w:tcPr>
          <w:p>
            <w:pPr>
              <w:spacing w:after="0"/>
              <w:rPr>
                <w:sz w:val="19"/>
                <w:szCs w:val="19"/>
                <w:color w:val="auto"/>
              </w:rPr>
            </w:pPr>
          </w:p>
        </w:tc>
        <w:tc>
          <w:tcPr>
            <w:tcW w:w="134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520" w:type="dxa"/>
            <w:vAlign w:val="bottom"/>
            <w:shd w:val="clear" w:color="auto" w:fill="004054"/>
          </w:tcPr>
          <w:p>
            <w:pPr>
              <w:spacing w:after="0"/>
              <w:rPr>
                <w:sz w:val="19"/>
                <w:szCs w:val="19"/>
                <w:color w:val="auto"/>
              </w:rPr>
            </w:pPr>
          </w:p>
        </w:tc>
        <w:tc>
          <w:tcPr>
            <w:tcW w:w="9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176"/>
        </w:trPr>
        <w:tc>
          <w:tcPr>
            <w:tcW w:w="494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Markets for Identcal</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 Other</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0"/>
        </w:trPr>
        <w:tc>
          <w:tcPr>
            <w:tcW w:w="494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Assets and Liabilites</w:t>
            </w:r>
          </w:p>
        </w:tc>
        <w:tc>
          <w:tcPr>
            <w:tcW w:w="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Observable Inputs</w:t>
            </w:r>
          </w:p>
        </w:tc>
        <w:tc>
          <w:tcPr>
            <w:tcW w:w="12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Unobservable Inputs</w:t>
            </w:r>
          </w:p>
        </w:tc>
        <w:tc>
          <w:tcPr>
            <w:tcW w:w="100" w:type="dxa"/>
            <w:vAlign w:val="bottom"/>
            <w:shd w:val="clear" w:color="auto" w:fill="004054"/>
          </w:tcPr>
          <w:p>
            <w:pPr>
              <w:spacing w:after="0"/>
              <w:rPr>
                <w:sz w:val="14"/>
                <w:szCs w:val="14"/>
                <w:color w:val="auto"/>
              </w:rPr>
            </w:pPr>
          </w:p>
        </w:tc>
        <w:tc>
          <w:tcPr>
            <w:tcW w:w="52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r>
      <w:tr>
        <w:trPr>
          <w:trHeight w:val="175"/>
        </w:trPr>
        <w:tc>
          <w:tcPr>
            <w:tcW w:w="4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1)</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2)</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3)</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5"/>
                <w:szCs w:val="15"/>
                <w:color w:val="auto"/>
              </w:rPr>
            </w:pPr>
          </w:p>
        </w:tc>
      </w:tr>
      <w:tr>
        <w:trPr>
          <w:trHeight w:val="74"/>
        </w:trPr>
        <w:tc>
          <w:tcPr>
            <w:tcW w:w="494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126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52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2024</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9,262</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9,262</w:t>
            </w:r>
          </w:p>
        </w:tc>
        <w:tc>
          <w:tcPr>
            <w:tcW w:w="20" w:type="dxa"/>
            <w:vAlign w:val="bottom"/>
          </w:tcPr>
          <w:p>
            <w:pPr>
              <w:spacing w:after="0"/>
              <w:rPr>
                <w:sz w:val="21"/>
                <w:szCs w:val="2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1,288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1,288</w:t>
            </w:r>
          </w:p>
        </w:tc>
        <w:tc>
          <w:tcPr>
            <w:tcW w:w="20" w:type="dxa"/>
            <w:vAlign w:val="bottom"/>
          </w:tcPr>
          <w:p>
            <w:pPr>
              <w:spacing w:after="0"/>
              <w:rPr>
                <w:sz w:val="19"/>
                <w:szCs w:val="19"/>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10,550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line="213" w:lineRule="exact"/>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10,550</w:t>
            </w:r>
          </w:p>
        </w:tc>
        <w:tc>
          <w:tcPr>
            <w:tcW w:w="20" w:type="dxa"/>
            <w:vAlign w:val="bottom"/>
          </w:tcPr>
          <w:p>
            <w:pPr>
              <w:spacing w:after="0"/>
              <w:rPr>
                <w:sz w:val="21"/>
                <w:szCs w:val="21"/>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120" w:type="dxa"/>
            <w:vAlign w:val="bottom"/>
            <w:tcBorders>
              <w:bottom w:val="single" w:sz="8" w:color="EBFBFF"/>
            </w:tcBorders>
            <w:shd w:val="clear" w:color="auto" w:fill="EBFBFF"/>
          </w:tcPr>
          <w:p>
            <w:pPr>
              <w:spacing w:after="0"/>
              <w:rPr>
                <w:sz w:val="23"/>
                <w:szCs w:val="23"/>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23"/>
                <w:szCs w:val="23"/>
                <w:color w:val="auto"/>
              </w:rPr>
            </w:pPr>
          </w:p>
        </w:tc>
      </w:tr>
      <w:tr>
        <w:trPr>
          <w:trHeight w:val="213"/>
        </w:trPr>
        <w:tc>
          <w:tcPr>
            <w:tcW w:w="4940" w:type="dxa"/>
            <w:vAlign w:val="bottom"/>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20" w:type="dxa"/>
            <w:vAlign w:val="bottom"/>
            <w:tcBorders>
              <w:top w:val="single" w:sz="8" w:color="51555C"/>
            </w:tcBorders>
          </w:tcPr>
          <w:p>
            <w:pPr>
              <w:ind w:left="1100"/>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240" w:type="dxa"/>
            <w:vAlign w:val="bottom"/>
            <w:tcBorders>
              <w:top w:val="single" w:sz="8" w:color="51555C"/>
            </w:tcBorders>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120" w:type="dxa"/>
            <w:vAlign w:val="bottom"/>
          </w:tcPr>
          <w:p>
            <w:pPr>
              <w:spacing w:after="0"/>
              <w:rPr>
                <w:sz w:val="18"/>
                <w:szCs w:val="18"/>
                <w:color w:val="auto"/>
              </w:rPr>
            </w:pP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52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18"/>
                <w:szCs w:val="18"/>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94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4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20" w:type="dxa"/>
            <w:vAlign w:val="bottom"/>
            <w:shd w:val="clear" w:color="auto" w:fill="EBFBFF"/>
          </w:tcPr>
          <w:p>
            <w:pPr>
              <w:spacing w:after="0"/>
              <w:rPr>
                <w:sz w:val="23"/>
                <w:szCs w:val="23"/>
                <w:color w:val="auto"/>
              </w:rPr>
            </w:pPr>
          </w:p>
        </w:tc>
        <w:tc>
          <w:tcPr>
            <w:tcW w:w="9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Financial liabilites:</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Contngent consideraton obligatons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20" w:type="dxa"/>
            <w:vAlign w:val="bottom"/>
          </w:tcPr>
          <w:p>
            <w:pPr>
              <w:spacing w:after="0"/>
              <w:rPr>
                <w:sz w:val="19"/>
                <w:szCs w:val="19"/>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5,540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1,403</w:t>
            </w: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6,943</w:t>
            </w:r>
          </w:p>
        </w:tc>
        <w:tc>
          <w:tcPr>
            <w:tcW w:w="20" w:type="dxa"/>
            <w:vAlign w:val="bottom"/>
          </w:tcPr>
          <w:p>
            <w:pPr>
              <w:spacing w:after="0"/>
              <w:rPr>
                <w:sz w:val="21"/>
                <w:szCs w:val="21"/>
                <w:color w:val="auto"/>
              </w:rPr>
            </w:pPr>
          </w:p>
        </w:tc>
      </w:tr>
      <w:tr>
        <w:trPr>
          <w:trHeight w:val="20"/>
        </w:trPr>
        <w:tc>
          <w:tcPr>
            <w:tcW w:w="494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2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-3437255</wp:posOffset>
            </wp:positionV>
            <wp:extent cx="29914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 xml:space="preserve">Our derivatve instruments within the scope of Accountng Standards Codifcaton ("ASC") 815, </w:t>
      </w:r>
      <w:r>
        <w:rPr>
          <w:rFonts w:ascii="Calibri" w:cs="Calibri" w:eastAsia="Calibri" w:hAnsi="Calibri"/>
          <w:sz w:val="18"/>
          <w:szCs w:val="18"/>
          <w:i w:val="1"/>
          <w:iCs w:val="1"/>
          <w:color w:val="51555C"/>
        </w:rPr>
        <w:t>Derivatves and Hedging</w:t>
      </w:r>
      <w:r>
        <w:rPr>
          <w:rFonts w:ascii="Calibri" w:cs="Calibri" w:eastAsia="Calibri" w:hAnsi="Calibri"/>
          <w:sz w:val="18"/>
          <w:szCs w:val="18"/>
          <w:color w:val="51555C"/>
        </w:rPr>
        <w:t>, are required to be recorded at fair value. Our derivatve instruments that are recorded at fair value include interest rate swaps and foreign currency forward contracts. See Note 10 to these consolidated fnancial statements for additonal informaton about our derivatve instruments.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fair value of our interest rate swaps and foreign currency forward contracts are based on model-driven valuatons using Secured Overnight Financing Rate ("SOFR") rates and foreign currency forward rates, respectvely, which are observable at commonly quoted intervals. Accordingly, our interest rate swaps and foreign currency forward contracts are classifed within Level 2 of the fair value hierarchy.</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Contngent consideraton obligatons arise from business acquisitons. The fair values are based on discounted cash fow analyses refectng a probability-weighted assessment approach derived from the likelihood of possible achievement of specifed performance measures or events and captures the contractual nature of the contngencies, commercial risk, and the tme value of money. As the fair value measurements for our contngent consideraton obligatons contain signifcant unobservable inputs, they are classifed within Level 3 of the fair value hierarchy. See Note 3 to these consolidated fnancial statements for additonal informaton about our contngent consideraton obligatons.</w:t>
      </w:r>
    </w:p>
    <w:p>
      <w:pPr>
        <w:spacing w:after="0" w:line="1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believe the carrying amounts of our cash and cash equivalents, restricted cash, accounts receivable, trade accounts payable, accrued expenses and other current liabilites and due to customers approximate their fair values at December 31, 2024 and December 31, 2023, due to the immediate or short-term maturity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229870</wp:posOffset>
            </wp:positionV>
            <wp:extent cx="72898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85</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believe the carrying amount of our debt approximates its fair value at December 31, 2024 and December 31, 2023, as the debt bears interest rates that approximate market value. As SOFR rates are observable at commonly quoted intervals, our debt under the 2024 Credit Facilites (as defned below) is classifed within Level 2 of the fair value hierarchy. The fair value of our fxed rate debt does not exceed the carrying amount.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did not transfer any assets or liabilites among the levels within the fair value hierarchy during the years ended December 31, 2024, 2023 and 2022.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Non-recurring fair value measurements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Assets and liabilites that are measured at fair value on a non-recurring basis include long-lived assets, intangible assets, goodwill and operatng lease ROU assets. These assets are recognized at fair value during the period in which an acquisiton is completed or at lease commencement, from updated estmates and assumptons during the measurement period, or when they are considered to be impaired. These non-recurring fair value measurements, primarily for long-lived assets, intangible assets acquired and operatng lease ROU assets, are based on Level 3 unobservable inputs. In the event of an impairment, we determine the fair value of these assets other than goodwill using a discounted cash fow approach, which contains signifcant unobservable inputs and, therefore, is considered a Level 3 fair value measurement. The unobservable inputs in the analysis generally include future cash fow projectons and a discount rate. For goodwill impairment testng, we estmate fair value using market-based methods including the use of market capitalizaton and consideraton of a control premium.</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2024, we recorded noncash impairment charges of $367.5 million against certain intangible assets, noncash impairment charges of $22.6 million against certain previously capitalized sofware and content development costs, noncash impairment charges of $3.1 million against certain operatng lease ROU assets and noncash impairment charges against certain property and equipment assets which were insignifcant. See Notes 4, 7, and 11, respectvely, to these consolidated fnancial statements for additonal details.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2023, we recorded noncash impairment charges of $5.6 million against certain operatng lease ROU assets and $1.1 million impairment charges against certain property and equipment assets. See Notes 11 and 7, respectvely, to these consolidated fnancial statements for additonal details.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2022, we recorded noncash impairment charges of $2.3 million against certain previously capitalized sofware development costs, $2.0 million against certain insignifcant customer relatonship intangible assets that were held for sale, $1.0 million against certain operatng lease ROU assets and insignifcant impairment charges against certain property and equipment assets. See Notes 11 and 7, respectvely, to these consolidated fnancial statements for additonal details.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were no other non-recurring fair value adjustments during 2024, 2023 and 2022 except for certain business combinaton accountng adjustments to the inital fair value estmates of the assets acquired and liabilites assumed at the acquisiton date from updated estmates and assumptons during the measurement period. See Note 3 to these consolidated fnancial statements for additonal details.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86</w:t>
      </w:r>
      <w:r>
        <w:rPr>
          <w:sz w:val="20"/>
          <w:szCs w:val="20"/>
          <w:color w:val="auto"/>
        </w:rPr>
        <w:tab/>
      </w:r>
      <w:r>
        <w:rPr>
          <w:sz w:val="1"/>
          <w:szCs w:val="1"/>
          <w:color w:val="auto"/>
        </w:rPr>
        <w:drawing>
          <wp:inline distT="0" distB="0" distL="0" distR="0">
            <wp:extent cx="728345" cy="18859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7. Property and Equipment and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Property and equipment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Property and equipment consisted of the following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4300" w:type="dxa"/>
            <w:vAlign w:val="bottom"/>
            <w:shd w:val="clear" w:color="auto" w:fill="004054"/>
          </w:tcPr>
          <w:p>
            <w:pPr>
              <w:spacing w:after="0"/>
              <w:rPr>
                <w:sz w:val="24"/>
                <w:szCs w:val="24"/>
                <w:color w:val="auto"/>
              </w:rPr>
            </w:pP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Estmated</w:t>
            </w:r>
          </w:p>
        </w:tc>
        <w:tc>
          <w:tcPr>
            <w:tcW w:w="400" w:type="dxa"/>
            <w:vAlign w:val="bottom"/>
            <w:shd w:val="clear" w:color="auto" w:fill="004054"/>
          </w:tcPr>
          <w:p>
            <w:pPr>
              <w:spacing w:after="0"/>
              <w:rPr>
                <w:sz w:val="24"/>
                <w:szCs w:val="24"/>
                <w:color w:val="auto"/>
              </w:rPr>
            </w:pPr>
          </w:p>
        </w:tc>
        <w:tc>
          <w:tcPr>
            <w:tcW w:w="96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004054"/>
          </w:tcPr>
          <w:p>
            <w:pPr>
              <w:spacing w:after="0"/>
              <w:rPr>
                <w:sz w:val="14"/>
                <w:szCs w:val="14"/>
                <w:color w:val="auto"/>
              </w:rPr>
            </w:pP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useful life</w:t>
            </w:r>
          </w:p>
        </w:tc>
        <w:tc>
          <w:tcPr>
            <w:tcW w:w="400" w:type="dxa"/>
            <w:vAlign w:val="bottom"/>
            <w:shd w:val="clear" w:color="auto" w:fill="004054"/>
          </w:tcPr>
          <w:p>
            <w:pPr>
              <w:spacing w:after="0"/>
              <w:rPr>
                <w:sz w:val="14"/>
                <w:szCs w:val="14"/>
                <w:color w:val="auto"/>
              </w:rPr>
            </w:pPr>
          </w:p>
        </w:tc>
        <w:tc>
          <w:tcPr>
            <w:tcW w:w="96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06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w:t>
            </w:r>
          </w:p>
        </w:tc>
        <w:tc>
          <w:tcPr>
            <w:tcW w:w="40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300" w:type="dxa"/>
            <w:vAlign w:val="bottom"/>
            <w:shd w:val="clear" w:color="auto" w:fill="004054"/>
          </w:tcPr>
          <w:p>
            <w:pPr>
              <w:spacing w:after="0"/>
              <w:rPr>
                <w:sz w:val="6"/>
                <w:szCs w:val="6"/>
                <w:color w:val="auto"/>
              </w:rPr>
            </w:pPr>
          </w:p>
        </w:tc>
        <w:tc>
          <w:tcPr>
            <w:tcW w:w="42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Land</w:t>
            </w:r>
          </w:p>
        </w:tc>
        <w:tc>
          <w:tcPr>
            <w:tcW w:w="4620" w:type="dxa"/>
            <w:vAlign w:val="bottom"/>
            <w:tcBorders>
              <w:bottom w:val="single" w:sz="8" w:color="EBFBFF"/>
            </w:tcBorders>
            <w:gridSpan w:val="2"/>
            <w:shd w:val="clear" w:color="auto" w:fill="EBFBFF"/>
          </w:tcPr>
          <w:p>
            <w:pPr>
              <w:jc w:val="right"/>
              <w:ind w:right="210"/>
              <w:spacing w:after="0"/>
              <w:rPr>
                <w:sz w:val="20"/>
                <w:szCs w:val="20"/>
                <w:color w:val="auto"/>
              </w:rPr>
            </w:pPr>
            <w:r>
              <w:rPr>
                <w:rFonts w:ascii="Calibri" w:cs="Calibri" w:eastAsia="Calibri" w:hAnsi="Calibri"/>
                <w:sz w:val="18"/>
                <w:szCs w:val="18"/>
                <w:color w:val="51555C"/>
              </w:rPr>
              <w:t>— $</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9,548</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Building</w:t>
            </w:r>
          </w:p>
        </w:tc>
        <w:tc>
          <w:tcPr>
            <w:tcW w:w="4220" w:type="dxa"/>
            <w:vAlign w:val="bottom"/>
          </w:tcPr>
          <w:p>
            <w:pPr>
              <w:jc w:val="right"/>
              <w:spacing w:after="0"/>
              <w:rPr>
                <w:sz w:val="20"/>
                <w:szCs w:val="20"/>
                <w:color w:val="auto"/>
              </w:rPr>
            </w:pPr>
            <w:r>
              <w:rPr>
                <w:rFonts w:ascii="Calibri" w:cs="Calibri" w:eastAsia="Calibri" w:hAnsi="Calibri"/>
                <w:sz w:val="18"/>
                <w:szCs w:val="18"/>
                <w:color w:val="51555C"/>
              </w:rPr>
              <w:t>39</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61,284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61,284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Building improvements</w:t>
            </w:r>
          </w:p>
        </w:tc>
        <w:tc>
          <w:tcPr>
            <w:tcW w:w="42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4 - 20</w:t>
            </w:r>
          </w:p>
        </w:tc>
        <w:tc>
          <w:tcPr>
            <w:tcW w:w="40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12,112</w:t>
            </w:r>
          </w:p>
        </w:tc>
        <w:tc>
          <w:tcPr>
            <w:tcW w:w="30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11,720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Equipment</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2,448</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2,646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Computer hardware</w:t>
            </w:r>
          </w:p>
        </w:tc>
        <w:tc>
          <w:tcPr>
            <w:tcW w:w="422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shd w:val="clear" w:color="auto" w:fill="EBFBFF"/>
          </w:tcPr>
          <w:p>
            <w:pPr>
              <w:spacing w:after="0"/>
              <w:rPr>
                <w:sz w:val="19"/>
                <w:szCs w:val="19"/>
                <w:color w:val="auto"/>
              </w:rPr>
            </w:pPr>
          </w:p>
        </w:tc>
        <w:tc>
          <w:tcPr>
            <w:tcW w:w="9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36,632</w:t>
            </w:r>
          </w:p>
        </w:tc>
        <w:tc>
          <w:tcPr>
            <w:tcW w:w="300" w:type="dxa"/>
            <w:vAlign w:val="bottom"/>
            <w:shd w:val="clear" w:color="auto" w:fill="EBFBFF"/>
          </w:tcPr>
          <w:p>
            <w:pPr>
              <w:spacing w:after="0"/>
              <w:rPr>
                <w:sz w:val="19"/>
                <w:szCs w:val="19"/>
                <w:color w:val="auto"/>
              </w:rPr>
            </w:pPr>
          </w:p>
        </w:tc>
        <w:tc>
          <w:tcPr>
            <w:tcW w:w="10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50,064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300" w:type="dxa"/>
            <w:vAlign w:val="bottom"/>
            <w:tcBorders>
              <w:bottom w:val="single" w:sz="8" w:color="EBFBFF"/>
            </w:tcBorders>
            <w:shd w:val="clear" w:color="auto" w:fill="EBFBFF"/>
          </w:tcPr>
          <w:p>
            <w:pPr>
              <w:spacing w:after="0"/>
              <w:rPr>
                <w:sz w:val="7"/>
                <w:szCs w:val="7"/>
                <w:color w:val="auto"/>
              </w:rPr>
            </w:pPr>
          </w:p>
        </w:tc>
        <w:tc>
          <w:tcPr>
            <w:tcW w:w="4220" w:type="dxa"/>
            <w:vAlign w:val="bottom"/>
            <w:tcBorders>
              <w:bottom w:val="single" w:sz="8" w:color="EBFBFF"/>
            </w:tcBorders>
            <w:vMerge w:val="continue"/>
            <w:shd w:val="clear" w:color="auto" w:fill="EBFBFF"/>
          </w:tcPr>
          <w:p>
            <w:pPr>
              <w:spacing w:after="0"/>
              <w:rPr>
                <w:sz w:val="7"/>
                <w:szCs w:val="7"/>
                <w:color w:val="auto"/>
              </w:rPr>
            </w:pPr>
          </w:p>
        </w:tc>
        <w:tc>
          <w:tcPr>
            <w:tcW w:w="400" w:type="dxa"/>
            <w:vAlign w:val="bottom"/>
            <w:tcBorders>
              <w:bottom w:val="single" w:sz="8" w:color="EBFBFF"/>
            </w:tcBorders>
            <w:shd w:val="clear" w:color="auto" w:fill="EBFBFF"/>
          </w:tcPr>
          <w:p>
            <w:pPr>
              <w:spacing w:after="0"/>
              <w:rPr>
                <w:sz w:val="7"/>
                <w:szCs w:val="7"/>
                <w:color w:val="auto"/>
              </w:rPr>
            </w:pPr>
          </w:p>
        </w:tc>
        <w:tc>
          <w:tcPr>
            <w:tcW w:w="960" w:type="dxa"/>
            <w:vAlign w:val="bottom"/>
            <w:tcBorders>
              <w:bottom w:val="single" w:sz="8" w:color="EBFBFF"/>
            </w:tcBorders>
            <w:vMerge w:val="continue"/>
            <w:shd w:val="clear" w:color="auto" w:fill="EBFBFF"/>
          </w:tcPr>
          <w:p>
            <w:pPr>
              <w:spacing w:after="0"/>
              <w:rPr>
                <w:sz w:val="7"/>
                <w:szCs w:val="7"/>
                <w:color w:val="auto"/>
              </w:rPr>
            </w:pPr>
          </w:p>
        </w:tc>
        <w:tc>
          <w:tcPr>
            <w:tcW w:w="300" w:type="dxa"/>
            <w:vAlign w:val="bottom"/>
            <w:tcBorders>
              <w:bottom w:val="single" w:sz="8" w:color="EBFBFF"/>
            </w:tcBorders>
            <w:shd w:val="clear" w:color="auto" w:fill="EBFBFF"/>
          </w:tcPr>
          <w:p>
            <w:pPr>
              <w:spacing w:after="0"/>
              <w:rPr>
                <w:sz w:val="7"/>
                <w:szCs w:val="7"/>
                <w:color w:val="auto"/>
              </w:rPr>
            </w:pPr>
          </w:p>
        </w:tc>
        <w:tc>
          <w:tcPr>
            <w:tcW w:w="106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Calibri" w:cs="Calibri" w:eastAsia="Calibri" w:hAnsi="Calibri"/>
                <w:sz w:val="18"/>
                <w:szCs w:val="18"/>
                <w:color w:val="51555C"/>
              </w:rPr>
              <w:t>Computer sofware</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20,455</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21,982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Constructon in progress</w:t>
            </w:r>
          </w:p>
        </w:tc>
        <w:tc>
          <w:tcPr>
            <w:tcW w:w="4620" w:type="dxa"/>
            <w:vAlign w:val="bottom"/>
            <w:tcBorders>
              <w:bottom w:val="single" w:sz="8" w:color="EBFBFF"/>
            </w:tcBorders>
            <w:gridSpan w:val="2"/>
            <w:shd w:val="clear" w:color="auto" w:fill="EBFBFF"/>
          </w:tcPr>
          <w:p>
            <w:pPr>
              <w:jc w:val="right"/>
              <w:ind w:right="370"/>
              <w:spacing w:after="0"/>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30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Furniture and fxtures</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1 - 7</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4,849</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3,187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Leasehold improvements</w:t>
            </w:r>
          </w:p>
        </w:tc>
        <w:tc>
          <w:tcPr>
            <w:tcW w:w="4620" w:type="dxa"/>
            <w:vAlign w:val="bottom"/>
            <w:tcBorders>
              <w:bottom w:val="single" w:sz="8" w:color="EBFBFF"/>
            </w:tcBorders>
            <w:gridSpan w:val="2"/>
            <w:shd w:val="clear" w:color="auto" w:fill="EBFBFF"/>
          </w:tcPr>
          <w:p>
            <w:pPr>
              <w:jc w:val="right"/>
              <w:ind w:right="330"/>
              <w:spacing w:after="0"/>
              <w:rPr>
                <w:sz w:val="20"/>
                <w:szCs w:val="20"/>
                <w:color w:val="auto"/>
              </w:rPr>
            </w:pPr>
            <w:r>
              <w:rPr>
                <w:rFonts w:ascii="Calibri" w:cs="Calibri" w:eastAsia="Calibri" w:hAnsi="Calibri"/>
                <w:sz w:val="18"/>
                <w:szCs w:val="18"/>
                <w:color w:val="51555C"/>
              </w:rPr>
              <w:t>Lesser of lease term or estmated useful life</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10,206</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property and equipment</w:t>
            </w:r>
          </w:p>
        </w:tc>
        <w:tc>
          <w:tcPr>
            <w:tcW w:w="4220" w:type="dxa"/>
            <w:vAlign w:val="bottom"/>
          </w:tcPr>
          <w:p>
            <w:pPr>
              <w:spacing w:after="0"/>
              <w:rPr>
                <w:sz w:val="18"/>
                <w:szCs w:val="18"/>
                <w:color w:val="auto"/>
              </w:rPr>
            </w:pPr>
          </w:p>
        </w:tc>
        <w:tc>
          <w:tcPr>
            <w:tcW w:w="400" w:type="dxa"/>
            <w:vAlign w:val="bottom"/>
            <w:tcBorders>
              <w:top w:val="single" w:sz="8" w:color="51555C"/>
            </w:tcBorders>
          </w:tcPr>
          <w:p>
            <w:pPr>
              <w:spacing w:after="0"/>
              <w:rPr>
                <w:sz w:val="18"/>
                <w:szCs w:val="18"/>
                <w:color w:val="auto"/>
              </w:rPr>
            </w:pP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157,534</w:t>
            </w:r>
          </w:p>
        </w:tc>
        <w:tc>
          <w:tcPr>
            <w:tcW w:w="30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172,387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accumulated depreciaton</w:t>
            </w:r>
          </w:p>
        </w:tc>
        <w:tc>
          <w:tcPr>
            <w:tcW w:w="4220" w:type="dxa"/>
            <w:vAlign w:val="bottom"/>
            <w:tcBorders>
              <w:bottom w:val="single" w:sz="8" w:color="EBFBFF"/>
            </w:tcBorders>
            <w:shd w:val="clear" w:color="auto" w:fill="EBFBFF"/>
          </w:tcPr>
          <w:p>
            <w:pPr>
              <w:spacing w:after="0"/>
              <w:rPr>
                <w:sz w:val="23"/>
                <w:szCs w:val="23"/>
                <w:color w:val="auto"/>
              </w:rPr>
            </w:pPr>
          </w:p>
        </w:tc>
        <w:tc>
          <w:tcPr>
            <w:tcW w:w="40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(65,608)</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(73,698)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line="199" w:lineRule="exact"/>
              <w:rPr>
                <w:sz w:val="20"/>
                <w:szCs w:val="20"/>
                <w:color w:val="auto"/>
              </w:rPr>
            </w:pPr>
            <w:r>
              <w:rPr>
                <w:rFonts w:ascii="Calibri" w:cs="Calibri" w:eastAsia="Calibri" w:hAnsi="Calibri"/>
                <w:sz w:val="18"/>
                <w:szCs w:val="18"/>
                <w:color w:val="51555C"/>
              </w:rPr>
              <w:t>Property and equipment, net</w:t>
            </w:r>
          </w:p>
        </w:tc>
        <w:tc>
          <w:tcPr>
            <w:tcW w:w="4220" w:type="dxa"/>
            <w:vAlign w:val="bottom"/>
          </w:tcPr>
          <w:p>
            <w:pPr>
              <w:spacing w:after="0"/>
              <w:rPr>
                <w:sz w:val="18"/>
                <w:szCs w:val="18"/>
                <w:color w:val="auto"/>
              </w:rPr>
            </w:pPr>
          </w:p>
        </w:tc>
        <w:tc>
          <w:tcPr>
            <w:tcW w:w="400" w:type="dxa"/>
            <w:vAlign w:val="bottom"/>
            <w:tcBorders>
              <w:top w:val="single" w:sz="8" w:color="51555C"/>
            </w:tcBorders>
          </w:tcPr>
          <w:p>
            <w:pPr>
              <w:jc w:val="right"/>
              <w:ind w:right="21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91,926</w:t>
            </w:r>
          </w:p>
        </w:tc>
        <w:tc>
          <w:tcPr>
            <w:tcW w:w="300" w:type="dxa"/>
            <w:vAlign w:val="bottom"/>
            <w:tcBorders>
              <w:top w:val="single" w:sz="8" w:color="51555C"/>
            </w:tcBorders>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98,689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00" w:type="dxa"/>
            <w:vAlign w:val="bottom"/>
            <w:tcBorders>
              <w:bottom w:val="single" w:sz="8" w:color="0CD973"/>
            </w:tcBorders>
          </w:tcPr>
          <w:p>
            <w:pPr>
              <w:spacing w:after="0"/>
              <w:rPr>
                <w:sz w:val="4"/>
                <w:szCs w:val="4"/>
                <w:color w:val="auto"/>
              </w:rPr>
            </w:pPr>
          </w:p>
        </w:tc>
        <w:tc>
          <w:tcPr>
            <w:tcW w:w="4220" w:type="dxa"/>
            <w:vAlign w:val="bottom"/>
            <w:tcBorders>
              <w:bottom w:val="single" w:sz="8" w:color="0CD973"/>
            </w:tcBorders>
          </w:tcPr>
          <w:p>
            <w:pPr>
              <w:spacing w:after="0"/>
              <w:rPr>
                <w:sz w:val="4"/>
                <w:szCs w:val="4"/>
                <w:color w:val="auto"/>
              </w:rPr>
            </w:pPr>
          </w:p>
        </w:tc>
        <w:tc>
          <w:tcPr>
            <w:tcW w:w="400" w:type="dxa"/>
            <w:vAlign w:val="bottom"/>
            <w:tcBorders>
              <w:bottom w:val="single" w:sz="8" w:color="0CD973"/>
            </w:tcBorders>
          </w:tcPr>
          <w:p>
            <w:pPr>
              <w:spacing w:after="0"/>
              <w:rPr>
                <w:sz w:val="4"/>
                <w:szCs w:val="4"/>
                <w:color w:val="auto"/>
              </w:rPr>
            </w:pPr>
          </w:p>
        </w:tc>
        <w:tc>
          <w:tcPr>
            <w:tcW w:w="960" w:type="dxa"/>
            <w:vAlign w:val="bottom"/>
            <w:tcBorders>
              <w:bottom w:val="single" w:sz="8" w:color="0CD973"/>
            </w:tcBorders>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-2494280</wp:posOffset>
            </wp:positionV>
            <wp:extent cx="17399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51555C"/>
        </w:rPr>
        <w:t>Depreciaton expense was $12.8 million, $13.0 million and $14.1 million for the years ended December 31, 2024, 2023 and 2022, respectvely.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years ended December 31, 2024 and 2022, we recorded insignifcant noncash impairment charges against certain property and equipment assets. During the year ended December 31, 2023, we recorded noncash impairment charges of $1.1 million against certain property and equipment assets. Each of these impairment charges resulted from our entry into subleases for diferent portons of our Washington, DC ofce locaton, which we closed in February 2023 to align with our remote-frst workforce strategy. These charges are included in general and administratve expense on our consolidated statements of comprehensive loss.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Sofware and content development costs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Sofware and content development costs consisted of the following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7120" w:type="dxa"/>
            <w:vAlign w:val="bottom"/>
            <w:shd w:val="clear" w:color="auto" w:fill="004054"/>
          </w:tcPr>
          <w:p>
            <w:pPr>
              <w:spacing w:after="0"/>
              <w:rPr>
                <w:sz w:val="24"/>
                <w:szCs w:val="24"/>
                <w:color w:val="auto"/>
              </w:rPr>
            </w:pP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Estmated</w:t>
            </w:r>
          </w:p>
        </w:tc>
        <w:tc>
          <w:tcPr>
            <w:tcW w:w="380" w:type="dxa"/>
            <w:vAlign w:val="bottom"/>
            <w:shd w:val="clear" w:color="auto" w:fill="004054"/>
          </w:tcPr>
          <w:p>
            <w:pPr>
              <w:spacing w:after="0"/>
              <w:rPr>
                <w:sz w:val="24"/>
                <w:szCs w:val="24"/>
                <w:color w:val="auto"/>
              </w:rPr>
            </w:pPr>
          </w:p>
        </w:tc>
        <w:tc>
          <w:tcPr>
            <w:tcW w:w="98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12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useful life</w:t>
            </w:r>
          </w:p>
        </w:tc>
        <w:tc>
          <w:tcPr>
            <w:tcW w:w="380" w:type="dxa"/>
            <w:vAlign w:val="bottom"/>
            <w:shd w:val="clear" w:color="auto" w:fill="004054"/>
          </w:tcPr>
          <w:p>
            <w:pPr>
              <w:spacing w:after="0"/>
              <w:rPr>
                <w:sz w:val="15"/>
                <w:szCs w:val="15"/>
                <w:color w:val="auto"/>
              </w:rPr>
            </w:pPr>
          </w:p>
        </w:tc>
        <w:tc>
          <w:tcPr>
            <w:tcW w:w="9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00" w:type="dxa"/>
            <w:vAlign w:val="bottom"/>
            <w:shd w:val="clear" w:color="auto" w:fill="004054"/>
          </w:tcPr>
          <w:p>
            <w:pPr>
              <w:spacing w:after="0"/>
              <w:rPr>
                <w:sz w:val="15"/>
                <w:szCs w:val="15"/>
                <w:color w:val="auto"/>
              </w:rPr>
            </w:pPr>
          </w:p>
        </w:tc>
        <w:tc>
          <w:tcPr>
            <w:tcW w:w="106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20" w:type="dxa"/>
            <w:vAlign w:val="bottom"/>
            <w:vMerge w:val="continue"/>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w:t>
            </w:r>
          </w:p>
        </w:tc>
        <w:tc>
          <w:tcPr>
            <w:tcW w:w="380" w:type="dxa"/>
            <w:vAlign w:val="bottom"/>
            <w:shd w:val="clear" w:color="auto" w:fill="004054"/>
          </w:tcPr>
          <w:p>
            <w:pPr>
              <w:spacing w:after="0"/>
              <w:rPr>
                <w:sz w:val="15"/>
                <w:szCs w:val="15"/>
                <w:color w:val="auto"/>
              </w:rPr>
            </w:pPr>
          </w:p>
        </w:tc>
        <w:tc>
          <w:tcPr>
            <w:tcW w:w="980" w:type="dxa"/>
            <w:vAlign w:val="bottom"/>
            <w:vMerge w:val="continue"/>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6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12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38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300" w:type="dxa"/>
            <w:vAlign w:val="bottom"/>
            <w:shd w:val="clear" w:color="auto" w:fill="004054"/>
          </w:tcPr>
          <w:p>
            <w:pPr>
              <w:spacing w:after="0"/>
              <w:rPr>
                <w:sz w:val="5"/>
                <w:szCs w:val="5"/>
                <w:color w:val="auto"/>
              </w:rPr>
            </w:pPr>
          </w:p>
        </w:tc>
        <w:tc>
          <w:tcPr>
            <w:tcW w:w="10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Sofware development costs</w:t>
            </w:r>
          </w:p>
        </w:tc>
        <w:tc>
          <w:tcPr>
            <w:tcW w:w="140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3 - 7</w:t>
            </w:r>
          </w:p>
        </w:tc>
        <w:tc>
          <w:tcPr>
            <w:tcW w:w="380" w:type="dxa"/>
            <w:vAlign w:val="bottom"/>
            <w:vMerge w:val="restart"/>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9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268,510</w:t>
            </w:r>
          </w:p>
        </w:tc>
        <w:tc>
          <w:tcPr>
            <w:tcW w:w="300" w:type="dxa"/>
            <w:vAlign w:val="bottom"/>
            <w:vMerge w:val="restart"/>
            <w:shd w:val="clear" w:color="auto" w:fill="EBFBFF"/>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287,519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7120" w:type="dxa"/>
            <w:vAlign w:val="bottom"/>
            <w:tcBorders>
              <w:bottom w:val="single" w:sz="8" w:color="EBFBFF"/>
            </w:tcBorders>
            <w:shd w:val="clear" w:color="auto" w:fill="EBFBFF"/>
          </w:tcPr>
          <w:p>
            <w:pPr>
              <w:spacing w:after="0"/>
              <w:rPr>
                <w:sz w:val="7"/>
                <w:szCs w:val="7"/>
                <w:color w:val="auto"/>
              </w:rPr>
            </w:pPr>
          </w:p>
        </w:tc>
        <w:tc>
          <w:tcPr>
            <w:tcW w:w="1400" w:type="dxa"/>
            <w:vAlign w:val="bottom"/>
            <w:tcBorders>
              <w:bottom w:val="single" w:sz="8" w:color="EBFBFF"/>
            </w:tcBorders>
            <w:vMerge w:val="continue"/>
            <w:shd w:val="clear" w:color="auto" w:fill="EBFBFF"/>
          </w:tcPr>
          <w:p>
            <w:pPr>
              <w:spacing w:after="0"/>
              <w:rPr>
                <w:sz w:val="7"/>
                <w:szCs w:val="7"/>
                <w:color w:val="auto"/>
              </w:rPr>
            </w:pPr>
          </w:p>
        </w:tc>
        <w:tc>
          <w:tcPr>
            <w:tcW w:w="380" w:type="dxa"/>
            <w:vAlign w:val="bottom"/>
            <w:tcBorders>
              <w:bottom w:val="single" w:sz="8" w:color="EBFBFF"/>
            </w:tcBorders>
            <w:vMerge w:val="continue"/>
            <w:shd w:val="clear" w:color="auto" w:fill="EBFBFF"/>
          </w:tcPr>
          <w:p>
            <w:pPr>
              <w:spacing w:after="0"/>
              <w:rPr>
                <w:sz w:val="7"/>
                <w:szCs w:val="7"/>
                <w:color w:val="auto"/>
              </w:rPr>
            </w:pPr>
          </w:p>
        </w:tc>
        <w:tc>
          <w:tcPr>
            <w:tcW w:w="980" w:type="dxa"/>
            <w:vAlign w:val="bottom"/>
            <w:tcBorders>
              <w:bottom w:val="single" w:sz="8" w:color="EBFBFF"/>
            </w:tcBorders>
            <w:vMerge w:val="continue"/>
            <w:shd w:val="clear" w:color="auto" w:fill="EBFBFF"/>
          </w:tcPr>
          <w:p>
            <w:pPr>
              <w:spacing w:after="0"/>
              <w:rPr>
                <w:sz w:val="7"/>
                <w:szCs w:val="7"/>
                <w:color w:val="auto"/>
              </w:rPr>
            </w:pPr>
          </w:p>
        </w:tc>
        <w:tc>
          <w:tcPr>
            <w:tcW w:w="300" w:type="dxa"/>
            <w:vAlign w:val="bottom"/>
            <w:tcBorders>
              <w:bottom w:val="single" w:sz="8" w:color="EBFBFF"/>
            </w:tcBorders>
            <w:vMerge w:val="continue"/>
            <w:shd w:val="clear" w:color="auto" w:fill="EBFBFF"/>
          </w:tcPr>
          <w:p>
            <w:pPr>
              <w:spacing w:after="0"/>
              <w:rPr>
                <w:sz w:val="7"/>
                <w:szCs w:val="7"/>
                <w:color w:val="auto"/>
              </w:rPr>
            </w:pPr>
          </w:p>
        </w:tc>
        <w:tc>
          <w:tcPr>
            <w:tcW w:w="106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7120" w:type="dxa"/>
            <w:vAlign w:val="bottom"/>
          </w:tcPr>
          <w:p>
            <w:pPr>
              <w:ind w:left="20"/>
              <w:spacing w:after="0"/>
              <w:rPr>
                <w:sz w:val="20"/>
                <w:szCs w:val="20"/>
                <w:color w:val="auto"/>
              </w:rPr>
            </w:pPr>
            <w:r>
              <w:rPr>
                <w:rFonts w:ascii="Calibri" w:cs="Calibri" w:eastAsia="Calibri" w:hAnsi="Calibri"/>
                <w:sz w:val="18"/>
                <w:szCs w:val="18"/>
                <w:color w:val="51555C"/>
              </w:rPr>
              <w:t>Content development costs</w:t>
            </w:r>
          </w:p>
        </w:tc>
        <w:tc>
          <w:tcPr>
            <w:tcW w:w="1400" w:type="dxa"/>
            <w:vAlign w:val="bottom"/>
          </w:tcPr>
          <w:p>
            <w:pPr>
              <w:jc w:val="right"/>
              <w:spacing w:after="0"/>
              <w:rPr>
                <w:sz w:val="20"/>
                <w:szCs w:val="20"/>
                <w:color w:val="auto"/>
              </w:rPr>
            </w:pPr>
            <w:r>
              <w:rPr>
                <w:rFonts w:ascii="Calibri" w:cs="Calibri" w:eastAsia="Calibri" w:hAnsi="Calibri"/>
                <w:sz w:val="18"/>
                <w:szCs w:val="18"/>
                <w:color w:val="51555C"/>
              </w:rPr>
              <w:t>5</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6,945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7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accumulated amortzaton</w:t>
            </w:r>
          </w:p>
        </w:tc>
        <w:tc>
          <w:tcPr>
            <w:tcW w:w="1400" w:type="dxa"/>
            <w:vAlign w:val="bottom"/>
            <w:tcBorders>
              <w:bottom w:val="single" w:sz="8" w:color="EBFBFF"/>
            </w:tcBorders>
            <w:shd w:val="clear" w:color="auto" w:fill="EBFBFF"/>
          </w:tcPr>
          <w:p>
            <w:pPr>
              <w:spacing w:after="0"/>
              <w:rPr>
                <w:sz w:val="23"/>
                <w:szCs w:val="23"/>
                <w:color w:val="auto"/>
              </w:rPr>
            </w:pPr>
          </w:p>
        </w:tc>
        <w:tc>
          <w:tcPr>
            <w:tcW w:w="38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(120,191)</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(134,270)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20" w:type="dxa"/>
            <w:vAlign w:val="bottom"/>
          </w:tcPr>
          <w:p>
            <w:pPr>
              <w:ind w:left="140"/>
              <w:spacing w:after="0"/>
              <w:rPr>
                <w:sz w:val="20"/>
                <w:szCs w:val="20"/>
                <w:color w:val="auto"/>
              </w:rPr>
            </w:pPr>
            <w:r>
              <w:rPr>
                <w:rFonts w:ascii="Calibri" w:cs="Calibri" w:eastAsia="Calibri" w:hAnsi="Calibri"/>
                <w:sz w:val="18"/>
                <w:szCs w:val="18"/>
                <w:color w:val="51555C"/>
              </w:rPr>
              <w:t>Sofware and content development costs, net</w:t>
            </w:r>
          </w:p>
        </w:tc>
        <w:tc>
          <w:tcPr>
            <w:tcW w:w="1400" w:type="dxa"/>
            <w:vAlign w:val="bottom"/>
          </w:tcPr>
          <w:p>
            <w:pPr>
              <w:spacing w:after="0"/>
              <w:rPr>
                <w:sz w:val="22"/>
                <w:szCs w:val="22"/>
                <w:color w:val="auto"/>
              </w:rPr>
            </w:pPr>
          </w:p>
        </w:tc>
        <w:tc>
          <w:tcPr>
            <w:tcW w:w="380" w:type="dxa"/>
            <w:vAlign w:val="bottom"/>
            <w:tcBorders>
              <w:top w:val="single" w:sz="8" w:color="51555C"/>
            </w:tcBorders>
          </w:tcPr>
          <w:p>
            <w:pPr>
              <w:jc w:val="right"/>
              <w:ind w:right="190"/>
              <w:spacing w:after="0"/>
              <w:rPr>
                <w:sz w:val="20"/>
                <w:szCs w:val="20"/>
                <w:color w:val="auto"/>
              </w:rPr>
            </w:pPr>
            <w:r>
              <w:rPr>
                <w:rFonts w:ascii="Calibri" w:cs="Calibri" w:eastAsia="Calibri" w:hAnsi="Calibri"/>
                <w:sz w:val="18"/>
                <w:szCs w:val="18"/>
                <w:color w:val="51555C"/>
                <w:w w:val="87"/>
              </w:rPr>
              <w:t>$</w:t>
            </w:r>
          </w:p>
        </w:tc>
        <w:tc>
          <w:tcPr>
            <w:tcW w:w="980" w:type="dxa"/>
            <w:vAlign w:val="bottom"/>
            <w:tcBorders>
              <w:top w:val="single" w:sz="8" w:color="51555C"/>
            </w:tcBorders>
          </w:tcPr>
          <w:p>
            <w:pPr>
              <w:jc w:val="right"/>
              <w:spacing w:after="0"/>
              <w:rPr>
                <w:sz w:val="20"/>
                <w:szCs w:val="20"/>
                <w:color w:val="auto"/>
              </w:rPr>
            </w:pPr>
            <w:r>
              <w:rPr>
                <w:rFonts w:ascii="Calibri" w:cs="Calibri" w:eastAsia="Calibri" w:hAnsi="Calibri"/>
                <w:sz w:val="18"/>
                <w:szCs w:val="18"/>
                <w:color w:val="51555C"/>
              </w:rPr>
              <w:t>148,319</w:t>
            </w:r>
          </w:p>
        </w:tc>
        <w:tc>
          <w:tcPr>
            <w:tcW w:w="300" w:type="dxa"/>
            <w:vAlign w:val="bottom"/>
            <w:tcBorders>
              <w:top w:val="single" w:sz="8" w:color="51555C"/>
            </w:tcBorders>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8"/>
                <w:szCs w:val="18"/>
                <w:color w:val="51555C"/>
              </w:rPr>
              <w:t>160,194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7120" w:type="dxa"/>
            <w:vAlign w:val="bottom"/>
            <w:tcBorders>
              <w:bottom w:val="single" w:sz="8" w:color="0CD973"/>
            </w:tcBorders>
          </w:tcPr>
          <w:p>
            <w:pPr>
              <w:spacing w:after="0"/>
              <w:rPr>
                <w:sz w:val="4"/>
                <w:szCs w:val="4"/>
                <w:color w:val="auto"/>
              </w:rPr>
            </w:pPr>
          </w:p>
        </w:tc>
        <w:tc>
          <w:tcPr>
            <w:tcW w:w="1400" w:type="dxa"/>
            <w:vAlign w:val="bottom"/>
            <w:tcBorders>
              <w:bottom w:val="single" w:sz="8" w:color="0CD973"/>
            </w:tcBorders>
          </w:tcPr>
          <w:p>
            <w:pPr>
              <w:spacing w:after="0"/>
              <w:rPr>
                <w:sz w:val="4"/>
                <w:szCs w:val="4"/>
                <w:color w:val="auto"/>
              </w:rPr>
            </w:pPr>
          </w:p>
        </w:tc>
        <w:tc>
          <w:tcPr>
            <w:tcW w:w="38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-1036320</wp:posOffset>
            </wp:positionV>
            <wp:extent cx="17399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51555C"/>
        </w:rPr>
        <w:t>During the year ended December 31, 2024, we recorded noncash impairment charges of $22.6 million against certain previously capitalized sofware and content development costs. The impairment charges are included in EVERFI impairment charges within EVERFI dispositon on our consolidated statements of comprehensive loss. For additonal informaton, see the discussion of the EVERFI impairment charges in Note 4 to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213360</wp:posOffset>
            </wp:positionV>
            <wp:extent cx="72898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2022, we recorded noncash impairment charges of $2.3 million against certain previously capitalized sofware development costs that reduced the carrying value of those assets to zero. The impairment charges were refected in general and administratve expense on the statements of comprehensive loss. These impairment charges resulted primarily from our decision to accelerate the end of customer support for certain solutons.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Other changes to the gross carrying amount of sofware and content development costs were primarily related to qualifying costs associated with development actvites that are required to be capitalized under the internal-use sofware accountng guidance such as those for our cloud solutons and online educaton curriculum, write-ofs of fully amortzed assets, and the efect of foreign currency translaton.</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Amortzaton expense related to sofware and content development costs was $48.3 million, $42.8 million and $36.8 million for the years ended December 31, 2024, 2023 and 2022, respectvely, and is included primarily in cost of recurring.</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8.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cash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shd w:val="clear" w:color="auto" w:fill="004054"/>
          </w:tcPr>
          <w:p>
            <w:pPr>
              <w:spacing w:after="0"/>
              <w:rPr>
                <w:sz w:val="15"/>
                <w:szCs w:val="15"/>
                <w:color w:val="auto"/>
              </w:rPr>
            </w:pP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83"/>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74"/>
        </w:trPr>
        <w:tc>
          <w:tcPr>
            <w:tcW w:w="798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Restricted cash due to customers</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740,370</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695,489</w:t>
            </w:r>
          </w:p>
        </w:tc>
        <w:tc>
          <w:tcPr>
            <w:tcW w:w="20" w:type="dxa"/>
            <w:vAlign w:val="bottom"/>
          </w:tcPr>
          <w:p>
            <w:pPr>
              <w:spacing w:after="0"/>
              <w:rPr>
                <w:sz w:val="19"/>
                <w:szCs w:val="19"/>
                <w:color w:val="auto"/>
              </w:rPr>
            </w:pPr>
          </w:p>
        </w:tc>
      </w:tr>
      <w:tr>
        <w:trPr>
          <w:trHeight w:val="270"/>
        </w:trPr>
        <w:tc>
          <w:tcPr>
            <w:tcW w:w="7980" w:type="dxa"/>
            <w:vAlign w:val="bottom"/>
          </w:tcPr>
          <w:p>
            <w:pPr>
              <w:ind w:left="20"/>
              <w:spacing w:after="0"/>
              <w:rPr>
                <w:sz w:val="20"/>
                <w:szCs w:val="20"/>
                <w:color w:val="auto"/>
              </w:rPr>
            </w:pPr>
            <w:r>
              <w:rPr>
                <w:rFonts w:ascii="Calibri" w:cs="Calibri" w:eastAsia="Calibri" w:hAnsi="Calibri"/>
                <w:sz w:val="18"/>
                <w:szCs w:val="18"/>
                <w:color w:val="51555C"/>
              </w:rPr>
              <w:t>Real estate escrow balances and other</w:t>
            </w: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1,514</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1,517</w:t>
            </w:r>
          </w:p>
        </w:tc>
        <w:tc>
          <w:tcPr>
            <w:tcW w:w="20" w:type="dxa"/>
            <w:vAlign w:val="bottom"/>
          </w:tcPr>
          <w:p>
            <w:pPr>
              <w:spacing w:after="0"/>
              <w:rPr>
                <w:sz w:val="23"/>
                <w:szCs w:val="23"/>
                <w:color w:val="auto"/>
              </w:rPr>
            </w:pPr>
          </w:p>
        </w:tc>
      </w:tr>
      <w:tr>
        <w:trPr>
          <w:trHeight w:val="50"/>
        </w:trPr>
        <w:tc>
          <w:tcPr>
            <w:tcW w:w="798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79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restricted cash</w:t>
            </w:r>
          </w:p>
        </w:tc>
        <w:tc>
          <w:tcPr>
            <w:tcW w:w="44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741,884</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697,006</w:t>
            </w:r>
          </w:p>
        </w:tc>
        <w:tc>
          <w:tcPr>
            <w:tcW w:w="20" w:type="dxa"/>
            <w:vAlign w:val="bottom"/>
          </w:tcPr>
          <w:p>
            <w:pPr>
              <w:spacing w:after="0"/>
              <w:rPr>
                <w:sz w:val="22"/>
                <w:szCs w:val="22"/>
                <w:color w:val="auto"/>
              </w:rPr>
            </w:pPr>
          </w:p>
        </w:tc>
      </w:tr>
      <w:tr>
        <w:trPr>
          <w:trHeight w:val="429"/>
        </w:trPr>
        <w:tc>
          <w:tcPr>
            <w:tcW w:w="7980" w:type="dxa"/>
            <w:vAlign w:val="bottom"/>
            <w:tcBorders>
              <w:top w:val="single" w:sz="8" w:color="0CD973"/>
            </w:tcBorders>
          </w:tcPr>
          <w:p>
            <w:pPr>
              <w:spacing w:after="0"/>
              <w:rPr>
                <w:sz w:val="20"/>
                <w:szCs w:val="20"/>
                <w:color w:val="auto"/>
              </w:rPr>
            </w:pPr>
            <w:r>
              <w:rPr>
                <w:rFonts w:ascii="Calibri" w:cs="Calibri" w:eastAsia="Calibri" w:hAnsi="Calibri"/>
                <w:sz w:val="18"/>
                <w:szCs w:val="18"/>
                <w:b w:val="1"/>
                <w:bCs w:val="1"/>
                <w:color w:val="51555C"/>
              </w:rPr>
              <w:t>Prepaid expenses and other assets</w:t>
            </w:r>
          </w:p>
        </w:tc>
        <w:tc>
          <w:tcPr>
            <w:tcW w:w="44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46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7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798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175"/>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r>
      <w:tr>
        <w:trPr>
          <w:trHeight w:val="74"/>
        </w:trPr>
        <w:tc>
          <w:tcPr>
            <w:tcW w:w="798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798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Costs of obtaining contracts</w:t>
            </w:r>
            <w:r>
              <w:rPr>
                <w:rFonts w:ascii="Calibri" w:cs="Calibri" w:eastAsia="Calibri" w:hAnsi="Calibri"/>
                <w:sz w:val="23"/>
                <w:szCs w:val="23"/>
                <w:color w:val="51555C"/>
                <w:vertAlign w:val="superscript"/>
              </w:rPr>
              <w:t>(1)(2)</w:t>
            </w:r>
          </w:p>
        </w:tc>
        <w:tc>
          <w:tcPr>
            <w:tcW w:w="440" w:type="dxa"/>
            <w:vAlign w:val="bottom"/>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57,911</w:t>
            </w:r>
          </w:p>
        </w:tc>
        <w:tc>
          <w:tcPr>
            <w:tcW w:w="460" w:type="dxa"/>
            <w:vAlign w:val="bottom"/>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62,377</w:t>
            </w:r>
          </w:p>
        </w:tc>
        <w:tc>
          <w:tcPr>
            <w:tcW w:w="20" w:type="dxa"/>
            <w:vAlign w:val="bottom"/>
          </w:tcPr>
          <w:p>
            <w:pPr>
              <w:spacing w:after="0"/>
              <w:rPr>
                <w:sz w:val="24"/>
                <w:szCs w:val="24"/>
                <w:color w:val="auto"/>
              </w:rPr>
            </w:pPr>
          </w:p>
        </w:tc>
      </w:tr>
      <w:tr>
        <w:trPr>
          <w:trHeight w:val="324"/>
        </w:trPr>
        <w:tc>
          <w:tcPr>
            <w:tcW w:w="7980" w:type="dxa"/>
            <w:vAlign w:val="bottom"/>
          </w:tcPr>
          <w:p>
            <w:pPr>
              <w:ind w:left="20"/>
              <w:spacing w:after="0"/>
              <w:rPr>
                <w:sz w:val="20"/>
                <w:szCs w:val="20"/>
                <w:color w:val="auto"/>
              </w:rPr>
            </w:pPr>
            <w:r>
              <w:rPr>
                <w:rFonts w:ascii="Calibri" w:cs="Calibri" w:eastAsia="Calibri" w:hAnsi="Calibri"/>
                <w:sz w:val="18"/>
                <w:szCs w:val="18"/>
                <w:color w:val="51555C"/>
              </w:rPr>
              <w:t>Prepaid sofware maintenance and subscriptons</w:t>
            </w:r>
            <w:r>
              <w:rPr>
                <w:rFonts w:ascii="Calibri" w:cs="Calibri" w:eastAsia="Calibri" w:hAnsi="Calibri"/>
                <w:sz w:val="23"/>
                <w:szCs w:val="23"/>
                <w:color w:val="51555C"/>
                <w:vertAlign w:val="superscript"/>
              </w:rPr>
              <w:t>(3)</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36,277</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35,169</w:t>
            </w:r>
          </w:p>
        </w:tc>
        <w:tc>
          <w:tcPr>
            <w:tcW w:w="20" w:type="dxa"/>
            <w:vAlign w:val="bottom"/>
          </w:tcPr>
          <w:p>
            <w:pPr>
              <w:spacing w:after="0"/>
              <w:rPr>
                <w:sz w:val="24"/>
                <w:szCs w:val="2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Derivatve instruments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10,550</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21"/>
                <w:szCs w:val="21"/>
                <w:color w:val="auto"/>
              </w:rPr>
            </w:pPr>
          </w:p>
        </w:tc>
      </w:tr>
      <w:tr>
        <w:trPr>
          <w:trHeight w:val="324"/>
        </w:trPr>
        <w:tc>
          <w:tcPr>
            <w:tcW w:w="7980" w:type="dxa"/>
            <w:vAlign w:val="bottom"/>
          </w:tcPr>
          <w:p>
            <w:pPr>
              <w:ind w:left="20"/>
              <w:spacing w:after="0"/>
              <w:rPr>
                <w:sz w:val="20"/>
                <w:szCs w:val="20"/>
                <w:color w:val="auto"/>
              </w:rPr>
            </w:pPr>
            <w:r>
              <w:rPr>
                <w:rFonts w:ascii="Calibri" w:cs="Calibri" w:eastAsia="Calibri" w:hAnsi="Calibri"/>
                <w:sz w:val="18"/>
                <w:szCs w:val="18"/>
                <w:color w:val="51555C"/>
              </w:rPr>
              <w:t>Implementaton costs for cloud computng arrangements, net</w:t>
            </w:r>
            <w:r>
              <w:rPr>
                <w:rFonts w:ascii="Calibri" w:cs="Calibri" w:eastAsia="Calibri" w:hAnsi="Calibri"/>
                <w:sz w:val="23"/>
                <w:szCs w:val="23"/>
                <w:color w:val="51555C"/>
                <w:vertAlign w:val="superscript"/>
              </w:rPr>
              <w:t>(4)(5)</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10,450</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9,259</w:t>
            </w:r>
          </w:p>
        </w:tc>
        <w:tc>
          <w:tcPr>
            <w:tcW w:w="20" w:type="dxa"/>
            <w:vAlign w:val="bottom"/>
          </w:tcPr>
          <w:p>
            <w:pPr>
              <w:spacing w:after="0"/>
              <w:rPr>
                <w:sz w:val="24"/>
                <w:szCs w:val="2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Unbilled accounts receivable</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7,067</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5,615</w:t>
            </w:r>
          </w:p>
        </w:tc>
        <w:tc>
          <w:tcPr>
            <w:tcW w:w="20" w:type="dxa"/>
            <w:vAlign w:val="bottom"/>
          </w:tcPr>
          <w:p>
            <w:pPr>
              <w:spacing w:after="0"/>
              <w:rPr>
                <w:sz w:val="21"/>
                <w:szCs w:val="21"/>
                <w:color w:val="auto"/>
              </w:rPr>
            </w:pPr>
          </w:p>
        </w:tc>
      </w:tr>
      <w:tr>
        <w:trPr>
          <w:trHeight w:val="324"/>
        </w:trPr>
        <w:tc>
          <w:tcPr>
            <w:tcW w:w="7980" w:type="dxa"/>
            <w:vAlign w:val="bottom"/>
          </w:tcPr>
          <w:p>
            <w:pPr>
              <w:ind w:left="20"/>
              <w:spacing w:after="0"/>
              <w:rPr>
                <w:sz w:val="20"/>
                <w:szCs w:val="20"/>
                <w:color w:val="auto"/>
              </w:rPr>
            </w:pPr>
            <w:r>
              <w:rPr>
                <w:rFonts w:ascii="Calibri" w:cs="Calibri" w:eastAsia="Calibri" w:hAnsi="Calibri"/>
                <w:sz w:val="18"/>
                <w:szCs w:val="18"/>
                <w:color w:val="51555C"/>
              </w:rPr>
              <w:t>Investment in equity securites</w:t>
            </w:r>
            <w:r>
              <w:rPr>
                <w:rFonts w:ascii="Calibri" w:cs="Calibri" w:eastAsia="Calibri" w:hAnsi="Calibri"/>
                <w:sz w:val="23"/>
                <w:szCs w:val="23"/>
                <w:color w:val="51555C"/>
                <w:vertAlign w:val="superscript"/>
              </w:rPr>
              <w:t>(6)</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4,943</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4"/>
                <w:szCs w:val="2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Taxes, prepaid and receivable</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4,257</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3,418</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Prepaid insurance</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3,027</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3,940</w:t>
            </w:r>
          </w:p>
        </w:tc>
        <w:tc>
          <w:tcPr>
            <w:tcW w:w="20" w:type="dxa"/>
            <w:vAlign w:val="bottom"/>
          </w:tcPr>
          <w:p>
            <w:pPr>
              <w:spacing w:after="0"/>
              <w:rPr>
                <w:sz w:val="19"/>
                <w:szCs w:val="19"/>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assets</w:t>
            </w: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14,026</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14,346</w:t>
            </w:r>
          </w:p>
        </w:tc>
        <w:tc>
          <w:tcPr>
            <w:tcW w:w="20" w:type="dxa"/>
            <w:vAlign w:val="bottom"/>
          </w:tcPr>
          <w:p>
            <w:pPr>
              <w:spacing w:after="0"/>
              <w:rPr>
                <w:sz w:val="23"/>
                <w:szCs w:val="23"/>
                <w:color w:val="auto"/>
              </w:rPr>
            </w:pPr>
          </w:p>
        </w:tc>
      </w:tr>
      <w:tr>
        <w:trPr>
          <w:trHeight w:val="213"/>
        </w:trPr>
        <w:tc>
          <w:tcPr>
            <w:tcW w:w="798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prepaid expenses and other assets</w:t>
            </w:r>
          </w:p>
        </w:tc>
        <w:tc>
          <w:tcPr>
            <w:tcW w:w="44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148,508</w:t>
            </w:r>
          </w:p>
        </w:tc>
        <w:tc>
          <w:tcPr>
            <w:tcW w:w="46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150,322</w:t>
            </w:r>
          </w:p>
        </w:tc>
        <w:tc>
          <w:tcPr>
            <w:tcW w:w="20" w:type="dxa"/>
            <w:vAlign w:val="bottom"/>
          </w:tcPr>
          <w:p>
            <w:pPr>
              <w:spacing w:after="0"/>
              <w:rPr>
                <w:sz w:val="18"/>
                <w:szCs w:val="18"/>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Long-term porton</w:t>
            </w: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67,221</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51,037</w:t>
            </w:r>
          </w:p>
        </w:tc>
        <w:tc>
          <w:tcPr>
            <w:tcW w:w="20" w:type="dxa"/>
            <w:vAlign w:val="bottom"/>
          </w:tcPr>
          <w:p>
            <w:pPr>
              <w:spacing w:after="0"/>
              <w:rPr>
                <w:sz w:val="23"/>
                <w:szCs w:val="23"/>
                <w:color w:val="auto"/>
              </w:rPr>
            </w:pPr>
          </w:p>
        </w:tc>
      </w:tr>
      <w:tr>
        <w:trPr>
          <w:trHeight w:val="213"/>
        </w:trPr>
        <w:tc>
          <w:tcPr>
            <w:tcW w:w="7980" w:type="dxa"/>
            <w:vAlign w:val="bottom"/>
          </w:tcPr>
          <w:p>
            <w:pPr>
              <w:ind w:left="20"/>
              <w:spacing w:after="0" w:line="199" w:lineRule="exact"/>
              <w:rPr>
                <w:sz w:val="20"/>
                <w:szCs w:val="20"/>
                <w:color w:val="auto"/>
              </w:rPr>
            </w:pPr>
            <w:r>
              <w:rPr>
                <w:rFonts w:ascii="Calibri" w:cs="Calibri" w:eastAsia="Calibri" w:hAnsi="Calibri"/>
                <w:sz w:val="18"/>
                <w:szCs w:val="18"/>
                <w:color w:val="51555C"/>
              </w:rPr>
              <w:t>Prepaid expenses and other current assets</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81,287</w:t>
            </w:r>
          </w:p>
        </w:tc>
        <w:tc>
          <w:tcPr>
            <w:tcW w:w="46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99,285</w:t>
            </w:r>
          </w:p>
        </w:tc>
        <w:tc>
          <w:tcPr>
            <w:tcW w:w="20" w:type="dxa"/>
            <w:vAlign w:val="bottom"/>
          </w:tcPr>
          <w:p>
            <w:pPr>
              <w:spacing w:after="0"/>
              <w:rPr>
                <w:sz w:val="18"/>
                <w:szCs w:val="18"/>
                <w:color w:val="auto"/>
              </w:rPr>
            </w:pPr>
          </w:p>
        </w:tc>
      </w:tr>
      <w:tr>
        <w:trPr>
          <w:trHeight w:val="50"/>
        </w:trPr>
        <w:tc>
          <w:tcPr>
            <w:tcW w:w="798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67" w:lineRule="exact"/>
        <w:rPr>
          <w:sz w:val="20"/>
          <w:szCs w:val="20"/>
          <w:color w:val="auto"/>
        </w:rPr>
      </w:pPr>
    </w:p>
    <w:p>
      <w:pPr>
        <w:ind w:left="340" w:right="20" w:hanging="332"/>
        <w:spacing w:after="0" w:line="245" w:lineRule="auto"/>
        <w:tabs>
          <w:tab w:leader="none" w:pos="338"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Amortzaton expense from costs of obtaining contracts was $20.1 million, $31.9 million and $33.6 million for the years ended December 31, 2024, 2023 and 2022, respectvely, and is included in sales, marketng and customer success expense in our consolidated statements of comprehensive loss.</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The current porton of costs of obtaining contracts as of December 31, 2024 and 2023 was $18.4 million and $25.3 million, respectvely.</w:t>
      </w:r>
    </w:p>
    <w:p>
      <w:pPr>
        <w:ind w:left="340" w:hanging="332"/>
        <w:spacing w:after="0" w:line="227" w:lineRule="auto"/>
        <w:tabs>
          <w:tab w:leader="none" w:pos="340"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The current porton of prepaid sofware maintenance and subscriptons as of December 31, 2024 and December 31, 2023 was $34.0 million and $32.4 million, respectvely.</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These costs primarily relate to the mult-year implementatons of our global enterprise resource planning and customer relatonship management systems.</w:t>
      </w:r>
    </w:p>
    <w:p>
      <w:pPr>
        <w:spacing w:after="0" w:line="5" w:lineRule="exact"/>
        <w:rPr>
          <w:rFonts w:ascii="Calibri" w:cs="Calibri" w:eastAsia="Calibri" w:hAnsi="Calibri"/>
          <w:sz w:val="14"/>
          <w:szCs w:val="14"/>
          <w:color w:val="51555C"/>
        </w:rPr>
      </w:pPr>
    </w:p>
    <w:p>
      <w:pPr>
        <w:ind w:left="340" w:right="20" w:hanging="332"/>
        <w:spacing w:after="0" w:line="245" w:lineRule="auto"/>
        <w:tabs>
          <w:tab w:leader="none" w:pos="338"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Amortzaton expense from capitalized cloud computng implementaton costs was $2.9 million, $2.5 million and $2.2 million for the years ended December 31, 2024, 2023 and 2022, respectvely. Accumulated amortzaton for these costs was $10.6 million and $7.7 million as of December 31, 2024 and 2023, respectvely.</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49"/>
        </w:numPr>
        <w:rPr>
          <w:rFonts w:ascii="Calibri" w:cs="Calibri" w:eastAsia="Calibri" w:hAnsi="Calibri"/>
          <w:sz w:val="14"/>
          <w:szCs w:val="14"/>
          <w:color w:val="51555C"/>
        </w:rPr>
      </w:pPr>
      <w:r>
        <w:rPr>
          <w:rFonts w:ascii="Calibri" w:cs="Calibri" w:eastAsia="Calibri" w:hAnsi="Calibri"/>
          <w:sz w:val="14"/>
          <w:szCs w:val="14"/>
          <w:color w:val="51555C"/>
        </w:rPr>
        <w:t>Represents a strategic investment that did not result in Blackbaud having signifcant infuence over the investee.</w:t>
      </w:r>
    </w:p>
    <w:p>
      <w:pPr>
        <w:spacing w:after="0" w:line="32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88</w:t>
      </w:r>
      <w:r>
        <w:rPr>
          <w:sz w:val="20"/>
          <w:szCs w:val="20"/>
          <w:color w:val="auto"/>
        </w:rPr>
        <w:tab/>
      </w:r>
      <w:r>
        <w:rPr>
          <w:sz w:val="1"/>
          <w:szCs w:val="1"/>
          <w:color w:val="auto"/>
        </w:rPr>
        <w:drawing>
          <wp:inline distT="0" distB="0" distL="0" distR="0">
            <wp:extent cx="728345" cy="18859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Accrued expenses and other liabilites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6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798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Taxes payable</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15,844</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21,282</w:t>
            </w:r>
          </w:p>
        </w:tc>
        <w:tc>
          <w:tcPr>
            <w:tcW w:w="20" w:type="dxa"/>
            <w:vAlign w:val="bottom"/>
          </w:tcPr>
          <w:p>
            <w:pPr>
              <w:spacing w:after="0"/>
              <w:rPr>
                <w:sz w:val="21"/>
                <w:szCs w:val="21"/>
                <w:color w:val="auto"/>
              </w:rPr>
            </w:pPr>
          </w:p>
        </w:tc>
      </w:tr>
      <w:tr>
        <w:trPr>
          <w:trHeight w:val="323"/>
        </w:trPr>
        <w:tc>
          <w:tcPr>
            <w:tcW w:w="7980" w:type="dxa"/>
            <w:vAlign w:val="bottom"/>
          </w:tcPr>
          <w:p>
            <w:pPr>
              <w:ind w:left="20"/>
              <w:spacing w:after="0"/>
              <w:rPr>
                <w:sz w:val="20"/>
                <w:szCs w:val="20"/>
                <w:color w:val="auto"/>
              </w:rPr>
            </w:pPr>
            <w:r>
              <w:rPr>
                <w:rFonts w:ascii="Calibri" w:cs="Calibri" w:eastAsia="Calibri" w:hAnsi="Calibri"/>
                <w:sz w:val="18"/>
                <w:szCs w:val="18"/>
                <w:color w:val="51555C"/>
              </w:rPr>
              <w:t>Accrued costs to sell EVERFI</w:t>
            </w:r>
            <w:r>
              <w:rPr>
                <w:rFonts w:ascii="Calibri" w:cs="Calibri" w:eastAsia="Calibri" w:hAnsi="Calibri"/>
                <w:sz w:val="23"/>
                <w:szCs w:val="23"/>
                <w:color w:val="51555C"/>
                <w:vertAlign w:val="superscript"/>
              </w:rPr>
              <w:t>(1)</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13,985</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4"/>
                <w:szCs w:val="24"/>
                <w:color w:val="auto"/>
              </w:rPr>
            </w:pPr>
          </w:p>
        </w:tc>
      </w:tr>
      <w:tr>
        <w:trPr>
          <w:trHeight w:val="251"/>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Customer credit balances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8,779</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10,238</w:t>
            </w:r>
          </w:p>
        </w:tc>
        <w:tc>
          <w:tcPr>
            <w:tcW w:w="20" w:type="dxa"/>
            <w:vAlign w:val="bottom"/>
          </w:tcPr>
          <w:p>
            <w:pPr>
              <w:spacing w:after="0"/>
              <w:rPr>
                <w:sz w:val="21"/>
                <w:szCs w:val="21"/>
                <w:color w:val="auto"/>
              </w:rPr>
            </w:pPr>
          </w:p>
        </w:tc>
      </w:tr>
      <w:tr>
        <w:trPr>
          <w:trHeight w:val="323"/>
        </w:trPr>
        <w:tc>
          <w:tcPr>
            <w:tcW w:w="7980" w:type="dxa"/>
            <w:vAlign w:val="bottom"/>
          </w:tcPr>
          <w:p>
            <w:pPr>
              <w:ind w:left="20"/>
              <w:spacing w:after="0"/>
              <w:rPr>
                <w:sz w:val="20"/>
                <w:szCs w:val="20"/>
                <w:color w:val="auto"/>
              </w:rPr>
            </w:pPr>
            <w:r>
              <w:rPr>
                <w:rFonts w:ascii="Calibri" w:cs="Calibri" w:eastAsia="Calibri" w:hAnsi="Calibri"/>
                <w:sz w:val="18"/>
                <w:szCs w:val="18"/>
                <w:color w:val="51555C"/>
              </w:rPr>
              <w:t>Stock-based compensaton liability</w:t>
            </w:r>
            <w:r>
              <w:rPr>
                <w:rFonts w:ascii="Calibri" w:cs="Calibri" w:eastAsia="Calibri" w:hAnsi="Calibri"/>
                <w:sz w:val="23"/>
                <w:szCs w:val="23"/>
                <w:color w:val="51555C"/>
                <w:vertAlign w:val="superscript"/>
              </w:rPr>
              <w:t>(2)</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7,292</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4"/>
                <w:szCs w:val="24"/>
                <w:color w:val="auto"/>
              </w:rPr>
            </w:pPr>
          </w:p>
        </w:tc>
      </w:tr>
      <w:tr>
        <w:trPr>
          <w:trHeight w:val="251"/>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Operatng lease liabilites, current porton</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4,489</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6,701</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Unrecognized tax beneft</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4,285</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2,954</w:t>
            </w:r>
          </w:p>
        </w:tc>
        <w:tc>
          <w:tcPr>
            <w:tcW w:w="20" w:type="dxa"/>
            <w:vAlign w:val="bottom"/>
          </w:tcPr>
          <w:p>
            <w:pPr>
              <w:spacing w:after="0"/>
              <w:rPr>
                <w:sz w:val="19"/>
                <w:szCs w:val="19"/>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commissions and salaries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4,012</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4,413</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Accrued transacton-based costs related to payments services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3,903</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4,323</w:t>
            </w:r>
          </w:p>
        </w:tc>
        <w:tc>
          <w:tcPr>
            <w:tcW w:w="20" w:type="dxa"/>
            <w:vAlign w:val="bottom"/>
          </w:tcPr>
          <w:p>
            <w:pPr>
              <w:spacing w:after="0"/>
              <w:rPr>
                <w:sz w:val="19"/>
                <w:szCs w:val="19"/>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health care costs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3,151</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3,865</w:t>
            </w:r>
          </w:p>
        </w:tc>
        <w:tc>
          <w:tcPr>
            <w:tcW w:w="20" w:type="dxa"/>
            <w:vAlign w:val="bottom"/>
          </w:tcPr>
          <w:p>
            <w:pPr>
              <w:spacing w:after="0"/>
              <w:rPr>
                <w:sz w:val="21"/>
                <w:szCs w:val="21"/>
                <w:color w:val="auto"/>
              </w:rPr>
            </w:pPr>
          </w:p>
        </w:tc>
      </w:tr>
      <w:tr>
        <w:trPr>
          <w:trHeight w:val="323"/>
        </w:trPr>
        <w:tc>
          <w:tcPr>
            <w:tcW w:w="7980" w:type="dxa"/>
            <w:vAlign w:val="bottom"/>
          </w:tcPr>
          <w:p>
            <w:pPr>
              <w:ind w:left="20"/>
              <w:spacing w:after="0"/>
              <w:rPr>
                <w:sz w:val="20"/>
                <w:szCs w:val="20"/>
                <w:color w:val="auto"/>
              </w:rPr>
            </w:pPr>
            <w:r>
              <w:rPr>
                <w:rFonts w:ascii="Calibri" w:cs="Calibri" w:eastAsia="Calibri" w:hAnsi="Calibri"/>
                <w:sz w:val="18"/>
                <w:szCs w:val="18"/>
                <w:color w:val="51555C"/>
              </w:rPr>
              <w:t>Accrued legal costs</w:t>
            </w:r>
            <w:r>
              <w:rPr>
                <w:rFonts w:ascii="Calibri" w:cs="Calibri" w:eastAsia="Calibri" w:hAnsi="Calibri"/>
                <w:sz w:val="23"/>
                <w:szCs w:val="23"/>
                <w:color w:val="51555C"/>
                <w:vertAlign w:val="superscript"/>
              </w:rPr>
              <w:t>(3)</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2,504</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3,659</w:t>
            </w:r>
          </w:p>
        </w:tc>
        <w:tc>
          <w:tcPr>
            <w:tcW w:w="20" w:type="dxa"/>
            <w:vAlign w:val="bottom"/>
          </w:tcPr>
          <w:p>
            <w:pPr>
              <w:spacing w:after="0"/>
              <w:rPr>
                <w:sz w:val="24"/>
                <w:szCs w:val="24"/>
                <w:color w:val="auto"/>
              </w:rPr>
            </w:pPr>
          </w:p>
        </w:tc>
      </w:tr>
      <w:tr>
        <w:trPr>
          <w:trHeight w:val="251"/>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vacaton costs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2,060</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2,452</w:t>
            </w:r>
          </w:p>
        </w:tc>
        <w:tc>
          <w:tcPr>
            <w:tcW w:w="20" w:type="dxa"/>
            <w:vAlign w:val="bottom"/>
          </w:tcPr>
          <w:p>
            <w:pPr>
              <w:spacing w:after="0"/>
              <w:rPr>
                <w:sz w:val="21"/>
                <w:szCs w:val="21"/>
                <w:color w:val="auto"/>
              </w:rPr>
            </w:pPr>
          </w:p>
        </w:tc>
      </w:tr>
      <w:tr>
        <w:trPr>
          <w:trHeight w:val="219"/>
        </w:trPr>
        <w:tc>
          <w:tcPr>
            <w:tcW w:w="7980" w:type="dxa"/>
            <w:vAlign w:val="bottom"/>
          </w:tcPr>
          <w:p>
            <w:pPr>
              <w:ind w:left="20"/>
              <w:spacing w:after="0"/>
              <w:rPr>
                <w:sz w:val="20"/>
                <w:szCs w:val="20"/>
                <w:color w:val="auto"/>
              </w:rPr>
            </w:pPr>
            <w:r>
              <w:rPr>
                <w:rFonts w:ascii="Calibri" w:cs="Calibri" w:eastAsia="Calibri" w:hAnsi="Calibri"/>
                <w:sz w:val="18"/>
                <w:szCs w:val="18"/>
                <w:color w:val="51555C"/>
              </w:rPr>
              <w:t>Derivatve instruments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5,540</w:t>
            </w:r>
          </w:p>
        </w:tc>
        <w:tc>
          <w:tcPr>
            <w:tcW w:w="20" w:type="dxa"/>
            <w:vAlign w:val="bottom"/>
          </w:tcPr>
          <w:p>
            <w:pPr>
              <w:spacing w:after="0"/>
              <w:rPr>
                <w:sz w:val="19"/>
                <w:szCs w:val="19"/>
                <w:color w:val="auto"/>
              </w:rPr>
            </w:pPr>
          </w:p>
        </w:tc>
      </w:tr>
      <w:tr>
        <w:trPr>
          <w:trHeight w:val="51"/>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Contngent consideraton liability</w:t>
            </w:r>
          </w:p>
        </w:tc>
        <w:tc>
          <w:tcPr>
            <w:tcW w:w="44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46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1,403</w:t>
            </w:r>
          </w:p>
        </w:tc>
        <w:tc>
          <w:tcPr>
            <w:tcW w:w="20" w:type="dxa"/>
            <w:vAlign w:val="bottom"/>
          </w:tcPr>
          <w:p>
            <w:pPr>
              <w:spacing w:after="0"/>
              <w:rPr>
                <w:sz w:val="24"/>
                <w:szCs w:val="24"/>
                <w:color w:val="auto"/>
              </w:rPr>
            </w:pPr>
          </w:p>
        </w:tc>
      </w:tr>
      <w:tr>
        <w:trPr>
          <w:trHeight w:val="219"/>
        </w:trPr>
        <w:tc>
          <w:tcPr>
            <w:tcW w:w="7980" w:type="dxa"/>
            <w:vAlign w:val="bottom"/>
          </w:tcPr>
          <w:p>
            <w:pPr>
              <w:ind w:left="20"/>
              <w:spacing w:after="0"/>
              <w:rPr>
                <w:sz w:val="20"/>
                <w:szCs w:val="20"/>
                <w:color w:val="auto"/>
              </w:rPr>
            </w:pPr>
            <w:r>
              <w:rPr>
                <w:rFonts w:ascii="Calibri" w:cs="Calibri" w:eastAsia="Calibri" w:hAnsi="Calibri"/>
                <w:sz w:val="18"/>
                <w:szCs w:val="18"/>
                <w:color w:val="51555C"/>
              </w:rPr>
              <w:t>Other liabilites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10,035</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7,750</w:t>
            </w:r>
          </w:p>
        </w:tc>
        <w:tc>
          <w:tcPr>
            <w:tcW w:w="20" w:type="dxa"/>
            <w:vAlign w:val="bottom"/>
          </w:tcPr>
          <w:p>
            <w:pPr>
              <w:spacing w:after="0"/>
              <w:rPr>
                <w:sz w:val="19"/>
                <w:szCs w:val="19"/>
                <w:color w:val="auto"/>
              </w:rPr>
            </w:pPr>
          </w:p>
        </w:tc>
      </w:tr>
      <w:tr>
        <w:trPr>
          <w:trHeight w:val="50"/>
        </w:trPr>
        <w:tc>
          <w:tcPr>
            <w:tcW w:w="798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79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accrued expenses and other liabilites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80,339</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74,580</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Less: Long-term porton</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4,796</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10,258</w:t>
            </w:r>
          </w:p>
        </w:tc>
        <w:tc>
          <w:tcPr>
            <w:tcW w:w="20" w:type="dxa"/>
            <w:vAlign w:val="bottom"/>
          </w:tcPr>
          <w:p>
            <w:pPr>
              <w:spacing w:after="0"/>
              <w:rPr>
                <w:sz w:val="19"/>
                <w:szCs w:val="19"/>
                <w:color w:val="auto"/>
              </w:rPr>
            </w:pPr>
          </w:p>
        </w:tc>
      </w:tr>
      <w:tr>
        <w:trPr>
          <w:trHeight w:val="50"/>
        </w:trPr>
        <w:tc>
          <w:tcPr>
            <w:tcW w:w="798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798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Accrued expenses and other current liabilites</w:t>
            </w:r>
          </w:p>
        </w:tc>
        <w:tc>
          <w:tcPr>
            <w:tcW w:w="44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75,543</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64,322</w:t>
            </w:r>
          </w:p>
        </w:tc>
        <w:tc>
          <w:tcPr>
            <w:tcW w:w="20" w:type="dxa"/>
            <w:vAlign w:val="bottom"/>
          </w:tcPr>
          <w:p>
            <w:pPr>
              <w:spacing w:after="0"/>
              <w:rPr>
                <w:sz w:val="21"/>
                <w:szCs w:val="21"/>
                <w:color w:val="auto"/>
              </w:rPr>
            </w:pPr>
          </w:p>
        </w:tc>
      </w:tr>
      <w:tr>
        <w:trPr>
          <w:trHeight w:val="20"/>
        </w:trPr>
        <w:tc>
          <w:tcPr>
            <w:tcW w:w="79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0"/>
        </w:numPr>
        <w:rPr>
          <w:rFonts w:ascii="Calibri" w:cs="Calibri" w:eastAsia="Calibri" w:hAnsi="Calibri"/>
          <w:sz w:val="14"/>
          <w:szCs w:val="14"/>
          <w:color w:val="51555C"/>
        </w:rPr>
      </w:pPr>
      <w:r>
        <w:rPr>
          <w:rFonts w:ascii="Calibri" w:cs="Calibri" w:eastAsia="Calibri" w:hAnsi="Calibri"/>
          <w:sz w:val="14"/>
          <w:szCs w:val="14"/>
          <w:color w:val="51555C"/>
        </w:rPr>
        <w:t>See Note 3 for a discussion of our sale of EVERFI on December 31, 2024.</w:t>
      </w:r>
    </w:p>
    <w:p>
      <w:pPr>
        <w:ind w:left="340" w:hanging="332"/>
        <w:spacing w:after="0" w:line="227" w:lineRule="auto"/>
        <w:tabs>
          <w:tab w:leader="none" w:pos="340" w:val="left"/>
        </w:tabs>
        <w:numPr>
          <w:ilvl w:val="0"/>
          <w:numId w:val="50"/>
        </w:numPr>
        <w:rPr>
          <w:rFonts w:ascii="Calibri" w:cs="Calibri" w:eastAsia="Calibri" w:hAnsi="Calibri"/>
          <w:sz w:val="14"/>
          <w:szCs w:val="14"/>
          <w:color w:val="51555C"/>
        </w:rPr>
      </w:pPr>
      <w:r>
        <w:rPr>
          <w:rFonts w:ascii="Calibri" w:cs="Calibri" w:eastAsia="Calibri" w:hAnsi="Calibri"/>
          <w:sz w:val="14"/>
          <w:szCs w:val="14"/>
          <w:color w:val="51555C"/>
        </w:rPr>
        <w:t>This stock-based compensaton liability will be setled during 2025 using shares of the Company’s common stock.</w:t>
      </w:r>
    </w:p>
    <w:p>
      <w:pPr>
        <w:spacing w:after="0" w:line="5" w:lineRule="exact"/>
        <w:rPr>
          <w:rFonts w:ascii="Calibri" w:cs="Calibri" w:eastAsia="Calibri" w:hAnsi="Calibri"/>
          <w:sz w:val="14"/>
          <w:szCs w:val="14"/>
          <w:color w:val="51555C"/>
        </w:rPr>
      </w:pPr>
    </w:p>
    <w:p>
      <w:pPr>
        <w:ind w:left="340" w:right="20" w:hanging="332"/>
        <w:spacing w:after="0" w:line="242" w:lineRule="auto"/>
        <w:tabs>
          <w:tab w:leader="none" w:pos="338" w:val="left"/>
        </w:tabs>
        <w:numPr>
          <w:ilvl w:val="0"/>
          <w:numId w:val="50"/>
        </w:numPr>
        <w:rPr>
          <w:rFonts w:ascii="Calibri" w:cs="Calibri" w:eastAsia="Calibri" w:hAnsi="Calibri"/>
          <w:sz w:val="14"/>
          <w:szCs w:val="14"/>
          <w:color w:val="51555C"/>
        </w:rPr>
      </w:pPr>
      <w:r>
        <w:rPr>
          <w:rFonts w:ascii="Calibri" w:cs="Calibri" w:eastAsia="Calibri" w:hAnsi="Calibri"/>
          <w:sz w:val="14"/>
          <w:szCs w:val="14"/>
          <w:color w:val="51555C"/>
        </w:rPr>
        <w:t>All accrued legal costs are classifed as current. See Note 11 to these consolidated fnancial statements for additonal informaton about our loss contngency accruals and other legal expenses.</w:t>
      </w:r>
    </w:p>
    <w:p>
      <w:pPr>
        <w:spacing w:after="0" w:line="3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50" w:type="dxa"/>
            <w:vAlign w:val="bottom"/>
            <w:shd w:val="clear" w:color="auto" w:fill="004054"/>
          </w:tcPr>
          <w:p>
            <w:pPr>
              <w:spacing w:after="0"/>
              <w:rPr>
                <w:sz w:val="16"/>
                <w:szCs w:val="16"/>
                <w:color w:val="auto"/>
              </w:rPr>
            </w:pPr>
          </w:p>
        </w:tc>
        <w:tc>
          <w:tcPr>
            <w:tcW w:w="1630" w:type="dxa"/>
            <w:vAlign w:val="bottom"/>
            <w:shd w:val="clear" w:color="auto" w:fill="004054"/>
          </w:tcPr>
          <w:p>
            <w:pPr>
              <w:spacing w:after="0"/>
              <w:rPr>
                <w:sz w:val="16"/>
                <w:szCs w:val="16"/>
                <w:color w:val="auto"/>
              </w:rPr>
            </w:pPr>
          </w:p>
        </w:tc>
        <w:tc>
          <w:tcPr>
            <w:tcW w:w="1630" w:type="dxa"/>
            <w:vAlign w:val="bottom"/>
            <w:shd w:val="clear" w:color="auto" w:fill="004054"/>
          </w:tcPr>
          <w:p>
            <w:pPr>
              <w:spacing w:after="0"/>
              <w:rPr>
                <w:sz w:val="16"/>
                <w:szCs w:val="16"/>
                <w:color w:val="auto"/>
              </w:rPr>
            </w:pP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635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635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-161925</wp:posOffset>
            </wp:positionV>
            <wp:extent cx="31203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340" w:type="dxa"/>
            <w:vAlign w:val="bottom"/>
          </w:tcPr>
          <w:p>
            <w:pPr>
              <w:ind w:left="20"/>
              <w:spacing w:after="0"/>
              <w:rPr>
                <w:sz w:val="20"/>
                <w:szCs w:val="20"/>
                <w:color w:val="auto"/>
              </w:rPr>
            </w:pPr>
            <w:r>
              <w:rPr>
                <w:rFonts w:ascii="Calibri" w:cs="Calibri" w:eastAsia="Calibri" w:hAnsi="Calibri"/>
                <w:sz w:val="18"/>
                <w:szCs w:val="18"/>
                <w:color w:val="51555C"/>
              </w:rPr>
              <w:t>Interest income</w:t>
            </w:r>
          </w:p>
        </w:tc>
        <w:tc>
          <w:tcPr>
            <w:tcW w:w="600" w:type="dxa"/>
            <w:vAlign w:val="bottom"/>
          </w:tcPr>
          <w:p>
            <w:pPr>
              <w:jc w:val="right"/>
              <w:ind w:right="410"/>
              <w:spacing w:after="0"/>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9,846</w:t>
            </w:r>
          </w:p>
        </w:tc>
        <w:tc>
          <w:tcPr>
            <w:tcW w:w="38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1280" w:type="dxa"/>
            <w:vAlign w:val="bottom"/>
          </w:tcPr>
          <w:p>
            <w:pPr>
              <w:jc w:val="right"/>
              <w:spacing w:after="0"/>
              <w:rPr>
                <w:sz w:val="20"/>
                <w:szCs w:val="20"/>
                <w:color w:val="auto"/>
              </w:rPr>
            </w:pPr>
            <w:r>
              <w:rPr>
                <w:rFonts w:ascii="Calibri" w:cs="Calibri" w:eastAsia="Calibri" w:hAnsi="Calibri"/>
                <w:sz w:val="18"/>
                <w:szCs w:val="18"/>
                <w:color w:val="51555C"/>
              </w:rPr>
              <w:t>8,821</w:t>
            </w:r>
          </w:p>
        </w:tc>
        <w:tc>
          <w:tcPr>
            <w:tcW w:w="640" w:type="dxa"/>
            <w:vAlign w:val="bottom"/>
          </w:tcPr>
          <w:p>
            <w:pPr>
              <w:jc w:val="right"/>
              <w:ind w:right="430"/>
              <w:spacing w:after="0"/>
              <w:rPr>
                <w:sz w:val="20"/>
                <w:szCs w:val="20"/>
                <w:color w:val="auto"/>
              </w:rPr>
            </w:pPr>
            <w:r>
              <w:rPr>
                <w:rFonts w:ascii="Calibri" w:cs="Calibri" w:eastAsia="Calibri" w:hAnsi="Calibri"/>
                <w:sz w:val="18"/>
                <w:szCs w:val="18"/>
                <w:color w:val="51555C"/>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1,746</w:t>
            </w:r>
          </w:p>
        </w:tc>
      </w:tr>
      <w:tr>
        <w:trPr>
          <w:trHeight w:val="270"/>
        </w:trPr>
        <w:tc>
          <w:tcPr>
            <w:tcW w:w="6340" w:type="dxa"/>
            <w:vAlign w:val="bottom"/>
          </w:tcPr>
          <w:p>
            <w:pPr>
              <w:ind w:left="20"/>
              <w:spacing w:after="0"/>
              <w:rPr>
                <w:sz w:val="20"/>
                <w:szCs w:val="20"/>
                <w:color w:val="auto"/>
              </w:rPr>
            </w:pPr>
            <w:r>
              <w:rPr>
                <w:rFonts w:ascii="Calibri" w:cs="Calibri" w:eastAsia="Calibri" w:hAnsi="Calibri"/>
                <w:sz w:val="18"/>
                <w:szCs w:val="18"/>
                <w:color w:val="51555C"/>
              </w:rPr>
              <w:t>Currency revaluaton gains (losses)</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487</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Calibri" w:cs="Calibri" w:eastAsia="Calibri" w:hAnsi="Calibri"/>
                <w:sz w:val="18"/>
                <w:szCs w:val="18"/>
                <w:color w:val="51555C"/>
              </w:rPr>
              <w:t>(36)</w:t>
            </w:r>
          </w:p>
        </w:tc>
        <w:tc>
          <w:tcPr>
            <w:tcW w:w="6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4,635</w:t>
            </w:r>
          </w:p>
        </w:tc>
      </w:tr>
      <w:tr>
        <w:trPr>
          <w:trHeight w:val="50"/>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income, net</w:t>
            </w:r>
          </w:p>
        </w:tc>
        <w:tc>
          <w:tcPr>
            <w:tcW w:w="60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4,216</w:t>
            </w:r>
          </w:p>
        </w:tc>
        <w:tc>
          <w:tcPr>
            <w:tcW w:w="38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4,076</w:t>
            </w:r>
          </w:p>
        </w:tc>
        <w:tc>
          <w:tcPr>
            <w:tcW w:w="64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2,332</w:t>
            </w:r>
          </w:p>
        </w:tc>
      </w:tr>
      <w:tr>
        <w:trPr>
          <w:trHeight w:val="213"/>
        </w:trPr>
        <w:tc>
          <w:tcPr>
            <w:tcW w:w="6340" w:type="dxa"/>
            <w:vAlign w:val="bottom"/>
          </w:tcPr>
          <w:p>
            <w:pPr>
              <w:ind w:left="140"/>
              <w:spacing w:after="0" w:line="199" w:lineRule="exact"/>
              <w:rPr>
                <w:sz w:val="20"/>
                <w:szCs w:val="20"/>
                <w:color w:val="auto"/>
              </w:rPr>
            </w:pPr>
            <w:r>
              <w:rPr>
                <w:rFonts w:ascii="Calibri" w:cs="Calibri" w:eastAsia="Calibri" w:hAnsi="Calibri"/>
                <w:sz w:val="18"/>
                <w:szCs w:val="18"/>
                <w:color w:val="51555C"/>
              </w:rPr>
              <w:t>Other income, net</w:t>
            </w:r>
          </w:p>
        </w:tc>
        <w:tc>
          <w:tcPr>
            <w:tcW w:w="600" w:type="dxa"/>
            <w:vAlign w:val="bottom"/>
            <w:tcBorders>
              <w:top w:val="single" w:sz="8" w:color="51555C"/>
            </w:tcBorders>
          </w:tcPr>
          <w:p>
            <w:pPr>
              <w:jc w:val="right"/>
              <w:ind w:right="410"/>
              <w:spacing w:after="0" w:line="213" w:lineRule="exact"/>
              <w:rPr>
                <w:sz w:val="20"/>
                <w:szCs w:val="20"/>
                <w:color w:val="auto"/>
              </w:rPr>
            </w:pPr>
            <w:r>
              <w:rPr>
                <w:rFonts w:ascii="Calibri" w:cs="Calibri" w:eastAsia="Calibri" w:hAnsi="Calibri"/>
                <w:sz w:val="18"/>
                <w:szCs w:val="18"/>
                <w:color w:val="51555C"/>
                <w:w w:val="87"/>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14,549</w:t>
            </w:r>
          </w:p>
        </w:tc>
        <w:tc>
          <w:tcPr>
            <w:tcW w:w="38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2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12,861</w:t>
            </w:r>
          </w:p>
        </w:tc>
        <w:tc>
          <w:tcPr>
            <w:tcW w:w="640" w:type="dxa"/>
            <w:vAlign w:val="bottom"/>
            <w:tcBorders>
              <w:top w:val="single" w:sz="8" w:color="51555C"/>
            </w:tcBorders>
          </w:tcPr>
          <w:p>
            <w:pPr>
              <w:jc w:val="right"/>
              <w:ind w:right="430"/>
              <w:spacing w:after="0" w:line="213" w:lineRule="exact"/>
              <w:rPr>
                <w:sz w:val="20"/>
                <w:szCs w:val="20"/>
                <w:color w:val="auto"/>
              </w:rPr>
            </w:pPr>
            <w:r>
              <w:rPr>
                <w:rFonts w:ascii="Calibri" w:cs="Calibri" w:eastAsia="Calibri" w:hAnsi="Calibri"/>
                <w:sz w:val="18"/>
                <w:szCs w:val="18"/>
                <w:color w:val="51555C"/>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8,713</w:t>
            </w:r>
          </w:p>
        </w:tc>
      </w:tr>
      <w:tr>
        <w:trPr>
          <w:trHeight w:val="50"/>
        </w:trPr>
        <w:tc>
          <w:tcPr>
            <w:tcW w:w="6340" w:type="dxa"/>
            <w:vAlign w:val="bottom"/>
            <w:tcBorders>
              <w:bottom w:val="single" w:sz="8" w:color="0CD973"/>
            </w:tcBorders>
          </w:tcPr>
          <w:p>
            <w:pPr>
              <w:spacing w:after="0"/>
              <w:rPr>
                <w:sz w:val="4"/>
                <w:szCs w:val="4"/>
                <w:color w:val="auto"/>
              </w:rPr>
            </w:pPr>
          </w:p>
        </w:tc>
        <w:tc>
          <w:tcPr>
            <w:tcW w:w="60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c>
          <w:tcPr>
            <w:tcW w:w="380" w:type="dxa"/>
            <w:vAlign w:val="bottom"/>
            <w:tcBorders>
              <w:bottom w:val="single" w:sz="8" w:color="0CD973"/>
            </w:tcBorders>
          </w:tcPr>
          <w:p>
            <w:pPr>
              <w:spacing w:after="0"/>
              <w:rPr>
                <w:sz w:val="4"/>
                <w:szCs w:val="4"/>
                <w:color w:val="auto"/>
              </w:rPr>
            </w:pPr>
          </w:p>
        </w:tc>
        <w:tc>
          <w:tcPr>
            <w:tcW w:w="1280" w:type="dxa"/>
            <w:vAlign w:val="bottom"/>
            <w:tcBorders>
              <w:bottom w:val="single" w:sz="8" w:color="0CD973"/>
            </w:tcBorders>
          </w:tcPr>
          <w:p>
            <w:pPr>
              <w:spacing w:after="0"/>
              <w:rPr>
                <w:sz w:val="4"/>
                <w:szCs w:val="4"/>
                <w:color w:val="auto"/>
              </w:rPr>
            </w:pPr>
          </w:p>
        </w:tc>
        <w:tc>
          <w:tcPr>
            <w:tcW w:w="64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r>
      <w:tr>
        <w:trPr>
          <w:trHeight w:val="662"/>
        </w:trPr>
        <w:tc>
          <w:tcPr>
            <w:tcW w:w="6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Calibri" w:cs="Calibri" w:eastAsia="Calibri" w:hAnsi="Calibri"/>
                <w:sz w:val="14"/>
                <w:szCs w:val="14"/>
                <w:color w:val="51555C"/>
              </w:rPr>
              <w:t>2024 Form 10-K</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89</w:t>
            </w:r>
          </w:p>
        </w:tc>
      </w:tr>
      <w:tr>
        <w:trPr>
          <w:trHeight w:val="351"/>
        </w:trPr>
        <w:tc>
          <w:tcPr>
            <w:tcW w:w="6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following table summarizes our debt balances and the related weighted average efectve interest rates, which includes the efect of interest rate swap agreements.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1140" w:type="dxa"/>
            <w:vAlign w:val="bottom"/>
            <w:shd w:val="clear" w:color="auto" w:fill="004054"/>
          </w:tcPr>
          <w:p>
            <w:pPr>
              <w:spacing w:after="0"/>
              <w:rPr>
                <w:sz w:val="15"/>
                <w:szCs w:val="15"/>
                <w:color w:val="auto"/>
              </w:rPr>
            </w:pPr>
          </w:p>
        </w:tc>
        <w:tc>
          <w:tcPr>
            <w:tcW w:w="320" w:type="dxa"/>
            <w:vAlign w:val="bottom"/>
            <w:shd w:val="clear" w:color="auto" w:fill="004054"/>
          </w:tcPr>
          <w:p>
            <w:pPr>
              <w:spacing w:after="0"/>
              <w:rPr>
                <w:sz w:val="15"/>
                <w:szCs w:val="15"/>
                <w:color w:val="auto"/>
              </w:rPr>
            </w:pPr>
          </w:p>
        </w:tc>
        <w:tc>
          <w:tcPr>
            <w:tcW w:w="1180" w:type="dxa"/>
            <w:vAlign w:val="bottom"/>
            <w:shd w:val="clear" w:color="auto" w:fill="004054"/>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shd w:val="clear" w:color="auto" w:fill="004054"/>
          </w:tcPr>
          <w:p>
            <w:pPr>
              <w:spacing w:after="0"/>
              <w:rPr>
                <w:sz w:val="15"/>
                <w:szCs w:val="15"/>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 average</w:t>
            </w:r>
          </w:p>
        </w:tc>
        <w:tc>
          <w:tcPr>
            <w:tcW w:w="20" w:type="dxa"/>
            <w:vAlign w:val="bottom"/>
            <w:shd w:val="clear" w:color="auto" w:fill="004054"/>
          </w:tcPr>
          <w:p>
            <w:pPr>
              <w:spacing w:after="0"/>
              <w:rPr>
                <w:sz w:val="15"/>
                <w:szCs w:val="15"/>
                <w:color w:val="auto"/>
              </w:rPr>
            </w:pPr>
          </w:p>
        </w:tc>
      </w:tr>
      <w:tr>
        <w:trPr>
          <w:trHeight w:val="183"/>
        </w:trPr>
        <w:tc>
          <w:tcPr>
            <w:tcW w:w="484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1140" w:type="dxa"/>
            <w:vAlign w:val="bottom"/>
            <w:shd w:val="clear" w:color="auto" w:fill="004054"/>
          </w:tcPr>
          <w:p>
            <w:pPr>
              <w:spacing w:after="0"/>
              <w:rPr>
                <w:sz w:val="15"/>
                <w:szCs w:val="15"/>
                <w:color w:val="auto"/>
              </w:rPr>
            </w:pPr>
          </w:p>
        </w:tc>
        <w:tc>
          <w:tcPr>
            <w:tcW w:w="32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Debt balance at</w:t>
            </w:r>
          </w:p>
        </w:tc>
        <w:tc>
          <w:tcPr>
            <w:tcW w:w="100" w:type="dxa"/>
            <w:vAlign w:val="bottom"/>
          </w:tcPr>
          <w:p>
            <w:pPr>
              <w:spacing w:after="0"/>
              <w:rPr>
                <w:sz w:val="15"/>
                <w:szCs w:val="15"/>
                <w:color w:val="auto"/>
              </w:rPr>
            </w:pPr>
          </w:p>
        </w:tc>
        <w:tc>
          <w:tcPr>
            <w:tcW w:w="1620" w:type="dxa"/>
            <w:vAlign w:val="bottom"/>
            <w:shd w:val="clear" w:color="auto" w:fill="004054"/>
          </w:tcPr>
          <w:p>
            <w:pPr>
              <w:spacing w:after="0"/>
              <w:rPr>
                <w:sz w:val="15"/>
                <w:szCs w:val="15"/>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efectve interest rate at</w:t>
            </w:r>
          </w:p>
        </w:tc>
        <w:tc>
          <w:tcPr>
            <w:tcW w:w="20" w:type="dxa"/>
            <w:vAlign w:val="bottom"/>
            <w:shd w:val="clear" w:color="auto" w:fill="004054"/>
          </w:tcPr>
          <w:p>
            <w:pPr>
              <w:spacing w:after="0"/>
              <w:rPr>
                <w:sz w:val="15"/>
                <w:szCs w:val="15"/>
                <w:color w:val="auto"/>
              </w:rPr>
            </w:pPr>
          </w:p>
        </w:tc>
      </w:tr>
      <w:tr>
        <w:trPr>
          <w:trHeight w:val="235"/>
        </w:trPr>
        <w:tc>
          <w:tcPr>
            <w:tcW w:w="4840" w:type="dxa"/>
            <w:vAlign w:val="bottom"/>
            <w:shd w:val="clear" w:color="auto" w:fill="004054"/>
          </w:tcPr>
          <w:p>
            <w:pPr>
              <w:spacing w:after="0"/>
              <w:rPr>
                <w:sz w:val="20"/>
                <w:szCs w:val="20"/>
                <w:color w:val="auto"/>
              </w:rPr>
            </w:pPr>
          </w:p>
        </w:tc>
        <w:tc>
          <w:tcPr>
            <w:tcW w:w="380" w:type="dxa"/>
            <w:vAlign w:val="bottom"/>
            <w:shd w:val="clear" w:color="auto" w:fill="004054"/>
          </w:tcPr>
          <w:p>
            <w:pPr>
              <w:spacing w:after="0"/>
              <w:rPr>
                <w:sz w:val="20"/>
                <w:szCs w:val="20"/>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320" w:type="dxa"/>
            <w:vAlign w:val="bottom"/>
            <w:shd w:val="clear" w:color="auto" w:fill="004054"/>
          </w:tcPr>
          <w:p>
            <w:pPr>
              <w:spacing w:after="0"/>
              <w:rPr>
                <w:sz w:val="20"/>
                <w:szCs w:val="20"/>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00" w:type="dxa"/>
            <w:vAlign w:val="bottom"/>
          </w:tcPr>
          <w:p>
            <w:pPr>
              <w:spacing w:after="0"/>
              <w:rPr>
                <w:sz w:val="20"/>
                <w:szCs w:val="20"/>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0"/>
                <w:szCs w:val="20"/>
                <w:color w:val="auto"/>
              </w:rPr>
            </w:pPr>
          </w:p>
        </w:tc>
      </w:tr>
      <w:tr>
        <w:trPr>
          <w:trHeight w:val="183"/>
        </w:trPr>
        <w:tc>
          <w:tcPr>
            <w:tcW w:w="48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8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2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00" w:type="dxa"/>
            <w:vAlign w:val="bottom"/>
          </w:tcPr>
          <w:p>
            <w:pPr>
              <w:spacing w:after="0"/>
              <w:rPr>
                <w:sz w:val="15"/>
                <w:szCs w:val="15"/>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r>
      <w:tr>
        <w:trPr>
          <w:trHeight w:val="60"/>
        </w:trPr>
        <w:tc>
          <w:tcPr>
            <w:tcW w:w="4840" w:type="dxa"/>
            <w:vAlign w:val="bottom"/>
            <w:tcBorders>
              <w:bottom w:val="single" w:sz="8" w:color="004054"/>
            </w:tcBorders>
            <w:shd w:val="clear" w:color="auto" w:fill="004054"/>
          </w:tcPr>
          <w:p>
            <w:pPr>
              <w:spacing w:after="0"/>
              <w:rPr>
                <w:sz w:val="5"/>
                <w:szCs w:val="5"/>
                <w:color w:val="auto"/>
              </w:rPr>
            </w:pPr>
          </w:p>
        </w:tc>
        <w:tc>
          <w:tcPr>
            <w:tcW w:w="380" w:type="dxa"/>
            <w:vAlign w:val="bottom"/>
            <w:tcBorders>
              <w:bottom w:val="single" w:sz="8" w:color="004054"/>
            </w:tcBorders>
            <w:shd w:val="clear" w:color="auto" w:fill="004054"/>
          </w:tcPr>
          <w:p>
            <w:pPr>
              <w:spacing w:after="0"/>
              <w:rPr>
                <w:sz w:val="5"/>
                <w:szCs w:val="5"/>
                <w:color w:val="auto"/>
              </w:rPr>
            </w:pPr>
          </w:p>
        </w:tc>
        <w:tc>
          <w:tcPr>
            <w:tcW w:w="1140" w:type="dxa"/>
            <w:vAlign w:val="bottom"/>
            <w:tcBorders>
              <w:bottom w:val="single" w:sz="8" w:color="004054"/>
            </w:tcBorders>
            <w:shd w:val="clear" w:color="auto" w:fill="004054"/>
          </w:tcPr>
          <w:p>
            <w:pPr>
              <w:spacing w:after="0"/>
              <w:rPr>
                <w:sz w:val="5"/>
                <w:szCs w:val="5"/>
                <w:color w:val="auto"/>
              </w:rPr>
            </w:pPr>
          </w:p>
        </w:tc>
        <w:tc>
          <w:tcPr>
            <w:tcW w:w="320" w:type="dxa"/>
            <w:vAlign w:val="bottom"/>
            <w:tcBorders>
              <w:bottom w:val="single" w:sz="8" w:color="004054"/>
            </w:tcBorders>
            <w:shd w:val="clear" w:color="auto" w:fill="004054"/>
          </w:tcPr>
          <w:p>
            <w:pPr>
              <w:spacing w:after="0"/>
              <w:rPr>
                <w:sz w:val="5"/>
                <w:szCs w:val="5"/>
                <w:color w:val="auto"/>
              </w:rPr>
            </w:pPr>
          </w:p>
        </w:tc>
        <w:tc>
          <w:tcPr>
            <w:tcW w:w="1180" w:type="dxa"/>
            <w:vAlign w:val="bottom"/>
            <w:tcBorders>
              <w:bottom w:val="single" w:sz="8" w:color="004054"/>
            </w:tcBorders>
            <w:shd w:val="clear" w:color="auto" w:fill="004054"/>
          </w:tcPr>
          <w:p>
            <w:pPr>
              <w:spacing w:after="0"/>
              <w:rPr>
                <w:sz w:val="5"/>
                <w:szCs w:val="5"/>
                <w:color w:val="auto"/>
              </w:rPr>
            </w:pPr>
          </w:p>
        </w:tc>
        <w:tc>
          <w:tcPr>
            <w:tcW w:w="100" w:type="dxa"/>
            <w:vAlign w:val="bottom"/>
            <w:tcBorders>
              <w:bottom w:val="single" w:sz="8" w:color="EBFBFF"/>
            </w:tcBorders>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43"/>
        </w:trPr>
        <w:tc>
          <w:tcPr>
            <w:tcW w:w="48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Credit facility:</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840" w:type="dxa"/>
            <w:vAlign w:val="bottom"/>
          </w:tcPr>
          <w:p>
            <w:pPr>
              <w:ind w:left="140"/>
              <w:spacing w:after="0"/>
              <w:rPr>
                <w:sz w:val="20"/>
                <w:szCs w:val="20"/>
                <w:color w:val="auto"/>
              </w:rPr>
            </w:pPr>
            <w:r>
              <w:rPr>
                <w:rFonts w:ascii="Calibri" w:cs="Calibri" w:eastAsia="Calibri" w:hAnsi="Calibri"/>
                <w:sz w:val="18"/>
                <w:szCs w:val="18"/>
                <w:color w:val="51555C"/>
              </w:rPr>
              <w:t>Revolving credit loans</w:t>
            </w:r>
          </w:p>
        </w:tc>
        <w:tc>
          <w:tcPr>
            <w:tcW w:w="380" w:type="dxa"/>
            <w:vAlign w:val="bottom"/>
          </w:tcPr>
          <w:p>
            <w:pPr>
              <w:jc w:val="right"/>
              <w:ind w:right="170"/>
              <w:spacing w:after="0"/>
              <w:rPr>
                <w:sz w:val="20"/>
                <w:szCs w:val="20"/>
                <w:color w:val="auto"/>
              </w:rPr>
            </w:pPr>
            <w:r>
              <w:rPr>
                <w:rFonts w:ascii="Calibri" w:cs="Calibri" w:eastAsia="Calibri" w:hAnsi="Calibri"/>
                <w:sz w:val="18"/>
                <w:szCs w:val="18"/>
                <w:color w:val="51555C"/>
              </w:rPr>
              <w:t>$</w:t>
            </w: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229,900</w:t>
            </w: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51555C"/>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114,100</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6.37 %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7.52 %</w:t>
            </w:r>
          </w:p>
        </w:tc>
        <w:tc>
          <w:tcPr>
            <w:tcW w:w="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8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Term loans</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790,000</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607,500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5.59 %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3.51 %</w:t>
            </w:r>
          </w:p>
        </w:tc>
        <w:tc>
          <w:tcPr>
            <w:tcW w:w="20" w:type="dxa"/>
            <w:vAlign w:val="bottom"/>
          </w:tcPr>
          <w:p>
            <w:pPr>
              <w:spacing w:after="0"/>
              <w:rPr>
                <w:sz w:val="21"/>
                <w:szCs w:val="21"/>
                <w:color w:val="auto"/>
              </w:rPr>
            </w:pPr>
          </w:p>
        </w:tc>
      </w:tr>
      <w:tr>
        <w:trPr>
          <w:trHeight w:val="220"/>
        </w:trPr>
        <w:tc>
          <w:tcPr>
            <w:tcW w:w="4840" w:type="dxa"/>
            <w:vAlign w:val="bottom"/>
          </w:tcPr>
          <w:p>
            <w:pPr>
              <w:ind w:left="20"/>
              <w:spacing w:after="0"/>
              <w:rPr>
                <w:sz w:val="20"/>
                <w:szCs w:val="20"/>
                <w:color w:val="auto"/>
              </w:rPr>
            </w:pPr>
            <w:r>
              <w:rPr>
                <w:rFonts w:ascii="Calibri" w:cs="Calibri" w:eastAsia="Calibri" w:hAnsi="Calibri"/>
                <w:sz w:val="18"/>
                <w:szCs w:val="18"/>
                <w:color w:val="51555C"/>
              </w:rPr>
              <w:t>Real estate loans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55,135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56,745</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5.23 %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5.22 %</w:t>
            </w:r>
          </w:p>
        </w:tc>
        <w:tc>
          <w:tcPr>
            <w:tcW w:w="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debt</w:t>
            </w:r>
          </w:p>
        </w:tc>
        <w:tc>
          <w:tcPr>
            <w:tcW w:w="38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2,783</w:t>
            </w:r>
          </w:p>
        </w:tc>
        <w:tc>
          <w:tcPr>
            <w:tcW w:w="32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2,800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8.77 %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8.42 %</w:t>
            </w:r>
          </w:p>
        </w:tc>
        <w:tc>
          <w:tcPr>
            <w:tcW w:w="20" w:type="dxa"/>
            <w:vAlign w:val="bottom"/>
          </w:tcPr>
          <w:p>
            <w:pPr>
              <w:spacing w:after="0"/>
              <w:rPr>
                <w:sz w:val="23"/>
                <w:szCs w:val="23"/>
                <w:color w:val="auto"/>
              </w:rPr>
            </w:pPr>
          </w:p>
        </w:tc>
      </w:tr>
      <w:tr>
        <w:trPr>
          <w:trHeight w:val="213"/>
        </w:trPr>
        <w:tc>
          <w:tcPr>
            <w:tcW w:w="484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debt</w:t>
            </w:r>
          </w:p>
        </w:tc>
        <w:tc>
          <w:tcPr>
            <w:tcW w:w="380" w:type="dxa"/>
            <w:vAlign w:val="bottom"/>
            <w:tcBorders>
              <w:top w:val="single" w:sz="8" w:color="51555C"/>
            </w:tcBorders>
          </w:tcPr>
          <w:p>
            <w:pPr>
              <w:spacing w:after="0"/>
              <w:rPr>
                <w:sz w:val="18"/>
                <w:szCs w:val="18"/>
                <w:color w:val="auto"/>
              </w:rPr>
            </w:pPr>
          </w:p>
        </w:tc>
        <w:tc>
          <w:tcPr>
            <w:tcW w:w="11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1,077,818</w:t>
            </w:r>
          </w:p>
        </w:tc>
        <w:tc>
          <w:tcPr>
            <w:tcW w:w="32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781,145</w:t>
            </w:r>
          </w:p>
        </w:tc>
        <w:tc>
          <w:tcPr>
            <w:tcW w:w="100" w:type="dxa"/>
            <w:vAlign w:val="bottom"/>
          </w:tcPr>
          <w:p>
            <w:pPr>
              <w:spacing w:after="0"/>
              <w:rPr>
                <w:sz w:val="18"/>
                <w:szCs w:val="18"/>
                <w:color w:val="auto"/>
              </w:rPr>
            </w:pP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5.75 %</w:t>
            </w: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4.24 %</w:t>
            </w:r>
          </w:p>
        </w:tc>
        <w:tc>
          <w:tcPr>
            <w:tcW w:w="20" w:type="dxa"/>
            <w:vAlign w:val="bottom"/>
          </w:tcPr>
          <w:p>
            <w:pPr>
              <w:spacing w:after="0"/>
              <w:rPr>
                <w:sz w:val="18"/>
                <w:szCs w:val="18"/>
                <w:color w:val="auto"/>
              </w:rPr>
            </w:pPr>
          </w:p>
        </w:tc>
      </w:tr>
      <w:tr>
        <w:trPr>
          <w:trHeight w:val="50"/>
        </w:trPr>
        <w:tc>
          <w:tcPr>
            <w:tcW w:w="4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8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Unamortzed discount and debt issuance costs</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2,833</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1,481</w:t>
            </w: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840" w:type="dxa"/>
            <w:vAlign w:val="bottom"/>
          </w:tcPr>
          <w:p>
            <w:pPr>
              <w:ind w:left="20"/>
              <w:spacing w:after="0"/>
              <w:rPr>
                <w:sz w:val="20"/>
                <w:szCs w:val="20"/>
                <w:color w:val="auto"/>
              </w:rPr>
            </w:pPr>
            <w:r>
              <w:rPr>
                <w:rFonts w:ascii="Calibri" w:cs="Calibri" w:eastAsia="Calibri" w:hAnsi="Calibri"/>
                <w:sz w:val="18"/>
                <w:szCs w:val="18"/>
                <w:color w:val="51555C"/>
              </w:rPr>
              <w:t>Less: Debt, current porton</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23,875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19,259</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6.21 %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7.02 %</w:t>
            </w:r>
          </w:p>
        </w:tc>
        <w:tc>
          <w:tcPr>
            <w:tcW w:w="20" w:type="dxa"/>
            <w:vAlign w:val="bottom"/>
          </w:tcPr>
          <w:p>
            <w:pPr>
              <w:spacing w:after="0"/>
              <w:rPr>
                <w:sz w:val="19"/>
                <w:szCs w:val="19"/>
                <w:color w:val="auto"/>
              </w:rPr>
            </w:pPr>
          </w:p>
        </w:tc>
      </w:tr>
      <w:tr>
        <w:trPr>
          <w:trHeight w:val="50"/>
        </w:trPr>
        <w:tc>
          <w:tcPr>
            <w:tcW w:w="484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484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Debt, net of current porton</w:t>
            </w:r>
          </w:p>
        </w:tc>
        <w:tc>
          <w:tcPr>
            <w:tcW w:w="380" w:type="dxa"/>
            <w:vAlign w:val="bottom"/>
            <w:tcBorders>
              <w:bottom w:val="single" w:sz="8" w:color="EBFBFF"/>
            </w:tcBorders>
            <w:shd w:val="clear" w:color="auto" w:fill="EBFBFF"/>
          </w:tcPr>
          <w:p>
            <w:pPr>
              <w:jc w:val="right"/>
              <w:ind w:right="170"/>
              <w:spacing w:after="0" w:line="213" w:lineRule="exact"/>
              <w:rPr>
                <w:sz w:val="20"/>
                <w:szCs w:val="20"/>
                <w:color w:val="auto"/>
              </w:rPr>
            </w:pPr>
            <w:r>
              <w:rPr>
                <w:rFonts w:ascii="Calibri" w:cs="Calibri" w:eastAsia="Calibri" w:hAnsi="Calibri"/>
                <w:sz w:val="18"/>
                <w:szCs w:val="18"/>
                <w:color w:val="51555C"/>
              </w:rPr>
              <w:t>$</w:t>
            </w:r>
          </w:p>
        </w:tc>
        <w:tc>
          <w:tcPr>
            <w:tcW w:w="11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1,051,110</w:t>
            </w:r>
          </w:p>
        </w:tc>
        <w:tc>
          <w:tcPr>
            <w:tcW w:w="320" w:type="dxa"/>
            <w:vAlign w:val="bottom"/>
            <w:tcBorders>
              <w:bottom w:val="single" w:sz="8" w:color="EBFBFF"/>
            </w:tcBorders>
            <w:shd w:val="clear" w:color="auto" w:fill="EBFBFF"/>
          </w:tcPr>
          <w:p>
            <w:pPr>
              <w:jc w:val="right"/>
              <w:ind w:right="13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760,405</w:t>
            </w:r>
          </w:p>
        </w:tc>
        <w:tc>
          <w:tcPr>
            <w:tcW w:w="1720" w:type="dxa"/>
            <w:vAlign w:val="bottom"/>
            <w:tcBorders>
              <w:bottom w:val="single" w:sz="8" w:color="EBFBFF"/>
            </w:tcBorders>
            <w:gridSpan w:val="2"/>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5.73 %</w:t>
            </w:r>
          </w:p>
        </w:tc>
        <w:tc>
          <w:tcPr>
            <w:tcW w:w="16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4.17 %</w:t>
            </w:r>
          </w:p>
        </w:tc>
        <w:tc>
          <w:tcPr>
            <w:tcW w:w="20" w:type="dxa"/>
            <w:vAlign w:val="bottom"/>
          </w:tcPr>
          <w:p>
            <w:pPr>
              <w:spacing w:after="0"/>
              <w:rPr>
                <w:sz w:val="21"/>
                <w:szCs w:val="21"/>
                <w:color w:val="auto"/>
              </w:rPr>
            </w:pPr>
          </w:p>
        </w:tc>
      </w:tr>
      <w:tr>
        <w:trPr>
          <w:trHeight w:val="20"/>
        </w:trPr>
        <w:tc>
          <w:tcPr>
            <w:tcW w:w="484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-1842770</wp:posOffset>
            </wp:positionV>
            <wp:extent cx="40462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2024 refnancing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April 30, 2024, we entered into the Third Amendment to Credit Agreement (the "Amendment"), by and among us, the lenders party thereto and Bank of America N.A., as administratve agent (the "Agent"). The Amendment amends the Amended and Restated Credit Agreement, dated as of October 30, 2020 (as previously amended, the "2020 Credit Agreement" and the 2020 Credit Agreement as amended by the Amendment, the “2024 Credit Agreement”), by and among us, the lenders from tme-to-tme party thereto and the Agent.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Amendment amends the 2020 Credit Agreement to, among other things, (a) refnance the existng $1.1 billion credit facilites under the 2020 Credit Agreement to provide for new credit facilites in the aggregate principal amount of $1.5 billion consistng of (i) a $700.0 million revolving credit facility (the “2024 Revolving Facility”) and (ii) a $800.0 million term loan facility (the “2024 Term Facility” and together with the 2024 Revolving Facility, the “2024 Credit Facilites”), (b) extend the maturity date to April 30, 2029, (c) modify the defniton of Applicable Margin (as defned below) and (iv) modify certain negatve and fnancial covenants to provide additonal operatonal fexibility. Upon closing, we borrowed $800.0 million pursuant to the 2024 Term Facility and $208.2 million pursuant to the 2024 Revolving Facility and used the proceeds to repay the outstanding principal balances of the term loans under the 2020 Credit Agreement (the "2020 Term Facilites"), and repay $196.6 million of outstanding revolving credit loans under the 2020 Credit Agreement (the "2020 Revolving Facility").</w:t>
      </w:r>
    </w:p>
    <w:p>
      <w:pPr>
        <w:spacing w:after="0" w:line="16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Certain lenders of the 2024 Term Facility partcipated in the 2020 Term Facilites and the change in present value of our future cash fows to these lenders under the 2020 Term Facilites and under the 2024 Term Facility was less than 10%. Accordingly, we accounted for the refnancing event for these lenders as a debt modifcaton. Certain lenders of the 2020 Term Facilites did not partcipate in the 2024 Term Facility. Accordingly, we accounted for the refnancing event for these lenders as a debt extnguishment. Certain lenders of the 2020 Revolving Facility partcipated in the 2024 Revolving Facility and provided increased borrowing capacites. Accordingly, we accounted for the refnancing event for these lenders as a debt modifcaton. Certain lenders of the 2020 Revolving Facility did not partcipate in the 2024 Revolving Facility. Accordingly, we accounted for the refnancing event for these lenders as a debt extnguishment.</w:t>
      </w:r>
    </w:p>
    <w:p>
      <w:pPr>
        <w:spacing w:after="0" w:line="156"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recorded an insignifcant loss on debt extnguishment related to the write-of of debt discount and deferred fnancing costs for the portons of the 2020 Credit Agreement considered to be extnguished. This loss was recognized in the consolidated statements of comprehensive loss within other income, net.</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our entry into the 2024 Credit Agreement, we paid $6.5 million in fnancing costs, of which $1.6 million were capitalized in other assets and, together with a porton of the unamortzed deferred fnancing costs from the 2020 Credit Agreement and prior agreements, are being amortzed into interest expense over the term of the new facility. As of December 31, 2024, deferred fnancing costs totaling $1.7 million were included in other assets on our consolidated balance sheets. We recorded aggregate fnancing costs of $3.6 million as a direct deducton from the carrying amount of our debt liability, which related to debt discount (fees paid to lenders) and debt issuance costs for the 2024 Term Facility.</w:t>
      </w:r>
    </w:p>
    <w:p>
      <w:pPr>
        <w:spacing w:after="0" w:line="327"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90</w:t>
      </w:r>
      <w:r>
        <w:rPr>
          <w:sz w:val="20"/>
          <w:szCs w:val="20"/>
          <w:color w:val="auto"/>
        </w:rPr>
        <w:tab/>
      </w:r>
      <w:r>
        <w:rPr>
          <w:sz w:val="1"/>
          <w:szCs w:val="1"/>
          <w:color w:val="auto"/>
        </w:rPr>
        <w:drawing>
          <wp:inline distT="0" distB="0" distL="0" distR="0">
            <wp:extent cx="728345" cy="18859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the 2024 Credit Facilites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2024 Revolving Facility includes (i) a $50.0 million leter of credit subfacility, (ii) a $50.0 million swingline subfacility and (iii) a $150.0 million sublimit available for multcurrency borrowings.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2024 Credit Facilites, dollar tranche revolving loans and term loans bear interest at a rate per annum equal to, at the opton of the Company: (a) a base rate equal to the highest of (i) the Federal Funds Rate plus 0.50%, (ii) the prime rate announced by Bank of America, N.A., and (iii) Term SOFR plus 1.00% (the “Base Rate”), plus an applicable margin as specifed in the 2024 Credit Agreement (the “Applicable Margin”); (b) Term SOFR plus the Applicable Margin; or (c) the Daily SOFR Rate plus the Applicable Margin. The Applicable Margin shall be adjusted quarterly, varies based on our net leverage rato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rato.</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2024 Credit Facilites, designated currency tranche revolving loans bear interest at a rate per annum equal to, at the opton of the Company: (a) the Designated Currency Daily Rate (as defned in the 2024 Credit Agreement) plus the Applicable Margin; or (b) the Designated Currency Term Rate (as defned in the 2024 Credit Agreement) plus the Applicable Margin. The Applicable Margin shall be adjusted quarterly and varies based on our net leverage rato for both Designated Currency Daily Rate Loans and Designated Currency Term Rate Loans (1.375% to 2.500%).</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prepay the 2024 Credit Agreement in whole or in part at any tme without premium or penalty, other than customary breakage costs with respect to certain types of loans.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2024 Credit Agreement, we are enttled on one or more occasion, subject to the satsfacton of certain conditons, to request an increase in the commitments under the 2024 Revolving Facility and/or request additonal incremental term loans in the aggregate principal amount of up to the sum of (i) the greater of (A) $360.0 million and (B) 100% of EBITDA (as defned in the 2024 Credit Agreement), plus (ii) at our opton, up to an amount such that the net leverage rato shall be no greater than 3.50 to 1.00. At December 31, 2024, our available borrowing capacity under the 2024 Credit Agreement was $468.7 million.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2024 Credit Agreement contains various representatons, warrantes and afrmatve, negatve and fnancial covenants customary for fnancings of this type. Financial covenants include a net leverage rato and an interest coverage rato. At December 31, 2024, we were in compliance with our debt covenants under the 2024 Credit Facilites.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Real estate loans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August 2020, we completed the purchase of our global headquarters facility. As part of the purchase price, we assumed the Seller’s obligatons under two senior secured notes with a then-aggregate outstanding principal amount of $61.1 million (collectvely, the “Real Estate Loans”). The Real Estate Loans require periodic principal payments and the balance of the Real Estate Loans are due upon maturity in April 2038. At December 31, 2024, we were in compliance with our debt covenants under the Real Estate Loans.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From tme to tme, we enter into third-party fnancing agreements for purchases of sofware and related services for our internal use. Generally, the agreements are non-interest-bearing notes requiring annual payments. Interest associated with the notes is imputed at the rate we would incur for amounts borrowed under our then-existng credit facility at the incepton of the notes. Our assumpton of these loans are noncash fnancing transactons and are refected in our supplemental disclosure of cash fow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222250</wp:posOffset>
            </wp:positionV>
            <wp:extent cx="7289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currently efectve fnancing agreements as of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shd w:val="clear" w:color="auto" w:fill="004054"/>
          </w:tcPr>
          <w:p>
            <w:pPr>
              <w:spacing w:after="0"/>
              <w:rPr>
                <w:sz w:val="16"/>
                <w:szCs w:val="16"/>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Term</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 of</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First Annual</w:t>
            </w:r>
          </w:p>
        </w:tc>
        <w:tc>
          <w:tcPr>
            <w:tcW w:w="4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Original Loan</w:t>
            </w:r>
          </w:p>
        </w:tc>
        <w:tc>
          <w:tcPr>
            <w:tcW w:w="20" w:type="dxa"/>
            <w:vAlign w:val="bottom"/>
            <w:shd w:val="clear" w:color="auto" w:fill="004054"/>
          </w:tcPr>
          <w:p>
            <w:pPr>
              <w:spacing w:after="0"/>
              <w:rPr>
                <w:sz w:val="16"/>
                <w:szCs w:val="16"/>
                <w:color w:val="auto"/>
              </w:rPr>
            </w:pPr>
          </w:p>
        </w:tc>
      </w:tr>
      <w:tr>
        <w:trPr>
          <w:trHeight w:val="170"/>
        </w:trPr>
        <w:tc>
          <w:tcPr>
            <w:tcW w:w="4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Months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 Payments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Payment Due</w:t>
            </w:r>
          </w:p>
        </w:tc>
        <w:tc>
          <w:tcPr>
            <w:tcW w:w="4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Value</w:t>
            </w:r>
          </w:p>
        </w:tc>
        <w:tc>
          <w:tcPr>
            <w:tcW w:w="20" w:type="dxa"/>
            <w:vAlign w:val="bottom"/>
            <w:shd w:val="clear" w:color="auto" w:fill="004054"/>
          </w:tcPr>
          <w:p>
            <w:pPr>
              <w:spacing w:after="0"/>
              <w:rPr>
                <w:sz w:val="14"/>
                <w:szCs w:val="14"/>
                <w:color w:val="auto"/>
              </w:rPr>
            </w:pPr>
          </w:p>
        </w:tc>
      </w:tr>
      <w:tr>
        <w:trPr>
          <w:trHeight w:val="74"/>
        </w:trPr>
        <w:tc>
          <w:tcPr>
            <w:tcW w:w="490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432"/>
        </w:trPr>
        <w:tc>
          <w:tcPr>
            <w:tcW w:w="4900" w:type="dxa"/>
            <w:vAlign w:val="bottom"/>
            <w:shd w:val="clear" w:color="auto" w:fill="EBFBFF"/>
          </w:tcPr>
          <w:p>
            <w:pPr>
              <w:ind w:left="20"/>
              <w:spacing w:after="0"/>
              <w:rPr>
                <w:sz w:val="20"/>
                <w:szCs w:val="20"/>
                <w:color w:val="auto"/>
              </w:rPr>
            </w:pPr>
            <w:r>
              <w:rPr>
                <w:rFonts w:ascii="Calibri" w:cs="Calibri" w:eastAsia="Calibri" w:hAnsi="Calibri"/>
                <w:sz w:val="18"/>
                <w:szCs w:val="18"/>
                <w:b w:val="1"/>
                <w:bCs w:val="1"/>
                <w:color w:val="51555C"/>
              </w:rPr>
              <w:t>Efectve dates of agreements</w:t>
            </w:r>
            <w:r>
              <w:rPr>
                <w:rFonts w:ascii="Calibri" w:cs="Calibri" w:eastAsia="Calibri" w:hAnsi="Calibri"/>
                <w:sz w:val="23"/>
                <w:szCs w:val="23"/>
                <w:b w:val="1"/>
                <w:bCs w:val="1"/>
                <w:color w:val="51555C"/>
                <w:vertAlign w:val="superscript"/>
              </w:rPr>
              <w:t>(1)</w:t>
            </w:r>
            <w:r>
              <w:rPr>
                <w:rFonts w:ascii="Calibri" w:cs="Calibri" w:eastAsia="Calibri" w:hAnsi="Calibri"/>
                <w:sz w:val="18"/>
                <w:szCs w:val="18"/>
                <w:b w:val="1"/>
                <w:bCs w:val="1"/>
                <w:color w:val="51555C"/>
              </w:rPr>
              <w:t>:</w:t>
            </w:r>
          </w:p>
        </w:tc>
        <w:tc>
          <w:tcPr>
            <w:tcW w:w="152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400" w:type="dxa"/>
            <w:vAlign w:val="bottom"/>
            <w:shd w:val="clear" w:color="auto" w:fill="EBFBFF"/>
          </w:tcPr>
          <w:p>
            <w:pPr>
              <w:spacing w:after="0"/>
              <w:rPr>
                <w:sz w:val="24"/>
                <w:szCs w:val="24"/>
                <w:color w:val="auto"/>
              </w:rPr>
            </w:pPr>
          </w:p>
        </w:tc>
        <w:tc>
          <w:tcPr>
            <w:tcW w:w="11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4900" w:type="dxa"/>
            <w:vAlign w:val="bottom"/>
          </w:tcPr>
          <w:p>
            <w:pPr>
              <w:ind w:left="140"/>
              <w:spacing w:after="0"/>
              <w:rPr>
                <w:sz w:val="20"/>
                <w:szCs w:val="20"/>
                <w:color w:val="auto"/>
              </w:rPr>
            </w:pPr>
            <w:r>
              <w:rPr>
                <w:rFonts w:ascii="Calibri" w:cs="Calibri" w:eastAsia="Calibri" w:hAnsi="Calibri"/>
                <w:sz w:val="18"/>
                <w:szCs w:val="18"/>
                <w:color w:val="51555C"/>
              </w:rPr>
              <w:t>December 2022</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39</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January 2023</w:t>
            </w:r>
          </w:p>
        </w:tc>
        <w:tc>
          <w:tcPr>
            <w:tcW w:w="400" w:type="dxa"/>
            <w:vAlign w:val="bottom"/>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1,710</w:t>
            </w:r>
          </w:p>
        </w:tc>
        <w:tc>
          <w:tcPr>
            <w:tcW w:w="20" w:type="dxa"/>
            <w:vAlign w:val="bottom"/>
          </w:tcPr>
          <w:p>
            <w:pPr>
              <w:spacing w:after="0"/>
              <w:rPr>
                <w:sz w:val="19"/>
                <w:szCs w:val="19"/>
                <w:color w:val="auto"/>
              </w:rPr>
            </w:pPr>
          </w:p>
        </w:tc>
      </w:tr>
      <w:tr>
        <w:trPr>
          <w:trHeight w:val="51"/>
        </w:trPr>
        <w:tc>
          <w:tcPr>
            <w:tcW w:w="4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50" w:type="dxa"/>
            <w:vAlign w:val="bottom"/>
          </w:tcPr>
          <w:p>
            <w:pPr>
              <w:spacing w:after="0"/>
              <w:rPr>
                <w:sz w:val="4"/>
                <w:szCs w:val="4"/>
                <w:color w:val="auto"/>
              </w:rPr>
            </w:pPr>
          </w:p>
        </w:tc>
        <w:tc>
          <w:tcPr>
            <w:tcW w:w="165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January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April 2023</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2,491</w:t>
            </w:r>
          </w:p>
        </w:tc>
        <w:tc>
          <w:tcPr>
            <w:tcW w:w="20" w:type="dxa"/>
            <w:vAlign w:val="bottom"/>
          </w:tcPr>
          <w:p>
            <w:pPr>
              <w:spacing w:after="0"/>
              <w:rPr>
                <w:sz w:val="21"/>
                <w:szCs w:val="21"/>
                <w:color w:val="auto"/>
              </w:rPr>
            </w:pPr>
          </w:p>
        </w:tc>
      </w:tr>
      <w:tr>
        <w:trPr>
          <w:trHeight w:val="220"/>
        </w:trPr>
        <w:tc>
          <w:tcPr>
            <w:tcW w:w="4900" w:type="dxa"/>
            <w:vAlign w:val="bottom"/>
          </w:tcPr>
          <w:p>
            <w:pPr>
              <w:ind w:left="140"/>
              <w:spacing w:after="0"/>
              <w:rPr>
                <w:sz w:val="20"/>
                <w:szCs w:val="20"/>
                <w:color w:val="auto"/>
              </w:rPr>
            </w:pPr>
            <w:r>
              <w:rPr>
                <w:rFonts w:ascii="Calibri" w:cs="Calibri" w:eastAsia="Calibri" w:hAnsi="Calibri"/>
                <w:sz w:val="18"/>
                <w:szCs w:val="18"/>
                <w:color w:val="51555C"/>
              </w:rPr>
              <w:t>April 2024</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36</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May 2024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2,073</w:t>
            </w:r>
          </w:p>
        </w:tc>
        <w:tc>
          <w:tcPr>
            <w:tcW w:w="20" w:type="dxa"/>
            <w:vAlign w:val="bottom"/>
          </w:tcPr>
          <w:p>
            <w:pPr>
              <w:spacing w:after="0"/>
              <w:rPr>
                <w:sz w:val="19"/>
                <w:szCs w:val="19"/>
                <w:color w:val="auto"/>
              </w:rPr>
            </w:pPr>
          </w:p>
        </w:tc>
      </w:tr>
      <w:tr>
        <w:trPr>
          <w:trHeight w:val="50"/>
        </w:trPr>
        <w:tc>
          <w:tcPr>
            <w:tcW w:w="4900" w:type="dxa"/>
            <w:vAlign w:val="bottom"/>
            <w:tcBorders>
              <w:bottom w:val="single" w:sz="8" w:color="0CD973"/>
            </w:tcBorders>
          </w:tcPr>
          <w:p>
            <w:pPr>
              <w:spacing w:after="0"/>
              <w:rPr>
                <w:sz w:val="4"/>
                <w:szCs w:val="4"/>
                <w:color w:val="auto"/>
              </w:rPr>
            </w:pPr>
          </w:p>
        </w:tc>
        <w:tc>
          <w:tcPr>
            <w:tcW w:w="1520" w:type="dxa"/>
            <w:vAlign w:val="bottom"/>
            <w:tcBorders>
              <w:bottom w:val="single" w:sz="8" w:color="0CD973"/>
            </w:tcBorders>
          </w:tcPr>
          <w:p>
            <w:pPr>
              <w:spacing w:after="0"/>
              <w:rPr>
                <w:sz w:val="4"/>
                <w:szCs w:val="4"/>
                <w:color w:val="auto"/>
              </w:rPr>
            </w:pPr>
          </w:p>
        </w:tc>
        <w:tc>
          <w:tcPr>
            <w:tcW w:w="1650" w:type="dxa"/>
            <w:vAlign w:val="bottom"/>
            <w:tcBorders>
              <w:bottom w:val="single" w:sz="8" w:color="0CD973"/>
            </w:tcBorders>
          </w:tcPr>
          <w:p>
            <w:pPr>
              <w:spacing w:after="0"/>
              <w:rPr>
                <w:sz w:val="4"/>
                <w:szCs w:val="4"/>
                <w:color w:val="auto"/>
              </w:rPr>
            </w:pPr>
          </w:p>
        </w:tc>
        <w:tc>
          <w:tcPr>
            <w:tcW w:w="1650" w:type="dxa"/>
            <w:vAlign w:val="bottom"/>
            <w:tcBorders>
              <w:bottom w:val="single" w:sz="8" w:color="0CD973"/>
            </w:tcBorders>
          </w:tcPr>
          <w:p>
            <w:pPr>
              <w:spacing w:after="0"/>
              <w:rPr>
                <w:sz w:val="4"/>
                <w:szCs w:val="4"/>
                <w:color w:val="auto"/>
              </w:rPr>
            </w:pPr>
          </w:p>
        </w:tc>
        <w:tc>
          <w:tcPr>
            <w:tcW w:w="400" w:type="dxa"/>
            <w:vAlign w:val="bottom"/>
            <w:tcBorders>
              <w:bottom w:val="single" w:sz="8" w:color="0CD973"/>
            </w:tcBorders>
          </w:tcPr>
          <w:p>
            <w:pPr>
              <w:spacing w:after="0"/>
              <w:rPr>
                <w:sz w:val="4"/>
                <w:szCs w:val="4"/>
                <w:color w:val="auto"/>
              </w:rPr>
            </w:pPr>
          </w:p>
        </w:tc>
        <w:tc>
          <w:tcPr>
            <w:tcW w:w="112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52" w:lineRule="exact"/>
        <w:rPr>
          <w:sz w:val="20"/>
          <w:szCs w:val="20"/>
          <w:color w:val="auto"/>
        </w:rPr>
      </w:pPr>
    </w:p>
    <w:p>
      <w:pPr>
        <w:ind w:left="340" w:hanging="332"/>
        <w:spacing w:after="0"/>
        <w:tabs>
          <w:tab w:leader="none" w:pos="340" w:val="left"/>
        </w:tabs>
        <w:numPr>
          <w:ilvl w:val="0"/>
          <w:numId w:val="51"/>
        </w:numPr>
        <w:rPr>
          <w:rFonts w:ascii="Calibri" w:cs="Calibri" w:eastAsia="Calibri" w:hAnsi="Calibri"/>
          <w:sz w:val="14"/>
          <w:szCs w:val="14"/>
          <w:color w:val="51555C"/>
        </w:rPr>
      </w:pPr>
      <w:r>
        <w:rPr>
          <w:rFonts w:ascii="Calibri" w:cs="Calibri" w:eastAsia="Calibri" w:hAnsi="Calibri"/>
          <w:sz w:val="14"/>
          <w:szCs w:val="14"/>
          <w:color w:val="51555C"/>
        </w:rPr>
        <w:t>Represent noncash investng and fnancing transactons during the periods indicated as we purchased sofware and services by assuming directly related liabilites.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supplier fnancing obligatons during the years ended December 31, 2024,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40" w:type="dxa"/>
            <w:vAlign w:val="bottom"/>
            <w:shd w:val="clear" w:color="auto" w:fill="004054"/>
          </w:tcPr>
          <w:p>
            <w:pPr>
              <w:spacing w:after="0"/>
              <w:rPr>
                <w:sz w:val="16"/>
                <w:szCs w:val="16"/>
                <w:color w:val="auto"/>
              </w:rPr>
            </w:pPr>
          </w:p>
        </w:tc>
        <w:tc>
          <w:tcPr>
            <w:tcW w:w="980" w:type="dxa"/>
            <w:vAlign w:val="bottom"/>
            <w:shd w:val="clear" w:color="auto" w:fill="004054"/>
          </w:tcPr>
          <w:p>
            <w:pPr>
              <w:ind w:left="680"/>
              <w:spacing w:after="0"/>
              <w:rPr>
                <w:sz w:val="20"/>
                <w:szCs w:val="20"/>
                <w:color w:val="auto"/>
              </w:rPr>
            </w:pPr>
            <w:r>
              <w:rPr>
                <w:rFonts w:ascii="Calibri" w:cs="Calibri" w:eastAsia="Calibri" w:hAnsi="Calibri"/>
                <w:sz w:val="14"/>
                <w:szCs w:val="14"/>
                <w:b w:val="1"/>
                <w:bCs w:val="1"/>
                <w:color w:val="FFFFFF"/>
                <w:w w:val="94"/>
              </w:rPr>
              <w:t>Total</w:t>
            </w:r>
          </w:p>
        </w:tc>
        <w:tc>
          <w:tcPr>
            <w:tcW w:w="20" w:type="dxa"/>
            <w:vAlign w:val="bottom"/>
            <w:shd w:val="clear" w:color="auto" w:fill="004054"/>
          </w:tcPr>
          <w:p>
            <w:pPr>
              <w:spacing w:after="0"/>
              <w:rPr>
                <w:sz w:val="16"/>
                <w:szCs w:val="16"/>
                <w:color w:val="auto"/>
              </w:rPr>
            </w:pPr>
          </w:p>
        </w:tc>
      </w:tr>
      <w:tr>
        <w:trPr>
          <w:trHeight w:val="67"/>
        </w:trPr>
        <w:tc>
          <w:tcPr>
            <w:tcW w:w="972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Balance at December 31, 2023</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center"/>
              <w:ind w:left="374"/>
              <w:spacing w:after="0"/>
              <w:rPr>
                <w:sz w:val="20"/>
                <w:szCs w:val="20"/>
                <w:color w:val="auto"/>
              </w:rPr>
            </w:pPr>
            <w:r>
              <w:rPr>
                <w:rFonts w:ascii="Calibri" w:cs="Calibri" w:eastAsia="Calibri" w:hAnsi="Calibri"/>
                <w:sz w:val="18"/>
                <w:szCs w:val="18"/>
                <w:color w:val="51555C"/>
                <w:w w:val="97"/>
              </w:rPr>
              <w:t>2,800</w:t>
            </w:r>
          </w:p>
        </w:tc>
        <w:tc>
          <w:tcPr>
            <w:tcW w:w="20" w:type="dxa"/>
            <w:vAlign w:val="bottom"/>
          </w:tcPr>
          <w:p>
            <w:pPr>
              <w:spacing w:after="0"/>
              <w:rPr>
                <w:sz w:val="21"/>
                <w:szCs w:val="21"/>
                <w:color w:val="auto"/>
              </w:rPr>
            </w:pPr>
          </w:p>
        </w:tc>
      </w:tr>
      <w:tr>
        <w:trPr>
          <w:trHeight w:val="273"/>
        </w:trPr>
        <w:tc>
          <w:tcPr>
            <w:tcW w:w="9720" w:type="dxa"/>
            <w:vAlign w:val="bottom"/>
          </w:tcPr>
          <w:p>
            <w:pPr>
              <w:ind w:left="140"/>
              <w:spacing w:after="0"/>
              <w:rPr>
                <w:sz w:val="20"/>
                <w:szCs w:val="20"/>
                <w:color w:val="auto"/>
              </w:rPr>
            </w:pPr>
            <w:r>
              <w:rPr>
                <w:rFonts w:ascii="Calibri" w:cs="Calibri" w:eastAsia="Calibri" w:hAnsi="Calibri"/>
                <w:sz w:val="18"/>
                <w:szCs w:val="18"/>
                <w:color w:val="51555C"/>
              </w:rPr>
              <w:t>Additons</w:t>
            </w:r>
          </w:p>
        </w:tc>
        <w:tc>
          <w:tcPr>
            <w:tcW w:w="540" w:type="dxa"/>
            <w:vAlign w:val="bottom"/>
          </w:tcPr>
          <w:p>
            <w:pPr>
              <w:spacing w:after="0"/>
              <w:rPr>
                <w:sz w:val="23"/>
                <w:szCs w:val="23"/>
                <w:color w:val="auto"/>
              </w:rPr>
            </w:pPr>
          </w:p>
        </w:tc>
        <w:tc>
          <w:tcPr>
            <w:tcW w:w="980" w:type="dxa"/>
            <w:vAlign w:val="bottom"/>
          </w:tcPr>
          <w:p>
            <w:pPr>
              <w:jc w:val="center"/>
              <w:ind w:left="374"/>
              <w:spacing w:after="0"/>
              <w:rPr>
                <w:sz w:val="20"/>
                <w:szCs w:val="20"/>
                <w:color w:val="auto"/>
              </w:rPr>
            </w:pPr>
            <w:r>
              <w:rPr>
                <w:rFonts w:ascii="Calibri" w:cs="Calibri" w:eastAsia="Calibri" w:hAnsi="Calibri"/>
                <w:sz w:val="18"/>
                <w:szCs w:val="18"/>
                <w:color w:val="51555C"/>
                <w:w w:val="97"/>
              </w:rPr>
              <w:t>2,073</w:t>
            </w:r>
          </w:p>
        </w:tc>
        <w:tc>
          <w:tcPr>
            <w:tcW w:w="20" w:type="dxa"/>
            <w:vAlign w:val="bottom"/>
          </w:tcPr>
          <w:p>
            <w:pPr>
              <w:spacing w:after="0"/>
              <w:rPr>
                <w:sz w:val="23"/>
                <w:szCs w:val="23"/>
                <w:color w:val="auto"/>
              </w:rPr>
            </w:pPr>
          </w:p>
        </w:tc>
      </w:tr>
      <w:tr>
        <w:trPr>
          <w:trHeight w:val="51"/>
        </w:trPr>
        <w:tc>
          <w:tcPr>
            <w:tcW w:w="9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7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Payments</w:t>
            </w:r>
          </w:p>
        </w:tc>
        <w:tc>
          <w:tcPr>
            <w:tcW w:w="54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jc w:val="center"/>
              <w:ind w:left="334"/>
              <w:spacing w:after="0"/>
              <w:rPr>
                <w:sz w:val="20"/>
                <w:szCs w:val="20"/>
                <w:color w:val="auto"/>
              </w:rPr>
            </w:pPr>
            <w:r>
              <w:rPr>
                <w:rFonts w:ascii="Calibri" w:cs="Calibri" w:eastAsia="Calibri" w:hAnsi="Calibri"/>
                <w:sz w:val="18"/>
                <w:szCs w:val="18"/>
                <w:color w:val="51555C"/>
              </w:rPr>
              <w:t>(2,090)</w:t>
            </w:r>
          </w:p>
        </w:tc>
        <w:tc>
          <w:tcPr>
            <w:tcW w:w="20" w:type="dxa"/>
            <w:vAlign w:val="bottom"/>
          </w:tcPr>
          <w:p>
            <w:pPr>
              <w:spacing w:after="0"/>
              <w:rPr>
                <w:sz w:val="24"/>
                <w:szCs w:val="24"/>
                <w:color w:val="auto"/>
              </w:rPr>
            </w:pPr>
          </w:p>
        </w:tc>
      </w:tr>
      <w:tr>
        <w:trPr>
          <w:trHeight w:val="213"/>
        </w:trPr>
        <w:tc>
          <w:tcPr>
            <w:tcW w:w="972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51555C"/>
              </w:rPr>
              <w:t>Balance at December 31, 2024</w:t>
            </w:r>
          </w:p>
        </w:tc>
        <w:tc>
          <w:tcPr>
            <w:tcW w:w="540" w:type="dxa"/>
            <w:vAlign w:val="bottom"/>
            <w:tcBorders>
              <w:top w:val="single" w:sz="8" w:color="51555C"/>
            </w:tcBorders>
          </w:tcPr>
          <w:p>
            <w:pPr>
              <w:jc w:val="right"/>
              <w:ind w:right="350"/>
              <w:spacing w:after="0" w:line="213" w:lineRule="exact"/>
              <w:rPr>
                <w:sz w:val="20"/>
                <w:szCs w:val="20"/>
                <w:color w:val="auto"/>
              </w:rPr>
            </w:pPr>
            <w:r>
              <w:rPr>
                <w:rFonts w:ascii="Calibri" w:cs="Calibri" w:eastAsia="Calibri" w:hAnsi="Calibri"/>
                <w:sz w:val="18"/>
                <w:szCs w:val="18"/>
                <w:color w:val="51555C"/>
                <w:w w:val="87"/>
              </w:rPr>
              <w:t>$</w:t>
            </w:r>
          </w:p>
        </w:tc>
        <w:tc>
          <w:tcPr>
            <w:tcW w:w="980" w:type="dxa"/>
            <w:vAlign w:val="bottom"/>
            <w:tcBorders>
              <w:top w:val="single" w:sz="8" w:color="51555C"/>
            </w:tcBorders>
          </w:tcPr>
          <w:p>
            <w:pPr>
              <w:jc w:val="center"/>
              <w:ind w:left="374"/>
              <w:spacing w:after="0" w:line="213" w:lineRule="exact"/>
              <w:rPr>
                <w:sz w:val="20"/>
                <w:szCs w:val="20"/>
                <w:color w:val="auto"/>
              </w:rPr>
            </w:pPr>
            <w:r>
              <w:rPr>
                <w:rFonts w:ascii="Calibri" w:cs="Calibri" w:eastAsia="Calibri" w:hAnsi="Calibri"/>
                <w:sz w:val="18"/>
                <w:szCs w:val="18"/>
                <w:color w:val="51555C"/>
                <w:w w:val="97"/>
              </w:rPr>
              <w:t>2,783</w:t>
            </w:r>
          </w:p>
        </w:tc>
        <w:tc>
          <w:tcPr>
            <w:tcW w:w="20" w:type="dxa"/>
            <w:vAlign w:val="bottom"/>
          </w:tcPr>
          <w:p>
            <w:pPr>
              <w:spacing w:after="0"/>
              <w:rPr>
                <w:sz w:val="18"/>
                <w:szCs w:val="18"/>
                <w:color w:val="auto"/>
              </w:rPr>
            </w:pPr>
          </w:p>
        </w:tc>
      </w:tr>
      <w:tr>
        <w:trPr>
          <w:trHeight w:val="50"/>
        </w:trPr>
        <w:tc>
          <w:tcPr>
            <w:tcW w:w="9720" w:type="dxa"/>
            <w:vAlign w:val="bottom"/>
            <w:tcBorders>
              <w:bottom w:val="single" w:sz="8" w:color="0CD973"/>
            </w:tcBorders>
          </w:tcPr>
          <w:p>
            <w:pPr>
              <w:spacing w:after="0"/>
              <w:rPr>
                <w:sz w:val="4"/>
                <w:szCs w:val="4"/>
                <w:color w:val="auto"/>
              </w:rPr>
            </w:pPr>
          </w:p>
        </w:tc>
        <w:tc>
          <w:tcPr>
            <w:tcW w:w="54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51555C"/>
        </w:rPr>
        <w:t>As of December 31, 2024, the required annual maturites related to the 2024 Credit Facilites, the Real Estate Loans and our other debt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300" w:type="dxa"/>
            <w:vAlign w:val="bottom"/>
            <w:shd w:val="clear" w:color="auto" w:fill="004054"/>
          </w:tcPr>
          <w:p>
            <w:pPr>
              <w:spacing w:after="0"/>
              <w:rPr>
                <w:sz w:val="16"/>
                <w:szCs w:val="16"/>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w:t>
            </w:r>
          </w:p>
        </w:tc>
        <w:tc>
          <w:tcPr>
            <w:tcW w:w="20" w:type="dxa"/>
            <w:vAlign w:val="bottom"/>
            <w:shd w:val="clear" w:color="auto" w:fill="004054"/>
          </w:tcPr>
          <w:p>
            <w:pPr>
              <w:spacing w:after="0"/>
              <w:rPr>
                <w:sz w:val="16"/>
                <w:szCs w:val="16"/>
                <w:color w:val="auto"/>
              </w:rPr>
            </w:pPr>
          </w:p>
        </w:tc>
      </w:tr>
      <w:tr>
        <w:trPr>
          <w:trHeight w:val="170"/>
        </w:trPr>
        <w:tc>
          <w:tcPr>
            <w:tcW w:w="9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0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maturites</w:t>
            </w:r>
          </w:p>
        </w:tc>
        <w:tc>
          <w:tcPr>
            <w:tcW w:w="20" w:type="dxa"/>
            <w:vAlign w:val="bottom"/>
            <w:shd w:val="clear" w:color="auto" w:fill="004054"/>
          </w:tcPr>
          <w:p>
            <w:pPr>
              <w:spacing w:after="0"/>
              <w:rPr>
                <w:sz w:val="14"/>
                <w:szCs w:val="14"/>
                <w:color w:val="auto"/>
              </w:rPr>
            </w:pPr>
          </w:p>
        </w:tc>
      </w:tr>
      <w:tr>
        <w:trPr>
          <w:trHeight w:val="74"/>
        </w:trPr>
        <w:tc>
          <w:tcPr>
            <w:tcW w:w="99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2025</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23,875</w:t>
            </w:r>
          </w:p>
        </w:tc>
        <w:tc>
          <w:tcPr>
            <w:tcW w:w="20" w:type="dxa"/>
            <w:vAlign w:val="bottom"/>
          </w:tcPr>
          <w:p>
            <w:pPr>
              <w:spacing w:after="0"/>
              <w:rPr>
                <w:sz w:val="21"/>
                <w:szCs w:val="21"/>
                <w:color w:val="auto"/>
              </w:rPr>
            </w:pPr>
          </w:p>
        </w:tc>
      </w:tr>
      <w:tr>
        <w:trPr>
          <w:trHeight w:val="220"/>
        </w:trPr>
        <w:tc>
          <w:tcPr>
            <w:tcW w:w="9980" w:type="dxa"/>
            <w:vAlign w:val="bottom"/>
          </w:tcPr>
          <w:p>
            <w:pPr>
              <w:ind w:left="20"/>
              <w:spacing w:after="0"/>
              <w:rPr>
                <w:sz w:val="20"/>
                <w:szCs w:val="20"/>
                <w:color w:val="auto"/>
              </w:rPr>
            </w:pPr>
            <w:r>
              <w:rPr>
                <w:rFonts w:ascii="Calibri" w:cs="Calibri" w:eastAsia="Calibri" w:hAnsi="Calibri"/>
                <w:sz w:val="18"/>
                <w:szCs w:val="18"/>
                <w:color w:val="51555C"/>
              </w:rPr>
              <w:t>2026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22,660</w:t>
            </w:r>
          </w:p>
        </w:tc>
        <w:tc>
          <w:tcPr>
            <w:tcW w:w="20" w:type="dxa"/>
            <w:vAlign w:val="bottom"/>
          </w:tcPr>
          <w:p>
            <w:pPr>
              <w:spacing w:after="0"/>
              <w:rPr>
                <w:sz w:val="19"/>
                <w:szCs w:val="19"/>
                <w:color w:val="auto"/>
              </w:rPr>
            </w:pPr>
          </w:p>
        </w:tc>
      </w:tr>
      <w:tr>
        <w:trPr>
          <w:trHeight w:val="50"/>
        </w:trPr>
        <w:tc>
          <w:tcPr>
            <w:tcW w:w="9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2027</w:t>
            </w:r>
          </w:p>
        </w:tc>
        <w:tc>
          <w:tcPr>
            <w:tcW w:w="3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22,166</w:t>
            </w:r>
          </w:p>
        </w:tc>
        <w:tc>
          <w:tcPr>
            <w:tcW w:w="20" w:type="dxa"/>
            <w:vAlign w:val="bottom"/>
          </w:tcPr>
          <w:p>
            <w:pPr>
              <w:spacing w:after="0"/>
              <w:rPr>
                <w:sz w:val="21"/>
                <w:szCs w:val="21"/>
                <w:color w:val="auto"/>
              </w:rPr>
            </w:pPr>
          </w:p>
        </w:tc>
      </w:tr>
      <w:tr>
        <w:trPr>
          <w:trHeight w:val="220"/>
        </w:trPr>
        <w:tc>
          <w:tcPr>
            <w:tcW w:w="9980" w:type="dxa"/>
            <w:vAlign w:val="bottom"/>
          </w:tcPr>
          <w:p>
            <w:pPr>
              <w:ind w:left="20"/>
              <w:spacing w:after="0"/>
              <w:rPr>
                <w:sz w:val="20"/>
                <w:szCs w:val="20"/>
                <w:color w:val="auto"/>
              </w:rPr>
            </w:pPr>
            <w:r>
              <w:rPr>
                <w:rFonts w:ascii="Calibri" w:cs="Calibri" w:eastAsia="Calibri" w:hAnsi="Calibri"/>
                <w:sz w:val="18"/>
                <w:szCs w:val="18"/>
                <w:color w:val="51555C"/>
              </w:rPr>
              <w:t>2028</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22,375</w:t>
            </w:r>
          </w:p>
        </w:tc>
        <w:tc>
          <w:tcPr>
            <w:tcW w:w="20" w:type="dxa"/>
            <w:vAlign w:val="bottom"/>
          </w:tcPr>
          <w:p>
            <w:pPr>
              <w:spacing w:after="0"/>
              <w:rPr>
                <w:sz w:val="19"/>
                <w:szCs w:val="19"/>
                <w:color w:val="auto"/>
              </w:rPr>
            </w:pPr>
          </w:p>
        </w:tc>
      </w:tr>
      <w:tr>
        <w:trPr>
          <w:trHeight w:val="50"/>
        </w:trPr>
        <w:tc>
          <w:tcPr>
            <w:tcW w:w="9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2029</w:t>
            </w:r>
          </w:p>
        </w:tc>
        <w:tc>
          <w:tcPr>
            <w:tcW w:w="30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942,496</w:t>
            </w:r>
          </w:p>
        </w:tc>
        <w:tc>
          <w:tcPr>
            <w:tcW w:w="20" w:type="dxa"/>
            <w:vAlign w:val="bottom"/>
          </w:tcPr>
          <w:p>
            <w:pPr>
              <w:spacing w:after="0"/>
              <w:rPr>
                <w:sz w:val="21"/>
                <w:szCs w:val="21"/>
                <w:color w:val="auto"/>
              </w:rPr>
            </w:pPr>
          </w:p>
        </w:tc>
      </w:tr>
      <w:tr>
        <w:trPr>
          <w:trHeight w:val="220"/>
        </w:trPr>
        <w:tc>
          <w:tcPr>
            <w:tcW w:w="998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44,246</w:t>
            </w:r>
          </w:p>
        </w:tc>
        <w:tc>
          <w:tcPr>
            <w:tcW w:w="20" w:type="dxa"/>
            <w:vAlign w:val="bottom"/>
          </w:tcPr>
          <w:p>
            <w:pPr>
              <w:spacing w:after="0"/>
              <w:rPr>
                <w:sz w:val="19"/>
                <w:szCs w:val="19"/>
                <w:color w:val="auto"/>
              </w:rPr>
            </w:pPr>
          </w:p>
        </w:tc>
      </w:tr>
      <w:tr>
        <w:trPr>
          <w:trHeight w:val="50"/>
        </w:trPr>
        <w:tc>
          <w:tcPr>
            <w:tcW w:w="998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9980" w:type="dxa"/>
            <w:vAlign w:val="bottom"/>
            <w:tcBorders>
              <w:bottom w:val="single" w:sz="8" w:color="EBFBFF"/>
            </w:tcBorders>
            <w:shd w:val="clear" w:color="auto" w:fill="EBFBFF"/>
          </w:tcPr>
          <w:p>
            <w:pPr>
              <w:ind w:left="140"/>
              <w:spacing w:after="0" w:line="213" w:lineRule="exact"/>
              <w:rPr>
                <w:sz w:val="20"/>
                <w:szCs w:val="20"/>
                <w:color w:val="auto"/>
              </w:rPr>
            </w:pPr>
            <w:r>
              <w:rPr>
                <w:rFonts w:ascii="Calibri" w:cs="Calibri" w:eastAsia="Calibri" w:hAnsi="Calibri"/>
                <w:sz w:val="18"/>
                <w:szCs w:val="18"/>
                <w:color w:val="51555C"/>
              </w:rPr>
              <w:t>Total required maturites</w:t>
            </w:r>
          </w:p>
        </w:tc>
        <w:tc>
          <w:tcPr>
            <w:tcW w:w="300" w:type="dxa"/>
            <w:vAlign w:val="bottom"/>
            <w:tcBorders>
              <w:bottom w:val="single" w:sz="8" w:color="EBFBFF"/>
            </w:tcBorders>
            <w:shd w:val="clear" w:color="auto" w:fill="EBFBFF"/>
          </w:tcPr>
          <w:p>
            <w:pPr>
              <w:jc w:val="right"/>
              <w:ind w:right="90"/>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1,077,818</w:t>
            </w:r>
          </w:p>
        </w:tc>
        <w:tc>
          <w:tcPr>
            <w:tcW w:w="20" w:type="dxa"/>
            <w:vAlign w:val="bottom"/>
          </w:tcPr>
          <w:p>
            <w:pPr>
              <w:spacing w:after="0"/>
              <w:rPr>
                <w:sz w:val="21"/>
                <w:szCs w:val="21"/>
                <w:color w:val="auto"/>
              </w:rPr>
            </w:pPr>
          </w:p>
        </w:tc>
      </w:tr>
      <w:tr>
        <w:trPr>
          <w:trHeight w:val="20"/>
        </w:trPr>
        <w:tc>
          <w:tcPr>
            <w:tcW w:w="998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10.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generally use derivatve instruments to manage our interest rate and foreign currency exchange risk. We currently have derivatves classifed as cash fow hedges and net investment hedges. We do not enter into any derivatves for trading or speculatve purposes.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All of our derivatve instruments are governed by Internatonal Swap Dealers Associaton, Inc. master agreements with our counterpartes. As of December 31, 2024 and December 31, 2023, we have presented the fair value of our derivatve instruments at the gross amounts in the consolidated balance sheet as the gross fair values of our derivatve instruments equaled their net fair values.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Cash fow hedges</w:t>
      </w:r>
    </w:p>
    <w:p>
      <w:pPr>
        <w:spacing w:after="0" w:line="163"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have entered into interest rate swap agreements, which efectvely convert portons of our variable rate debt under the 2024 Credit Facilites to a fxed rate for the term of the swap agreements. We designated each of the interest rate swaps as cash fow hedges at the incepton of the contracts. Our entry into the 2024 Credit Agreement in April 2024 did not afect our interest rate swap agreements, including their designaton as cash fow hedges, as the 2024 Credit Agreement has substantally the same critcal terms as the 2020 Credit Agreement. As of December 31, 2024 and December 31, 2023, the aggregate notonal values of the interest rate swaps were $700.0 million and $935.0 million, respectvely. All of the contracts have maturites on or before October 2028.</w:t>
      </w:r>
    </w:p>
    <w:p>
      <w:pPr>
        <w:spacing w:after="0" w:line="317"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92</w:t>
      </w:r>
      <w:r>
        <w:rPr>
          <w:sz w:val="20"/>
          <w:szCs w:val="20"/>
          <w:color w:val="auto"/>
        </w:rPr>
        <w:tab/>
      </w:r>
      <w:r>
        <w:rPr>
          <w:sz w:val="1"/>
          <w:szCs w:val="1"/>
          <w:color w:val="auto"/>
        </w:rPr>
        <w:drawing>
          <wp:inline distT="0" distB="0" distL="0" distR="0">
            <wp:extent cx="728345" cy="18859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fow hedges at the incepton of the contracts. As of December 31, 2024 and December 31, 2023, the aggregate notonal values of the foreign currency forward contracts designated as cash fow hedges that we held to buy USD in exchange for Canadian Dollars were $32.8 million CAD and $29.9 million CAD, respectvely. All of the contracts have maturites of 12 months or less.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Net investment hedges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a porton of the foreign currency exposure that arises on translaton of our investments denominated in Britsh Pounds ("GBP") into USD. We designated each of these foreign currency forward contracts as net investment hedges at the incepton of the contracts. As of December 31, 2024 and December 31, 2023, the aggregate notonal values of the foreign currency forward contracts designated as net investment hedges to reduce the volatlity of the U.S. dollar value of a porton of our GBP-denominated investments was £12.9 million and £13.2 million, respectvely.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fair values of our derivatve instruments were as follows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shd w:val="clear" w:color="auto" w:fill="004054"/>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260" w:type="dxa"/>
            <w:vAlign w:val="bottom"/>
            <w:tcBorders>
              <w:right w:val="single" w:sz="8" w:color="004054"/>
            </w:tcBorders>
            <w:gridSpan w:val="3"/>
            <w:shd w:val="clear" w:color="auto" w:fill="004054"/>
          </w:tcPr>
          <w:p>
            <w:pPr>
              <w:jc w:val="right"/>
              <w:ind w:right="676"/>
              <w:spacing w:after="0"/>
              <w:rPr>
                <w:sz w:val="20"/>
                <w:szCs w:val="20"/>
                <w:color w:val="auto"/>
              </w:rPr>
            </w:pPr>
            <w:r>
              <w:rPr>
                <w:rFonts w:ascii="Calibri" w:cs="Calibri" w:eastAsia="Calibri" w:hAnsi="Calibri"/>
                <w:sz w:val="14"/>
                <w:szCs w:val="14"/>
                <w:b w:val="1"/>
                <w:bCs w:val="1"/>
                <w:color w:val="FFFFFF"/>
              </w:rPr>
              <w:t>Asset derivatves</w:t>
            </w:r>
          </w:p>
        </w:tc>
        <w:tc>
          <w:tcPr>
            <w:tcW w:w="80" w:type="dxa"/>
            <w:vAlign w:val="bottom"/>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240" w:type="dxa"/>
            <w:vAlign w:val="bottom"/>
            <w:gridSpan w:val="2"/>
            <w:shd w:val="clear" w:color="auto" w:fill="004054"/>
          </w:tcPr>
          <w:p>
            <w:pPr>
              <w:jc w:val="right"/>
              <w:ind w:right="578"/>
              <w:spacing w:after="0"/>
              <w:rPr>
                <w:sz w:val="20"/>
                <w:szCs w:val="20"/>
                <w:color w:val="auto"/>
              </w:rPr>
            </w:pPr>
            <w:r>
              <w:rPr>
                <w:rFonts w:ascii="Calibri" w:cs="Calibri" w:eastAsia="Calibri" w:hAnsi="Calibri"/>
                <w:sz w:val="14"/>
                <w:szCs w:val="14"/>
                <w:b w:val="1"/>
                <w:bCs w:val="1"/>
                <w:color w:val="FFFFFF"/>
              </w:rPr>
              <w:t>Liability Derivatves</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004054"/>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60" w:type="dxa"/>
            <w:vAlign w:val="bottom"/>
            <w:shd w:val="clear" w:color="auto" w:fill="004054"/>
          </w:tcPr>
          <w:p>
            <w:pPr>
              <w:spacing w:after="0"/>
              <w:rPr>
                <w:sz w:val="20"/>
                <w:szCs w:val="20"/>
                <w:color w:val="auto"/>
              </w:rPr>
            </w:pPr>
          </w:p>
        </w:tc>
        <w:tc>
          <w:tcPr>
            <w:tcW w:w="10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80" w:type="dxa"/>
            <w:vAlign w:val="bottom"/>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1260" w:type="dxa"/>
            <w:vAlign w:val="bottom"/>
            <w:shd w:val="clear" w:color="auto" w:fill="004054"/>
          </w:tcPr>
          <w:p>
            <w:pPr>
              <w:jc w:val="right"/>
              <w:ind w:right="198"/>
              <w:spacing w:after="0"/>
              <w:rPr>
                <w:sz w:val="20"/>
                <w:szCs w:val="20"/>
                <w:color w:val="auto"/>
              </w:rPr>
            </w:pPr>
            <w:r>
              <w:rPr>
                <w:rFonts w:ascii="Calibri" w:cs="Calibri" w:eastAsia="Calibri" w:hAnsi="Calibri"/>
                <w:sz w:val="14"/>
                <w:szCs w:val="14"/>
                <w:b w:val="1"/>
                <w:bCs w:val="1"/>
                <w:color w:val="FFFFFF"/>
              </w:rPr>
              <w:t>December 31,</w:t>
            </w: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4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15"/>
                <w:szCs w:val="15"/>
                <w:color w:val="auto"/>
              </w:rPr>
            </w:pPr>
          </w:p>
        </w:tc>
        <w:tc>
          <w:tcPr>
            <w:tcW w:w="10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80" w:type="dxa"/>
            <w:vAlign w:val="bottom"/>
          </w:tcPr>
          <w:p>
            <w:pPr>
              <w:spacing w:after="0"/>
              <w:rPr>
                <w:sz w:val="15"/>
                <w:szCs w:val="15"/>
                <w:color w:val="auto"/>
              </w:rPr>
            </w:pP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ind w:right="198"/>
              <w:spacing w:after="0"/>
              <w:rPr>
                <w:sz w:val="20"/>
                <w:szCs w:val="20"/>
                <w:color w:val="auto"/>
              </w:rPr>
            </w:pPr>
            <w:r>
              <w:rPr>
                <w:rFonts w:ascii="Calibri" w:cs="Calibri" w:eastAsia="Calibri" w:hAnsi="Calibri"/>
                <w:sz w:val="14"/>
                <w:szCs w:val="14"/>
                <w:b w:val="1"/>
                <w:bCs w:val="1"/>
                <w:color w:val="FFFFFF"/>
              </w:rPr>
              <w:t>2024</w:t>
            </w: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780" w:type="dxa"/>
            <w:vAlign w:val="bottom"/>
            <w:tcBorders>
              <w:bottom w:val="single" w:sz="8" w:color="004054"/>
            </w:tcBorders>
            <w:shd w:val="clear" w:color="auto" w:fill="004054"/>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26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Derivatve instruments designated as</w:t>
            </w:r>
          </w:p>
        </w:tc>
        <w:tc>
          <w:tcPr>
            <w:tcW w:w="17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1000" w:type="dxa"/>
            <w:vAlign w:val="bottom"/>
            <w:tcBorders>
              <w:right w:val="single" w:sz="8" w:color="EBFBFF"/>
            </w:tcBorders>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17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2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80" w:type="dxa"/>
            <w:vAlign w:val="bottom"/>
            <w:tcBorders>
              <w:bottom w:val="single" w:sz="8" w:color="EBFBFF"/>
            </w:tcBorders>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rPr>
              <w:t>hedging instruments:</w:t>
            </w:r>
          </w:p>
        </w:tc>
        <w:tc>
          <w:tcPr>
            <w:tcW w:w="17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7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tcPr>
          <w:p>
            <w:pPr>
              <w:ind w:left="140"/>
              <w:spacing w:after="0"/>
              <w:rPr>
                <w:sz w:val="20"/>
                <w:szCs w:val="20"/>
                <w:color w:val="auto"/>
              </w:rPr>
            </w:pPr>
            <w:r>
              <w:rPr>
                <w:rFonts w:ascii="Calibri" w:cs="Calibri" w:eastAsia="Calibri" w:hAnsi="Calibri"/>
                <w:sz w:val="18"/>
                <w:szCs w:val="18"/>
                <w:color w:val="51555C"/>
              </w:rPr>
              <w:t>Interest rate swaps, current porton</w:t>
            </w: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Prepaid expenses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Accrued expenses</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94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9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51555C"/>
              </w:rPr>
              <w:t>assets $</w:t>
            </w:r>
          </w:p>
        </w:tc>
        <w:tc>
          <w:tcPr>
            <w:tcW w:w="1260" w:type="dxa"/>
            <w:vAlign w:val="bottom"/>
            <w:gridSpan w:val="2"/>
          </w:tcPr>
          <w:p>
            <w:pPr>
              <w:jc w:val="right"/>
              <w:ind w:right="70"/>
              <w:spacing w:after="0" w:line="216" w:lineRule="exact"/>
              <w:rPr>
                <w:sz w:val="20"/>
                <w:szCs w:val="20"/>
                <w:color w:val="auto"/>
              </w:rPr>
            </w:pPr>
            <w:r>
              <w:rPr>
                <w:rFonts w:ascii="Calibri" w:cs="Calibri" w:eastAsia="Calibri" w:hAnsi="Calibri"/>
                <w:sz w:val="18"/>
                <w:szCs w:val="18"/>
                <w:color w:val="51555C"/>
              </w:rPr>
              <w:t>— $</w:t>
            </w: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80" w:type="dxa"/>
            <w:vAlign w:val="bottom"/>
          </w:tcPr>
          <w:p>
            <w:pPr>
              <w:spacing w:after="0"/>
              <w:rPr>
                <w:sz w:val="18"/>
                <w:szCs w:val="18"/>
                <w:color w:val="auto"/>
              </w:rPr>
            </w:pPr>
          </w:p>
        </w:tc>
        <w:tc>
          <w:tcPr>
            <w:tcW w:w="19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51555C"/>
              </w:rPr>
              <w:t>liabilites $</w:t>
            </w:r>
          </w:p>
        </w:tc>
        <w:tc>
          <w:tcPr>
            <w:tcW w:w="1260" w:type="dxa"/>
            <w:vAlign w:val="bottom"/>
          </w:tcPr>
          <w:p>
            <w:pPr>
              <w:ind w:left="780"/>
              <w:spacing w:after="0" w:line="216" w:lineRule="exact"/>
              <w:rPr>
                <w:sz w:val="20"/>
                <w:szCs w:val="20"/>
                <w:color w:val="auto"/>
              </w:rPr>
            </w:pPr>
            <w:r>
              <w:rPr>
                <w:rFonts w:ascii="Calibri" w:cs="Calibri" w:eastAsia="Calibri" w:hAnsi="Calibri"/>
                <w:sz w:val="18"/>
                <w:szCs w:val="18"/>
                <w:color w:val="51555C"/>
              </w:rPr>
              <w:t>— $</w:t>
            </w: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80" w:type="dxa"/>
            <w:vAlign w:val="bottom"/>
            <w:vMerge w:val="restart"/>
            <w:shd w:val="clear" w:color="auto" w:fill="EBFBFF"/>
          </w:tcPr>
          <w:p>
            <w:pPr>
              <w:ind w:left="140"/>
              <w:spacing w:after="0"/>
              <w:rPr>
                <w:sz w:val="20"/>
                <w:szCs w:val="20"/>
                <w:color w:val="auto"/>
              </w:rPr>
            </w:pPr>
            <w:r>
              <w:rPr>
                <w:rFonts w:ascii="Calibri" w:cs="Calibri" w:eastAsia="Calibri" w:hAnsi="Calibri"/>
                <w:sz w:val="18"/>
                <w:szCs w:val="18"/>
                <w:color w:val="51555C"/>
                <w:w w:val="99"/>
              </w:rPr>
              <w:t>Foreign currency forward contracts,</w:t>
            </w:r>
          </w:p>
        </w:tc>
        <w:tc>
          <w:tcPr>
            <w:tcW w:w="1940" w:type="dxa"/>
            <w:vAlign w:val="bottom"/>
            <w:gridSpan w:val="2"/>
            <w:shd w:val="clear" w:color="auto" w:fill="EBFBFF"/>
          </w:tcPr>
          <w:p>
            <w:pPr>
              <w:jc w:val="right"/>
              <w:ind w:right="260"/>
              <w:spacing w:after="0"/>
              <w:rPr>
                <w:sz w:val="20"/>
                <w:szCs w:val="20"/>
                <w:color w:val="auto"/>
              </w:rPr>
            </w:pPr>
            <w:r>
              <w:rPr>
                <w:rFonts w:ascii="Calibri" w:cs="Calibri" w:eastAsia="Calibri" w:hAnsi="Calibri"/>
                <w:sz w:val="18"/>
                <w:szCs w:val="18"/>
                <w:color w:val="51555C"/>
              </w:rPr>
              <w:t>Prepaid expenses</w:t>
            </w:r>
          </w:p>
        </w:tc>
        <w:tc>
          <w:tcPr>
            <w:tcW w:w="10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00" w:type="dxa"/>
            <w:vAlign w:val="bottom"/>
            <w:tcBorders>
              <w:right w:val="single" w:sz="8" w:color="EBFBFF"/>
            </w:tcBorders>
            <w:shd w:val="clear" w:color="auto" w:fill="EBFBFF"/>
          </w:tcPr>
          <w:p>
            <w:pPr>
              <w:spacing w:after="0"/>
              <w:rPr>
                <w:sz w:val="19"/>
                <w:szCs w:val="19"/>
                <w:color w:val="auto"/>
              </w:rPr>
            </w:pPr>
          </w:p>
        </w:tc>
        <w:tc>
          <w:tcPr>
            <w:tcW w:w="80" w:type="dxa"/>
            <w:vAlign w:val="bottom"/>
            <w:shd w:val="clear" w:color="auto" w:fill="EBFBFF"/>
          </w:tcPr>
          <w:p>
            <w:pPr>
              <w:spacing w:after="0"/>
              <w:rPr>
                <w:sz w:val="19"/>
                <w:szCs w:val="19"/>
                <w:color w:val="auto"/>
              </w:rPr>
            </w:pPr>
          </w:p>
        </w:tc>
        <w:tc>
          <w:tcPr>
            <w:tcW w:w="1940" w:type="dxa"/>
            <w:vAlign w:val="bottom"/>
            <w:gridSpan w:val="2"/>
            <w:shd w:val="clear" w:color="auto" w:fill="EBFBFF"/>
          </w:tcPr>
          <w:p>
            <w:pPr>
              <w:jc w:val="right"/>
              <w:ind w:right="260"/>
              <w:spacing w:after="0"/>
              <w:rPr>
                <w:sz w:val="20"/>
                <w:szCs w:val="20"/>
                <w:color w:val="auto"/>
              </w:rPr>
            </w:pPr>
            <w:r>
              <w:rPr>
                <w:rFonts w:ascii="Calibri" w:cs="Calibri" w:eastAsia="Calibri" w:hAnsi="Calibri"/>
                <w:sz w:val="18"/>
                <w:szCs w:val="18"/>
                <w:color w:val="51555C"/>
              </w:rPr>
              <w:t>Accrued expenses</w:t>
            </w:r>
          </w:p>
        </w:tc>
        <w:tc>
          <w:tcPr>
            <w:tcW w:w="1260" w:type="dxa"/>
            <w:vAlign w:val="bottom"/>
            <w:shd w:val="clear" w:color="auto" w:fill="EBFBFF"/>
          </w:tcPr>
          <w:p>
            <w:pPr>
              <w:spacing w:after="0"/>
              <w:rPr>
                <w:sz w:val="19"/>
                <w:szCs w:val="19"/>
                <w:color w:val="auto"/>
              </w:rPr>
            </w:pPr>
          </w:p>
        </w:tc>
        <w:tc>
          <w:tcPr>
            <w:tcW w:w="9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shd w:val="clear" w:color="auto" w:fill="EBFBFF"/>
          </w:tcPr>
          <w:p>
            <w:pPr>
              <w:spacing w:after="0"/>
              <w:rPr>
                <w:sz w:val="4"/>
                <w:szCs w:val="4"/>
                <w:color w:val="auto"/>
              </w:rPr>
            </w:pPr>
          </w:p>
        </w:tc>
        <w:tc>
          <w:tcPr>
            <w:tcW w:w="260" w:type="dxa"/>
            <w:vAlign w:val="bottom"/>
            <w:shd w:val="clear" w:color="auto" w:fill="EBFBFF"/>
          </w:tcPr>
          <w:p>
            <w:pPr>
              <w:spacing w:after="0"/>
              <w:rPr>
                <w:sz w:val="4"/>
                <w:szCs w:val="4"/>
                <w:color w:val="auto"/>
              </w:rPr>
            </w:pPr>
          </w:p>
        </w:tc>
        <w:tc>
          <w:tcPr>
            <w:tcW w:w="1000" w:type="dxa"/>
            <w:vAlign w:val="bottom"/>
            <w:tcBorders>
              <w:right w:val="single" w:sz="8" w:color="EBFBFF"/>
            </w:tcBorders>
            <w:shd w:val="clear" w:color="auto" w:fill="EBFBFF"/>
          </w:tcPr>
          <w:p>
            <w:pPr>
              <w:spacing w:after="0"/>
              <w:rPr>
                <w:sz w:val="4"/>
                <w:szCs w:val="4"/>
                <w:color w:val="auto"/>
              </w:rPr>
            </w:pPr>
          </w:p>
        </w:tc>
        <w:tc>
          <w:tcPr>
            <w:tcW w:w="80" w:type="dxa"/>
            <w:vAlign w:val="bottom"/>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260" w:type="dxa"/>
            <w:vAlign w:val="bottom"/>
            <w:shd w:val="clear" w:color="auto" w:fill="EBFBFF"/>
          </w:tcPr>
          <w:p>
            <w:pPr>
              <w:spacing w:after="0"/>
              <w:rPr>
                <w:sz w:val="4"/>
                <w:szCs w:val="4"/>
                <w:color w:val="auto"/>
              </w:rPr>
            </w:pPr>
          </w:p>
        </w:tc>
        <w:tc>
          <w:tcPr>
            <w:tcW w:w="980" w:type="dxa"/>
            <w:vAlign w:val="bottom"/>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shd w:val="clear" w:color="auto" w:fill="EBFBFF"/>
          </w:tcPr>
          <w:p>
            <w:pPr>
              <w:ind w:left="140"/>
              <w:spacing w:after="0" w:line="216" w:lineRule="exact"/>
              <w:rPr>
                <w:sz w:val="20"/>
                <w:szCs w:val="20"/>
                <w:color w:val="auto"/>
              </w:rPr>
            </w:pPr>
            <w:r>
              <w:rPr>
                <w:rFonts w:ascii="Calibri" w:cs="Calibri" w:eastAsia="Calibri" w:hAnsi="Calibri"/>
                <w:sz w:val="18"/>
                <w:szCs w:val="18"/>
                <w:color w:val="51555C"/>
              </w:rPr>
              <w:t>current porton</w:t>
            </w:r>
          </w:p>
        </w:tc>
        <w:tc>
          <w:tcPr>
            <w:tcW w:w="1940" w:type="dxa"/>
            <w:vAlign w:val="bottom"/>
            <w:gridSpan w:val="2"/>
            <w:vMerge w:val="continue"/>
            <w:shd w:val="clear" w:color="auto" w:fill="EBFBFF"/>
          </w:tcPr>
          <w:p>
            <w:pPr>
              <w:spacing w:after="0"/>
              <w:rPr>
                <w:sz w:val="14"/>
                <w:szCs w:val="14"/>
                <w:color w:val="auto"/>
              </w:rPr>
            </w:pPr>
          </w:p>
        </w:tc>
        <w:tc>
          <w:tcPr>
            <w:tcW w:w="1000" w:type="dxa"/>
            <w:vAlign w:val="bottom"/>
            <w:shd w:val="clear" w:color="auto" w:fill="EBFBFF"/>
          </w:tcPr>
          <w:p>
            <w:pPr>
              <w:spacing w:after="0"/>
              <w:rPr>
                <w:sz w:val="14"/>
                <w:szCs w:val="14"/>
                <w:color w:val="auto"/>
              </w:rPr>
            </w:pPr>
          </w:p>
        </w:tc>
        <w:tc>
          <w:tcPr>
            <w:tcW w:w="260" w:type="dxa"/>
            <w:vAlign w:val="bottom"/>
            <w:shd w:val="clear" w:color="auto" w:fill="EBFBFF"/>
          </w:tcPr>
          <w:p>
            <w:pPr>
              <w:spacing w:after="0"/>
              <w:rPr>
                <w:sz w:val="14"/>
                <w:szCs w:val="14"/>
                <w:color w:val="auto"/>
              </w:rPr>
            </w:pPr>
          </w:p>
        </w:tc>
        <w:tc>
          <w:tcPr>
            <w:tcW w:w="1000" w:type="dxa"/>
            <w:vAlign w:val="bottom"/>
            <w:tcBorders>
              <w:right w:val="single" w:sz="8" w:color="EBFBFF"/>
            </w:tcBorders>
            <w:shd w:val="clear" w:color="auto" w:fill="EBFBFF"/>
          </w:tcPr>
          <w:p>
            <w:pPr>
              <w:spacing w:after="0"/>
              <w:rPr>
                <w:sz w:val="14"/>
                <w:szCs w:val="14"/>
                <w:color w:val="auto"/>
              </w:rPr>
            </w:pPr>
          </w:p>
        </w:tc>
        <w:tc>
          <w:tcPr>
            <w:tcW w:w="80" w:type="dxa"/>
            <w:vAlign w:val="bottom"/>
            <w:shd w:val="clear" w:color="auto" w:fill="EBFBFF"/>
          </w:tcPr>
          <w:p>
            <w:pPr>
              <w:spacing w:after="0"/>
              <w:rPr>
                <w:sz w:val="14"/>
                <w:szCs w:val="14"/>
                <w:color w:val="auto"/>
              </w:rPr>
            </w:pPr>
          </w:p>
        </w:tc>
        <w:tc>
          <w:tcPr>
            <w:tcW w:w="1940" w:type="dxa"/>
            <w:vAlign w:val="bottom"/>
            <w:gridSpan w:val="2"/>
            <w:vMerge w:val="continue"/>
            <w:shd w:val="clear" w:color="auto" w:fill="EBFBFF"/>
          </w:tcPr>
          <w:p>
            <w:pPr>
              <w:spacing w:after="0"/>
              <w:rPr>
                <w:sz w:val="14"/>
                <w:szCs w:val="14"/>
                <w:color w:val="auto"/>
              </w:rPr>
            </w:pPr>
          </w:p>
        </w:tc>
        <w:tc>
          <w:tcPr>
            <w:tcW w:w="1260" w:type="dxa"/>
            <w:vAlign w:val="bottom"/>
            <w:shd w:val="clear" w:color="auto" w:fill="EBFBFF"/>
          </w:tcPr>
          <w:p>
            <w:pPr>
              <w:spacing w:after="0"/>
              <w:rPr>
                <w:sz w:val="14"/>
                <w:szCs w:val="14"/>
                <w:color w:val="auto"/>
              </w:rPr>
            </w:pPr>
          </w:p>
        </w:tc>
        <w:tc>
          <w:tcPr>
            <w:tcW w:w="980" w:type="dxa"/>
            <w:vAlign w:val="bottom"/>
            <w:shd w:val="clear" w:color="auto" w:fill="EBFB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assets</w:t>
            </w:r>
          </w:p>
        </w:tc>
        <w:tc>
          <w:tcPr>
            <w:tcW w:w="1000" w:type="dxa"/>
            <w:vAlign w:val="bottom"/>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1,288</w:t>
            </w:r>
          </w:p>
        </w:tc>
        <w:tc>
          <w:tcPr>
            <w:tcW w:w="260" w:type="dxa"/>
            <w:vAlign w:val="bottom"/>
            <w:shd w:val="clear" w:color="auto" w:fill="EBFBFF"/>
          </w:tcPr>
          <w:p>
            <w:pPr>
              <w:spacing w:after="0"/>
              <w:rPr>
                <w:sz w:val="4"/>
                <w:szCs w:val="4"/>
                <w:color w:val="auto"/>
              </w:rPr>
            </w:pPr>
          </w:p>
        </w:tc>
        <w:tc>
          <w:tcPr>
            <w:tcW w:w="1000" w:type="dxa"/>
            <w:vAlign w:val="bottom"/>
            <w:tcBorders>
              <w:right w:val="single" w:sz="8" w:color="EBFBFF"/>
            </w:tcBorders>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w:t>
            </w:r>
          </w:p>
        </w:tc>
        <w:tc>
          <w:tcPr>
            <w:tcW w:w="80" w:type="dxa"/>
            <w:vAlign w:val="bottom"/>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liabilites</w:t>
            </w:r>
          </w:p>
        </w:tc>
        <w:tc>
          <w:tcPr>
            <w:tcW w:w="1260" w:type="dxa"/>
            <w:vAlign w:val="bottom"/>
            <w:vMerge w:val="restart"/>
            <w:shd w:val="clear" w:color="auto" w:fill="EBFBFF"/>
          </w:tcPr>
          <w:p>
            <w:pPr>
              <w:ind w:left="780"/>
              <w:spacing w:after="0" w:line="216" w:lineRule="exact"/>
              <w:rPr>
                <w:sz w:val="20"/>
                <w:szCs w:val="20"/>
                <w:color w:val="auto"/>
              </w:rPr>
            </w:pPr>
            <w:r>
              <w:rPr>
                <w:rFonts w:ascii="Calibri" w:cs="Calibri" w:eastAsia="Calibri" w:hAnsi="Calibri"/>
                <w:sz w:val="18"/>
                <w:szCs w:val="18"/>
                <w:color w:val="51555C"/>
              </w:rPr>
              <w:t>—</w:t>
            </w:r>
          </w:p>
        </w:tc>
        <w:tc>
          <w:tcPr>
            <w:tcW w:w="980" w:type="dxa"/>
            <w:vAlign w:val="bottom"/>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536</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80" w:type="dxa"/>
            <w:vAlign w:val="bottom"/>
            <w:tcBorders>
              <w:bottom w:val="single" w:sz="8" w:color="EBFBFF"/>
            </w:tcBorders>
            <w:shd w:val="clear" w:color="auto" w:fill="EBFBFF"/>
          </w:tcPr>
          <w:p>
            <w:pPr>
              <w:spacing w:after="0"/>
              <w:rPr>
                <w:sz w:val="16"/>
                <w:szCs w:val="16"/>
                <w:color w:val="auto"/>
              </w:rPr>
            </w:pPr>
          </w:p>
        </w:tc>
        <w:tc>
          <w:tcPr>
            <w:tcW w:w="1940" w:type="dxa"/>
            <w:vAlign w:val="bottom"/>
            <w:tcBorders>
              <w:bottom w:val="single" w:sz="8" w:color="EBFBFF"/>
            </w:tcBorders>
            <w:gridSpan w:val="2"/>
            <w:vMerge w:val="continue"/>
            <w:shd w:val="clear" w:color="auto" w:fill="EBFBFF"/>
          </w:tcPr>
          <w:p>
            <w:pPr>
              <w:spacing w:after="0"/>
              <w:rPr>
                <w:sz w:val="16"/>
                <w:szCs w:val="16"/>
                <w:color w:val="auto"/>
              </w:rPr>
            </w:pPr>
          </w:p>
        </w:tc>
        <w:tc>
          <w:tcPr>
            <w:tcW w:w="1000" w:type="dxa"/>
            <w:vAlign w:val="bottom"/>
            <w:tcBorders>
              <w:bottom w:val="single" w:sz="8" w:color="EBFBFF"/>
            </w:tcBorders>
            <w:vMerge w:val="continue"/>
            <w:shd w:val="clear" w:color="auto" w:fill="EBFBFF"/>
          </w:tcPr>
          <w:p>
            <w:pPr>
              <w:spacing w:after="0"/>
              <w:rPr>
                <w:sz w:val="16"/>
                <w:szCs w:val="16"/>
                <w:color w:val="auto"/>
              </w:rPr>
            </w:pPr>
          </w:p>
        </w:tc>
        <w:tc>
          <w:tcPr>
            <w:tcW w:w="260" w:type="dxa"/>
            <w:vAlign w:val="bottom"/>
            <w:tcBorders>
              <w:bottom w:val="single" w:sz="8" w:color="EBFBFF"/>
            </w:tcBorders>
            <w:shd w:val="clear" w:color="auto" w:fill="EBFBFF"/>
          </w:tcPr>
          <w:p>
            <w:pPr>
              <w:spacing w:after="0"/>
              <w:rPr>
                <w:sz w:val="16"/>
                <w:szCs w:val="16"/>
                <w:color w:val="auto"/>
              </w:rPr>
            </w:pPr>
          </w:p>
        </w:tc>
        <w:tc>
          <w:tcPr>
            <w:tcW w:w="1000" w:type="dxa"/>
            <w:vAlign w:val="bottom"/>
            <w:tcBorders>
              <w:bottom w:val="single" w:sz="8" w:color="EBFBFF"/>
              <w:right w:val="single" w:sz="8" w:color="EBFBFF"/>
            </w:tcBorders>
            <w:vMerge w:val="continue"/>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1940" w:type="dxa"/>
            <w:vAlign w:val="bottom"/>
            <w:tcBorders>
              <w:bottom w:val="single" w:sz="8" w:color="EBFBFF"/>
            </w:tcBorders>
            <w:gridSpan w:val="2"/>
            <w:vMerge w:val="continue"/>
            <w:shd w:val="clear" w:color="auto" w:fill="EBFBFF"/>
          </w:tcPr>
          <w:p>
            <w:pPr>
              <w:spacing w:after="0"/>
              <w:rPr>
                <w:sz w:val="16"/>
                <w:szCs w:val="16"/>
                <w:color w:val="auto"/>
              </w:rPr>
            </w:pPr>
          </w:p>
        </w:tc>
        <w:tc>
          <w:tcPr>
            <w:tcW w:w="1260" w:type="dxa"/>
            <w:vAlign w:val="bottom"/>
            <w:tcBorders>
              <w:bottom w:val="single" w:sz="8" w:color="EBFBFF"/>
            </w:tcBorders>
            <w:vMerge w:val="continue"/>
            <w:shd w:val="clear" w:color="auto" w:fill="EBFBFF"/>
          </w:tcPr>
          <w:p>
            <w:pPr>
              <w:spacing w:after="0"/>
              <w:rPr>
                <w:sz w:val="16"/>
                <w:szCs w:val="16"/>
                <w:color w:val="auto"/>
              </w:rPr>
            </w:pPr>
          </w:p>
        </w:tc>
        <w:tc>
          <w:tcPr>
            <w:tcW w:w="980" w:type="dxa"/>
            <w:vAlign w:val="bottom"/>
            <w:tcBorders>
              <w:bottom w:val="single" w:sz="8" w:color="EBFBFF"/>
            </w:tcBorders>
            <w:vMerge w:val="continue"/>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780" w:type="dxa"/>
            <w:vAlign w:val="bottom"/>
          </w:tcPr>
          <w:p>
            <w:pPr>
              <w:ind w:left="140"/>
              <w:spacing w:after="0"/>
              <w:rPr>
                <w:sz w:val="20"/>
                <w:szCs w:val="20"/>
                <w:color w:val="auto"/>
              </w:rPr>
            </w:pPr>
            <w:r>
              <w:rPr>
                <w:rFonts w:ascii="Calibri" w:cs="Calibri" w:eastAsia="Calibri" w:hAnsi="Calibri"/>
                <w:sz w:val="18"/>
                <w:szCs w:val="18"/>
                <w:color w:val="51555C"/>
              </w:rPr>
              <w:t>Interest rate swaps, long-term</w:t>
            </w: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Other assets</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9,262</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80" w:type="dxa"/>
            <w:vAlign w:val="bottom"/>
          </w:tcPr>
          <w:p>
            <w:pPr>
              <w:spacing w:after="0"/>
              <w:rPr>
                <w:sz w:val="23"/>
                <w:szCs w:val="23"/>
                <w:color w:val="auto"/>
              </w:rPr>
            </w:pP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Other liabilites</w:t>
            </w:r>
          </w:p>
        </w:tc>
        <w:tc>
          <w:tcPr>
            <w:tcW w:w="1260" w:type="dxa"/>
            <w:vAlign w:val="bottom"/>
          </w:tcPr>
          <w:p>
            <w:pPr>
              <w:ind w:left="78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2780" w:type="dxa"/>
            <w:vAlign w:val="bottom"/>
            <w:tcBorders>
              <w:bottom w:val="single" w:sz="8" w:color="EBFBFF"/>
            </w:tcBorders>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 derivatve instruments</w:t>
            </w:r>
          </w:p>
        </w:tc>
        <w:tc>
          <w:tcPr>
            <w:tcW w:w="17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100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17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tcBorders>
              <w:bottom w:val="single" w:sz="8" w:color="EBFBFF"/>
            </w:tcBorders>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rPr>
              <w:t>designated as hedging instruments</w:t>
            </w:r>
          </w:p>
        </w:tc>
        <w:tc>
          <w:tcPr>
            <w:tcW w:w="1940" w:type="dxa"/>
            <w:vAlign w:val="bottom"/>
            <w:tcBorders>
              <w:bottom w:val="single" w:sz="8" w:color="EBFBFF"/>
            </w:tcBorders>
            <w:gridSpan w:val="2"/>
            <w:shd w:val="clear" w:color="auto" w:fill="EBFBFF"/>
          </w:tcPr>
          <w:p>
            <w:pPr>
              <w:jc w:val="right"/>
              <w:ind w:right="140"/>
              <w:spacing w:after="0" w:line="216" w:lineRule="exact"/>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10,550</w:t>
            </w:r>
          </w:p>
        </w:tc>
        <w:tc>
          <w:tcPr>
            <w:tcW w:w="260" w:type="dxa"/>
            <w:vAlign w:val="bottom"/>
            <w:tcBorders>
              <w:bottom w:val="single" w:sz="8" w:color="EBFBFF"/>
            </w:tcBorders>
            <w:shd w:val="clear" w:color="auto" w:fill="EBFBFF"/>
          </w:tcPr>
          <w:p>
            <w:pPr>
              <w:jc w:val="right"/>
              <w:ind w:right="70"/>
              <w:spacing w:after="0" w:line="216" w:lineRule="exact"/>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right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2020" w:type="dxa"/>
            <w:vAlign w:val="bottom"/>
            <w:tcBorders>
              <w:bottom w:val="single" w:sz="8" w:color="EBFBFF"/>
            </w:tcBorders>
            <w:gridSpan w:val="3"/>
            <w:shd w:val="clear" w:color="auto" w:fill="EBFBFF"/>
          </w:tcPr>
          <w:p>
            <w:pPr>
              <w:jc w:val="right"/>
              <w:ind w:right="140"/>
              <w:spacing w:after="0" w:line="216"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ind w:left="780"/>
              <w:spacing w:after="0" w:line="216" w:lineRule="exact"/>
              <w:rPr>
                <w:sz w:val="20"/>
                <w:szCs w:val="20"/>
                <w:color w:val="auto"/>
              </w:rPr>
            </w:pPr>
            <w:r>
              <w:rPr>
                <w:rFonts w:ascii="Calibri" w:cs="Calibri" w:eastAsia="Calibri" w:hAnsi="Calibri"/>
                <w:sz w:val="18"/>
                <w:szCs w:val="18"/>
                <w:color w:val="51555C"/>
              </w:rPr>
              <w:t>— $</w:t>
            </w:r>
          </w:p>
        </w:tc>
        <w:tc>
          <w:tcPr>
            <w:tcW w:w="98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5,540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9"/>
        </w:trPr>
        <w:tc>
          <w:tcPr>
            <w:tcW w:w="2780" w:type="dxa"/>
            <w:vAlign w:val="bottom"/>
            <w:tcBorders>
              <w:top w:val="single" w:sz="8" w:color="0CD973"/>
            </w:tcBorders>
          </w:tcPr>
          <w:p>
            <w:pPr>
              <w:spacing w:after="0"/>
              <w:rPr>
                <w:sz w:val="24"/>
                <w:szCs w:val="24"/>
                <w:color w:val="auto"/>
              </w:rPr>
            </w:pPr>
          </w:p>
        </w:tc>
        <w:tc>
          <w:tcPr>
            <w:tcW w:w="170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26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80" w:type="dxa"/>
            <w:vAlign w:val="bottom"/>
            <w:tcBorders>
              <w:top w:val="single" w:sz="8" w:color="0CD973"/>
            </w:tcBorders>
          </w:tcPr>
          <w:p>
            <w:pPr>
              <w:spacing w:after="0"/>
              <w:rPr>
                <w:sz w:val="24"/>
                <w:szCs w:val="24"/>
                <w:color w:val="auto"/>
              </w:rPr>
            </w:pPr>
          </w:p>
        </w:tc>
        <w:tc>
          <w:tcPr>
            <w:tcW w:w="3200" w:type="dxa"/>
            <w:vAlign w:val="bottom"/>
            <w:tcBorders>
              <w:top w:val="single" w:sz="8" w:color="0CD973"/>
            </w:tcBorders>
            <w:gridSpan w:val="3"/>
          </w:tcPr>
          <w:p>
            <w:pPr>
              <w:jc w:val="right"/>
              <w:ind w:right="718"/>
              <w:spacing w:after="0"/>
              <w:rPr>
                <w:sz w:val="20"/>
                <w:szCs w:val="20"/>
                <w:color w:val="auto"/>
              </w:rPr>
            </w:pPr>
            <w:r>
              <w:rPr>
                <w:rFonts w:ascii="Calibri" w:cs="Calibri" w:eastAsia="Calibri" w:hAnsi="Calibri"/>
                <w:sz w:val="14"/>
                <w:szCs w:val="14"/>
                <w:color w:val="51555C"/>
              </w:rPr>
              <w:t>2024 Form 10-K</w:t>
            </w:r>
          </w:p>
        </w:tc>
        <w:tc>
          <w:tcPr>
            <w:tcW w:w="98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-2647950</wp:posOffset>
            </wp:positionV>
            <wp:extent cx="15855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-2647950</wp:posOffset>
            </wp:positionV>
            <wp:extent cx="15855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efects of derivatve instruments in cash fow and net investment hedging relatonships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Gain recognized</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Locaton</w:t>
            </w:r>
          </w:p>
        </w:tc>
        <w:tc>
          <w:tcPr>
            <w:tcW w:w="600" w:type="dxa"/>
            <w:vAlign w:val="bottom"/>
            <w:shd w:val="clear" w:color="auto" w:fill="004054"/>
          </w:tcPr>
          <w:p>
            <w:pPr>
              <w:spacing w:after="0"/>
              <w:rPr>
                <w:sz w:val="16"/>
                <w:szCs w:val="16"/>
                <w:color w:val="auto"/>
              </w:rPr>
            </w:pPr>
          </w:p>
        </w:tc>
        <w:tc>
          <w:tcPr>
            <w:tcW w:w="18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Gain reclassifed from</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vMerge w:val="continue"/>
            <w:shd w:val="clear" w:color="auto" w:fill="004054"/>
          </w:tcPr>
          <w:p>
            <w:pPr>
              <w:spacing w:after="0"/>
              <w:rPr>
                <w:sz w:val="6"/>
                <w:szCs w:val="6"/>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gain</w:t>
            </w:r>
          </w:p>
        </w:tc>
        <w:tc>
          <w:tcPr>
            <w:tcW w:w="600" w:type="dxa"/>
            <w:vAlign w:val="bottom"/>
            <w:shd w:val="clear" w:color="auto" w:fill="004054"/>
          </w:tcPr>
          <w:p>
            <w:pPr>
              <w:spacing w:after="0"/>
              <w:rPr>
                <w:sz w:val="6"/>
                <w:szCs w:val="6"/>
                <w:color w:val="auto"/>
              </w:rPr>
            </w:pPr>
          </w:p>
        </w:tc>
        <w:tc>
          <w:tcPr>
            <w:tcW w:w="1820" w:type="dxa"/>
            <w:vAlign w:val="bottom"/>
            <w:vMerge w:val="continue"/>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280" w:type="dxa"/>
            <w:vAlign w:val="bottom"/>
            <w:shd w:val="clear" w:color="auto" w:fill="004054"/>
          </w:tcPr>
          <w:p>
            <w:pPr>
              <w:spacing w:after="0"/>
              <w:rPr>
                <w:sz w:val="8"/>
                <w:szCs w:val="8"/>
                <w:color w:val="auto"/>
              </w:rPr>
            </w:pPr>
          </w:p>
        </w:tc>
        <w:tc>
          <w:tcPr>
            <w:tcW w:w="280" w:type="dxa"/>
            <w:vAlign w:val="bottom"/>
            <w:shd w:val="clear" w:color="auto" w:fill="004054"/>
          </w:tcPr>
          <w:p>
            <w:pPr>
              <w:spacing w:after="0"/>
              <w:rPr>
                <w:sz w:val="8"/>
                <w:szCs w:val="8"/>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accumulated other</w:t>
            </w:r>
          </w:p>
        </w:tc>
        <w:tc>
          <w:tcPr>
            <w:tcW w:w="1780" w:type="dxa"/>
            <w:vAlign w:val="bottom"/>
            <w:vMerge w:val="continue"/>
            <w:shd w:val="clear" w:color="auto" w:fill="004054"/>
          </w:tcPr>
          <w:p>
            <w:pPr>
              <w:spacing w:after="0"/>
              <w:rPr>
                <w:sz w:val="8"/>
                <w:szCs w:val="8"/>
                <w:color w:val="auto"/>
              </w:rPr>
            </w:pPr>
          </w:p>
        </w:tc>
        <w:tc>
          <w:tcPr>
            <w:tcW w:w="600" w:type="dxa"/>
            <w:vAlign w:val="bottom"/>
            <w:shd w:val="clear" w:color="auto" w:fill="004054"/>
          </w:tcPr>
          <w:p>
            <w:pPr>
              <w:spacing w:after="0"/>
              <w:rPr>
                <w:sz w:val="8"/>
                <w:szCs w:val="8"/>
                <w:color w:val="auto"/>
              </w:rPr>
            </w:pPr>
          </w:p>
        </w:tc>
        <w:tc>
          <w:tcPr>
            <w:tcW w:w="18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 other</w:t>
            </w: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reclassifed from</w:t>
            </w:r>
          </w:p>
        </w:tc>
        <w:tc>
          <w:tcPr>
            <w:tcW w:w="600" w:type="dxa"/>
            <w:vAlign w:val="bottom"/>
            <w:shd w:val="clear" w:color="auto" w:fill="004054"/>
          </w:tcPr>
          <w:p>
            <w:pPr>
              <w:spacing w:after="0"/>
              <w:rPr>
                <w:sz w:val="7"/>
                <w:szCs w:val="7"/>
                <w:color w:val="auto"/>
              </w:rPr>
            </w:pPr>
          </w:p>
        </w:tc>
        <w:tc>
          <w:tcPr>
            <w:tcW w:w="18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comprehensive</w:t>
            </w:r>
          </w:p>
        </w:tc>
        <w:tc>
          <w:tcPr>
            <w:tcW w:w="1780" w:type="dxa"/>
            <w:vAlign w:val="bottom"/>
            <w:vMerge w:val="continue"/>
            <w:shd w:val="clear" w:color="auto" w:fill="004054"/>
          </w:tcPr>
          <w:p>
            <w:pPr>
              <w:spacing w:after="0"/>
              <w:rPr>
                <w:sz w:val="7"/>
                <w:szCs w:val="7"/>
                <w:color w:val="auto"/>
              </w:rPr>
            </w:pPr>
          </w:p>
        </w:tc>
        <w:tc>
          <w:tcPr>
            <w:tcW w:w="600" w:type="dxa"/>
            <w:vAlign w:val="bottom"/>
            <w:shd w:val="clear" w:color="auto" w:fill="004054"/>
          </w:tcPr>
          <w:p>
            <w:pPr>
              <w:spacing w:after="0"/>
              <w:rPr>
                <w:sz w:val="7"/>
                <w:szCs w:val="7"/>
                <w:color w:val="auto"/>
              </w:rPr>
            </w:pPr>
          </w:p>
        </w:tc>
        <w:tc>
          <w:tcPr>
            <w:tcW w:w="1820" w:type="dxa"/>
            <w:vAlign w:val="bottom"/>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comprehensive loss</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 other</w:t>
            </w:r>
          </w:p>
        </w:tc>
        <w:tc>
          <w:tcPr>
            <w:tcW w:w="600" w:type="dxa"/>
            <w:vAlign w:val="bottom"/>
            <w:shd w:val="clear" w:color="auto" w:fill="004054"/>
          </w:tcPr>
          <w:p>
            <w:pPr>
              <w:spacing w:after="0"/>
              <w:rPr>
                <w:sz w:val="7"/>
                <w:szCs w:val="7"/>
                <w:color w:val="auto"/>
              </w:rPr>
            </w:pPr>
          </w:p>
        </w:tc>
        <w:tc>
          <w:tcPr>
            <w:tcW w:w="18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as of</w:t>
            </w:r>
          </w:p>
        </w:tc>
        <w:tc>
          <w:tcPr>
            <w:tcW w:w="1780" w:type="dxa"/>
            <w:vAlign w:val="bottom"/>
            <w:vMerge w:val="continue"/>
            <w:shd w:val="clear" w:color="auto" w:fill="004054"/>
          </w:tcPr>
          <w:p>
            <w:pPr>
              <w:spacing w:after="0"/>
              <w:rPr>
                <w:sz w:val="7"/>
                <w:szCs w:val="7"/>
                <w:color w:val="auto"/>
              </w:rPr>
            </w:pPr>
          </w:p>
        </w:tc>
        <w:tc>
          <w:tcPr>
            <w:tcW w:w="600" w:type="dxa"/>
            <w:vAlign w:val="bottom"/>
            <w:shd w:val="clear" w:color="auto" w:fill="004054"/>
          </w:tcPr>
          <w:p>
            <w:pPr>
              <w:spacing w:after="0"/>
              <w:rPr>
                <w:sz w:val="7"/>
                <w:szCs w:val="7"/>
                <w:color w:val="auto"/>
              </w:rPr>
            </w:pPr>
          </w:p>
        </w:tc>
        <w:tc>
          <w:tcPr>
            <w:tcW w:w="18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into (loss) income</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comprehensive</w:t>
            </w:r>
          </w:p>
        </w:tc>
        <w:tc>
          <w:tcPr>
            <w:tcW w:w="600" w:type="dxa"/>
            <w:vAlign w:val="bottom"/>
            <w:shd w:val="clear" w:color="auto" w:fill="004054"/>
          </w:tcPr>
          <w:p>
            <w:pPr>
              <w:spacing w:after="0"/>
              <w:rPr>
                <w:sz w:val="7"/>
                <w:szCs w:val="7"/>
                <w:color w:val="auto"/>
              </w:rPr>
            </w:pPr>
          </w:p>
        </w:tc>
        <w:tc>
          <w:tcPr>
            <w:tcW w:w="18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shd w:val="clear" w:color="auto" w:fill="004054"/>
          </w:tcPr>
          <w:p>
            <w:pPr>
              <w:spacing w:after="0"/>
              <w:rPr>
                <w:sz w:val="6"/>
                <w:szCs w:val="6"/>
                <w:color w:val="auto"/>
              </w:rPr>
            </w:pPr>
          </w:p>
        </w:tc>
        <w:tc>
          <w:tcPr>
            <w:tcW w:w="1780" w:type="dxa"/>
            <w:vAlign w:val="bottom"/>
            <w:vMerge w:val="continue"/>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8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into</w:t>
            </w:r>
          </w:p>
        </w:tc>
        <w:tc>
          <w:tcPr>
            <w:tcW w:w="600" w:type="dxa"/>
            <w:vAlign w:val="bottom"/>
            <w:shd w:val="clear" w:color="auto" w:fill="004054"/>
          </w:tcPr>
          <w:p>
            <w:pPr>
              <w:spacing w:after="0"/>
              <w:rPr>
                <w:sz w:val="17"/>
                <w:szCs w:val="17"/>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w:t>
            </w:r>
          </w:p>
        </w:tc>
        <w:tc>
          <w:tcPr>
            <w:tcW w:w="60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2024</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shd w:val="clear" w:color="auto" w:fill="004054"/>
          </w:tcPr>
          <w:p>
            <w:pPr>
              <w:spacing w:after="0"/>
              <w:rPr>
                <w:sz w:val="6"/>
                <w:szCs w:val="6"/>
                <w:color w:val="auto"/>
              </w:rPr>
            </w:pPr>
          </w:p>
        </w:tc>
        <w:tc>
          <w:tcPr>
            <w:tcW w:w="178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8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right w:val="single" w:sz="8" w:color="EBFBFF"/>
            </w:tcBorders>
            <w:shd w:val="clear" w:color="auto" w:fill="EBFBFF"/>
          </w:tcPr>
          <w:p>
            <w:pPr>
              <w:spacing w:after="0"/>
              <w:rPr>
                <w:sz w:val="21"/>
                <w:szCs w:val="21"/>
                <w:color w:val="auto"/>
              </w:rPr>
            </w:pPr>
          </w:p>
        </w:tc>
        <w:tc>
          <w:tcPr>
            <w:tcW w:w="1780" w:type="dxa"/>
            <w:vAlign w:val="bottom"/>
            <w:tcBorders>
              <w:bottom w:val="single" w:sz="8" w:color="EBFBFF"/>
            </w:tcBorders>
            <w:shd w:val="clear" w:color="auto" w:fill="EBFBFF"/>
          </w:tcPr>
          <w:p>
            <w:pPr>
              <w:spacing w:after="0"/>
              <w:rPr>
                <w:sz w:val="21"/>
                <w:szCs w:val="21"/>
                <w:color w:val="auto"/>
              </w:rPr>
            </w:pPr>
          </w:p>
        </w:tc>
        <w:tc>
          <w:tcPr>
            <w:tcW w:w="600" w:type="dxa"/>
            <w:vAlign w:val="bottom"/>
            <w:tcBorders>
              <w:bottom w:val="single" w:sz="8" w:color="EBFBFF"/>
            </w:tcBorders>
            <w:shd w:val="clear" w:color="auto" w:fill="EBFBFF"/>
          </w:tcPr>
          <w:p>
            <w:pPr>
              <w:spacing w:after="0"/>
              <w:rPr>
                <w:sz w:val="21"/>
                <w:szCs w:val="21"/>
                <w:color w:val="auto"/>
              </w:rPr>
            </w:pPr>
          </w:p>
        </w:tc>
        <w:tc>
          <w:tcPr>
            <w:tcW w:w="18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spacing w:after="0"/>
              <w:rPr>
                <w:sz w:val="20"/>
                <w:szCs w:val="20"/>
                <w:color w:val="auto"/>
              </w:rPr>
            </w:pPr>
            <w:r>
              <w:rPr>
                <w:rFonts w:ascii="Calibri" w:cs="Calibri" w:eastAsia="Calibri" w:hAnsi="Calibri"/>
                <w:sz w:val="18"/>
                <w:szCs w:val="18"/>
                <w:color w:val="51555C"/>
              </w:rPr>
              <w:t>9,262</w:t>
            </w:r>
          </w:p>
        </w:tc>
        <w:tc>
          <w:tcPr>
            <w:tcW w:w="2380" w:type="dxa"/>
            <w:vAlign w:val="bottom"/>
            <w:gridSpan w:val="2"/>
          </w:tcPr>
          <w:p>
            <w:pPr>
              <w:jc w:val="right"/>
              <w:ind w:right="480"/>
              <w:spacing w:after="0"/>
              <w:rPr>
                <w:sz w:val="20"/>
                <w:szCs w:val="20"/>
                <w:color w:val="auto"/>
              </w:rPr>
            </w:pPr>
            <w:r>
              <w:rPr>
                <w:rFonts w:ascii="Calibri" w:cs="Calibri" w:eastAsia="Calibri" w:hAnsi="Calibri"/>
                <w:sz w:val="18"/>
                <w:szCs w:val="18"/>
                <w:color w:val="51555C"/>
              </w:rPr>
              <w:t>Interest expense $</w:t>
            </w:r>
          </w:p>
        </w:tc>
        <w:tc>
          <w:tcPr>
            <w:tcW w:w="1820" w:type="dxa"/>
            <w:vAlign w:val="bottom"/>
          </w:tcPr>
          <w:p>
            <w:pPr>
              <w:jc w:val="right"/>
              <w:spacing w:after="0"/>
              <w:rPr>
                <w:sz w:val="20"/>
                <w:szCs w:val="20"/>
                <w:color w:val="auto"/>
              </w:rPr>
            </w:pPr>
            <w:r>
              <w:rPr>
                <w:rFonts w:ascii="Calibri" w:cs="Calibri" w:eastAsia="Calibri" w:hAnsi="Calibri"/>
                <w:sz w:val="18"/>
                <w:szCs w:val="18"/>
                <w:color w:val="51555C"/>
              </w:rPr>
              <w:t>19,134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937</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Revenue $</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351</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tcPr>
          <w:p>
            <w:pPr>
              <w:spacing w:after="0"/>
              <w:rPr>
                <w:sz w:val="15"/>
                <w:szCs w:val="15"/>
                <w:color w:val="auto"/>
              </w:rPr>
            </w:pPr>
          </w:p>
        </w:tc>
        <w:tc>
          <w:tcPr>
            <w:tcW w:w="60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780" w:type="dxa"/>
            <w:vAlign w:val="bottom"/>
          </w:tcPr>
          <w:p>
            <w:pPr>
              <w:spacing w:after="0"/>
              <w:rPr>
                <w:sz w:val="15"/>
                <w:szCs w:val="15"/>
                <w:color w:val="auto"/>
              </w:rPr>
            </w:pPr>
          </w:p>
        </w:tc>
        <w:tc>
          <w:tcPr>
            <w:tcW w:w="60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280" w:type="dxa"/>
            <w:vAlign w:val="bottom"/>
            <w:tcBorders>
              <w:bottom w:val="single" w:sz="8" w:color="EBFBFF"/>
            </w:tcBorders>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480" w:type="dxa"/>
            <w:vAlign w:val="bottom"/>
            <w:tcBorders>
              <w:bottom w:val="single" w:sz="8" w:color="004054"/>
              <w:right w:val="single" w:sz="8" w:color="004054"/>
            </w:tcBorders>
            <w:shd w:val="clear" w:color="auto" w:fill="004054"/>
          </w:tcPr>
          <w:p>
            <w:pPr>
              <w:spacing w:after="0"/>
              <w:rPr>
                <w:sz w:val="5"/>
                <w:szCs w:val="5"/>
                <w:color w:val="auto"/>
              </w:rPr>
            </w:pPr>
          </w:p>
        </w:tc>
        <w:tc>
          <w:tcPr>
            <w:tcW w:w="1780" w:type="dxa"/>
            <w:vAlign w:val="bottom"/>
            <w:tcBorders>
              <w:bottom w:val="single" w:sz="8" w:color="EBFBFF"/>
            </w:tcBorders>
          </w:tcPr>
          <w:p>
            <w:pPr>
              <w:spacing w:after="0"/>
              <w:rPr>
                <w:sz w:val="5"/>
                <w:szCs w:val="5"/>
                <w:color w:val="auto"/>
              </w:rPr>
            </w:pPr>
          </w:p>
        </w:tc>
        <w:tc>
          <w:tcPr>
            <w:tcW w:w="600" w:type="dxa"/>
            <w:vAlign w:val="bottom"/>
            <w:tcBorders>
              <w:bottom w:val="single" w:sz="8" w:color="004054"/>
            </w:tcBorders>
            <w:shd w:val="clear" w:color="auto" w:fill="004054"/>
          </w:tcPr>
          <w:p>
            <w:pPr>
              <w:spacing w:after="0"/>
              <w:rPr>
                <w:sz w:val="5"/>
                <w:szCs w:val="5"/>
                <w:color w:val="auto"/>
              </w:rPr>
            </w:pPr>
          </w:p>
        </w:tc>
        <w:tc>
          <w:tcPr>
            <w:tcW w:w="18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0"/>
                <w:szCs w:val="20"/>
                <w:color w:val="auto"/>
              </w:rPr>
            </w:pPr>
          </w:p>
        </w:tc>
        <w:tc>
          <w:tcPr>
            <w:tcW w:w="1480" w:type="dxa"/>
            <w:vAlign w:val="bottom"/>
            <w:tcBorders>
              <w:bottom w:val="single" w:sz="8" w:color="EBFBFF"/>
              <w:right w:val="single" w:sz="8" w:color="EBFBFF"/>
            </w:tcBorders>
            <w:shd w:val="clear" w:color="auto" w:fill="EBFBFF"/>
          </w:tcPr>
          <w:p>
            <w:pPr>
              <w:spacing w:after="0"/>
              <w:rPr>
                <w:sz w:val="20"/>
                <w:szCs w:val="20"/>
                <w:color w:val="auto"/>
              </w:rPr>
            </w:pPr>
          </w:p>
        </w:tc>
        <w:tc>
          <w:tcPr>
            <w:tcW w:w="1780" w:type="dxa"/>
            <w:vAlign w:val="bottom"/>
            <w:tcBorders>
              <w:bottom w:val="single" w:sz="8" w:color="EBFBFF"/>
            </w:tcBorders>
            <w:shd w:val="clear" w:color="auto" w:fill="EBFBFF"/>
          </w:tcPr>
          <w:p>
            <w:pPr>
              <w:spacing w:after="0"/>
              <w:rPr>
                <w:sz w:val="20"/>
                <w:szCs w:val="20"/>
                <w:color w:val="auto"/>
              </w:rPr>
            </w:pPr>
          </w:p>
        </w:tc>
        <w:tc>
          <w:tcPr>
            <w:tcW w:w="600" w:type="dxa"/>
            <w:vAlign w:val="bottom"/>
            <w:tcBorders>
              <w:bottom w:val="single" w:sz="8" w:color="EBFBFF"/>
            </w:tcBorders>
            <w:shd w:val="clear" w:color="auto" w:fill="EBFBFF"/>
          </w:tcPr>
          <w:p>
            <w:pPr>
              <w:spacing w:after="0"/>
              <w:rPr>
                <w:sz w:val="20"/>
                <w:szCs w:val="20"/>
                <w:color w:val="auto"/>
              </w:rPr>
            </w:pPr>
          </w:p>
        </w:tc>
        <w:tc>
          <w:tcPr>
            <w:tcW w:w="1820" w:type="dxa"/>
            <w:vAlign w:val="bottom"/>
            <w:tcBorders>
              <w:bottom w:val="single" w:sz="8" w:color="EBFBFF"/>
            </w:tcBorders>
            <w:shd w:val="clear" w:color="auto" w:fill="EBFB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spacing w:after="0"/>
              <w:rPr>
                <w:sz w:val="20"/>
                <w:szCs w:val="20"/>
                <w:color w:val="auto"/>
              </w:rPr>
            </w:pPr>
            <w:r>
              <w:rPr>
                <w:rFonts w:ascii="Calibri" w:cs="Calibri" w:eastAsia="Calibri" w:hAnsi="Calibri"/>
                <w:sz w:val="18"/>
                <w:szCs w:val="18"/>
                <w:color w:val="51555C"/>
              </w:rPr>
              <w:t>11,194</w:t>
            </w:r>
          </w:p>
        </w:tc>
        <w:tc>
          <w:tcPr>
            <w:tcW w:w="2380" w:type="dxa"/>
            <w:vAlign w:val="bottom"/>
            <w:gridSpan w:val="2"/>
          </w:tcPr>
          <w:p>
            <w:pPr>
              <w:jc w:val="right"/>
              <w:ind w:right="480"/>
              <w:spacing w:after="0"/>
              <w:rPr>
                <w:sz w:val="20"/>
                <w:szCs w:val="20"/>
                <w:color w:val="auto"/>
              </w:rPr>
            </w:pPr>
            <w:r>
              <w:rPr>
                <w:rFonts w:ascii="Calibri" w:cs="Calibri" w:eastAsia="Calibri" w:hAnsi="Calibri"/>
                <w:sz w:val="18"/>
                <w:szCs w:val="18"/>
                <w:color w:val="51555C"/>
              </w:rPr>
              <w:t>Interest expense $</w:t>
            </w:r>
          </w:p>
        </w:tc>
        <w:tc>
          <w:tcPr>
            <w:tcW w:w="1820" w:type="dxa"/>
            <w:vAlign w:val="bottom"/>
          </w:tcPr>
          <w:p>
            <w:pPr>
              <w:jc w:val="right"/>
              <w:spacing w:after="0"/>
              <w:rPr>
                <w:sz w:val="20"/>
                <w:szCs w:val="20"/>
                <w:color w:val="auto"/>
              </w:rPr>
            </w:pPr>
            <w:r>
              <w:rPr>
                <w:rFonts w:ascii="Calibri" w:cs="Calibri" w:eastAsia="Calibri" w:hAnsi="Calibri"/>
                <w:sz w:val="18"/>
                <w:szCs w:val="18"/>
                <w:color w:val="51555C"/>
              </w:rPr>
              <w:t>20,418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(235)</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Revenue $</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(301)</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tcPr>
          <w:p>
            <w:pPr>
              <w:spacing w:after="0"/>
              <w:rPr>
                <w:sz w:val="15"/>
                <w:szCs w:val="15"/>
                <w:color w:val="auto"/>
              </w:rPr>
            </w:pPr>
          </w:p>
        </w:tc>
        <w:tc>
          <w:tcPr>
            <w:tcW w:w="60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780" w:type="dxa"/>
            <w:vAlign w:val="bottom"/>
          </w:tcPr>
          <w:p>
            <w:pPr>
              <w:spacing w:after="0"/>
              <w:rPr>
                <w:sz w:val="15"/>
                <w:szCs w:val="15"/>
                <w:color w:val="auto"/>
              </w:rPr>
            </w:pPr>
          </w:p>
        </w:tc>
        <w:tc>
          <w:tcPr>
            <w:tcW w:w="600" w:type="dxa"/>
            <w:vAlign w:val="bottom"/>
            <w:shd w:val="clear" w:color="auto" w:fill="004054"/>
          </w:tcPr>
          <w:p>
            <w:pPr>
              <w:spacing w:after="0"/>
              <w:rPr>
                <w:sz w:val="15"/>
                <w:szCs w:val="15"/>
                <w:color w:val="auto"/>
              </w:rPr>
            </w:pPr>
          </w:p>
        </w:tc>
        <w:tc>
          <w:tcPr>
            <w:tcW w:w="1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2022</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5280" w:type="dxa"/>
            <w:vAlign w:val="bottom"/>
            <w:tcBorders>
              <w:bottom w:val="single" w:sz="8" w:color="EBFBFF"/>
            </w:tcBorders>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480" w:type="dxa"/>
            <w:vAlign w:val="bottom"/>
            <w:tcBorders>
              <w:bottom w:val="single" w:sz="8" w:color="004054"/>
              <w:right w:val="single" w:sz="8" w:color="004054"/>
            </w:tcBorders>
            <w:shd w:val="clear" w:color="auto" w:fill="004054"/>
          </w:tcPr>
          <w:p>
            <w:pPr>
              <w:spacing w:after="0"/>
              <w:rPr>
                <w:sz w:val="5"/>
                <w:szCs w:val="5"/>
                <w:color w:val="auto"/>
              </w:rPr>
            </w:pPr>
          </w:p>
        </w:tc>
        <w:tc>
          <w:tcPr>
            <w:tcW w:w="1780" w:type="dxa"/>
            <w:vAlign w:val="bottom"/>
            <w:tcBorders>
              <w:bottom w:val="single" w:sz="8" w:color="EBFBFF"/>
            </w:tcBorders>
          </w:tcPr>
          <w:p>
            <w:pPr>
              <w:spacing w:after="0"/>
              <w:rPr>
                <w:sz w:val="5"/>
                <w:szCs w:val="5"/>
                <w:color w:val="auto"/>
              </w:rPr>
            </w:pPr>
          </w:p>
        </w:tc>
        <w:tc>
          <w:tcPr>
            <w:tcW w:w="600" w:type="dxa"/>
            <w:vAlign w:val="bottom"/>
            <w:tcBorders>
              <w:bottom w:val="single" w:sz="8" w:color="004054"/>
            </w:tcBorders>
            <w:shd w:val="clear" w:color="auto" w:fill="004054"/>
          </w:tcPr>
          <w:p>
            <w:pPr>
              <w:spacing w:after="0"/>
              <w:rPr>
                <w:sz w:val="5"/>
                <w:szCs w:val="5"/>
                <w:color w:val="auto"/>
              </w:rPr>
            </w:pPr>
          </w:p>
        </w:tc>
        <w:tc>
          <w:tcPr>
            <w:tcW w:w="18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0"/>
                <w:szCs w:val="20"/>
                <w:color w:val="auto"/>
              </w:rPr>
            </w:pPr>
          </w:p>
        </w:tc>
        <w:tc>
          <w:tcPr>
            <w:tcW w:w="1480" w:type="dxa"/>
            <w:vAlign w:val="bottom"/>
            <w:tcBorders>
              <w:bottom w:val="single" w:sz="8" w:color="EBFBFF"/>
              <w:right w:val="single" w:sz="8" w:color="EBFBFF"/>
            </w:tcBorders>
            <w:shd w:val="clear" w:color="auto" w:fill="EBFBFF"/>
          </w:tcPr>
          <w:p>
            <w:pPr>
              <w:spacing w:after="0"/>
              <w:rPr>
                <w:sz w:val="20"/>
                <w:szCs w:val="20"/>
                <w:color w:val="auto"/>
              </w:rPr>
            </w:pPr>
          </w:p>
        </w:tc>
        <w:tc>
          <w:tcPr>
            <w:tcW w:w="1780" w:type="dxa"/>
            <w:vAlign w:val="bottom"/>
            <w:tcBorders>
              <w:bottom w:val="single" w:sz="8" w:color="EBFBFF"/>
            </w:tcBorders>
            <w:shd w:val="clear" w:color="auto" w:fill="EBFBFF"/>
          </w:tcPr>
          <w:p>
            <w:pPr>
              <w:spacing w:after="0"/>
              <w:rPr>
                <w:sz w:val="20"/>
                <w:szCs w:val="20"/>
                <w:color w:val="auto"/>
              </w:rPr>
            </w:pPr>
          </w:p>
        </w:tc>
        <w:tc>
          <w:tcPr>
            <w:tcW w:w="600" w:type="dxa"/>
            <w:vAlign w:val="bottom"/>
            <w:tcBorders>
              <w:bottom w:val="single" w:sz="8" w:color="EBFBFF"/>
            </w:tcBorders>
            <w:shd w:val="clear" w:color="auto" w:fill="EBFBFF"/>
          </w:tcPr>
          <w:p>
            <w:pPr>
              <w:spacing w:after="0"/>
              <w:rPr>
                <w:sz w:val="20"/>
                <w:szCs w:val="20"/>
                <w:color w:val="auto"/>
              </w:rPr>
            </w:pPr>
          </w:p>
        </w:tc>
        <w:tc>
          <w:tcPr>
            <w:tcW w:w="1820" w:type="dxa"/>
            <w:vAlign w:val="bottom"/>
            <w:tcBorders>
              <w:bottom w:val="single" w:sz="8" w:color="EBFBFF"/>
            </w:tcBorders>
            <w:shd w:val="clear" w:color="auto" w:fill="EBFB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spacing w:after="0"/>
              <w:rPr>
                <w:sz w:val="20"/>
                <w:szCs w:val="20"/>
                <w:color w:val="auto"/>
              </w:rPr>
            </w:pPr>
            <w:r>
              <w:rPr>
                <w:rFonts w:ascii="Calibri" w:cs="Calibri" w:eastAsia="Calibri" w:hAnsi="Calibri"/>
                <w:sz w:val="18"/>
                <w:szCs w:val="18"/>
                <w:color w:val="51555C"/>
              </w:rPr>
              <w:t>31,870</w:t>
            </w:r>
          </w:p>
        </w:tc>
        <w:tc>
          <w:tcPr>
            <w:tcW w:w="2380" w:type="dxa"/>
            <w:vAlign w:val="bottom"/>
            <w:gridSpan w:val="2"/>
          </w:tcPr>
          <w:p>
            <w:pPr>
              <w:jc w:val="right"/>
              <w:ind w:right="480"/>
              <w:spacing w:after="0"/>
              <w:rPr>
                <w:sz w:val="20"/>
                <w:szCs w:val="20"/>
                <w:color w:val="auto"/>
              </w:rPr>
            </w:pPr>
            <w:r>
              <w:rPr>
                <w:rFonts w:ascii="Calibri" w:cs="Calibri" w:eastAsia="Calibri" w:hAnsi="Calibri"/>
                <w:sz w:val="18"/>
                <w:szCs w:val="18"/>
                <w:color w:val="51555C"/>
              </w:rPr>
              <w:t>Interest expense $</w:t>
            </w:r>
          </w:p>
        </w:tc>
        <w:tc>
          <w:tcPr>
            <w:tcW w:w="1820" w:type="dxa"/>
            <w:vAlign w:val="bottom"/>
          </w:tcPr>
          <w:p>
            <w:pPr>
              <w:jc w:val="right"/>
              <w:spacing w:after="0"/>
              <w:rPr>
                <w:sz w:val="20"/>
                <w:szCs w:val="20"/>
                <w:color w:val="auto"/>
              </w:rPr>
            </w:pPr>
            <w:r>
              <w:rPr>
                <w:rFonts w:ascii="Calibri" w:cs="Calibri" w:eastAsia="Calibri" w:hAnsi="Calibri"/>
                <w:sz w:val="18"/>
                <w:szCs w:val="18"/>
                <w:color w:val="51555C"/>
              </w:rPr>
              <w:t>5,520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247</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Revenue $</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(323)</w:t>
            </w:r>
          </w:p>
        </w:tc>
        <w:tc>
          <w:tcPr>
            <w:tcW w:w="2380" w:type="dxa"/>
            <w:vAlign w:val="bottom"/>
            <w:tcBorders>
              <w:bottom w:val="single" w:sz="8" w:color="EBFBFF"/>
            </w:tcBorders>
            <w:gridSpan w:val="2"/>
            <w:shd w:val="clear" w:color="auto" w:fill="EBFBFF"/>
          </w:tcPr>
          <w:p>
            <w:pPr>
              <w:jc w:val="right"/>
              <w:ind w:right="480"/>
              <w:spacing w:after="0"/>
              <w:rPr>
                <w:sz w:val="20"/>
                <w:szCs w:val="20"/>
                <w:color w:val="auto"/>
              </w:rPr>
            </w:pPr>
            <w:r>
              <w:rPr>
                <w:rFonts w:ascii="Calibri" w:cs="Calibri" w:eastAsia="Calibri" w:hAnsi="Calibri"/>
                <w:sz w:val="18"/>
                <w:szCs w:val="18"/>
                <w:color w:val="51555C"/>
              </w:rPr>
              <w:t>$</w:t>
            </w:r>
          </w:p>
        </w:tc>
        <w:tc>
          <w:tcPr>
            <w:tcW w:w="1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480" w:type="dxa"/>
            <w:vAlign w:val="bottom"/>
            <w:tcBorders>
              <w:right w:val="single" w:sz="8" w:color="0CD973"/>
            </w:tcBorders>
            <w:shd w:val="clear" w:color="auto" w:fill="0CD973"/>
          </w:tcPr>
          <w:p>
            <w:pPr>
              <w:spacing w:after="0" w:line="20" w:lineRule="exact"/>
              <w:rPr>
                <w:sz w:val="1"/>
                <w:szCs w:val="1"/>
                <w:color w:val="auto"/>
              </w:rPr>
            </w:pPr>
          </w:p>
        </w:tc>
        <w:tc>
          <w:tcPr>
            <w:tcW w:w="1780" w:type="dxa"/>
            <w:vAlign w:val="bottom"/>
            <w:shd w:val="clear" w:color="auto" w:fill="0CD973"/>
          </w:tcPr>
          <w:p>
            <w:pPr>
              <w:spacing w:after="0" w:line="20" w:lineRule="exact"/>
              <w:rPr>
                <w:sz w:val="1"/>
                <w:szCs w:val="1"/>
                <w:color w:val="auto"/>
              </w:rPr>
            </w:pPr>
          </w:p>
        </w:tc>
        <w:tc>
          <w:tcPr>
            <w:tcW w:w="600" w:type="dxa"/>
            <w:vAlign w:val="bottom"/>
            <w:shd w:val="clear" w:color="auto" w:fill="0CD973"/>
          </w:tcPr>
          <w:p>
            <w:pPr>
              <w:spacing w:after="0" w:line="20" w:lineRule="exact"/>
              <w:rPr>
                <w:sz w:val="1"/>
                <w:szCs w:val="1"/>
                <w:color w:val="auto"/>
              </w:rPr>
            </w:pPr>
          </w:p>
        </w:tc>
        <w:tc>
          <w:tcPr>
            <w:tcW w:w="18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-3470910</wp:posOffset>
            </wp:positionV>
            <wp:extent cx="1543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-3470910</wp:posOffset>
            </wp:positionV>
            <wp:extent cx="11226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14"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7"/>
          <w:szCs w:val="17"/>
          <w:color w:val="51555C"/>
        </w:rPr>
        <w:t>Our policy requires that derivatves used for hedging purposes be designated and efectve as a hedge of the identfed risk exposure at the incepton of the contract. Accumulated other comprehensive income (loss) includes unrealized gains or losses from the change in fair value measurement of our derivatve instruments each reportng period and the related income tax expense or beneft. Excluding net investment hedges, changes in the fair value measurements of the derivatve instruments and the related income tax expense or beneft are refected as adjustments to accumulated other comprehensive income (loss) untl the actual hedged expense is incurred or untl the hedge is terminated at which point the unrealized gain (loss) and related tax efects are reclassifed from accumulated other comprehensive income (loss) to current earnings. For net investment hedges, changes in the fair value measurements of the derivatve instruments and the related income tax expense or beneft are refected as adjustments to translaton adjustment, a component of accumulated other comprehensive income (loss), and recognized in earnings only when the hedged GBP investment is liquidated. The estmated accumulated other comprehensive income as of December 31, 2024 that is expected to be reclassifed into earnings within the next twelve months is $5.0 million. There were no inefectve portons of our interest rate swap or foreign currency forward derivatves during the years ended December 31, 2024, 2023 and 2022. See Note 14 to these consolidated fnancial statements for a summary of the changes in accumulated other comprehensive income (loss) by component. We classify cash fows related to derivatve instruments as operatng actvites in the consolidated statements of cash fows.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We did not have any undesignated derivatve instruments during 2024, 2023 and 2022.</w:t>
      </w:r>
    </w:p>
    <w:p>
      <w:pPr>
        <w:spacing w:after="0" w:line="19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11.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Leases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operatng leases for corporate ofces, subleased ofces and certain equipment and furniture. As of December 31, 2024, we did not have any operatng leases that had not yet commenced.</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94</w:t>
      </w:r>
      <w:r>
        <w:rPr>
          <w:sz w:val="20"/>
          <w:szCs w:val="20"/>
          <w:color w:val="auto"/>
        </w:rPr>
        <w:tab/>
      </w:r>
      <w:r>
        <w:rPr>
          <w:sz w:val="1"/>
          <w:szCs w:val="1"/>
          <w:color w:val="auto"/>
        </w:rPr>
        <w:drawing>
          <wp:inline distT="0" distB="0" distL="0" distR="0">
            <wp:extent cx="728345" cy="18859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the components of our lease expense: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shd w:val="clear" w:color="auto" w:fill="004054"/>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6"/>
                <w:szCs w:val="16"/>
                <w:color w:val="auto"/>
              </w:rPr>
            </w:pPr>
          </w:p>
        </w:tc>
      </w:tr>
      <w:tr>
        <w:trPr>
          <w:trHeight w:val="170"/>
        </w:trPr>
        <w:tc>
          <w:tcPr>
            <w:tcW w:w="6940" w:type="dxa"/>
            <w:vAlign w:val="bottom"/>
            <w:shd w:val="clear" w:color="auto" w:fill="004054"/>
          </w:tcPr>
          <w:p>
            <w:pPr>
              <w:spacing w:after="0"/>
              <w:rPr>
                <w:sz w:val="14"/>
                <w:szCs w:val="14"/>
                <w:color w:val="auto"/>
              </w:rPr>
            </w:pPr>
          </w:p>
        </w:tc>
        <w:tc>
          <w:tcPr>
            <w:tcW w:w="52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43"/>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2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50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60" w:type="dxa"/>
            <w:vAlign w:val="bottom"/>
            <w:shd w:val="clear" w:color="auto" w:fill="004054"/>
          </w:tcPr>
          <w:p>
            <w:pPr>
              <w:spacing w:after="0"/>
              <w:rPr>
                <w:sz w:val="21"/>
                <w:szCs w:val="21"/>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1"/>
                <w:szCs w:val="21"/>
                <w:color w:val="auto"/>
              </w:rPr>
            </w:pPr>
          </w:p>
        </w:tc>
      </w:tr>
      <w:tr>
        <w:trPr>
          <w:trHeight w:val="74"/>
        </w:trPr>
        <w:tc>
          <w:tcPr>
            <w:tcW w:w="6940" w:type="dxa"/>
            <w:vAlign w:val="bottom"/>
            <w:shd w:val="clear" w:color="auto" w:fill="004054"/>
          </w:tcPr>
          <w:p>
            <w:pPr>
              <w:spacing w:after="0"/>
              <w:rPr>
                <w:sz w:val="6"/>
                <w:szCs w:val="6"/>
                <w:color w:val="auto"/>
              </w:rPr>
            </w:pPr>
          </w:p>
        </w:tc>
        <w:tc>
          <w:tcPr>
            <w:tcW w:w="52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69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Operatng lease cost</w:t>
            </w:r>
            <w:r>
              <w:rPr>
                <w:rFonts w:ascii="Calibri" w:cs="Calibri" w:eastAsia="Calibri" w:hAnsi="Calibri"/>
                <w:sz w:val="23"/>
                <w:szCs w:val="23"/>
                <w:color w:val="51555C"/>
                <w:vertAlign w:val="superscript"/>
              </w:rPr>
              <w:t>(1)</w:t>
            </w:r>
          </w:p>
        </w:tc>
        <w:tc>
          <w:tcPr>
            <w:tcW w:w="520" w:type="dxa"/>
            <w:vAlign w:val="bottom"/>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20" w:type="dxa"/>
            <w:vAlign w:val="bottom"/>
            <w:shd w:val="clear" w:color="auto" w:fill="EBFBFF"/>
          </w:tcPr>
          <w:p>
            <w:pPr>
              <w:jc w:val="center"/>
              <w:ind w:left="314"/>
              <w:spacing w:after="0"/>
              <w:rPr>
                <w:sz w:val="20"/>
                <w:szCs w:val="20"/>
                <w:color w:val="auto"/>
              </w:rPr>
            </w:pPr>
            <w:r>
              <w:rPr>
                <w:rFonts w:ascii="Calibri" w:cs="Calibri" w:eastAsia="Calibri" w:hAnsi="Calibri"/>
                <w:sz w:val="18"/>
                <w:szCs w:val="18"/>
                <w:color w:val="51555C"/>
                <w:w w:val="97"/>
              </w:rPr>
              <w:t>6,430</w:t>
            </w:r>
          </w:p>
        </w:tc>
        <w:tc>
          <w:tcPr>
            <w:tcW w:w="500" w:type="dxa"/>
            <w:vAlign w:val="bottom"/>
            <w:shd w:val="clear" w:color="auto" w:fill="EBFBFF"/>
          </w:tcPr>
          <w:p>
            <w:pPr>
              <w:jc w:val="right"/>
              <w:ind w:right="310"/>
              <w:spacing w:after="0"/>
              <w:rPr>
                <w:sz w:val="20"/>
                <w:szCs w:val="20"/>
                <w:color w:val="auto"/>
              </w:rPr>
            </w:pPr>
            <w:r>
              <w:rPr>
                <w:rFonts w:ascii="Calibri" w:cs="Calibri" w:eastAsia="Calibri" w:hAnsi="Calibri"/>
                <w:sz w:val="18"/>
                <w:szCs w:val="18"/>
                <w:color w:val="51555C"/>
                <w:w w:val="87"/>
              </w:rPr>
              <w:t>$</w:t>
            </w:r>
          </w:p>
        </w:tc>
        <w:tc>
          <w:tcPr>
            <w:tcW w:w="920" w:type="dxa"/>
            <w:vAlign w:val="bottom"/>
            <w:shd w:val="clear" w:color="auto" w:fill="EBFBFF"/>
          </w:tcPr>
          <w:p>
            <w:pPr>
              <w:jc w:val="center"/>
              <w:ind w:left="314"/>
              <w:spacing w:after="0"/>
              <w:rPr>
                <w:sz w:val="20"/>
                <w:szCs w:val="20"/>
                <w:color w:val="auto"/>
              </w:rPr>
            </w:pPr>
            <w:r>
              <w:rPr>
                <w:rFonts w:ascii="Calibri" w:cs="Calibri" w:eastAsia="Calibri" w:hAnsi="Calibri"/>
                <w:sz w:val="18"/>
                <w:szCs w:val="18"/>
                <w:color w:val="51555C"/>
                <w:w w:val="97"/>
              </w:rPr>
              <w:t>8,812</w:t>
            </w:r>
          </w:p>
        </w:tc>
        <w:tc>
          <w:tcPr>
            <w:tcW w:w="360" w:type="dxa"/>
            <w:vAlign w:val="bottom"/>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shd w:val="clear" w:color="auto" w:fill="EBFBFF"/>
          </w:tcPr>
          <w:p>
            <w:pPr>
              <w:jc w:val="center"/>
              <w:ind w:left="478"/>
              <w:spacing w:after="0"/>
              <w:rPr>
                <w:sz w:val="20"/>
                <w:szCs w:val="20"/>
                <w:color w:val="auto"/>
              </w:rPr>
            </w:pPr>
            <w:r>
              <w:rPr>
                <w:rFonts w:ascii="Calibri" w:cs="Calibri" w:eastAsia="Calibri" w:hAnsi="Calibri"/>
                <w:sz w:val="18"/>
                <w:szCs w:val="18"/>
                <w:color w:val="51555C"/>
                <w:w w:val="97"/>
              </w:rPr>
              <w:t>9,501</w:t>
            </w:r>
          </w:p>
        </w:tc>
        <w:tc>
          <w:tcPr>
            <w:tcW w:w="20" w:type="dxa"/>
            <w:vAlign w:val="bottom"/>
          </w:tcPr>
          <w:p>
            <w:pPr>
              <w:spacing w:after="0"/>
              <w:rPr>
                <w:sz w:val="24"/>
                <w:szCs w:val="24"/>
                <w:color w:val="auto"/>
              </w:rPr>
            </w:pPr>
          </w:p>
        </w:tc>
      </w:tr>
      <w:tr>
        <w:trPr>
          <w:trHeight w:val="219"/>
        </w:trPr>
        <w:tc>
          <w:tcPr>
            <w:tcW w:w="6940" w:type="dxa"/>
            <w:vAlign w:val="bottom"/>
          </w:tcPr>
          <w:p>
            <w:pPr>
              <w:ind w:left="20"/>
              <w:spacing w:after="0"/>
              <w:rPr>
                <w:sz w:val="20"/>
                <w:szCs w:val="20"/>
                <w:color w:val="auto"/>
              </w:rPr>
            </w:pPr>
            <w:r>
              <w:rPr>
                <w:rFonts w:ascii="Calibri" w:cs="Calibri" w:eastAsia="Calibri" w:hAnsi="Calibri"/>
                <w:sz w:val="18"/>
                <w:szCs w:val="18"/>
                <w:color w:val="51555C"/>
              </w:rPr>
              <w:t>Variable lease cost</w:t>
            </w:r>
          </w:p>
        </w:tc>
        <w:tc>
          <w:tcPr>
            <w:tcW w:w="520" w:type="dxa"/>
            <w:vAlign w:val="bottom"/>
          </w:tcPr>
          <w:p>
            <w:pPr>
              <w:spacing w:after="0"/>
              <w:rPr>
                <w:sz w:val="19"/>
                <w:szCs w:val="19"/>
                <w:color w:val="auto"/>
              </w:rPr>
            </w:pPr>
          </w:p>
        </w:tc>
        <w:tc>
          <w:tcPr>
            <w:tcW w:w="920" w:type="dxa"/>
            <w:vAlign w:val="bottom"/>
          </w:tcPr>
          <w:p>
            <w:pPr>
              <w:jc w:val="center"/>
              <w:ind w:left="314"/>
              <w:spacing w:after="0"/>
              <w:rPr>
                <w:sz w:val="20"/>
                <w:szCs w:val="20"/>
                <w:color w:val="auto"/>
              </w:rPr>
            </w:pPr>
            <w:r>
              <w:rPr>
                <w:rFonts w:ascii="Calibri" w:cs="Calibri" w:eastAsia="Calibri" w:hAnsi="Calibri"/>
                <w:sz w:val="18"/>
                <w:szCs w:val="18"/>
                <w:color w:val="51555C"/>
                <w:w w:val="97"/>
              </w:rPr>
              <w:t>1,131</w:t>
            </w:r>
          </w:p>
        </w:tc>
        <w:tc>
          <w:tcPr>
            <w:tcW w:w="500" w:type="dxa"/>
            <w:vAlign w:val="bottom"/>
          </w:tcPr>
          <w:p>
            <w:pPr>
              <w:spacing w:after="0"/>
              <w:rPr>
                <w:sz w:val="19"/>
                <w:szCs w:val="19"/>
                <w:color w:val="auto"/>
              </w:rPr>
            </w:pPr>
          </w:p>
        </w:tc>
        <w:tc>
          <w:tcPr>
            <w:tcW w:w="920" w:type="dxa"/>
            <w:vAlign w:val="bottom"/>
          </w:tcPr>
          <w:p>
            <w:pPr>
              <w:jc w:val="center"/>
              <w:ind w:left="314"/>
              <w:spacing w:after="0"/>
              <w:rPr>
                <w:sz w:val="20"/>
                <w:szCs w:val="20"/>
                <w:color w:val="auto"/>
              </w:rPr>
            </w:pPr>
            <w:r>
              <w:rPr>
                <w:rFonts w:ascii="Calibri" w:cs="Calibri" w:eastAsia="Calibri" w:hAnsi="Calibri"/>
                <w:sz w:val="18"/>
                <w:szCs w:val="18"/>
                <w:color w:val="51555C"/>
                <w:w w:val="97"/>
              </w:rPr>
              <w:t>1,431</w:t>
            </w:r>
          </w:p>
        </w:tc>
        <w:tc>
          <w:tcPr>
            <w:tcW w:w="360" w:type="dxa"/>
            <w:vAlign w:val="bottom"/>
          </w:tcPr>
          <w:p>
            <w:pPr>
              <w:spacing w:after="0"/>
              <w:rPr>
                <w:sz w:val="19"/>
                <w:szCs w:val="19"/>
                <w:color w:val="auto"/>
              </w:rPr>
            </w:pPr>
          </w:p>
        </w:tc>
        <w:tc>
          <w:tcPr>
            <w:tcW w:w="1080" w:type="dxa"/>
            <w:vAlign w:val="bottom"/>
          </w:tcPr>
          <w:p>
            <w:pPr>
              <w:jc w:val="center"/>
              <w:ind w:left="478"/>
              <w:spacing w:after="0"/>
              <w:rPr>
                <w:sz w:val="20"/>
                <w:szCs w:val="20"/>
                <w:color w:val="auto"/>
              </w:rPr>
            </w:pPr>
            <w:r>
              <w:rPr>
                <w:rFonts w:ascii="Calibri" w:cs="Calibri" w:eastAsia="Calibri" w:hAnsi="Calibri"/>
                <w:sz w:val="18"/>
                <w:szCs w:val="18"/>
                <w:color w:val="51555C"/>
                <w:w w:val="97"/>
              </w:rPr>
              <w:t>1,670</w:t>
            </w:r>
          </w:p>
        </w:tc>
        <w:tc>
          <w:tcPr>
            <w:tcW w:w="20" w:type="dxa"/>
            <w:vAlign w:val="bottom"/>
          </w:tcPr>
          <w:p>
            <w:pPr>
              <w:spacing w:after="0"/>
              <w:rPr>
                <w:sz w:val="19"/>
                <w:szCs w:val="19"/>
                <w:color w:val="auto"/>
              </w:rPr>
            </w:pPr>
          </w:p>
        </w:tc>
      </w:tr>
      <w:tr>
        <w:trPr>
          <w:trHeight w:val="51"/>
        </w:trPr>
        <w:tc>
          <w:tcPr>
            <w:tcW w:w="6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Sublease income</w:t>
            </w:r>
          </w:p>
        </w:tc>
        <w:tc>
          <w:tcPr>
            <w:tcW w:w="5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center"/>
              <w:ind w:left="274"/>
              <w:spacing w:after="0"/>
              <w:rPr>
                <w:sz w:val="20"/>
                <w:szCs w:val="20"/>
                <w:color w:val="auto"/>
              </w:rPr>
            </w:pPr>
            <w:r>
              <w:rPr>
                <w:rFonts w:ascii="Calibri" w:cs="Calibri" w:eastAsia="Calibri" w:hAnsi="Calibri"/>
                <w:sz w:val="18"/>
                <w:szCs w:val="18"/>
                <w:color w:val="51555C"/>
              </w:rPr>
              <w:t>(3,400)</w:t>
            </w:r>
          </w:p>
        </w:tc>
        <w:tc>
          <w:tcPr>
            <w:tcW w:w="50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center"/>
              <w:ind w:left="294"/>
              <w:spacing w:after="0"/>
              <w:rPr>
                <w:sz w:val="20"/>
                <w:szCs w:val="20"/>
                <w:color w:val="auto"/>
              </w:rPr>
            </w:pPr>
            <w:r>
              <w:rPr>
                <w:rFonts w:ascii="Calibri" w:cs="Calibri" w:eastAsia="Calibri" w:hAnsi="Calibri"/>
                <w:sz w:val="18"/>
                <w:szCs w:val="18"/>
                <w:color w:val="51555C"/>
                <w:w w:val="96"/>
              </w:rPr>
              <w:t>(3,356)</w:t>
            </w:r>
          </w:p>
        </w:tc>
        <w:tc>
          <w:tcPr>
            <w:tcW w:w="3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center"/>
              <w:ind w:left="438"/>
              <w:spacing w:after="0"/>
              <w:rPr>
                <w:sz w:val="20"/>
                <w:szCs w:val="20"/>
                <w:color w:val="auto"/>
              </w:rPr>
            </w:pPr>
            <w:r>
              <w:rPr>
                <w:rFonts w:ascii="Calibri" w:cs="Calibri" w:eastAsia="Calibri" w:hAnsi="Calibri"/>
                <w:sz w:val="18"/>
                <w:szCs w:val="18"/>
                <w:color w:val="51555C"/>
              </w:rPr>
              <w:t>(2,763)</w:t>
            </w:r>
          </w:p>
        </w:tc>
        <w:tc>
          <w:tcPr>
            <w:tcW w:w="20" w:type="dxa"/>
            <w:vAlign w:val="bottom"/>
          </w:tcPr>
          <w:p>
            <w:pPr>
              <w:spacing w:after="0"/>
              <w:rPr>
                <w:sz w:val="23"/>
                <w:szCs w:val="23"/>
                <w:color w:val="auto"/>
              </w:rPr>
            </w:pPr>
          </w:p>
        </w:tc>
      </w:tr>
      <w:tr>
        <w:trPr>
          <w:trHeight w:val="213"/>
        </w:trPr>
        <w:tc>
          <w:tcPr>
            <w:tcW w:w="6940" w:type="dxa"/>
            <w:vAlign w:val="bottom"/>
          </w:tcPr>
          <w:p>
            <w:pPr>
              <w:ind w:left="140"/>
              <w:spacing w:after="0" w:line="199" w:lineRule="exact"/>
              <w:rPr>
                <w:sz w:val="20"/>
                <w:szCs w:val="20"/>
                <w:color w:val="auto"/>
              </w:rPr>
            </w:pPr>
            <w:r>
              <w:rPr>
                <w:rFonts w:ascii="Calibri" w:cs="Calibri" w:eastAsia="Calibri" w:hAnsi="Calibri"/>
                <w:sz w:val="18"/>
                <w:szCs w:val="18"/>
                <w:color w:val="51555C"/>
              </w:rPr>
              <w:t>Net lease cost</w:t>
            </w:r>
          </w:p>
        </w:tc>
        <w:tc>
          <w:tcPr>
            <w:tcW w:w="52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top w:val="single" w:sz="8" w:color="51555C"/>
            </w:tcBorders>
          </w:tcPr>
          <w:p>
            <w:pPr>
              <w:jc w:val="center"/>
              <w:ind w:left="314"/>
              <w:spacing w:after="0" w:line="213" w:lineRule="exact"/>
              <w:rPr>
                <w:sz w:val="20"/>
                <w:szCs w:val="20"/>
                <w:color w:val="auto"/>
              </w:rPr>
            </w:pPr>
            <w:r>
              <w:rPr>
                <w:rFonts w:ascii="Calibri" w:cs="Calibri" w:eastAsia="Calibri" w:hAnsi="Calibri"/>
                <w:sz w:val="18"/>
                <w:szCs w:val="18"/>
                <w:color w:val="51555C"/>
                <w:w w:val="97"/>
              </w:rPr>
              <w:t>4,161</w:t>
            </w:r>
          </w:p>
        </w:tc>
        <w:tc>
          <w:tcPr>
            <w:tcW w:w="50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top w:val="single" w:sz="8" w:color="51555C"/>
            </w:tcBorders>
          </w:tcPr>
          <w:p>
            <w:pPr>
              <w:jc w:val="center"/>
              <w:ind w:left="314"/>
              <w:spacing w:after="0" w:line="213" w:lineRule="exact"/>
              <w:rPr>
                <w:sz w:val="20"/>
                <w:szCs w:val="20"/>
                <w:color w:val="auto"/>
              </w:rPr>
            </w:pPr>
            <w:r>
              <w:rPr>
                <w:rFonts w:ascii="Calibri" w:cs="Calibri" w:eastAsia="Calibri" w:hAnsi="Calibri"/>
                <w:sz w:val="18"/>
                <w:szCs w:val="18"/>
                <w:color w:val="51555C"/>
                <w:w w:val="97"/>
              </w:rPr>
              <w:t>6,887</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080" w:type="dxa"/>
            <w:vAlign w:val="bottom"/>
            <w:tcBorders>
              <w:top w:val="single" w:sz="8" w:color="51555C"/>
            </w:tcBorders>
          </w:tcPr>
          <w:p>
            <w:pPr>
              <w:jc w:val="center"/>
              <w:ind w:left="478"/>
              <w:spacing w:after="0" w:line="213" w:lineRule="exact"/>
              <w:rPr>
                <w:sz w:val="20"/>
                <w:szCs w:val="20"/>
                <w:color w:val="auto"/>
              </w:rPr>
            </w:pPr>
            <w:r>
              <w:rPr>
                <w:rFonts w:ascii="Calibri" w:cs="Calibri" w:eastAsia="Calibri" w:hAnsi="Calibri"/>
                <w:sz w:val="18"/>
                <w:szCs w:val="18"/>
                <w:color w:val="51555C"/>
                <w:w w:val="97"/>
              </w:rPr>
              <w:t>8,408</w:t>
            </w:r>
          </w:p>
        </w:tc>
        <w:tc>
          <w:tcPr>
            <w:tcW w:w="20" w:type="dxa"/>
            <w:vAlign w:val="bottom"/>
          </w:tcPr>
          <w:p>
            <w:pPr>
              <w:spacing w:after="0"/>
              <w:rPr>
                <w:sz w:val="18"/>
                <w:szCs w:val="18"/>
                <w:color w:val="auto"/>
              </w:rPr>
            </w:pPr>
          </w:p>
        </w:tc>
      </w:tr>
      <w:tr>
        <w:trPr>
          <w:trHeight w:val="51"/>
        </w:trPr>
        <w:tc>
          <w:tcPr>
            <w:tcW w:w="6940" w:type="dxa"/>
            <w:vAlign w:val="bottom"/>
            <w:tcBorders>
              <w:bottom w:val="single" w:sz="8" w:color="0CD973"/>
            </w:tcBorders>
          </w:tcPr>
          <w:p>
            <w:pPr>
              <w:spacing w:after="0"/>
              <w:rPr>
                <w:sz w:val="4"/>
                <w:szCs w:val="4"/>
                <w:color w:val="auto"/>
              </w:rPr>
            </w:pPr>
          </w:p>
        </w:tc>
        <w:tc>
          <w:tcPr>
            <w:tcW w:w="52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50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360" w:type="dxa"/>
            <w:vAlign w:val="bottom"/>
            <w:tcBorders>
              <w:bottom w:val="single" w:sz="8" w:color="0CD973"/>
            </w:tcBorders>
          </w:tcPr>
          <w:p>
            <w:pPr>
              <w:spacing w:after="0"/>
              <w:rPr>
                <w:sz w:val="4"/>
                <w:szCs w:val="4"/>
                <w:color w:val="auto"/>
              </w:rPr>
            </w:pPr>
          </w:p>
        </w:tc>
        <w:tc>
          <w:tcPr>
            <w:tcW w:w="10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-899795</wp:posOffset>
            </wp:positionV>
            <wp:extent cx="27343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Includes short-term lease costs, which were immaterial.</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years ended December 31, 2024, 2023, and 2022, we recorded noncash impairment charges of $3.1 million, $5.6 million, and $1.0 million, respectvely, against certain operatng lease ROU assets. These impairment charges resulted from our entry into subleases for diferent portons of our Washington, DC ofce locaton, which we closed in February 2023 to align with our remote-frst workforce strategy. These charges are refected in general and administratve expense on the statements of comprehensive loss.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Maturites of our operatng lease liabilites as of December 31, 2024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17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0"/>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720" w:type="dxa"/>
            <w:vAlign w:val="bottom"/>
            <w:shd w:val="clear" w:color="auto" w:fill="004054"/>
          </w:tcPr>
          <w:p>
            <w:pPr>
              <w:spacing w:after="0"/>
              <w:rPr>
                <w:sz w:val="14"/>
                <w:szCs w:val="14"/>
                <w:color w:val="auto"/>
              </w:rPr>
            </w:pPr>
          </w:p>
        </w:tc>
        <w:tc>
          <w:tcPr>
            <w:tcW w:w="140" w:type="dxa"/>
            <w:vAlign w:val="bottom"/>
            <w:shd w:val="clear" w:color="auto" w:fill="004054"/>
          </w:tcPr>
          <w:p>
            <w:pPr>
              <w:spacing w:after="0"/>
              <w:rPr>
                <w:sz w:val="14"/>
                <w:szCs w:val="14"/>
                <w:color w:val="auto"/>
              </w:rPr>
            </w:pPr>
          </w:p>
        </w:tc>
        <w:tc>
          <w:tcPr>
            <w:tcW w:w="128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Operatng leases</w:t>
            </w:r>
          </w:p>
        </w:tc>
        <w:tc>
          <w:tcPr>
            <w:tcW w:w="20" w:type="dxa"/>
            <w:vAlign w:val="bottom"/>
            <w:shd w:val="clear" w:color="auto" w:fill="004054"/>
          </w:tcPr>
          <w:p>
            <w:pPr>
              <w:spacing w:after="0"/>
              <w:rPr>
                <w:sz w:val="14"/>
                <w:szCs w:val="14"/>
                <w:color w:val="auto"/>
              </w:rPr>
            </w:pPr>
          </w:p>
        </w:tc>
      </w:tr>
      <w:tr>
        <w:trPr>
          <w:trHeight w:val="74"/>
        </w:trPr>
        <w:tc>
          <w:tcPr>
            <w:tcW w:w="6660" w:type="dxa"/>
            <w:vAlign w:val="bottom"/>
            <w:shd w:val="clear" w:color="auto" w:fill="004054"/>
          </w:tcPr>
          <w:p>
            <w:pPr>
              <w:spacing w:after="0"/>
              <w:rPr>
                <w:sz w:val="6"/>
                <w:szCs w:val="6"/>
                <w:color w:val="auto"/>
              </w:rPr>
            </w:pPr>
          </w:p>
        </w:tc>
        <w:tc>
          <w:tcPr>
            <w:tcW w:w="17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2025</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6,254</w:t>
            </w:r>
          </w:p>
        </w:tc>
        <w:tc>
          <w:tcPr>
            <w:tcW w:w="20" w:type="dxa"/>
            <w:vAlign w:val="bottom"/>
          </w:tcPr>
          <w:p>
            <w:pPr>
              <w:spacing w:after="0"/>
              <w:rPr>
                <w:sz w:val="21"/>
                <w:szCs w:val="21"/>
                <w:color w:val="auto"/>
              </w:rPr>
            </w:pPr>
          </w:p>
        </w:tc>
      </w:tr>
      <w:tr>
        <w:trPr>
          <w:trHeight w:val="220"/>
        </w:trPr>
        <w:tc>
          <w:tcPr>
            <w:tcW w:w="6660" w:type="dxa"/>
            <w:vAlign w:val="bottom"/>
          </w:tcPr>
          <w:p>
            <w:pPr>
              <w:ind w:left="20"/>
              <w:spacing w:after="0"/>
              <w:rPr>
                <w:sz w:val="20"/>
                <w:szCs w:val="20"/>
                <w:color w:val="auto"/>
              </w:rPr>
            </w:pPr>
            <w:r>
              <w:rPr>
                <w:rFonts w:ascii="Calibri" w:cs="Calibri" w:eastAsia="Calibri" w:hAnsi="Calibri"/>
                <w:sz w:val="18"/>
                <w:szCs w:val="18"/>
                <w:color w:val="51555C"/>
              </w:rPr>
              <w:t>2026</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6,106</w:t>
            </w:r>
          </w:p>
        </w:tc>
        <w:tc>
          <w:tcPr>
            <w:tcW w:w="20" w:type="dxa"/>
            <w:vAlign w:val="bottom"/>
          </w:tcPr>
          <w:p>
            <w:pPr>
              <w:spacing w:after="0"/>
              <w:rPr>
                <w:sz w:val="19"/>
                <w:szCs w:val="19"/>
                <w:color w:val="auto"/>
              </w:rPr>
            </w:pPr>
          </w:p>
        </w:tc>
      </w:tr>
      <w:tr>
        <w:trPr>
          <w:trHeight w:val="50"/>
        </w:trPr>
        <w:tc>
          <w:tcPr>
            <w:tcW w:w="6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2027</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6,207</w:t>
            </w:r>
          </w:p>
        </w:tc>
        <w:tc>
          <w:tcPr>
            <w:tcW w:w="20" w:type="dxa"/>
            <w:vAlign w:val="bottom"/>
          </w:tcPr>
          <w:p>
            <w:pPr>
              <w:spacing w:after="0"/>
              <w:rPr>
                <w:sz w:val="21"/>
                <w:szCs w:val="21"/>
                <w:color w:val="auto"/>
              </w:rPr>
            </w:pPr>
          </w:p>
        </w:tc>
      </w:tr>
      <w:tr>
        <w:trPr>
          <w:trHeight w:val="220"/>
        </w:trPr>
        <w:tc>
          <w:tcPr>
            <w:tcW w:w="6660" w:type="dxa"/>
            <w:vAlign w:val="bottom"/>
          </w:tcPr>
          <w:p>
            <w:pPr>
              <w:ind w:left="20"/>
              <w:spacing w:after="0"/>
              <w:rPr>
                <w:sz w:val="20"/>
                <w:szCs w:val="20"/>
                <w:color w:val="auto"/>
              </w:rPr>
            </w:pPr>
            <w:r>
              <w:rPr>
                <w:rFonts w:ascii="Calibri" w:cs="Calibri" w:eastAsia="Calibri" w:hAnsi="Calibri"/>
                <w:sz w:val="18"/>
                <w:szCs w:val="18"/>
                <w:color w:val="51555C"/>
              </w:rPr>
              <w:t>2028</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6,101</w:t>
            </w:r>
          </w:p>
        </w:tc>
        <w:tc>
          <w:tcPr>
            <w:tcW w:w="20" w:type="dxa"/>
            <w:vAlign w:val="bottom"/>
          </w:tcPr>
          <w:p>
            <w:pPr>
              <w:spacing w:after="0"/>
              <w:rPr>
                <w:sz w:val="19"/>
                <w:szCs w:val="19"/>
                <w:color w:val="auto"/>
              </w:rPr>
            </w:pPr>
          </w:p>
        </w:tc>
      </w:tr>
      <w:tr>
        <w:trPr>
          <w:trHeight w:val="50"/>
        </w:trPr>
        <w:tc>
          <w:tcPr>
            <w:tcW w:w="6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2029</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5,457</w:t>
            </w:r>
          </w:p>
        </w:tc>
        <w:tc>
          <w:tcPr>
            <w:tcW w:w="20" w:type="dxa"/>
            <w:vAlign w:val="bottom"/>
          </w:tcPr>
          <w:p>
            <w:pPr>
              <w:spacing w:after="0"/>
              <w:rPr>
                <w:sz w:val="21"/>
                <w:szCs w:val="21"/>
                <w:color w:val="auto"/>
              </w:rPr>
            </w:pPr>
          </w:p>
        </w:tc>
      </w:tr>
      <w:tr>
        <w:trPr>
          <w:trHeight w:val="220"/>
        </w:trPr>
        <w:tc>
          <w:tcPr>
            <w:tcW w:w="666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15,232</w:t>
            </w:r>
          </w:p>
        </w:tc>
        <w:tc>
          <w:tcPr>
            <w:tcW w:w="20" w:type="dxa"/>
            <w:vAlign w:val="bottom"/>
          </w:tcPr>
          <w:p>
            <w:pPr>
              <w:spacing w:after="0"/>
              <w:rPr>
                <w:sz w:val="19"/>
                <w:szCs w:val="19"/>
                <w:color w:val="auto"/>
              </w:rPr>
            </w:pPr>
          </w:p>
        </w:tc>
      </w:tr>
      <w:tr>
        <w:trPr>
          <w:trHeight w:val="50"/>
        </w:trPr>
        <w:tc>
          <w:tcPr>
            <w:tcW w:w="6660" w:type="dxa"/>
            <w:vAlign w:val="bottom"/>
            <w:tcBorders>
              <w:bottom w:val="single" w:sz="8" w:color="EBFBFF"/>
            </w:tcBorders>
          </w:tcPr>
          <w:p>
            <w:pPr>
              <w:spacing w:after="0"/>
              <w:rPr>
                <w:sz w:val="4"/>
                <w:szCs w:val="4"/>
                <w:color w:val="auto"/>
              </w:rPr>
            </w:pPr>
          </w:p>
        </w:tc>
        <w:tc>
          <w:tcPr>
            <w:tcW w:w="1720" w:type="dxa"/>
            <w:vAlign w:val="bottom"/>
            <w:tcBorders>
              <w:bottom w:val="single" w:sz="8" w:color="EBFBFF"/>
            </w:tcBorders>
          </w:tcPr>
          <w:p>
            <w:pPr>
              <w:spacing w:after="0"/>
              <w:rPr>
                <w:sz w:val="4"/>
                <w:szCs w:val="4"/>
                <w:color w:val="auto"/>
              </w:rPr>
            </w:pPr>
          </w:p>
        </w:tc>
        <w:tc>
          <w:tcPr>
            <w:tcW w:w="140" w:type="dxa"/>
            <w:vAlign w:val="bottom"/>
            <w:tcBorders>
              <w:bottom w:val="single" w:sz="8" w:color="EBFBFF"/>
            </w:tcBorders>
          </w:tcPr>
          <w:p>
            <w:pPr>
              <w:spacing w:after="0"/>
              <w:rPr>
                <w:sz w:val="4"/>
                <w:szCs w:val="4"/>
                <w:color w:val="auto"/>
              </w:rPr>
            </w:pPr>
          </w:p>
        </w:tc>
        <w:tc>
          <w:tcPr>
            <w:tcW w:w="128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660" w:type="dxa"/>
            <w:vAlign w:val="bottom"/>
            <w:tcBorders>
              <w:bottom w:val="single" w:sz="8" w:color="EBFBFF"/>
            </w:tcBorders>
            <w:shd w:val="clear" w:color="auto" w:fill="EBFBFF"/>
          </w:tcPr>
          <w:p>
            <w:pPr>
              <w:ind w:left="140"/>
              <w:spacing w:after="0" w:line="213" w:lineRule="exact"/>
              <w:rPr>
                <w:sz w:val="20"/>
                <w:szCs w:val="20"/>
                <w:color w:val="auto"/>
              </w:rPr>
            </w:pPr>
            <w:r>
              <w:rPr>
                <w:rFonts w:ascii="Calibri" w:cs="Calibri" w:eastAsia="Calibri" w:hAnsi="Calibri"/>
                <w:sz w:val="18"/>
                <w:szCs w:val="18"/>
                <w:color w:val="51555C"/>
              </w:rPr>
              <w:t>Total lease payments</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45,357</w:t>
            </w:r>
          </w:p>
        </w:tc>
        <w:tc>
          <w:tcPr>
            <w:tcW w:w="20" w:type="dxa"/>
            <w:vAlign w:val="bottom"/>
          </w:tcPr>
          <w:p>
            <w:pPr>
              <w:spacing w:after="0"/>
              <w:rPr>
                <w:sz w:val="21"/>
                <w:szCs w:val="21"/>
                <w:color w:val="auto"/>
              </w:rPr>
            </w:pPr>
          </w:p>
        </w:tc>
      </w:tr>
      <w:tr>
        <w:trPr>
          <w:trHeight w:val="220"/>
        </w:trPr>
        <w:tc>
          <w:tcPr>
            <w:tcW w:w="6660" w:type="dxa"/>
            <w:vAlign w:val="bottom"/>
          </w:tcPr>
          <w:p>
            <w:pPr>
              <w:ind w:left="20"/>
              <w:spacing w:after="0"/>
              <w:rPr>
                <w:sz w:val="20"/>
                <w:szCs w:val="20"/>
                <w:color w:val="auto"/>
              </w:rPr>
            </w:pPr>
            <w:r>
              <w:rPr>
                <w:rFonts w:ascii="Calibri" w:cs="Calibri" w:eastAsia="Calibri" w:hAnsi="Calibri"/>
                <w:sz w:val="18"/>
                <w:szCs w:val="18"/>
                <w:color w:val="51555C"/>
              </w:rPr>
              <w:t>Less: Amount representng interest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(6,682)</w:t>
            </w:r>
          </w:p>
        </w:tc>
        <w:tc>
          <w:tcPr>
            <w:tcW w:w="20" w:type="dxa"/>
            <w:vAlign w:val="bottom"/>
          </w:tcPr>
          <w:p>
            <w:pPr>
              <w:spacing w:after="0"/>
              <w:rPr>
                <w:sz w:val="19"/>
                <w:szCs w:val="19"/>
                <w:color w:val="auto"/>
              </w:rPr>
            </w:pPr>
          </w:p>
        </w:tc>
      </w:tr>
      <w:tr>
        <w:trPr>
          <w:trHeight w:val="50"/>
        </w:trPr>
        <w:tc>
          <w:tcPr>
            <w:tcW w:w="6660" w:type="dxa"/>
            <w:vAlign w:val="bottom"/>
            <w:tcBorders>
              <w:bottom w:val="single" w:sz="8" w:color="EBFBFF"/>
            </w:tcBorders>
          </w:tcPr>
          <w:p>
            <w:pPr>
              <w:spacing w:after="0"/>
              <w:rPr>
                <w:sz w:val="4"/>
                <w:szCs w:val="4"/>
                <w:color w:val="auto"/>
              </w:rPr>
            </w:pPr>
          </w:p>
        </w:tc>
        <w:tc>
          <w:tcPr>
            <w:tcW w:w="1720" w:type="dxa"/>
            <w:vAlign w:val="bottom"/>
            <w:tcBorders>
              <w:bottom w:val="single" w:sz="8" w:color="EBFBFF"/>
            </w:tcBorders>
          </w:tcPr>
          <w:p>
            <w:pPr>
              <w:spacing w:after="0"/>
              <w:rPr>
                <w:sz w:val="4"/>
                <w:szCs w:val="4"/>
                <w:color w:val="auto"/>
              </w:rPr>
            </w:pPr>
          </w:p>
        </w:tc>
        <w:tc>
          <w:tcPr>
            <w:tcW w:w="140" w:type="dxa"/>
            <w:vAlign w:val="bottom"/>
            <w:tcBorders>
              <w:bottom w:val="single" w:sz="8" w:color="EBFBFF"/>
            </w:tcBorders>
          </w:tcPr>
          <w:p>
            <w:pPr>
              <w:spacing w:after="0"/>
              <w:rPr>
                <w:sz w:val="4"/>
                <w:szCs w:val="4"/>
                <w:color w:val="auto"/>
              </w:rPr>
            </w:pPr>
          </w:p>
        </w:tc>
        <w:tc>
          <w:tcPr>
            <w:tcW w:w="128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666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Present value of future payments</w:t>
            </w:r>
          </w:p>
        </w:tc>
        <w:tc>
          <w:tcPr>
            <w:tcW w:w="1720" w:type="dxa"/>
            <w:vAlign w:val="bottom"/>
            <w:tcBorders>
              <w:bottom w:val="single" w:sz="8" w:color="EBFBFF"/>
            </w:tcBorders>
            <w:shd w:val="clear" w:color="auto" w:fill="EBFBFF"/>
          </w:tcPr>
          <w:p>
            <w:pPr>
              <w:spacing w:after="0"/>
              <w:rPr>
                <w:sz w:val="22"/>
                <w:szCs w:val="22"/>
                <w:color w:val="auto"/>
              </w:rPr>
            </w:pPr>
          </w:p>
        </w:tc>
        <w:tc>
          <w:tcPr>
            <w:tcW w:w="140" w:type="dxa"/>
            <w:vAlign w:val="bottom"/>
            <w:tcBorders>
              <w:bottom w:val="single" w:sz="8" w:color="EBFBFF"/>
            </w:tcBorders>
            <w:shd w:val="clear" w:color="auto" w:fill="EBFBFF"/>
          </w:tcPr>
          <w:p>
            <w:pPr>
              <w:spacing w:after="0"/>
              <w:rPr>
                <w:sz w:val="22"/>
                <w:szCs w:val="22"/>
                <w:color w:val="auto"/>
              </w:rPr>
            </w:pPr>
          </w:p>
        </w:tc>
        <w:tc>
          <w:tcPr>
            <w:tcW w:w="1280" w:type="dxa"/>
            <w:vAlign w:val="bottom"/>
            <w:tcBorders>
              <w:bottom w:val="single" w:sz="8" w:color="EBFBFF"/>
            </w:tcBorders>
            <w:shd w:val="clear" w:color="auto" w:fill="EBFBFF"/>
          </w:tcPr>
          <w:p>
            <w:pPr>
              <w:spacing w:after="0"/>
              <w:rPr>
                <w:sz w:val="22"/>
                <w:szCs w:val="22"/>
                <w:color w:val="auto"/>
              </w:rPr>
            </w:pPr>
          </w:p>
        </w:tc>
        <w:tc>
          <w:tcPr>
            <w:tcW w:w="28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38,675</w:t>
            </w:r>
          </w:p>
        </w:tc>
        <w:tc>
          <w:tcPr>
            <w:tcW w:w="20" w:type="dxa"/>
            <w:vAlign w:val="bottom"/>
          </w:tcPr>
          <w:p>
            <w:pPr>
              <w:spacing w:after="0"/>
              <w:rPr>
                <w:sz w:val="22"/>
                <w:szCs w:val="22"/>
                <w:color w:val="auto"/>
              </w:rPr>
            </w:pPr>
          </w:p>
        </w:tc>
      </w:tr>
      <w:tr>
        <w:trPr>
          <w:trHeight w:val="443"/>
        </w:trPr>
        <w:tc>
          <w:tcPr>
            <w:tcW w:w="8380" w:type="dxa"/>
            <w:vAlign w:val="bottom"/>
            <w:tcBorders>
              <w:top w:val="single" w:sz="8" w:color="0CD973"/>
            </w:tcBorders>
            <w:gridSpan w:val="2"/>
          </w:tcPr>
          <w:p>
            <w:pPr>
              <w:spacing w:after="0"/>
              <w:rPr>
                <w:sz w:val="20"/>
                <w:szCs w:val="20"/>
                <w:color w:val="auto"/>
              </w:rPr>
            </w:pPr>
            <w:r>
              <w:rPr>
                <w:rFonts w:ascii="Calibri" w:cs="Calibri" w:eastAsia="Calibri" w:hAnsi="Calibri"/>
                <w:sz w:val="18"/>
                <w:szCs w:val="18"/>
                <w:color w:val="51555C"/>
              </w:rPr>
              <w:t>Our ROU assets and lease liabilites are included in the following line items in our consolidated balance sheet:</w:t>
            </w:r>
          </w:p>
        </w:tc>
        <w:tc>
          <w:tcPr>
            <w:tcW w:w="14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spacing w:after="0"/>
              <w:rPr>
                <w:sz w:val="24"/>
                <w:szCs w:val="24"/>
                <w:color w:val="auto"/>
              </w:rPr>
            </w:pPr>
          </w:p>
        </w:tc>
        <w:tc>
          <w:tcPr>
            <w:tcW w:w="280" w:type="dxa"/>
            <w:vAlign w:val="bottom"/>
            <w:tcBorders>
              <w:top w:val="single" w:sz="8" w:color="0CD973"/>
            </w:tcBorders>
          </w:tcPr>
          <w:p>
            <w:pPr>
              <w:spacing w:after="0"/>
              <w:rPr>
                <w:sz w:val="24"/>
                <w:szCs w:val="24"/>
                <w:color w:val="auto"/>
              </w:rPr>
            </w:pPr>
          </w:p>
        </w:tc>
        <w:tc>
          <w:tcPr>
            <w:tcW w:w="116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66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6660" w:type="dxa"/>
            <w:vAlign w:val="bottom"/>
            <w:shd w:val="clear" w:color="auto" w:fill="004054"/>
          </w:tcPr>
          <w:p>
            <w:pPr>
              <w:spacing w:after="0"/>
              <w:rPr>
                <w:sz w:val="15"/>
                <w:szCs w:val="15"/>
                <w:color w:val="auto"/>
              </w:rPr>
            </w:pPr>
          </w:p>
        </w:tc>
        <w:tc>
          <w:tcPr>
            <w:tcW w:w="17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2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175"/>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7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2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5"/>
                <w:szCs w:val="15"/>
                <w:color w:val="auto"/>
              </w:rPr>
            </w:pPr>
          </w:p>
        </w:tc>
      </w:tr>
      <w:tr>
        <w:trPr>
          <w:trHeight w:val="74"/>
        </w:trPr>
        <w:tc>
          <w:tcPr>
            <w:tcW w:w="6660" w:type="dxa"/>
            <w:vAlign w:val="bottom"/>
            <w:shd w:val="clear" w:color="auto" w:fill="004054"/>
          </w:tcPr>
          <w:p>
            <w:pPr>
              <w:spacing w:after="0"/>
              <w:rPr>
                <w:sz w:val="6"/>
                <w:szCs w:val="6"/>
                <w:color w:val="auto"/>
              </w:rPr>
            </w:pPr>
          </w:p>
        </w:tc>
        <w:tc>
          <w:tcPr>
            <w:tcW w:w="17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Operatng leases</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73"/>
        </w:trPr>
        <w:tc>
          <w:tcPr>
            <w:tcW w:w="6660" w:type="dxa"/>
            <w:vAlign w:val="bottom"/>
          </w:tcPr>
          <w:p>
            <w:pPr>
              <w:ind w:left="140"/>
              <w:spacing w:after="0"/>
              <w:rPr>
                <w:sz w:val="20"/>
                <w:szCs w:val="20"/>
                <w:color w:val="auto"/>
              </w:rPr>
            </w:pPr>
            <w:r>
              <w:rPr>
                <w:rFonts w:ascii="Calibri" w:cs="Calibri" w:eastAsia="Calibri" w:hAnsi="Calibri"/>
                <w:sz w:val="18"/>
                <w:szCs w:val="18"/>
                <w:color w:val="51555C"/>
              </w:rPr>
              <w:t>Operatng lease ROU assets</w:t>
            </w:r>
          </w:p>
        </w:tc>
        <w:tc>
          <w:tcPr>
            <w:tcW w:w="17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51555C"/>
              </w:rPr>
              <w:t>26,554</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36,927</w:t>
            </w:r>
          </w:p>
        </w:tc>
        <w:tc>
          <w:tcPr>
            <w:tcW w:w="20" w:type="dxa"/>
            <w:vAlign w:val="bottom"/>
          </w:tcPr>
          <w:p>
            <w:pPr>
              <w:spacing w:after="0"/>
              <w:rPr>
                <w:sz w:val="23"/>
                <w:szCs w:val="23"/>
                <w:color w:val="auto"/>
              </w:rPr>
            </w:pPr>
          </w:p>
        </w:tc>
      </w:tr>
      <w:tr>
        <w:trPr>
          <w:trHeight w:val="50"/>
        </w:trPr>
        <w:tc>
          <w:tcPr>
            <w:tcW w:w="6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60" w:type="dxa"/>
            <w:vAlign w:val="bottom"/>
            <w:shd w:val="clear" w:color="auto" w:fill="EBFBFF"/>
          </w:tcPr>
          <w:p>
            <w:pPr>
              <w:spacing w:after="0"/>
              <w:rPr>
                <w:sz w:val="23"/>
                <w:szCs w:val="23"/>
                <w:color w:val="auto"/>
              </w:rPr>
            </w:pPr>
          </w:p>
        </w:tc>
        <w:tc>
          <w:tcPr>
            <w:tcW w:w="1720" w:type="dxa"/>
            <w:vAlign w:val="bottom"/>
            <w:shd w:val="clear" w:color="auto" w:fill="EBFBFF"/>
          </w:tcPr>
          <w:p>
            <w:pPr>
              <w:spacing w:after="0"/>
              <w:rPr>
                <w:sz w:val="23"/>
                <w:szCs w:val="23"/>
                <w:color w:val="auto"/>
              </w:rPr>
            </w:pPr>
          </w:p>
        </w:tc>
        <w:tc>
          <w:tcPr>
            <w:tcW w:w="140" w:type="dxa"/>
            <w:vAlign w:val="bottom"/>
            <w:shd w:val="clear" w:color="auto" w:fill="EBFBFF"/>
          </w:tcPr>
          <w:p>
            <w:pPr>
              <w:spacing w:after="0"/>
              <w:rPr>
                <w:sz w:val="23"/>
                <w:szCs w:val="23"/>
                <w:color w:val="auto"/>
              </w:rPr>
            </w:pPr>
          </w:p>
        </w:tc>
        <w:tc>
          <w:tcPr>
            <w:tcW w:w="128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16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6660" w:type="dxa"/>
            <w:vAlign w:val="bottom"/>
          </w:tcPr>
          <w:p>
            <w:pPr>
              <w:ind w:left="140"/>
              <w:spacing w:after="0"/>
              <w:rPr>
                <w:sz w:val="20"/>
                <w:szCs w:val="20"/>
                <w:color w:val="auto"/>
              </w:rPr>
            </w:pPr>
            <w:r>
              <w:rPr>
                <w:rFonts w:ascii="Calibri" w:cs="Calibri" w:eastAsia="Calibri" w:hAnsi="Calibri"/>
                <w:sz w:val="18"/>
                <w:szCs w:val="18"/>
                <w:color w:val="51555C"/>
              </w:rPr>
              <w:t>Accrued expenses and other current liabilites</w:t>
            </w:r>
          </w:p>
        </w:tc>
        <w:tc>
          <w:tcPr>
            <w:tcW w:w="1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280" w:type="dxa"/>
            <w:vAlign w:val="bottom"/>
          </w:tcPr>
          <w:p>
            <w:pPr>
              <w:jc w:val="right"/>
              <w:spacing w:after="0"/>
              <w:rPr>
                <w:sz w:val="20"/>
                <w:szCs w:val="20"/>
                <w:color w:val="auto"/>
              </w:rPr>
            </w:pPr>
            <w:r>
              <w:rPr>
                <w:rFonts w:ascii="Calibri" w:cs="Calibri" w:eastAsia="Calibri" w:hAnsi="Calibri"/>
                <w:sz w:val="18"/>
                <w:szCs w:val="18"/>
                <w:color w:val="51555C"/>
              </w:rPr>
              <w:t>4,489</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6,701</w:t>
            </w:r>
          </w:p>
        </w:tc>
        <w:tc>
          <w:tcPr>
            <w:tcW w:w="20" w:type="dxa"/>
            <w:vAlign w:val="bottom"/>
          </w:tcPr>
          <w:p>
            <w:pPr>
              <w:spacing w:after="0"/>
              <w:rPr>
                <w:sz w:val="19"/>
                <w:szCs w:val="19"/>
                <w:color w:val="auto"/>
              </w:rPr>
            </w:pPr>
          </w:p>
        </w:tc>
      </w:tr>
      <w:tr>
        <w:trPr>
          <w:trHeight w:val="50"/>
        </w:trPr>
        <w:tc>
          <w:tcPr>
            <w:tcW w:w="6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 liabilites, net of current porton</w:t>
            </w:r>
          </w:p>
        </w:tc>
        <w:tc>
          <w:tcPr>
            <w:tcW w:w="1720" w:type="dxa"/>
            <w:vAlign w:val="bottom"/>
            <w:tcBorders>
              <w:bottom w:val="single" w:sz="8" w:color="EBFBFF"/>
            </w:tcBorders>
            <w:shd w:val="clear" w:color="auto" w:fill="EBFBFF"/>
          </w:tcPr>
          <w:p>
            <w:pPr>
              <w:spacing w:after="0"/>
              <w:rPr>
                <w:sz w:val="23"/>
                <w:szCs w:val="23"/>
                <w:color w:val="auto"/>
              </w:rPr>
            </w:pPr>
          </w:p>
        </w:tc>
        <w:tc>
          <w:tcPr>
            <w:tcW w:w="14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34,186</w:t>
            </w:r>
          </w:p>
        </w:tc>
        <w:tc>
          <w:tcPr>
            <w:tcW w:w="2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40,085</w:t>
            </w:r>
          </w:p>
        </w:tc>
        <w:tc>
          <w:tcPr>
            <w:tcW w:w="20" w:type="dxa"/>
            <w:vAlign w:val="bottom"/>
          </w:tcPr>
          <w:p>
            <w:pPr>
              <w:spacing w:after="0"/>
              <w:rPr>
                <w:sz w:val="23"/>
                <w:szCs w:val="23"/>
                <w:color w:val="auto"/>
              </w:rPr>
            </w:pPr>
          </w:p>
        </w:tc>
      </w:tr>
      <w:tr>
        <w:trPr>
          <w:trHeight w:val="213"/>
        </w:trPr>
        <w:tc>
          <w:tcPr>
            <w:tcW w:w="6660" w:type="dxa"/>
            <w:vAlign w:val="bottom"/>
          </w:tcPr>
          <w:p>
            <w:pPr>
              <w:ind w:left="240"/>
              <w:spacing w:after="0" w:line="213" w:lineRule="exact"/>
              <w:rPr>
                <w:sz w:val="20"/>
                <w:szCs w:val="20"/>
                <w:color w:val="auto"/>
              </w:rPr>
            </w:pPr>
            <w:r>
              <w:rPr>
                <w:rFonts w:ascii="Calibri" w:cs="Calibri" w:eastAsia="Calibri" w:hAnsi="Calibri"/>
                <w:sz w:val="18"/>
                <w:szCs w:val="18"/>
                <w:color w:val="51555C"/>
              </w:rPr>
              <w:t>Total operatng lease liabilites</w:t>
            </w:r>
          </w:p>
        </w:tc>
        <w:tc>
          <w:tcPr>
            <w:tcW w:w="1720" w:type="dxa"/>
            <w:vAlign w:val="bottom"/>
          </w:tcPr>
          <w:p>
            <w:pPr>
              <w:spacing w:after="0"/>
              <w:rPr>
                <w:sz w:val="18"/>
                <w:szCs w:val="18"/>
                <w:color w:val="auto"/>
              </w:rPr>
            </w:pPr>
          </w:p>
        </w:tc>
        <w:tc>
          <w:tcPr>
            <w:tcW w:w="1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2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38,675</w:t>
            </w:r>
          </w:p>
        </w:tc>
        <w:tc>
          <w:tcPr>
            <w:tcW w:w="28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46,786</w:t>
            </w:r>
          </w:p>
        </w:tc>
        <w:tc>
          <w:tcPr>
            <w:tcW w:w="20" w:type="dxa"/>
            <w:vAlign w:val="bottom"/>
          </w:tcPr>
          <w:p>
            <w:pPr>
              <w:spacing w:after="0"/>
              <w:rPr>
                <w:sz w:val="18"/>
                <w:szCs w:val="18"/>
                <w:color w:val="auto"/>
              </w:rPr>
            </w:pPr>
          </w:p>
        </w:tc>
      </w:tr>
      <w:tr>
        <w:trPr>
          <w:trHeight w:val="50"/>
        </w:trPr>
        <w:tc>
          <w:tcPr>
            <w:tcW w:w="6660" w:type="dxa"/>
            <w:vAlign w:val="bottom"/>
            <w:tcBorders>
              <w:bottom w:val="single" w:sz="8" w:color="0CD973"/>
            </w:tcBorders>
          </w:tcPr>
          <w:p>
            <w:pPr>
              <w:spacing w:after="0"/>
              <w:rPr>
                <w:sz w:val="4"/>
                <w:szCs w:val="4"/>
                <w:color w:val="auto"/>
              </w:rPr>
            </w:pPr>
          </w:p>
        </w:tc>
        <w:tc>
          <w:tcPr>
            <w:tcW w:w="1720" w:type="dxa"/>
            <w:vAlign w:val="bottom"/>
            <w:tcBorders>
              <w:bottom w:val="single" w:sz="8" w:color="0CD973"/>
            </w:tcBorders>
          </w:tcPr>
          <w:p>
            <w:pPr>
              <w:spacing w:after="0"/>
              <w:rPr>
                <w:sz w:val="4"/>
                <w:szCs w:val="4"/>
                <w:color w:val="auto"/>
              </w:rPr>
            </w:pPr>
          </w:p>
        </w:tc>
        <w:tc>
          <w:tcPr>
            <w:tcW w:w="140" w:type="dxa"/>
            <w:vAlign w:val="bottom"/>
            <w:tcBorders>
              <w:bottom w:val="single" w:sz="8" w:color="0CD973"/>
            </w:tcBorders>
          </w:tcPr>
          <w:p>
            <w:pPr>
              <w:spacing w:after="0"/>
              <w:rPr>
                <w:sz w:val="4"/>
                <w:szCs w:val="4"/>
                <w:color w:val="auto"/>
              </w:rPr>
            </w:pPr>
          </w:p>
        </w:tc>
        <w:tc>
          <w:tcPr>
            <w:tcW w:w="128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443"/>
        </w:trPr>
        <w:tc>
          <w:tcPr>
            <w:tcW w:w="6660" w:type="dxa"/>
            <w:vAlign w:val="bottom"/>
          </w:tcPr>
          <w:p>
            <w:pPr>
              <w:spacing w:after="0"/>
              <w:rPr>
                <w:sz w:val="20"/>
                <w:szCs w:val="20"/>
                <w:color w:val="auto"/>
              </w:rPr>
            </w:pPr>
            <w:r>
              <w:rPr>
                <w:rFonts w:ascii="Calibri" w:cs="Calibri" w:eastAsia="Calibri" w:hAnsi="Calibri"/>
                <w:sz w:val="18"/>
                <w:szCs w:val="18"/>
                <w:color w:val="51555C"/>
              </w:rPr>
              <w:t>The weighted average remaining lease terms and discount rates were as follows: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66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6660" w:type="dxa"/>
            <w:vAlign w:val="bottom"/>
            <w:shd w:val="clear" w:color="auto" w:fill="004054"/>
          </w:tcPr>
          <w:p>
            <w:pPr>
              <w:spacing w:after="0"/>
              <w:rPr>
                <w:sz w:val="15"/>
                <w:szCs w:val="15"/>
                <w:color w:val="auto"/>
              </w:rPr>
            </w:pPr>
          </w:p>
        </w:tc>
        <w:tc>
          <w:tcPr>
            <w:tcW w:w="1720" w:type="dxa"/>
            <w:vAlign w:val="bottom"/>
            <w:shd w:val="clear" w:color="auto" w:fill="004054"/>
          </w:tcPr>
          <w:p>
            <w:pPr>
              <w:jc w:val="right"/>
              <w:ind w:right="119"/>
              <w:spacing w:after="0"/>
              <w:rPr>
                <w:sz w:val="20"/>
                <w:szCs w:val="20"/>
                <w:color w:val="auto"/>
              </w:rPr>
            </w:pPr>
            <w:r>
              <w:rPr>
                <w:rFonts w:ascii="Calibri" w:cs="Calibri" w:eastAsia="Calibri" w:hAnsi="Calibri"/>
                <w:sz w:val="14"/>
                <w:szCs w:val="14"/>
                <w:b w:val="1"/>
                <w:bCs w:val="1"/>
                <w:color w:val="FFFFFF"/>
              </w:rPr>
              <w:t>December 31,</w:t>
            </w:r>
          </w:p>
        </w:tc>
        <w:tc>
          <w:tcPr>
            <w:tcW w:w="140" w:type="dxa"/>
            <w:vAlign w:val="bottom"/>
            <w:shd w:val="clear" w:color="auto" w:fill="004054"/>
          </w:tcPr>
          <w:p>
            <w:pPr>
              <w:spacing w:after="0"/>
              <w:rPr>
                <w:sz w:val="15"/>
                <w:szCs w:val="15"/>
                <w:color w:val="auto"/>
              </w:rPr>
            </w:pPr>
          </w:p>
        </w:tc>
        <w:tc>
          <w:tcPr>
            <w:tcW w:w="1280" w:type="dxa"/>
            <w:vAlign w:val="bottom"/>
            <w:shd w:val="clear" w:color="auto" w:fill="004054"/>
          </w:tcPr>
          <w:p>
            <w:pPr>
              <w:jc w:val="right"/>
              <w:ind w:right="18"/>
              <w:spacing w:after="0"/>
              <w:rPr>
                <w:sz w:val="20"/>
                <w:szCs w:val="20"/>
                <w:color w:val="auto"/>
              </w:rPr>
            </w:pPr>
            <w:r>
              <w:rPr>
                <w:rFonts w:ascii="Calibri" w:cs="Calibri" w:eastAsia="Calibri" w:hAnsi="Calibri"/>
                <w:sz w:val="14"/>
                <w:szCs w:val="14"/>
                <w:b w:val="1"/>
                <w:bCs w:val="1"/>
                <w:color w:val="FFFFFF"/>
              </w:rPr>
              <w:t>December 31,</w:t>
            </w:r>
          </w:p>
        </w:tc>
        <w:tc>
          <w:tcPr>
            <w:tcW w:w="2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175"/>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720" w:type="dxa"/>
            <w:vAlign w:val="bottom"/>
            <w:shd w:val="clear" w:color="auto" w:fill="004054"/>
          </w:tcPr>
          <w:p>
            <w:pPr>
              <w:jc w:val="right"/>
              <w:ind w:right="119"/>
              <w:spacing w:after="0"/>
              <w:rPr>
                <w:sz w:val="20"/>
                <w:szCs w:val="20"/>
                <w:color w:val="auto"/>
              </w:rPr>
            </w:pPr>
            <w:r>
              <w:rPr>
                <w:rFonts w:ascii="Calibri" w:cs="Calibri" w:eastAsia="Calibri" w:hAnsi="Calibri"/>
                <w:sz w:val="14"/>
                <w:szCs w:val="14"/>
                <w:b w:val="1"/>
                <w:bCs w:val="1"/>
                <w:color w:val="FFFFFF"/>
              </w:rPr>
              <w:t>2024</w:t>
            </w:r>
          </w:p>
        </w:tc>
        <w:tc>
          <w:tcPr>
            <w:tcW w:w="140" w:type="dxa"/>
            <w:vAlign w:val="bottom"/>
            <w:shd w:val="clear" w:color="auto" w:fill="004054"/>
          </w:tcPr>
          <w:p>
            <w:pPr>
              <w:spacing w:after="0"/>
              <w:rPr>
                <w:sz w:val="15"/>
                <w:szCs w:val="15"/>
                <w:color w:val="auto"/>
              </w:rPr>
            </w:pPr>
          </w:p>
        </w:tc>
        <w:tc>
          <w:tcPr>
            <w:tcW w:w="1280" w:type="dxa"/>
            <w:vAlign w:val="bottom"/>
            <w:shd w:val="clear" w:color="auto" w:fill="004054"/>
          </w:tcPr>
          <w:p>
            <w:pPr>
              <w:jc w:val="right"/>
              <w:ind w:right="18"/>
              <w:spacing w:after="0"/>
              <w:rPr>
                <w:sz w:val="20"/>
                <w:szCs w:val="20"/>
                <w:color w:val="auto"/>
              </w:rPr>
            </w:pPr>
            <w:r>
              <w:rPr>
                <w:rFonts w:ascii="Calibri" w:cs="Calibri" w:eastAsia="Calibri" w:hAnsi="Calibri"/>
                <w:sz w:val="14"/>
                <w:szCs w:val="14"/>
                <w:b w:val="1"/>
                <w:bCs w:val="1"/>
                <w:color w:val="FFFFFF"/>
              </w:rPr>
              <w:t>2023</w:t>
            </w:r>
          </w:p>
        </w:tc>
        <w:tc>
          <w:tcPr>
            <w:tcW w:w="2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5"/>
                <w:szCs w:val="15"/>
                <w:color w:val="auto"/>
              </w:rPr>
            </w:pPr>
          </w:p>
        </w:tc>
      </w:tr>
      <w:tr>
        <w:trPr>
          <w:trHeight w:val="74"/>
        </w:trPr>
        <w:tc>
          <w:tcPr>
            <w:tcW w:w="6660" w:type="dxa"/>
            <w:vAlign w:val="bottom"/>
            <w:shd w:val="clear" w:color="auto" w:fill="004054"/>
          </w:tcPr>
          <w:p>
            <w:pPr>
              <w:spacing w:after="0"/>
              <w:rPr>
                <w:sz w:val="6"/>
                <w:szCs w:val="6"/>
                <w:color w:val="auto"/>
              </w:rPr>
            </w:pPr>
          </w:p>
        </w:tc>
        <w:tc>
          <w:tcPr>
            <w:tcW w:w="17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Operatng leases</w:t>
            </w:r>
          </w:p>
        </w:tc>
        <w:tc>
          <w:tcPr>
            <w:tcW w:w="1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660" w:type="dxa"/>
            <w:vAlign w:val="bottom"/>
          </w:tcPr>
          <w:p>
            <w:pPr>
              <w:ind w:left="140"/>
              <w:spacing w:after="0"/>
              <w:rPr>
                <w:sz w:val="20"/>
                <w:szCs w:val="20"/>
                <w:color w:val="auto"/>
              </w:rPr>
            </w:pPr>
            <w:r>
              <w:rPr>
                <w:rFonts w:ascii="Calibri" w:cs="Calibri" w:eastAsia="Calibri" w:hAnsi="Calibri"/>
                <w:sz w:val="18"/>
                <w:szCs w:val="18"/>
                <w:color w:val="51555C"/>
              </w:rPr>
              <w:t>Weighted average remaining lease term (years)</w:t>
            </w:r>
          </w:p>
        </w:tc>
        <w:tc>
          <w:tcPr>
            <w:tcW w:w="1720" w:type="dxa"/>
            <w:vAlign w:val="bottom"/>
          </w:tcPr>
          <w:p>
            <w:pPr>
              <w:jc w:val="right"/>
              <w:ind w:right="119"/>
              <w:spacing w:after="0"/>
              <w:rPr>
                <w:sz w:val="20"/>
                <w:szCs w:val="20"/>
                <w:color w:val="auto"/>
              </w:rPr>
            </w:pPr>
            <w:r>
              <w:rPr>
                <w:rFonts w:ascii="Calibri" w:cs="Calibri" w:eastAsia="Calibri" w:hAnsi="Calibri"/>
                <w:sz w:val="18"/>
                <w:szCs w:val="18"/>
                <w:color w:val="51555C"/>
              </w:rPr>
              <w:t>7.3</w:t>
            </w:r>
          </w:p>
        </w:tc>
        <w:tc>
          <w:tcPr>
            <w:tcW w:w="14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Calibri" w:cs="Calibri" w:eastAsia="Calibri" w:hAnsi="Calibri"/>
                <w:sz w:val="18"/>
                <w:szCs w:val="18"/>
                <w:color w:val="51555C"/>
              </w:rPr>
              <w:t>7.7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8.5</w:t>
            </w:r>
          </w:p>
        </w:tc>
        <w:tc>
          <w:tcPr>
            <w:tcW w:w="20" w:type="dxa"/>
            <w:vAlign w:val="bottom"/>
          </w:tcPr>
          <w:p>
            <w:pPr>
              <w:spacing w:after="0"/>
              <w:rPr>
                <w:sz w:val="19"/>
                <w:szCs w:val="19"/>
                <w:color w:val="auto"/>
              </w:rPr>
            </w:pPr>
          </w:p>
        </w:tc>
      </w:tr>
      <w:tr>
        <w:trPr>
          <w:trHeight w:val="50"/>
        </w:trPr>
        <w:tc>
          <w:tcPr>
            <w:tcW w:w="6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6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Weighted average discount rate</w:t>
            </w:r>
          </w:p>
        </w:tc>
        <w:tc>
          <w:tcPr>
            <w:tcW w:w="172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8"/>
                <w:szCs w:val="18"/>
                <w:color w:val="51555C"/>
              </w:rPr>
              <w:t>4.53 %</w:t>
            </w:r>
          </w:p>
        </w:tc>
        <w:tc>
          <w:tcPr>
            <w:tcW w:w="14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ind w:right="18"/>
              <w:spacing w:after="0"/>
              <w:rPr>
                <w:sz w:val="20"/>
                <w:szCs w:val="20"/>
                <w:color w:val="auto"/>
              </w:rPr>
            </w:pPr>
            <w:r>
              <w:rPr>
                <w:rFonts w:ascii="Calibri" w:cs="Calibri" w:eastAsia="Calibri" w:hAnsi="Calibri"/>
                <w:sz w:val="18"/>
                <w:szCs w:val="18"/>
                <w:color w:val="51555C"/>
              </w:rPr>
              <w:t>4.70 %</w:t>
            </w:r>
          </w:p>
        </w:tc>
        <w:tc>
          <w:tcPr>
            <w:tcW w:w="2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4.63 %</w:t>
            </w:r>
          </w:p>
        </w:tc>
        <w:tc>
          <w:tcPr>
            <w:tcW w:w="20" w:type="dxa"/>
            <w:vAlign w:val="bottom"/>
          </w:tcPr>
          <w:p>
            <w:pPr>
              <w:spacing w:after="0"/>
              <w:rPr>
                <w:sz w:val="23"/>
                <w:szCs w:val="23"/>
                <w:color w:val="auto"/>
              </w:rPr>
            </w:pPr>
          </w:p>
        </w:tc>
      </w:tr>
      <w:tr>
        <w:trPr>
          <w:trHeight w:val="662"/>
        </w:trPr>
        <w:tc>
          <w:tcPr>
            <w:tcW w:w="6660" w:type="dxa"/>
            <w:vAlign w:val="bottom"/>
            <w:tcBorders>
              <w:top w:val="single" w:sz="8" w:color="0CD973"/>
            </w:tcBorders>
          </w:tcPr>
          <w:p>
            <w:pPr>
              <w:spacing w:after="0"/>
              <w:rPr>
                <w:sz w:val="24"/>
                <w:szCs w:val="24"/>
                <w:color w:val="auto"/>
              </w:rPr>
            </w:pPr>
          </w:p>
        </w:tc>
        <w:tc>
          <w:tcPr>
            <w:tcW w:w="1720" w:type="dxa"/>
            <w:vAlign w:val="bottom"/>
            <w:tcBorders>
              <w:top w:val="single" w:sz="8" w:color="0CD973"/>
            </w:tcBorders>
          </w:tcPr>
          <w:p>
            <w:pPr>
              <w:spacing w:after="0"/>
              <w:rPr>
                <w:sz w:val="24"/>
                <w:szCs w:val="24"/>
                <w:color w:val="auto"/>
              </w:rPr>
            </w:pPr>
          </w:p>
        </w:tc>
        <w:tc>
          <w:tcPr>
            <w:tcW w:w="14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jc w:val="right"/>
              <w:ind w:right="258"/>
              <w:spacing w:after="0"/>
              <w:rPr>
                <w:sz w:val="20"/>
                <w:szCs w:val="20"/>
                <w:color w:val="auto"/>
              </w:rPr>
            </w:pPr>
            <w:r>
              <w:rPr>
                <w:rFonts w:ascii="Calibri" w:cs="Calibri" w:eastAsia="Calibri" w:hAnsi="Calibri"/>
                <w:sz w:val="14"/>
                <w:szCs w:val="14"/>
                <w:color w:val="51555C"/>
              </w:rPr>
              <w:t>2024 Form 10-K</w:t>
            </w:r>
          </w:p>
        </w:tc>
        <w:tc>
          <w:tcPr>
            <w:tcW w:w="280" w:type="dxa"/>
            <w:vAlign w:val="bottom"/>
            <w:tcBorders>
              <w:top w:val="single" w:sz="8" w:color="0CD973"/>
            </w:tcBorders>
          </w:tcPr>
          <w:p>
            <w:pPr>
              <w:spacing w:after="0"/>
              <w:rPr>
                <w:sz w:val="24"/>
                <w:szCs w:val="24"/>
                <w:color w:val="auto"/>
              </w:rPr>
            </w:pPr>
          </w:p>
        </w:tc>
        <w:tc>
          <w:tcPr>
            <w:tcW w:w="116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95</w:t>
            </w:r>
          </w:p>
        </w:tc>
        <w:tc>
          <w:tcPr>
            <w:tcW w:w="20" w:type="dxa"/>
            <w:vAlign w:val="bottom"/>
          </w:tcPr>
          <w:p>
            <w:pPr>
              <w:spacing w:after="0"/>
              <w:rPr>
                <w:sz w:val="24"/>
                <w:szCs w:val="24"/>
                <w:color w:val="auto"/>
              </w:rPr>
            </w:pPr>
          </w:p>
        </w:tc>
      </w:tr>
      <w:tr>
        <w:trPr>
          <w:trHeight w:val="338"/>
        </w:trPr>
        <w:tc>
          <w:tcPr>
            <w:tcW w:w="6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Supplemental cash fow informaton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6000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pacing w:after="0" w:line="96" w:lineRule="exact"/>
        <w:rPr>
          <w:sz w:val="20"/>
          <w:szCs w:val="20"/>
          <w:color w:val="auto"/>
        </w:rPr>
      </w:pPr>
    </w:p>
    <w:p>
      <w:pPr>
        <w:ind w:left="10520"/>
        <w:spacing w:after="0"/>
        <w:rPr>
          <w:sz w:val="20"/>
          <w:szCs w:val="20"/>
          <w:color w:val="auto"/>
        </w:rPr>
      </w:pPr>
      <w:r>
        <w:rPr>
          <w:rFonts w:ascii="Calibri" w:cs="Calibri" w:eastAsia="Calibri" w:hAnsi="Calibri"/>
          <w:sz w:val="14"/>
          <w:szCs w:val="14"/>
          <w:b w:val="1"/>
          <w:bCs w:val="1"/>
          <w:color w:val="FFFFFF"/>
        </w:rPr>
        <w:t>Year ended</w:t>
      </w:r>
    </w:p>
    <w:p>
      <w:pPr>
        <w:spacing w:after="0" w:line="5" w:lineRule="exact"/>
        <w:rPr>
          <w:sz w:val="20"/>
          <w:szCs w:val="20"/>
          <w:color w:val="auto"/>
        </w:rPr>
      </w:pPr>
    </w:p>
    <w:p>
      <w:pPr>
        <w:ind w:left="10400"/>
        <w:spacing w:after="0"/>
        <w:rPr>
          <w:sz w:val="20"/>
          <w:szCs w:val="20"/>
          <w:color w:val="auto"/>
        </w:rPr>
      </w:pPr>
      <w:r>
        <w:rPr>
          <w:rFonts w:ascii="Calibri" w:cs="Calibri" w:eastAsia="Calibri" w:hAnsi="Calibri"/>
          <w:sz w:val="14"/>
          <w:szCs w:val="14"/>
          <w:b w:val="1"/>
          <w:bCs w:val="1"/>
          <w:color w:val="FFFFFF"/>
        </w:rPr>
        <w:t>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4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4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4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tcPr>
          <w:p>
            <w:pPr>
              <w:spacing w:after="0"/>
              <w:rPr>
                <w:sz w:val="16"/>
                <w:szCs w:val="16"/>
                <w:color w:val="auto"/>
              </w:rPr>
            </w:pPr>
          </w:p>
        </w:tc>
      </w:tr>
      <w:tr>
        <w:trPr>
          <w:trHeight w:val="53"/>
        </w:trPr>
        <w:tc>
          <w:tcPr>
            <w:tcW w:w="6940" w:type="dxa"/>
            <w:vAlign w:val="bottom"/>
            <w:tcBorders>
              <w:bottom w:val="single" w:sz="8" w:color="004054"/>
            </w:tcBorders>
          </w:tcPr>
          <w:p>
            <w:pPr>
              <w:spacing w:after="0"/>
              <w:rPr>
                <w:sz w:val="4"/>
                <w:szCs w:val="4"/>
                <w:color w:val="auto"/>
              </w:rPr>
            </w:pPr>
          </w:p>
        </w:tc>
        <w:tc>
          <w:tcPr>
            <w:tcW w:w="1450" w:type="dxa"/>
            <w:vAlign w:val="bottom"/>
            <w:tcBorders>
              <w:bottom w:val="single" w:sz="8" w:color="004054"/>
            </w:tcBorders>
            <w:shd w:val="clear" w:color="auto" w:fill="004054"/>
          </w:tcPr>
          <w:p>
            <w:pPr>
              <w:spacing w:after="0"/>
              <w:rPr>
                <w:sz w:val="4"/>
                <w:szCs w:val="4"/>
                <w:color w:val="auto"/>
              </w:rPr>
            </w:pPr>
          </w:p>
        </w:tc>
        <w:tc>
          <w:tcPr>
            <w:tcW w:w="1420" w:type="dxa"/>
            <w:vAlign w:val="bottom"/>
            <w:tcBorders>
              <w:bottom w:val="single" w:sz="8" w:color="004054"/>
            </w:tcBorders>
            <w:shd w:val="clear" w:color="auto" w:fill="004054"/>
          </w:tcPr>
          <w:p>
            <w:pPr>
              <w:spacing w:after="0"/>
              <w:rPr>
                <w:sz w:val="4"/>
                <w:szCs w:val="4"/>
                <w:color w:val="auto"/>
              </w:rPr>
            </w:pPr>
          </w:p>
        </w:tc>
        <w:tc>
          <w:tcPr>
            <w:tcW w:w="143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tcPr>
          <w:p>
            <w:pPr>
              <w:spacing w:after="0"/>
              <w:rPr>
                <w:sz w:val="4"/>
                <w:szCs w:val="4"/>
                <w:color w:val="auto"/>
              </w:rPr>
            </w:pPr>
          </w:p>
        </w:tc>
      </w:tr>
    </w:tbl>
    <w:p>
      <w:pPr>
        <w:ind w:left="20"/>
        <w:spacing w:after="0"/>
        <w:rPr>
          <w:sz w:val="20"/>
          <w:szCs w:val="20"/>
          <w:color w:val="auto"/>
        </w:rPr>
      </w:pPr>
      <w:r>
        <w:rPr>
          <w:rFonts w:ascii="Calibri" w:cs="Calibri" w:eastAsia="Calibri" w:hAnsi="Calibri"/>
          <w:sz w:val="18"/>
          <w:szCs w:val="18"/>
          <w:color w:val="51555C"/>
        </w:rPr>
        <w:t>Cash paid for amounts included in the measurement of lease liabilites:</w:t>
      </w:r>
    </w:p>
    <w:p>
      <w:pPr>
        <w:spacing w:after="0" w:line="104" w:lineRule="exact"/>
        <w:rPr>
          <w:sz w:val="20"/>
          <w:szCs w:val="20"/>
          <w:color w:val="auto"/>
        </w:rPr>
      </w:pPr>
    </w:p>
    <w:p>
      <w:pPr>
        <w:ind w:left="140"/>
        <w:spacing w:after="0"/>
        <w:tabs>
          <w:tab w:leader="none" w:pos="6940" w:val="left"/>
          <w:tab w:leader="none" w:pos="7900" w:val="left"/>
          <w:tab w:leader="none" w:pos="9240" w:val="left"/>
          <w:tab w:leader="none" w:pos="10660" w:val="left"/>
        </w:tabs>
        <w:rPr>
          <w:sz w:val="20"/>
          <w:szCs w:val="20"/>
          <w:color w:val="auto"/>
        </w:rPr>
      </w:pPr>
      <w:r>
        <w:rPr>
          <w:rFonts w:ascii="Calibri" w:cs="Calibri" w:eastAsia="Calibri" w:hAnsi="Calibri"/>
          <w:sz w:val="18"/>
          <w:szCs w:val="18"/>
          <w:color w:val="51555C"/>
        </w:rPr>
        <w:t>Operatng cash fows from operatng leases</w:t>
      </w:r>
      <w:r>
        <w:rPr>
          <w:sz w:val="20"/>
          <w:szCs w:val="20"/>
          <w:color w:val="auto"/>
        </w:rPr>
        <w:tab/>
      </w:r>
      <w:r>
        <w:rPr>
          <w:rFonts w:ascii="Calibri" w:cs="Calibri" w:eastAsia="Calibri" w:hAnsi="Calibri"/>
          <w:sz w:val="18"/>
          <w:szCs w:val="18"/>
          <w:color w:val="51555C"/>
        </w:rPr>
        <w:t>$</w:t>
      </w:r>
      <w:r>
        <w:rPr>
          <w:sz w:val="20"/>
          <w:szCs w:val="20"/>
          <w:color w:val="auto"/>
        </w:rPr>
        <w:tab/>
      </w:r>
      <w:r>
        <w:rPr>
          <w:rFonts w:ascii="Calibri" w:cs="Calibri" w:eastAsia="Calibri" w:hAnsi="Calibri"/>
          <w:sz w:val="18"/>
          <w:szCs w:val="18"/>
          <w:color w:val="51555C"/>
        </w:rPr>
        <w:t>7,511 $</w:t>
      </w:r>
      <w:r>
        <w:rPr>
          <w:sz w:val="20"/>
          <w:szCs w:val="20"/>
          <w:color w:val="auto"/>
        </w:rPr>
        <w:tab/>
      </w:r>
      <w:r>
        <w:rPr>
          <w:rFonts w:ascii="Calibri" w:cs="Calibri" w:eastAsia="Calibri" w:hAnsi="Calibri"/>
          <w:sz w:val="18"/>
          <w:szCs w:val="18"/>
          <w:color w:val="51555C"/>
        </w:rPr>
        <w:t>10,983 $</w:t>
      </w:r>
      <w:r>
        <w:rPr>
          <w:sz w:val="20"/>
          <w:szCs w:val="20"/>
          <w:color w:val="auto"/>
        </w:rPr>
        <w:tab/>
      </w:r>
      <w:r>
        <w:rPr>
          <w:rFonts w:ascii="Calibri" w:cs="Calibri" w:eastAsia="Calibri" w:hAnsi="Calibri"/>
          <w:sz w:val="17"/>
          <w:szCs w:val="17"/>
          <w:color w:val="51555C"/>
        </w:rPr>
        <w:t>11,439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Right-of-use assets obtained in exchange for lease obligatons (non-cash):</w:t>
      </w:r>
    </w:p>
    <w:p>
      <w:pPr>
        <w:spacing w:after="0" w:line="50" w:lineRule="exact"/>
        <w:rPr>
          <w:sz w:val="20"/>
          <w:szCs w:val="20"/>
          <w:color w:val="auto"/>
        </w:rPr>
      </w:pPr>
    </w:p>
    <w:p>
      <w:pPr>
        <w:ind w:left="140"/>
        <w:spacing w:after="0"/>
        <w:tabs>
          <w:tab w:leader="none" w:pos="8140" w:val="left"/>
          <w:tab w:leader="none" w:pos="9320" w:val="left"/>
          <w:tab w:leader="none" w:pos="11000" w:val="left"/>
        </w:tabs>
        <w:rPr>
          <w:sz w:val="20"/>
          <w:szCs w:val="20"/>
          <w:color w:val="auto"/>
        </w:rPr>
      </w:pPr>
      <w:r>
        <w:rPr>
          <w:rFonts w:ascii="Calibri" w:cs="Calibri" w:eastAsia="Calibri" w:hAnsi="Calibri"/>
          <w:sz w:val="18"/>
          <w:szCs w:val="18"/>
          <w:color w:val="51555C"/>
        </w:rPr>
        <w:t>Operatng leases</w:t>
      </w:r>
      <w:r>
        <w:rPr>
          <w:sz w:val="20"/>
          <w:szCs w:val="20"/>
          <w:color w:val="auto"/>
        </w:rPr>
        <w:tab/>
      </w:r>
      <w:r>
        <w:rPr>
          <w:rFonts w:ascii="Calibri" w:cs="Calibri" w:eastAsia="Calibri" w:hAnsi="Calibri"/>
          <w:sz w:val="18"/>
          <w:szCs w:val="18"/>
          <w:color w:val="51555C"/>
        </w:rPr>
        <w:t>—</w:t>
      </w:r>
      <w:r>
        <w:rPr>
          <w:sz w:val="20"/>
          <w:szCs w:val="20"/>
          <w:color w:val="auto"/>
        </w:rPr>
        <w:tab/>
      </w:r>
      <w:r>
        <w:rPr>
          <w:rFonts w:ascii="Calibri" w:cs="Calibri" w:eastAsia="Calibri" w:hAnsi="Calibri"/>
          <w:sz w:val="18"/>
          <w:szCs w:val="18"/>
          <w:color w:val="51555C"/>
        </w:rPr>
        <w:t>2,765</w:t>
      </w:r>
      <w:r>
        <w:rPr>
          <w:sz w:val="20"/>
          <w:szCs w:val="20"/>
          <w:color w:val="auto"/>
        </w:rPr>
        <w:tab/>
      </w:r>
      <w:r>
        <w:rPr>
          <w:rFonts w:ascii="Calibri" w:cs="Calibri" w:eastAsia="Calibri" w:hAnsi="Calibri"/>
          <w:sz w:val="17"/>
          <w:szCs w:val="17"/>
          <w:color w:val="51555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commitments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term loans under the 2024 Credit Facilites require periodic principal payments. The balance of the term loans and any amounts drawn on the revolving credit loans are due upon maturity of the 2024 Credit Facilites in April 2029. The Real Estate Loans also require periodic principal payments and the balance of the Real Estate Loans are due upon maturity in April 2038.</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contractual obligatons for third-party technology used in our solutons and for other services we purchase as part of our normal operatons. In certain cases, these arrangements require a minimum annual purchase commitment by us. As of December 31, 2024, the remaining aggregate minimum purchase commitment under these arrangements was approximately $184.4 million through 2029.</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Soluton and service indemnifcatons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the ordinary course of business, we provide certain indemnifcatons of varying scope to customers against claims of intellectual property infringement made by third partes arising from the use of our solutons or services. We have not identfed any losses that might be covered by these indemnifcatons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Legal proceedings</w:t>
      </w:r>
    </w:p>
    <w:p>
      <w:pPr>
        <w:spacing w:after="0" w:line="163"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7"/>
          <w:szCs w:val="17"/>
          <w:color w:val="51555C"/>
        </w:rPr>
        <w:t>We are subject to legal proceedings and claims that arise in the ordinary course of business, as well as certain other non-ordinary course proceedings, claims and investgatons, as described below. We record an accrual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 We review any such loss contngency accruals at least quarterly and adjust them to refect the impacts of negotatons, setlements, rulings, advice of legal counsel and other informaton and events pertaining to a partcular case. We recognize insurance recoveries, if any, when they are probable of receipt. All associated costs due to third-party service providers and consultants, including legal fees, are expensed as incurred.</w:t>
      </w:r>
    </w:p>
    <w:p>
      <w:pPr>
        <w:spacing w:after="0" w:line="16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Legal proceedings are inherently unpredictable. However, we believe that we have valid defenses with respect to the legal maters pending or threatened against us and intend to defend ourselves vigorously against all claims asserted. It is possible that our consolidated fnancial positon, results of operatons or cash fows could be materially negatvely afected in any partcular period by an unfavorable resoluton of one or more of such legal proceedings.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previously disclosed, we are subject to risks and uncertaintes as a result of a ransomware atack against us in May 2020 in which a cybercriminal removed a copy of a subset of data from our self-hosted environment (the "Security Incident"). Based on the nature of the Security Incident, our research and third party (including law enforcement) investgaton, we do not believe that any data went beyond the cybercriminal, has been misused, or has been disseminated or otherwise made available publicly.</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result of the Security Incident, we are currently subject to certain legal proceedings and claims, as discussed below, and could be the subject of additonal legal proceedings, claims, inquiries and investgatons in the future that might result in</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96</w:t>
      </w:r>
      <w:r>
        <w:rPr>
          <w:sz w:val="20"/>
          <w:szCs w:val="20"/>
          <w:color w:val="auto"/>
        </w:rPr>
        <w:tab/>
      </w:r>
      <w:r>
        <w:rPr>
          <w:sz w:val="1"/>
          <w:szCs w:val="1"/>
          <w:color w:val="auto"/>
        </w:rPr>
        <w:drawing>
          <wp:inline distT="0" distB="0" distL="0" distR="0">
            <wp:extent cx="728345" cy="18859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adverse judgments, setlements, fnes, penaltes or other resoluton. To limit our exposure to losses related to claims against us, including data breaches such as the Security Incident, we maintain $50 million of insurance above a $250 thousand deductble payable by us. As noted below, this coverage reduced our fnancial exposure related to the Security Incident in prior years.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recorded expenses and ofsetng insurance recoveries related to the Security Incident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9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236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0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50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0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694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Gross expense</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13,700</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53,426</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57,614</w:t>
            </w:r>
          </w:p>
        </w:tc>
        <w:tc>
          <w:tcPr>
            <w:tcW w:w="20" w:type="dxa"/>
            <w:vAlign w:val="bottom"/>
          </w:tcPr>
          <w:p>
            <w:pPr>
              <w:spacing w:after="0"/>
              <w:rPr>
                <w:sz w:val="21"/>
                <w:szCs w:val="21"/>
                <w:color w:val="auto"/>
              </w:rPr>
            </w:pPr>
          </w:p>
        </w:tc>
      </w:tr>
      <w:tr>
        <w:trPr>
          <w:trHeight w:val="220"/>
        </w:trPr>
        <w:tc>
          <w:tcPr>
            <w:tcW w:w="6940" w:type="dxa"/>
            <w:vAlign w:val="bottom"/>
          </w:tcPr>
          <w:p>
            <w:pPr>
              <w:ind w:left="20"/>
              <w:spacing w:after="0"/>
              <w:rPr>
                <w:sz w:val="20"/>
                <w:szCs w:val="20"/>
                <w:color w:val="auto"/>
              </w:rPr>
            </w:pPr>
            <w:r>
              <w:rPr>
                <w:rFonts w:ascii="Calibri" w:cs="Calibri" w:eastAsia="Calibri" w:hAnsi="Calibri"/>
                <w:sz w:val="18"/>
                <w:szCs w:val="18"/>
                <w:color w:val="51555C"/>
              </w:rPr>
              <w:t>Ofsetng insurance recoveries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(1,891)</w:t>
            </w:r>
          </w:p>
        </w:tc>
        <w:tc>
          <w:tcPr>
            <w:tcW w:w="20" w:type="dxa"/>
            <w:vAlign w:val="bottom"/>
          </w:tcPr>
          <w:p>
            <w:pPr>
              <w:spacing w:after="0"/>
              <w:rPr>
                <w:sz w:val="19"/>
                <w:szCs w:val="19"/>
                <w:color w:val="auto"/>
              </w:rPr>
            </w:pPr>
          </w:p>
        </w:tc>
      </w:tr>
      <w:tr>
        <w:trPr>
          <w:trHeight w:val="50"/>
        </w:trPr>
        <w:tc>
          <w:tcPr>
            <w:tcW w:w="694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9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Net expense</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13,700</w:t>
            </w:r>
          </w:p>
        </w:tc>
        <w:tc>
          <w:tcPr>
            <w:tcW w:w="50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53,426</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55,723</w:t>
            </w:r>
          </w:p>
        </w:tc>
        <w:tc>
          <w:tcPr>
            <w:tcW w:w="20" w:type="dxa"/>
            <w:vAlign w:val="bottom"/>
          </w:tcPr>
          <w:p>
            <w:pPr>
              <w:spacing w:after="0"/>
              <w:rPr>
                <w:sz w:val="21"/>
                <w:szCs w:val="21"/>
                <w:color w:val="auto"/>
              </w:rPr>
            </w:pPr>
          </w:p>
        </w:tc>
      </w:tr>
      <w:tr>
        <w:trPr>
          <w:trHeight w:val="20"/>
        </w:trPr>
        <w:tc>
          <w:tcPr>
            <w:tcW w:w="6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-694055</wp:posOffset>
            </wp:positionV>
            <wp:extent cx="27343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our cumulatve expenses, insurance recoveries recognized and insurance recoveries paid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3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0" w:type="dxa"/>
            <w:vAlign w:val="bottom"/>
            <w:shd w:val="clear" w:color="auto" w:fill="004054"/>
          </w:tcPr>
          <w:p>
            <w:pPr>
              <w:spacing w:after="0"/>
              <w:rPr>
                <w:sz w:val="15"/>
                <w:szCs w:val="15"/>
                <w:color w:val="auto"/>
              </w:rPr>
            </w:pPr>
          </w:p>
        </w:tc>
        <w:tc>
          <w:tcPr>
            <w:tcW w:w="12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83"/>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2022</w:t>
            </w:r>
          </w:p>
        </w:tc>
        <w:tc>
          <w:tcPr>
            <w:tcW w:w="20" w:type="dxa"/>
            <w:vAlign w:val="bottom"/>
            <w:shd w:val="clear" w:color="auto" w:fill="004054"/>
          </w:tcPr>
          <w:p>
            <w:pPr>
              <w:spacing w:after="0"/>
              <w:rPr>
                <w:sz w:val="15"/>
                <w:szCs w:val="15"/>
                <w:color w:val="auto"/>
              </w:rPr>
            </w:pPr>
          </w:p>
        </w:tc>
      </w:tr>
      <w:tr>
        <w:trPr>
          <w:trHeight w:val="74"/>
        </w:trPr>
        <w:tc>
          <w:tcPr>
            <w:tcW w:w="69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34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0" w:type="dxa"/>
            <w:vAlign w:val="bottom"/>
            <w:shd w:val="clear" w:color="auto" w:fill="004054"/>
          </w:tcPr>
          <w:p>
            <w:pPr>
              <w:spacing w:after="0"/>
              <w:rPr>
                <w:sz w:val="6"/>
                <w:szCs w:val="6"/>
                <w:color w:val="auto"/>
              </w:rPr>
            </w:pPr>
          </w:p>
        </w:tc>
        <w:tc>
          <w:tcPr>
            <w:tcW w:w="12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Cumulatve gross expense</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40"/>
              <w:spacing w:after="0"/>
              <w:rPr>
                <w:sz w:val="20"/>
                <w:szCs w:val="20"/>
                <w:color w:val="auto"/>
              </w:rPr>
            </w:pPr>
            <w:r>
              <w:rPr>
                <w:rFonts w:ascii="Calibri" w:cs="Calibri" w:eastAsia="Calibri" w:hAnsi="Calibri"/>
                <w:sz w:val="18"/>
                <w:szCs w:val="18"/>
                <w:color w:val="51555C"/>
              </w:rPr>
              <w:t>175,131</w:t>
            </w:r>
          </w:p>
        </w:tc>
        <w:tc>
          <w:tcPr>
            <w:tcW w:w="34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ind w:left="440"/>
              <w:spacing w:after="0"/>
              <w:rPr>
                <w:sz w:val="20"/>
                <w:szCs w:val="20"/>
                <w:color w:val="auto"/>
              </w:rPr>
            </w:pPr>
            <w:r>
              <w:rPr>
                <w:rFonts w:ascii="Calibri" w:cs="Calibri" w:eastAsia="Calibri" w:hAnsi="Calibri"/>
                <w:sz w:val="18"/>
                <w:szCs w:val="18"/>
                <w:color w:val="51555C"/>
              </w:rPr>
              <w:t>161,431</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108,005</w:t>
            </w:r>
          </w:p>
        </w:tc>
        <w:tc>
          <w:tcPr>
            <w:tcW w:w="20" w:type="dxa"/>
            <w:vAlign w:val="bottom"/>
          </w:tcPr>
          <w:p>
            <w:pPr>
              <w:spacing w:after="0"/>
              <w:rPr>
                <w:sz w:val="21"/>
                <w:szCs w:val="21"/>
                <w:color w:val="auto"/>
              </w:rPr>
            </w:pPr>
          </w:p>
        </w:tc>
      </w:tr>
      <w:tr>
        <w:trPr>
          <w:trHeight w:val="219"/>
        </w:trPr>
        <w:tc>
          <w:tcPr>
            <w:tcW w:w="6940" w:type="dxa"/>
            <w:vAlign w:val="bottom"/>
          </w:tcPr>
          <w:p>
            <w:pPr>
              <w:ind w:left="20"/>
              <w:spacing w:after="0"/>
              <w:rPr>
                <w:sz w:val="20"/>
                <w:szCs w:val="20"/>
                <w:color w:val="auto"/>
              </w:rPr>
            </w:pPr>
            <w:r>
              <w:rPr>
                <w:rFonts w:ascii="Calibri" w:cs="Calibri" w:eastAsia="Calibri" w:hAnsi="Calibri"/>
                <w:sz w:val="18"/>
                <w:szCs w:val="18"/>
                <w:color w:val="51555C"/>
              </w:rPr>
              <w:t>Cumulatve ofsetng insurance recoveries recognized</w:t>
            </w:r>
          </w:p>
        </w:tc>
        <w:tc>
          <w:tcPr>
            <w:tcW w:w="36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Calibri" w:cs="Calibri" w:eastAsia="Calibri" w:hAnsi="Calibri"/>
                <w:sz w:val="18"/>
                <w:szCs w:val="18"/>
                <w:color w:val="51555C"/>
                <w:w w:val="98"/>
              </w:rPr>
              <w:t>(50,000)</w:t>
            </w:r>
          </w:p>
        </w:tc>
        <w:tc>
          <w:tcPr>
            <w:tcW w:w="34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Calibri" w:cs="Calibri" w:eastAsia="Calibri" w:hAnsi="Calibri"/>
                <w:sz w:val="18"/>
                <w:szCs w:val="18"/>
                <w:color w:val="51555C"/>
                <w:w w:val="98"/>
              </w:rPr>
              <w:t>(50,000)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51555C"/>
              </w:rPr>
              <w:t>(50,000)</w:t>
            </w:r>
          </w:p>
        </w:tc>
        <w:tc>
          <w:tcPr>
            <w:tcW w:w="20" w:type="dxa"/>
            <w:vAlign w:val="bottom"/>
          </w:tcPr>
          <w:p>
            <w:pPr>
              <w:spacing w:after="0"/>
              <w:rPr>
                <w:sz w:val="19"/>
                <w:szCs w:val="19"/>
                <w:color w:val="auto"/>
              </w:rPr>
            </w:pPr>
          </w:p>
        </w:tc>
      </w:tr>
      <w:tr>
        <w:trPr>
          <w:trHeight w:val="51"/>
        </w:trPr>
        <w:tc>
          <w:tcPr>
            <w:tcW w:w="694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108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1080" w:type="dxa"/>
            <w:vAlign w:val="bottom"/>
            <w:tcBorders>
              <w:bottom w:val="single" w:sz="8" w:color="51555C"/>
            </w:tcBorders>
          </w:tcPr>
          <w:p>
            <w:pPr>
              <w:spacing w:after="0"/>
              <w:rPr>
                <w:sz w:val="4"/>
                <w:szCs w:val="4"/>
                <w:color w:val="auto"/>
              </w:rPr>
            </w:pPr>
          </w:p>
        </w:tc>
        <w:tc>
          <w:tcPr>
            <w:tcW w:w="200" w:type="dxa"/>
            <w:vAlign w:val="bottom"/>
            <w:tcBorders>
              <w:bottom w:val="single" w:sz="8" w:color="51555C"/>
            </w:tcBorders>
          </w:tcPr>
          <w:p>
            <w:pPr>
              <w:spacing w:after="0"/>
              <w:rPr>
                <w:sz w:val="4"/>
                <w:szCs w:val="4"/>
                <w:color w:val="auto"/>
              </w:rPr>
            </w:pPr>
          </w:p>
        </w:tc>
        <w:tc>
          <w:tcPr>
            <w:tcW w:w="12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9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Cumulatve net expense</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40"/>
              <w:spacing w:after="0" w:line="213" w:lineRule="exact"/>
              <w:rPr>
                <w:sz w:val="20"/>
                <w:szCs w:val="20"/>
                <w:color w:val="auto"/>
              </w:rPr>
            </w:pPr>
            <w:r>
              <w:rPr>
                <w:rFonts w:ascii="Calibri" w:cs="Calibri" w:eastAsia="Calibri" w:hAnsi="Calibri"/>
                <w:sz w:val="18"/>
                <w:szCs w:val="18"/>
                <w:color w:val="51555C"/>
              </w:rPr>
              <w:t>125,131</w:t>
            </w:r>
          </w:p>
        </w:tc>
        <w:tc>
          <w:tcPr>
            <w:tcW w:w="34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ind w:left="440"/>
              <w:spacing w:after="0" w:line="213" w:lineRule="exact"/>
              <w:rPr>
                <w:sz w:val="20"/>
                <w:szCs w:val="20"/>
                <w:color w:val="auto"/>
              </w:rPr>
            </w:pPr>
            <w:r>
              <w:rPr>
                <w:rFonts w:ascii="Calibri" w:cs="Calibri" w:eastAsia="Calibri" w:hAnsi="Calibri"/>
                <w:sz w:val="18"/>
                <w:szCs w:val="18"/>
                <w:color w:val="51555C"/>
              </w:rPr>
              <w:t>111,431</w:t>
            </w:r>
          </w:p>
        </w:tc>
        <w:tc>
          <w:tcPr>
            <w:tcW w:w="2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58,005</w:t>
            </w:r>
          </w:p>
        </w:tc>
        <w:tc>
          <w:tcPr>
            <w:tcW w:w="20" w:type="dxa"/>
            <w:vAlign w:val="bottom"/>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360" w:type="dxa"/>
            <w:vAlign w:val="bottom"/>
            <w:tcBorders>
              <w:top w:val="single" w:sz="8" w:color="51555C"/>
            </w:tcBorders>
          </w:tcPr>
          <w:p>
            <w:pPr>
              <w:spacing w:after="0"/>
              <w:rPr>
                <w:sz w:val="21"/>
                <w:szCs w:val="21"/>
                <w:color w:val="auto"/>
              </w:rPr>
            </w:pPr>
          </w:p>
        </w:tc>
        <w:tc>
          <w:tcPr>
            <w:tcW w:w="1080" w:type="dxa"/>
            <w:vAlign w:val="bottom"/>
            <w:tcBorders>
              <w:top w:val="single" w:sz="8" w:color="51555C"/>
            </w:tcBorders>
          </w:tcPr>
          <w:p>
            <w:pPr>
              <w:spacing w:after="0"/>
              <w:rPr>
                <w:sz w:val="21"/>
                <w:szCs w:val="21"/>
                <w:color w:val="auto"/>
              </w:rPr>
            </w:pPr>
          </w:p>
        </w:tc>
        <w:tc>
          <w:tcPr>
            <w:tcW w:w="340" w:type="dxa"/>
            <w:vAlign w:val="bottom"/>
            <w:tcBorders>
              <w:top w:val="single" w:sz="8" w:color="51555C"/>
            </w:tcBorders>
          </w:tcPr>
          <w:p>
            <w:pPr>
              <w:spacing w:after="0"/>
              <w:rPr>
                <w:sz w:val="21"/>
                <w:szCs w:val="21"/>
                <w:color w:val="auto"/>
              </w:rPr>
            </w:pPr>
          </w:p>
        </w:tc>
        <w:tc>
          <w:tcPr>
            <w:tcW w:w="1080" w:type="dxa"/>
            <w:vAlign w:val="bottom"/>
            <w:tcBorders>
              <w:top w:val="single" w:sz="8" w:color="51555C"/>
            </w:tcBorders>
          </w:tcPr>
          <w:p>
            <w:pPr>
              <w:spacing w:after="0"/>
              <w:rPr>
                <w:sz w:val="21"/>
                <w:szCs w:val="21"/>
                <w:color w:val="auto"/>
              </w:rPr>
            </w:pPr>
          </w:p>
        </w:tc>
        <w:tc>
          <w:tcPr>
            <w:tcW w:w="200" w:type="dxa"/>
            <w:vAlign w:val="bottom"/>
            <w:tcBorders>
              <w:top w:val="single" w:sz="8" w:color="51555C"/>
            </w:tcBorders>
          </w:tcPr>
          <w:p>
            <w:pPr>
              <w:spacing w:after="0"/>
              <w:rPr>
                <w:sz w:val="21"/>
                <w:szCs w:val="21"/>
                <w:color w:val="auto"/>
              </w:rPr>
            </w:pPr>
          </w:p>
        </w:tc>
        <w:tc>
          <w:tcPr>
            <w:tcW w:w="1240" w:type="dxa"/>
            <w:vAlign w:val="bottom"/>
            <w:tcBorders>
              <w:top w:val="single" w:sz="8" w:color="51555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Cumulatve ofsetng insurance recoveries paid</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w w:val="98"/>
              </w:rPr>
              <w:t>(50,000)</w:t>
            </w:r>
          </w:p>
        </w:tc>
        <w:tc>
          <w:tcPr>
            <w:tcW w:w="34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w w:val="98"/>
              </w:rPr>
              <w:t>(50,000)</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(50,000)</w:t>
            </w:r>
          </w:p>
        </w:tc>
        <w:tc>
          <w:tcPr>
            <w:tcW w:w="20" w:type="dxa"/>
            <w:vAlign w:val="bottom"/>
          </w:tcPr>
          <w:p>
            <w:pPr>
              <w:spacing w:after="0"/>
              <w:rPr>
                <w:sz w:val="21"/>
                <w:szCs w:val="21"/>
                <w:color w:val="auto"/>
              </w:rPr>
            </w:pPr>
          </w:p>
        </w:tc>
      </w:tr>
      <w:tr>
        <w:trPr>
          <w:trHeight w:val="20"/>
        </w:trPr>
        <w:tc>
          <w:tcPr>
            <w:tcW w:w="69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Recorded expenses have consisted primarily of payments to third-party service providers and consultants, including legal fees, setlement of the previously disclosed SEC and mult-state Atorneys General investgaton and Atorney General of the State of California investgaton (discussed below), setlements of customer claims and accruals for certain loss contngencies. Not included in the expenses discussed above were costs associated with enhancements to our cybersecurity program. We present expenses and insurance recoveries related to the Security Incident in general and administratve expense on our consolidated statements of comprehensive loss and as operatng actvites on our consolidated statements of cash fows. Total costs related to the Security Incident exceeded the limit of our insurance coverage during the frst quarter of 2022. We expect to contnue to incur expenses related to our response to the Security Incident, resoluton of legal proceedings, claims and investgatons, including those discussed below, and our eforts to further enhance our cybersecurity measures. For the year ended December 31, 2024, we incurred net pre-tax expense of $13.7 million related to the Security Incident, which included $7.0 million for ongoing legal fees. It also includes a setlement of loss contngencies of $6.8 million. Also, for the year ended December 31, 2024, we had net cash outlays of $15.9 million related to the Security Incident, which included ongoing legal fees and the $6.8 million paid during the third quarter of 2024 related to our setlement with the Atorney General of the State of California (discussed below). In line with our policy, legal fees are expensed as incurred. For the year ended December 31, 2025, we currently expect net pre-tax expense of approximately $2.0 million to $3.0 million and net cash outlays of approximately $3.0 million to $4.0 million for ongoing legal fees related to the Security Incident.</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December 31, 2024, we have recorded approximately $0.7 million in aggregate liabilites for loss contngencies based primarily on recent negotatons with certain customers related to the Security Incident that we believe we can reasonably estmate in accordance with our loss contngency procedures described above. Our liabilites for loss contngencies are recorded in accrued expenses and other current liabilites on our consolidated balance sheets. It is reasonably possible that our estmated or actual losses may change in the near term for those maters and be materially in excess of the amounts accrued, but we are unable at this tme to reasonably estmate the possible additonal loss.</w:t>
      </w:r>
    </w:p>
    <w:p>
      <w:pPr>
        <w:spacing w:after="0" w:line="1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There are other Security Incident-related maters for which we have not recorded a liability for a loss contngency as of December 31,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230505</wp:posOffset>
            </wp:positionV>
            <wp:extent cx="728980" cy="188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97</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Customer claims. </w:t>
      </w:r>
      <w:r>
        <w:rPr>
          <w:rFonts w:ascii="Calibri" w:cs="Calibri" w:eastAsia="Calibri" w:hAnsi="Calibri"/>
          <w:sz w:val="18"/>
          <w:szCs w:val="18"/>
          <w:color w:val="51555C"/>
        </w:rPr>
        <w:t>To date, we have received approximately 260 specifc requests from customers for reimbursement of expenses incurred by them related to</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the Security Incident, all of which have been 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have been fully resolved and closed or are inactve and are considered by us to have been abandoned by the data subjects. In additon, insurance companies representng various customers’ interests through subrogaton claims have contacted us, and certain insurance companies have fled subrogaton claims in court, of which two cases remain actve and unresolved.</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Customer consttuent class actons</w:t>
      </w:r>
      <w:r>
        <w:rPr>
          <w:rFonts w:ascii="Calibri" w:cs="Calibri" w:eastAsia="Calibri" w:hAnsi="Calibri"/>
          <w:sz w:val="18"/>
          <w:szCs w:val="18"/>
          <w:b w:val="1"/>
          <w:bCs w:val="1"/>
          <w:color w:val="51555C"/>
        </w:rPr>
        <w:t>.</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Presently, we are a defendant in putatve consumer class acton cases in U.S. federal courts (which have been</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consolidated under mult district litgaton to a single federal court) alleging harm from the Security Incident. The plaintfs in these cases, who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May 14, 2024, the United States District Court for the District of South Carolina (the "Court") issued a memorandum opinion and order (1) denying the mult district litgaton plaintfs' moton for class certfcaton because of the plaintfs' failure to meet their burden of proof as to ascertainability, (2) grantng our moton to exclude the mult district litgaton plaintfs' expert on the issue of ascertainability, and (3) denying the mult district litgaton plaintfs' moton to exclude our expert on the issue of ascertainability. Further, the Court denied as moot all other pending motons. On July 30, 2024, the Fourth Circuit Court of Appeals denied the plaintfs' petton for permission to appeal the Court's ruling. This litgaton remains ongoing.</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December 2024 and January 2025, judges in Ontario and Britsh Columbia, respectvely, approved a setlement between us and plaintfs in putatve consumer class actons cases in Canada. In January 2025, the insignifcant setlement was paid to Canadian charites designated in the setlement agreement as cy pres recipients.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Governmental investgatons. </w:t>
      </w:r>
      <w:r>
        <w:rPr>
          <w:rFonts w:ascii="Calibri" w:cs="Calibri" w:eastAsia="Calibri" w:hAnsi="Calibri"/>
          <w:sz w:val="18"/>
          <w:szCs w:val="18"/>
          <w:color w:val="51555C"/>
        </w:rPr>
        <w:t>As previously disclosed, we were subject to an investgaton by the U.S. Department of Health and Human Services. We also</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responded to inquiries from the Ofce of the Australian Informaton Commissioner in September 2020 and the Ofce of the Privacy Commissioner of Canada in October 2020. Although we have not received notces of the terminaton of any of these inquiries and investgatons, we believe that they are no longer actve.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June 13, 2024, we agreed to a Final Judgment and Permanent Injuncton with the Atorney General of the State of California (the "Final Judgment") relatng to the Security Incident. This setlement fully resolved the last remaining U.S. state atorney general investgaton into the Security Incident. Under the terms of the setlement, we agreed to comply with applicable laws; not to make misleading statements related to our data protecton, privacy, security, confdentality, integrity, breach notfcaton requirements, and similar maters; and to implement and improve certain cybersecurity programs and tools. The terms of the setlement with California are generally consistent with those to which we agreed in setling with the other 49 state Atorneys General and the District of Columbia on October 5, 2023, as discussed below. As part of the setlement, we also paid a total of $6.8 million to the State of California. Nothing contained in the Final Judgment is intended to be, and shall not in any event be construed or deemed to be, an admission or concession or evidence of any liability or wrongdoing whatsoever on the part of Blackbaud or any fact or violaton of law, rule, or regulaton. For more informaton, see the Final Judgment and Permanent Injuncton of the State of California, County of San Diego that was furnished as Exhibit 99.1 to our Current Report on Form 8-K fled with the SEC on June 14, 2024.</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May 20, 2024, the U.S. Federal Trade Commission (the "FTC") fnalized an Order (the “FTC Order”) evidencing its setlement with us in connecton with the Security Incident. As part of the FTC Order, we were not fned and were not otherwise required to make any payment. Furthermore, we agreed to the FTC Order without admitng or denying any of the FTC’s allegatons, except as expressly stated otherwise in the FTC Order. The setlement described in the FTC Order fully resolved the FTC investgaton. For more informaton, see the form of proposed order that was furnished as Exhibit 99.2 to our Current Report on Form 8-K fled with the SEC on February 2, 2024 and is identcal in substance to the fnal FTC Order, and in Note 11 to our audited consolidated fnancial statements contained in our Annual Report on Form 10-K fled with the SEC on February 21, 2024.</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October 5, 2023, we entered into separate, substantally similar Administratve Orders with each of 49 state Atorneys General and the District of Columbia relatng to the Security Incident which fully resolved the previously disclosed mult-state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98</w:t>
      </w:r>
      <w:r>
        <w:rPr>
          <w:sz w:val="20"/>
          <w:szCs w:val="20"/>
          <w:color w:val="auto"/>
        </w:rPr>
        <w:tab/>
      </w:r>
      <w:r>
        <w:rPr>
          <w:sz w:val="1"/>
          <w:szCs w:val="1"/>
          <w:color w:val="auto"/>
        </w:rPr>
        <w:drawing>
          <wp:inline distT="0" distB="0" distL="0" distR="0">
            <wp:extent cx="728345" cy="18859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Civil Investgatve Demand and the separate Civil Investgatve Demand from the Ofce of the Indiana Atorney General relatng to the Security Incident.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March 9, 2023, we reached a setlement with the SEC in connecton with the Security Incident that fully resolved the previously disclosed SEC investgaton of the Security Incident.</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September 28, 2021, the Informaton Commissioner’s Ofce in the United Kingdom under the U.K. Data Protecton Act 2018 notfed us that it has closed its investgaton of the Security Incident.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On September 24, 2021, we received notce from the Spanish Data Protecton Authority that it has concluded its investgaton of the Security Incident.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On January 15, 2021, we were notfed by the Data Protecton Commission of Ireland that it has concluded its investgaton of the Security Incident.</w:t>
      </w:r>
    </w:p>
    <w:p>
      <w:pPr>
        <w:spacing w:after="0" w:line="16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For more informaton about these completed government investgatons and related actons, see Note 11 to our audited consolidated fnancial statements contained in our Annual Report on Form 10-K fled with the SEC on February 21, 2024.</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fle income tax returns in the U.S. for federal and various state jurisdictons as well as in foreign jurisdictons including Canada, the U.K., Australia, Ireland and Costa Rica. We are generally subject to U.S. federal income tax examinaton for calendar tax years 2021 through 2024 as well as state and foreign income tax examinatons for various years depending on statutes of limitatons of those jurisdictons.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the components of income tax (beneft) expense: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25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7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0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50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0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670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7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Current taxes:</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U.S. Federal</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36,367</w:t>
            </w:r>
          </w:p>
        </w:tc>
        <w:tc>
          <w:tcPr>
            <w:tcW w:w="500" w:type="dxa"/>
            <w:vAlign w:val="bottom"/>
          </w:tcPr>
          <w:p>
            <w:pPr>
              <w:jc w:val="right"/>
              <w:ind w:right="310"/>
              <w:spacing w:after="0"/>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18,879</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3,485</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U.S. State and local</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8,433</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12,331</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5,708</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Internatonal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11,792</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8,982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7,283</w:t>
            </w:r>
          </w:p>
        </w:tc>
        <w:tc>
          <w:tcPr>
            <w:tcW w:w="20" w:type="dxa"/>
            <w:vAlign w:val="bottom"/>
          </w:tcPr>
          <w:p>
            <w:pPr>
              <w:spacing w:after="0"/>
              <w:rPr>
                <w:sz w:val="19"/>
                <w:szCs w:val="19"/>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700" w:type="dxa"/>
            <w:vAlign w:val="bottom"/>
            <w:tcBorders>
              <w:bottom w:val="single" w:sz="8" w:color="EBFBFF"/>
            </w:tcBorders>
            <w:shd w:val="clear" w:color="auto" w:fill="EBFBFF"/>
          </w:tcPr>
          <w:p>
            <w:pPr>
              <w:ind w:left="240"/>
              <w:spacing w:after="0" w:line="199" w:lineRule="exact"/>
              <w:rPr>
                <w:sz w:val="20"/>
                <w:szCs w:val="20"/>
                <w:color w:val="auto"/>
              </w:rPr>
            </w:pPr>
            <w:r>
              <w:rPr>
                <w:rFonts w:ascii="Calibri" w:cs="Calibri" w:eastAsia="Calibri" w:hAnsi="Calibri"/>
                <w:sz w:val="18"/>
                <w:szCs w:val="18"/>
                <w:b w:val="1"/>
                <w:bCs w:val="1"/>
                <w:color w:val="51555C"/>
              </w:rPr>
              <w:t>Total current taxes</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56,592</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40,192</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16,476</w:t>
            </w:r>
          </w:p>
        </w:tc>
        <w:tc>
          <w:tcPr>
            <w:tcW w:w="20" w:type="dxa"/>
            <w:vAlign w:val="bottom"/>
          </w:tcPr>
          <w:p>
            <w:pPr>
              <w:spacing w:after="0"/>
              <w:rPr>
                <w:sz w:val="21"/>
                <w:szCs w:val="21"/>
                <w:color w:val="auto"/>
              </w:rPr>
            </w:pPr>
          </w:p>
        </w:tc>
      </w:t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b w:val="1"/>
                <w:bCs w:val="1"/>
                <w:color w:val="51555C"/>
              </w:rPr>
              <w:t>Deferred taxes: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U.S. Federal</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(65,559)</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(18,303)</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(16,880)</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U.S. State and local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(18,472)</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(5,895)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(9,319)</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Internatonal</w:t>
            </w: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(980)</w:t>
            </w:r>
          </w:p>
        </w:tc>
        <w:tc>
          <w:tcPr>
            <w:tcW w:w="50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(170)</w:t>
            </w: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(445)</w:t>
            </w:r>
          </w:p>
        </w:tc>
        <w:tc>
          <w:tcPr>
            <w:tcW w:w="20" w:type="dxa"/>
            <w:vAlign w:val="bottom"/>
          </w:tcPr>
          <w:p>
            <w:pPr>
              <w:spacing w:after="0"/>
              <w:rPr>
                <w:sz w:val="23"/>
                <w:szCs w:val="23"/>
                <w:color w:val="auto"/>
              </w:rPr>
            </w:pPr>
          </w:p>
        </w:tc>
      </w:tr>
      <w:tr>
        <w:trPr>
          <w:trHeight w:val="213"/>
        </w:trPr>
        <w:tc>
          <w:tcPr>
            <w:tcW w:w="6700" w:type="dxa"/>
            <w:vAlign w:val="bottom"/>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taxes</w:t>
            </w:r>
          </w:p>
        </w:tc>
        <w:tc>
          <w:tcPr>
            <w:tcW w:w="50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(85,011)</w:t>
            </w:r>
          </w:p>
        </w:tc>
        <w:tc>
          <w:tcPr>
            <w:tcW w:w="50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(24,368)</w:t>
            </w:r>
          </w:p>
        </w:tc>
        <w:tc>
          <w:tcPr>
            <w:tcW w:w="50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(26,644)</w:t>
            </w:r>
          </w:p>
        </w:tc>
        <w:tc>
          <w:tcPr>
            <w:tcW w:w="20" w:type="dxa"/>
            <w:vAlign w:val="bottom"/>
          </w:tcPr>
          <w:p>
            <w:pPr>
              <w:spacing w:after="0"/>
              <w:rPr>
                <w:sz w:val="18"/>
                <w:szCs w:val="18"/>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700" w:type="dxa"/>
            <w:vAlign w:val="bottom"/>
            <w:tcBorders>
              <w:bottom w:val="single" w:sz="8" w:color="EBFBFF"/>
            </w:tcBorders>
            <w:shd w:val="clear" w:color="auto" w:fill="EBFBFF"/>
          </w:tcPr>
          <w:p>
            <w:pPr>
              <w:ind w:left="360"/>
              <w:spacing w:after="0" w:line="199" w:lineRule="exact"/>
              <w:rPr>
                <w:sz w:val="20"/>
                <w:szCs w:val="20"/>
                <w:color w:val="auto"/>
              </w:rPr>
            </w:pPr>
            <w:r>
              <w:rPr>
                <w:rFonts w:ascii="Calibri" w:cs="Calibri" w:eastAsia="Calibri" w:hAnsi="Calibri"/>
                <w:sz w:val="18"/>
                <w:szCs w:val="18"/>
                <w:b w:val="1"/>
                <w:bCs w:val="1"/>
                <w:color w:val="51555C"/>
              </w:rPr>
              <w:t>Total income tax (beneft) provision</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(28,419)</w:t>
            </w:r>
          </w:p>
        </w:tc>
        <w:tc>
          <w:tcPr>
            <w:tcW w:w="50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15,824</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(10,168)</w:t>
            </w:r>
          </w:p>
        </w:tc>
        <w:tc>
          <w:tcPr>
            <w:tcW w:w="20" w:type="dxa"/>
            <w:vAlign w:val="bottom"/>
          </w:tcPr>
          <w:p>
            <w:pPr>
              <w:spacing w:after="0"/>
              <w:rPr>
                <w:sz w:val="21"/>
                <w:szCs w:val="21"/>
                <w:color w:val="auto"/>
              </w:rPr>
            </w:pPr>
          </w:p>
        </w:tc>
      </w:tr>
      <w:tr>
        <w:trPr>
          <w:trHeight w:val="20"/>
        </w:trPr>
        <w:tc>
          <w:tcPr>
            <w:tcW w:w="67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-2082165</wp:posOffset>
            </wp:positionV>
            <wp:extent cx="28886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the components of (loss) income before provision for income taxes: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10" w:type="dxa"/>
            <w:vAlign w:val="bottom"/>
            <w:shd w:val="clear" w:color="auto" w:fill="004054"/>
          </w:tcPr>
          <w:p>
            <w:pPr>
              <w:spacing w:after="0"/>
              <w:rPr>
                <w:sz w:val="16"/>
                <w:szCs w:val="16"/>
                <w:color w:val="auto"/>
              </w:rPr>
            </w:pPr>
          </w:p>
        </w:tc>
        <w:tc>
          <w:tcPr>
            <w:tcW w:w="1500" w:type="dxa"/>
            <w:vAlign w:val="bottom"/>
            <w:shd w:val="clear" w:color="auto" w:fill="004054"/>
          </w:tcPr>
          <w:p>
            <w:pPr>
              <w:spacing w:after="0"/>
              <w:rPr>
                <w:sz w:val="16"/>
                <w:szCs w:val="16"/>
                <w:color w:val="auto"/>
              </w:rPr>
            </w:pPr>
          </w:p>
        </w:tc>
        <w:tc>
          <w:tcPr>
            <w:tcW w:w="305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67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530" w:type="dxa"/>
            <w:vAlign w:val="bottom"/>
            <w:shd w:val="clear" w:color="auto" w:fill="004054"/>
          </w:tcPr>
          <w:p>
            <w:pPr>
              <w:jc w:val="right"/>
              <w:ind w:right="8"/>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6710" w:type="dxa"/>
            <w:vAlign w:val="bottom"/>
            <w:shd w:val="clear" w:color="auto" w:fill="004054"/>
          </w:tcPr>
          <w:p>
            <w:pPr>
              <w:spacing w:after="0"/>
              <w:rPr>
                <w:sz w:val="6"/>
                <w:szCs w:val="6"/>
                <w:color w:val="auto"/>
              </w:rPr>
            </w:pPr>
          </w:p>
        </w:tc>
        <w:tc>
          <w:tcPr>
            <w:tcW w:w="150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53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-161925</wp:posOffset>
            </wp:positionV>
            <wp:extent cx="28886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color w:val="51555C"/>
              </w:rPr>
              <w:t>U.S.</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(365,356)</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51555C"/>
                <w:w w:val="87"/>
              </w:rPr>
              <w:t>$</w:t>
            </w:r>
          </w:p>
        </w:tc>
        <w:tc>
          <w:tcPr>
            <w:tcW w:w="1280" w:type="dxa"/>
            <w:vAlign w:val="bottom"/>
          </w:tcPr>
          <w:p>
            <w:pPr>
              <w:jc w:val="center"/>
              <w:ind w:left="555"/>
              <w:spacing w:after="0"/>
              <w:rPr>
                <w:sz w:val="20"/>
                <w:szCs w:val="20"/>
                <w:color w:val="auto"/>
              </w:rPr>
            </w:pPr>
            <w:r>
              <w:rPr>
                <w:rFonts w:ascii="Calibri" w:cs="Calibri" w:eastAsia="Calibri" w:hAnsi="Calibri"/>
                <w:sz w:val="18"/>
                <w:szCs w:val="18"/>
                <w:color w:val="51555C"/>
                <w:w w:val="98"/>
              </w:rPr>
              <w:t>(22,074)</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(91,493)</w:t>
            </w:r>
          </w:p>
        </w:tc>
      </w:tr>
      <w:tr>
        <w:trPr>
          <w:trHeight w:val="270"/>
        </w:trPr>
        <w:tc>
          <w:tcPr>
            <w:tcW w:w="6700" w:type="dxa"/>
            <w:vAlign w:val="bottom"/>
          </w:tcPr>
          <w:p>
            <w:pPr>
              <w:ind w:left="20"/>
              <w:spacing w:after="0"/>
              <w:rPr>
                <w:sz w:val="20"/>
                <w:szCs w:val="20"/>
                <w:color w:val="auto"/>
              </w:rPr>
            </w:pPr>
            <w:r>
              <w:rPr>
                <w:rFonts w:ascii="Calibri" w:cs="Calibri" w:eastAsia="Calibri" w:hAnsi="Calibri"/>
                <w:sz w:val="18"/>
                <w:szCs w:val="18"/>
                <w:color w:val="51555C"/>
              </w:rPr>
              <w:t>Internatonal</w:t>
            </w:r>
          </w:p>
        </w:tc>
        <w:tc>
          <w:tcPr>
            <w:tcW w:w="4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53,765</w:t>
            </w:r>
          </w:p>
        </w:tc>
        <w:tc>
          <w:tcPr>
            <w:tcW w:w="220" w:type="dxa"/>
            <w:vAlign w:val="bottom"/>
          </w:tcPr>
          <w:p>
            <w:pPr>
              <w:spacing w:after="0"/>
              <w:rPr>
                <w:sz w:val="23"/>
                <w:szCs w:val="23"/>
                <w:color w:val="auto"/>
              </w:rPr>
            </w:pPr>
          </w:p>
        </w:tc>
        <w:tc>
          <w:tcPr>
            <w:tcW w:w="1280" w:type="dxa"/>
            <w:vAlign w:val="bottom"/>
          </w:tcPr>
          <w:p>
            <w:pPr>
              <w:jc w:val="center"/>
              <w:ind w:left="595"/>
              <w:spacing w:after="0"/>
              <w:rPr>
                <w:sz w:val="20"/>
                <w:szCs w:val="20"/>
                <w:color w:val="auto"/>
              </w:rPr>
            </w:pPr>
            <w:r>
              <w:rPr>
                <w:rFonts w:ascii="Calibri" w:cs="Calibri" w:eastAsia="Calibri" w:hAnsi="Calibri"/>
                <w:sz w:val="18"/>
                <w:szCs w:val="18"/>
                <w:color w:val="51555C"/>
                <w:w w:val="95"/>
              </w:rPr>
              <w:t>39,718</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35,918</w:t>
            </w:r>
          </w:p>
        </w:tc>
      </w:tr>
      <w:tr>
        <w:trPr>
          <w:trHeight w:val="50"/>
        </w:trPr>
        <w:tc>
          <w:tcPr>
            <w:tcW w:w="6700" w:type="dxa"/>
            <w:vAlign w:val="bottom"/>
            <w:tcBorders>
              <w:bottom w:val="single" w:sz="8" w:color="EBFBFF"/>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128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r>
      <w:tr>
        <w:trPr>
          <w:trHeight w:val="268"/>
        </w:trPr>
        <w:tc>
          <w:tcPr>
            <w:tcW w:w="67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(Loss) income before provision for income taxes</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0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(311,591)</w:t>
            </w:r>
          </w:p>
        </w:tc>
        <w:tc>
          <w:tcPr>
            <w:tcW w:w="22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1280" w:type="dxa"/>
            <w:vAlign w:val="bottom"/>
            <w:tcBorders>
              <w:bottom w:val="single" w:sz="8" w:color="EBFBFF"/>
            </w:tcBorders>
            <w:shd w:val="clear" w:color="auto" w:fill="EBFBFF"/>
          </w:tcPr>
          <w:p>
            <w:pPr>
              <w:jc w:val="center"/>
              <w:ind w:left="595"/>
              <w:spacing w:after="0" w:line="213" w:lineRule="exact"/>
              <w:rPr>
                <w:sz w:val="20"/>
                <w:szCs w:val="20"/>
                <w:color w:val="auto"/>
              </w:rPr>
            </w:pPr>
            <w:r>
              <w:rPr>
                <w:rFonts w:ascii="Calibri" w:cs="Calibri" w:eastAsia="Calibri" w:hAnsi="Calibri"/>
                <w:sz w:val="18"/>
                <w:szCs w:val="18"/>
                <w:color w:val="51555C"/>
                <w:w w:val="95"/>
              </w:rPr>
              <w:t>17,644</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(55,575)</w:t>
            </w:r>
          </w:p>
        </w:tc>
      </w:tr>
      <w:tr>
        <w:trPr>
          <w:trHeight w:val="662"/>
        </w:trPr>
        <w:tc>
          <w:tcPr>
            <w:tcW w:w="6700" w:type="dxa"/>
            <w:vAlign w:val="bottom"/>
            <w:tcBorders>
              <w:top w:val="single" w:sz="8" w:color="0CD973"/>
            </w:tcBorders>
          </w:tcPr>
          <w:p>
            <w:pPr>
              <w:spacing w:after="0"/>
              <w:rPr>
                <w:sz w:val="24"/>
                <w:szCs w:val="24"/>
                <w:color w:val="auto"/>
              </w:rPr>
            </w:pPr>
          </w:p>
        </w:tc>
        <w:tc>
          <w:tcPr>
            <w:tcW w:w="460" w:type="dxa"/>
            <w:vAlign w:val="bottom"/>
            <w:tcBorders>
              <w:top w:val="single" w:sz="8" w:color="0CD973"/>
            </w:tcBorders>
          </w:tcPr>
          <w:p>
            <w:pPr>
              <w:spacing w:after="0"/>
              <w:rPr>
                <w:sz w:val="24"/>
                <w:szCs w:val="24"/>
                <w:color w:val="auto"/>
              </w:rPr>
            </w:pPr>
          </w:p>
        </w:tc>
        <w:tc>
          <w:tcPr>
            <w:tcW w:w="1060" w:type="dxa"/>
            <w:vAlign w:val="bottom"/>
            <w:tcBorders>
              <w:top w:val="single" w:sz="8" w:color="0CD973"/>
            </w:tcBorders>
          </w:tcPr>
          <w:p>
            <w:pPr>
              <w:spacing w:after="0"/>
              <w:rPr>
                <w:sz w:val="24"/>
                <w:szCs w:val="24"/>
                <w:color w:val="auto"/>
              </w:rPr>
            </w:pPr>
          </w:p>
        </w:tc>
        <w:tc>
          <w:tcPr>
            <w:tcW w:w="22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ind w:left="100"/>
              <w:spacing w:after="0"/>
              <w:rPr>
                <w:sz w:val="20"/>
                <w:szCs w:val="20"/>
                <w:color w:val="auto"/>
              </w:rPr>
            </w:pPr>
            <w:r>
              <w:rPr>
                <w:rFonts w:ascii="Calibri" w:cs="Calibri" w:eastAsia="Calibri" w:hAnsi="Calibri"/>
                <w:sz w:val="14"/>
                <w:szCs w:val="14"/>
                <w:color w:val="51555C"/>
              </w:rPr>
              <w:t>2024 Form 10-K</w:t>
            </w:r>
          </w:p>
        </w:tc>
        <w:tc>
          <w:tcPr>
            <w:tcW w:w="5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99</w:t>
            </w:r>
          </w:p>
        </w:tc>
      </w:tr>
      <w:tr>
        <w:trPr>
          <w:trHeight w:val="351"/>
        </w:trPr>
        <w:tc>
          <w:tcPr>
            <w:tcW w:w="6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 reconciliaton between the efect of applying the federal statutory rate and the efectve income tax rate used to calculate our income tax provision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shd w:val="clear" w:color="auto" w:fill="004054"/>
          </w:tcPr>
          <w:p>
            <w:pPr>
              <w:spacing w:after="0"/>
              <w:rPr>
                <w:sz w:val="16"/>
                <w:szCs w:val="16"/>
                <w:color w:val="auto"/>
              </w:rPr>
            </w:pPr>
          </w:p>
        </w:tc>
        <w:tc>
          <w:tcPr>
            <w:tcW w:w="1600" w:type="dxa"/>
            <w:vAlign w:val="bottom"/>
            <w:shd w:val="clear" w:color="auto" w:fill="004054"/>
          </w:tcPr>
          <w:p>
            <w:pPr>
              <w:spacing w:after="0"/>
              <w:rPr>
                <w:sz w:val="16"/>
                <w:szCs w:val="16"/>
                <w:color w:val="auto"/>
              </w:rPr>
            </w:pPr>
          </w:p>
        </w:tc>
        <w:tc>
          <w:tcPr>
            <w:tcW w:w="1580" w:type="dxa"/>
            <w:vAlign w:val="bottom"/>
            <w:shd w:val="clear" w:color="auto" w:fill="004054"/>
          </w:tcPr>
          <w:p>
            <w:pPr>
              <w:spacing w:after="0"/>
              <w:rPr>
                <w:sz w:val="16"/>
                <w:szCs w:val="16"/>
                <w:color w:val="auto"/>
              </w:rPr>
            </w:pPr>
          </w:p>
        </w:tc>
        <w:tc>
          <w:tcPr>
            <w:tcW w:w="16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460" w:type="dxa"/>
            <w:vAlign w:val="bottom"/>
            <w:shd w:val="clear" w:color="auto" w:fill="004054"/>
          </w:tcPr>
          <w:p>
            <w:pPr>
              <w:spacing w:after="0"/>
              <w:rPr>
                <w:sz w:val="20"/>
                <w:szCs w:val="20"/>
                <w:color w:val="auto"/>
              </w:rPr>
            </w:pPr>
          </w:p>
        </w:tc>
        <w:tc>
          <w:tcPr>
            <w:tcW w:w="1600" w:type="dxa"/>
            <w:vAlign w:val="bottom"/>
            <w:shd w:val="clear" w:color="auto" w:fill="004054"/>
          </w:tcPr>
          <w:p>
            <w:pPr>
              <w:jc w:val="right"/>
              <w:ind w:right="91"/>
              <w:spacing w:after="0"/>
              <w:rPr>
                <w:sz w:val="20"/>
                <w:szCs w:val="20"/>
                <w:color w:val="auto"/>
              </w:rPr>
            </w:pPr>
            <w:r>
              <w:rPr>
                <w:rFonts w:ascii="Calibri" w:cs="Calibri" w:eastAsia="Calibri" w:hAnsi="Calibri"/>
                <w:sz w:val="14"/>
                <w:szCs w:val="14"/>
                <w:b w:val="1"/>
                <w:bCs w:val="1"/>
                <w:color w:val="FFFFFF"/>
              </w:rPr>
              <w:t>2024</w:t>
            </w:r>
          </w:p>
        </w:tc>
        <w:tc>
          <w:tcPr>
            <w:tcW w:w="1580" w:type="dxa"/>
            <w:vAlign w:val="bottom"/>
            <w:shd w:val="clear" w:color="auto" w:fill="004054"/>
          </w:tcPr>
          <w:p>
            <w:pPr>
              <w:jc w:val="right"/>
              <w:ind w:right="91"/>
              <w:spacing w:after="0"/>
              <w:rPr>
                <w:sz w:val="20"/>
                <w:szCs w:val="20"/>
                <w:color w:val="auto"/>
              </w:rPr>
            </w:pPr>
            <w:r>
              <w:rPr>
                <w:rFonts w:ascii="Calibri" w:cs="Calibri" w:eastAsia="Calibri" w:hAnsi="Calibri"/>
                <w:sz w:val="14"/>
                <w:szCs w:val="14"/>
                <w:b w:val="1"/>
                <w:bCs w:val="1"/>
                <w:color w:val="FFFFFF"/>
              </w:rPr>
              <w:t>2023</w:t>
            </w:r>
          </w:p>
        </w:tc>
        <w:tc>
          <w:tcPr>
            <w:tcW w:w="1600" w:type="dxa"/>
            <w:vAlign w:val="bottom"/>
            <w:shd w:val="clear" w:color="auto" w:fill="004054"/>
          </w:tcPr>
          <w:p>
            <w:pPr>
              <w:jc w:val="right"/>
              <w:ind w:right="92"/>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646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Federal statutory rate</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15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20" w:type="dxa"/>
            <w:vAlign w:val="bottom"/>
          </w:tcPr>
          <w:p>
            <w:pPr>
              <w:spacing w:after="0"/>
              <w:rPr>
                <w:sz w:val="21"/>
                <w:szCs w:val="21"/>
                <w:color w:val="auto"/>
              </w:rPr>
            </w:pPr>
          </w:p>
        </w:tc>
      </w:tr>
      <w:tr>
        <w:trPr>
          <w:trHeight w:val="219"/>
        </w:trPr>
        <w:tc>
          <w:tcPr>
            <w:tcW w:w="6460" w:type="dxa"/>
            <w:vAlign w:val="bottom"/>
          </w:tcPr>
          <w:p>
            <w:pPr>
              <w:ind w:left="20"/>
              <w:spacing w:after="0"/>
              <w:rPr>
                <w:sz w:val="20"/>
                <w:szCs w:val="20"/>
                <w:color w:val="auto"/>
              </w:rPr>
            </w:pPr>
            <w:r>
              <w:rPr>
                <w:rFonts w:ascii="Calibri" w:cs="Calibri" w:eastAsia="Calibri" w:hAnsi="Calibri"/>
                <w:sz w:val="18"/>
                <w:szCs w:val="18"/>
                <w:color w:val="51555C"/>
              </w:rPr>
              <w:t>Efect of:</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State income taxes, net of federal beneft</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2.2</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20.0</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1.5</w:t>
            </w:r>
          </w:p>
        </w:tc>
        <w:tc>
          <w:tcPr>
            <w:tcW w:w="20" w:type="dxa"/>
            <w:vAlign w:val="bottom"/>
          </w:tcPr>
          <w:p>
            <w:pPr>
              <w:spacing w:after="0"/>
              <w:rPr>
                <w:sz w:val="21"/>
                <w:szCs w:val="21"/>
                <w:color w:val="auto"/>
              </w:rPr>
            </w:pPr>
          </w:p>
        </w:tc>
      </w:tr>
      <w:tr>
        <w:trPr>
          <w:trHeight w:val="219"/>
        </w:trPr>
        <w:tc>
          <w:tcPr>
            <w:tcW w:w="6460" w:type="dxa"/>
            <w:vAlign w:val="bottom"/>
          </w:tcPr>
          <w:p>
            <w:pPr>
              <w:ind w:left="140"/>
              <w:spacing w:after="0"/>
              <w:rPr>
                <w:sz w:val="20"/>
                <w:szCs w:val="20"/>
                <w:color w:val="auto"/>
              </w:rPr>
            </w:pPr>
            <w:r>
              <w:rPr>
                <w:rFonts w:ascii="Calibri" w:cs="Calibri" w:eastAsia="Calibri" w:hAnsi="Calibri"/>
                <w:sz w:val="18"/>
                <w:szCs w:val="18"/>
                <w:color w:val="51555C"/>
              </w:rPr>
              <w:t>Change in foreign income tax rate applied to deferred tax balances</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0.1</w:t>
            </w:r>
          </w:p>
        </w:tc>
        <w:tc>
          <w:tcPr>
            <w:tcW w:w="20" w:type="dxa"/>
            <w:vAlign w:val="bottom"/>
          </w:tcPr>
          <w:p>
            <w:pPr>
              <w:spacing w:after="0"/>
              <w:rPr>
                <w:sz w:val="19"/>
                <w:szCs w:val="19"/>
                <w:color w:val="auto"/>
              </w:rPr>
            </w:pPr>
          </w:p>
        </w:tc>
      </w:tr>
      <w:tr>
        <w:trPr>
          <w:trHeight w:val="51"/>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Change in state income tax rate applied to deferred tax balances</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(0.1)</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7.1</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1.8</w:t>
            </w:r>
          </w:p>
        </w:tc>
        <w:tc>
          <w:tcPr>
            <w:tcW w:w="20" w:type="dxa"/>
            <w:vAlign w:val="bottom"/>
          </w:tcPr>
          <w:p>
            <w:pPr>
              <w:spacing w:after="0"/>
              <w:rPr>
                <w:sz w:val="21"/>
                <w:szCs w:val="21"/>
                <w:color w:val="auto"/>
              </w:rPr>
            </w:pPr>
          </w:p>
        </w:tc>
      </w:tr>
      <w:tr>
        <w:trPr>
          <w:trHeight w:val="219"/>
        </w:trPr>
        <w:tc>
          <w:tcPr>
            <w:tcW w:w="6460" w:type="dxa"/>
            <w:vAlign w:val="bottom"/>
          </w:tcPr>
          <w:p>
            <w:pPr>
              <w:ind w:left="140"/>
              <w:spacing w:after="0"/>
              <w:rPr>
                <w:sz w:val="20"/>
                <w:szCs w:val="20"/>
                <w:color w:val="auto"/>
              </w:rPr>
            </w:pPr>
            <w:r>
              <w:rPr>
                <w:rFonts w:ascii="Calibri" w:cs="Calibri" w:eastAsia="Calibri" w:hAnsi="Calibri"/>
                <w:sz w:val="18"/>
                <w:szCs w:val="18"/>
                <w:color w:val="51555C"/>
              </w:rPr>
              <w:t>Federal credits generated</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1.9</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(42.3)</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11.5</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Stock-based compensaton</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1.3</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13.4</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(6.3)</w:t>
            </w:r>
          </w:p>
        </w:tc>
        <w:tc>
          <w:tcPr>
            <w:tcW w:w="20" w:type="dxa"/>
            <w:vAlign w:val="bottom"/>
          </w:tcPr>
          <w:p>
            <w:pPr>
              <w:spacing w:after="0"/>
              <w:rPr>
                <w:sz w:val="21"/>
                <w:szCs w:val="21"/>
                <w:color w:val="auto"/>
              </w:rPr>
            </w:pPr>
          </w:p>
        </w:tc>
      </w:tr>
      <w:tr>
        <w:trPr>
          <w:trHeight w:val="274"/>
        </w:trPr>
        <w:tc>
          <w:tcPr>
            <w:tcW w:w="6460" w:type="dxa"/>
            <w:vAlign w:val="bottom"/>
          </w:tcPr>
          <w:p>
            <w:pPr>
              <w:ind w:left="140"/>
              <w:spacing w:after="0"/>
              <w:rPr>
                <w:sz w:val="20"/>
                <w:szCs w:val="20"/>
                <w:color w:val="auto"/>
              </w:rPr>
            </w:pPr>
            <w:r>
              <w:rPr>
                <w:rFonts w:ascii="Calibri" w:cs="Calibri" w:eastAsia="Calibri" w:hAnsi="Calibri"/>
                <w:sz w:val="18"/>
                <w:szCs w:val="18"/>
                <w:color w:val="51555C"/>
              </w:rPr>
              <w:t>Sale of subsidiary</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1.0</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3"/>
                <w:szCs w:val="23"/>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FDII beneft</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0.6</w:t>
            </w:r>
          </w:p>
        </w:tc>
        <w:tc>
          <w:tcPr>
            <w:tcW w:w="158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8"/>
                <w:szCs w:val="18"/>
                <w:color w:val="51555C"/>
              </w:rPr>
              <w:t>(10.2)</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2.3</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State credits, net of federal beneft</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0.5</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(9.1)</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7.2</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Return to accrual adjustment</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(0.1)</w:t>
            </w:r>
          </w:p>
        </w:tc>
        <w:tc>
          <w:tcPr>
            <w:tcW w:w="158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8"/>
                <w:szCs w:val="18"/>
                <w:color w:val="51555C"/>
              </w:rPr>
              <w:t>(8.3)</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1.4</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Nondeductble meals, entertainment and transportaton</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(0.2)</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4.4</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(0.7)</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GILTI inclusion</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(0.4)</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9.3</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(2.6)</w:t>
            </w:r>
          </w:p>
        </w:tc>
        <w:tc>
          <w:tcPr>
            <w:tcW w:w="20" w:type="dxa"/>
            <w:vAlign w:val="bottom"/>
          </w:tcPr>
          <w:p>
            <w:pPr>
              <w:spacing w:after="0"/>
              <w:rPr>
                <w:sz w:val="21"/>
                <w:szCs w:val="21"/>
                <w:color w:val="auto"/>
              </w:rPr>
            </w:pPr>
          </w:p>
        </w:tc>
      </w:tr>
      <w:tr>
        <w:trPr>
          <w:trHeight w:val="273"/>
        </w:trPr>
        <w:tc>
          <w:tcPr>
            <w:tcW w:w="6460" w:type="dxa"/>
            <w:vAlign w:val="bottom"/>
          </w:tcPr>
          <w:p>
            <w:pPr>
              <w:ind w:left="140"/>
              <w:spacing w:after="0"/>
              <w:rPr>
                <w:sz w:val="20"/>
                <w:szCs w:val="20"/>
                <w:color w:val="auto"/>
              </w:rPr>
            </w:pPr>
            <w:r>
              <w:rPr>
                <w:rFonts w:ascii="Calibri" w:cs="Calibri" w:eastAsia="Calibri" w:hAnsi="Calibri"/>
                <w:sz w:val="18"/>
                <w:szCs w:val="18"/>
                <w:color w:val="51555C"/>
              </w:rPr>
              <w:t>Nondeductble security incident-related fnes or penaltes</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(0.5)</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35.7</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(8.7)</w:t>
            </w:r>
          </w:p>
        </w:tc>
        <w:tc>
          <w:tcPr>
            <w:tcW w:w="20" w:type="dxa"/>
            <w:vAlign w:val="bottom"/>
          </w:tcPr>
          <w:p>
            <w:pPr>
              <w:spacing w:after="0"/>
              <w:rPr>
                <w:sz w:val="23"/>
                <w:szCs w:val="23"/>
                <w:color w:val="auto"/>
              </w:rPr>
            </w:pPr>
          </w:p>
        </w:tc>
      </w:tr>
      <w:tr>
        <w:trPr>
          <w:trHeight w:val="51"/>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tax rate</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(0.5)</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6.1</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1.0</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Unrecognized tax beneft</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(0.7)</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0.7</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0.5</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Secton 162(m) limitaton</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(1.7)</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30.1</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(6.4)</w:t>
            </w:r>
          </w:p>
        </w:tc>
        <w:tc>
          <w:tcPr>
            <w:tcW w:w="20" w:type="dxa"/>
            <w:vAlign w:val="bottom"/>
          </w:tcPr>
          <w:p>
            <w:pPr>
              <w:spacing w:after="0"/>
              <w:rPr>
                <w:sz w:val="21"/>
                <w:szCs w:val="21"/>
                <w:color w:val="auto"/>
              </w:rPr>
            </w:pPr>
          </w:p>
        </w:tc>
      </w:tr>
      <w:tr>
        <w:trPr>
          <w:trHeight w:val="273"/>
        </w:trPr>
        <w:tc>
          <w:tcPr>
            <w:tcW w:w="6460" w:type="dxa"/>
            <w:vAlign w:val="bottom"/>
          </w:tcPr>
          <w:p>
            <w:pPr>
              <w:ind w:left="140"/>
              <w:spacing w:after="0"/>
              <w:rPr>
                <w:sz w:val="20"/>
                <w:szCs w:val="20"/>
                <w:color w:val="auto"/>
              </w:rPr>
            </w:pPr>
            <w:r>
              <w:rPr>
                <w:rFonts w:ascii="Calibri" w:cs="Calibri" w:eastAsia="Calibri" w:hAnsi="Calibri"/>
                <w:sz w:val="18"/>
                <w:szCs w:val="18"/>
                <w:color w:val="51555C"/>
              </w:rPr>
              <w:t>Change in valuaton reserve</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(15.1)</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10.8</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(5.4)</w:t>
            </w:r>
          </w:p>
        </w:tc>
        <w:tc>
          <w:tcPr>
            <w:tcW w:w="20" w:type="dxa"/>
            <w:vAlign w:val="bottom"/>
          </w:tcPr>
          <w:p>
            <w:pPr>
              <w:spacing w:after="0"/>
              <w:rPr>
                <w:sz w:val="23"/>
                <w:szCs w:val="23"/>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Other</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(0.1)</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1.0</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0.1</w:t>
            </w:r>
          </w:p>
        </w:tc>
        <w:tc>
          <w:tcPr>
            <w:tcW w:w="20" w:type="dxa"/>
            <w:vAlign w:val="bottom"/>
          </w:tcPr>
          <w:p>
            <w:pPr>
              <w:spacing w:after="0"/>
              <w:rPr>
                <w:sz w:val="23"/>
                <w:szCs w:val="23"/>
                <w:color w:val="auto"/>
              </w:rPr>
            </w:pPr>
          </w:p>
        </w:tc>
      </w:tr>
      <w:tr>
        <w:trPr>
          <w:trHeight w:val="213"/>
        </w:trPr>
        <w:tc>
          <w:tcPr>
            <w:tcW w:w="6460" w:type="dxa"/>
            <w:vAlign w:val="bottom"/>
          </w:tcPr>
          <w:p>
            <w:pPr>
              <w:ind w:left="20"/>
              <w:spacing w:after="0" w:line="199" w:lineRule="exact"/>
              <w:rPr>
                <w:sz w:val="20"/>
                <w:szCs w:val="20"/>
                <w:color w:val="auto"/>
              </w:rPr>
            </w:pPr>
            <w:r>
              <w:rPr>
                <w:rFonts w:ascii="Calibri" w:cs="Calibri" w:eastAsia="Calibri" w:hAnsi="Calibri"/>
                <w:sz w:val="18"/>
                <w:szCs w:val="18"/>
                <w:color w:val="51555C"/>
              </w:rPr>
              <w:t>Income tax provision efectve rate</w:t>
            </w:r>
          </w:p>
        </w:tc>
        <w:tc>
          <w:tcPr>
            <w:tcW w:w="16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9.1 %</w:t>
            </w:r>
          </w:p>
        </w:tc>
        <w:tc>
          <w:tcPr>
            <w:tcW w:w="15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89.7 %</w:t>
            </w:r>
          </w:p>
        </w:tc>
        <w:tc>
          <w:tcPr>
            <w:tcW w:w="16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18.3 %</w:t>
            </w:r>
          </w:p>
        </w:tc>
        <w:tc>
          <w:tcPr>
            <w:tcW w:w="20" w:type="dxa"/>
            <w:vAlign w:val="bottom"/>
          </w:tcPr>
          <w:p>
            <w:pPr>
              <w:spacing w:after="0"/>
              <w:rPr>
                <w:sz w:val="18"/>
                <w:szCs w:val="18"/>
                <w:color w:val="auto"/>
              </w:rPr>
            </w:pPr>
          </w:p>
        </w:tc>
      </w:tr>
      <w:tr>
        <w:trPr>
          <w:trHeight w:val="50"/>
        </w:trPr>
        <w:tc>
          <w:tcPr>
            <w:tcW w:w="6460" w:type="dxa"/>
            <w:vAlign w:val="bottom"/>
            <w:tcBorders>
              <w:bottom w:val="single" w:sz="8" w:color="0CD973"/>
            </w:tcBorders>
          </w:tcPr>
          <w:p>
            <w:pPr>
              <w:spacing w:after="0"/>
              <w:rPr>
                <w:sz w:val="4"/>
                <w:szCs w:val="4"/>
                <w:color w:val="auto"/>
              </w:rPr>
            </w:pPr>
          </w:p>
        </w:tc>
        <w:tc>
          <w:tcPr>
            <w:tcW w:w="1600" w:type="dxa"/>
            <w:vAlign w:val="bottom"/>
            <w:tcBorders>
              <w:bottom w:val="single" w:sz="8" w:color="0CD973"/>
            </w:tcBorders>
          </w:tcPr>
          <w:p>
            <w:pPr>
              <w:spacing w:after="0"/>
              <w:rPr>
                <w:sz w:val="4"/>
                <w:szCs w:val="4"/>
                <w:color w:val="auto"/>
              </w:rPr>
            </w:pPr>
          </w:p>
        </w:tc>
        <w:tc>
          <w:tcPr>
            <w:tcW w:w="1580" w:type="dxa"/>
            <w:vAlign w:val="bottom"/>
            <w:tcBorders>
              <w:bottom w:val="single" w:sz="8" w:color="0CD973"/>
            </w:tcBorders>
          </w:tcPr>
          <w:p>
            <w:pPr>
              <w:spacing w:after="0"/>
              <w:rPr>
                <w:sz w:val="4"/>
                <w:szCs w:val="4"/>
                <w:color w:val="auto"/>
              </w:rPr>
            </w:pPr>
          </w:p>
        </w:tc>
        <w:tc>
          <w:tcPr>
            <w:tcW w:w="160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-3710940</wp:posOffset>
            </wp:positionV>
            <wp:extent cx="30429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decrease in our efectve income tax rate for year ended December 31, 2024, when compared to the same period in 2023, was primarily atributable to the valuaton allowance recorded in the current period. As of December 31, 2024, we recorded a valuaton allowance against all of our U.S. deferred tax assets in excess of deferred tax liabilites due to the combinaton of our cumulatve pretax loss positon and net deferred tax asset positon resultng from our divestture of EVERFI. We intend to contnue maintaining a full valuaton allowance on our U.S. net deferred tax assets untl there is sufcient evidence to support the reversal of all or some porton of these allowances. Furthermore, the efect of our various rate drivers is reversed by the Company’s 2024 loss positon versus income in 2023.</w:t>
      </w:r>
    </w:p>
    <w:p>
      <w:pPr>
        <w:spacing w:after="0" w:line="31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100</w:t>
      </w:r>
      <w:r>
        <w:rPr>
          <w:sz w:val="20"/>
          <w:szCs w:val="20"/>
          <w:color w:val="auto"/>
        </w:rPr>
        <w:tab/>
      </w:r>
      <w:r>
        <w:rPr>
          <w:sz w:val="1"/>
          <w:szCs w:val="1"/>
          <w:color w:val="auto"/>
        </w:rPr>
        <w:drawing>
          <wp:inline distT="0" distB="0" distL="0" distR="0">
            <wp:extent cx="728345" cy="188595"/>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1"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signifcant components of our deferred tax assets and liabilites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4883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0575" cy="48831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p>
      <w:pPr>
        <w:spacing w:after="0" w:line="359"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FFFFFF"/>
        </w:rPr>
        <w:t>(dollars in thousands)</w:t>
      </w:r>
    </w:p>
    <w:p>
      <w:pPr>
        <w:spacing w:after="0" w:line="79"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51555C"/>
        </w:rPr>
        <w:t>Deferred tax assets relatng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020"/>
        <w:spacing w:after="0"/>
        <w:rPr>
          <w:sz w:val="20"/>
          <w:szCs w:val="20"/>
          <w:color w:val="auto"/>
        </w:rPr>
      </w:pPr>
      <w:r>
        <w:rPr>
          <w:rFonts w:ascii="Calibri" w:cs="Calibri" w:eastAsia="Calibri" w:hAnsi="Calibri"/>
          <w:sz w:val="14"/>
          <w:szCs w:val="14"/>
          <w:b w:val="1"/>
          <w:bCs w:val="1"/>
          <w:color w:val="FFFFFF"/>
        </w:rPr>
        <w:t>December 31,</w:t>
      </w:r>
    </w:p>
    <w:p>
      <w:pPr>
        <w:spacing w:after="0" w:line="72" w:lineRule="exact"/>
        <w:rPr>
          <w:sz w:val="20"/>
          <w:szCs w:val="20"/>
          <w:color w:val="auto"/>
        </w:rPr>
      </w:pPr>
    </w:p>
    <w:p>
      <w:pPr>
        <w:spacing w:after="0"/>
        <w:tabs>
          <w:tab w:leader="none" w:pos="1480" w:val="left"/>
        </w:tabs>
        <w:rPr>
          <w:sz w:val="20"/>
          <w:szCs w:val="20"/>
          <w:color w:val="auto"/>
        </w:rPr>
      </w:pPr>
      <w:r>
        <w:rPr>
          <w:rFonts w:ascii="Calibri" w:cs="Calibri" w:eastAsia="Calibri" w:hAnsi="Calibri"/>
          <w:sz w:val="14"/>
          <w:szCs w:val="14"/>
          <w:b w:val="1"/>
          <w:bCs w:val="1"/>
          <w:color w:val="FFFFFF"/>
        </w:rPr>
        <w:t>2024</w:t>
      </w:r>
      <w:r>
        <w:rPr>
          <w:sz w:val="20"/>
          <w:szCs w:val="20"/>
          <w:color w:val="auto"/>
        </w:rPr>
        <w:tab/>
      </w:r>
      <w:r>
        <w:rPr>
          <w:rFonts w:ascii="Calibri" w:cs="Calibri" w:eastAsia="Calibri" w:hAnsi="Calibri"/>
          <w:sz w:val="14"/>
          <w:szCs w:val="14"/>
          <w:b w:val="1"/>
          <w:bCs w:val="1"/>
          <w:color w:val="FFFFFF"/>
        </w:rPr>
        <w:t>2023</w:t>
      </w:r>
    </w:p>
    <w:p>
      <w:pPr>
        <w:spacing w:after="0" w:line="398" w:lineRule="exact"/>
        <w:rPr>
          <w:sz w:val="20"/>
          <w:szCs w:val="20"/>
          <w:color w:val="auto"/>
        </w:rPr>
      </w:pPr>
    </w:p>
    <w:p>
      <w:pPr>
        <w:sectPr>
          <w:pgSz w:w="11900" w:h="16838" w:orient="portrait"/>
          <w:cols w:equalWidth="0" w:num="2">
            <w:col w:w="8660" w:space="720"/>
            <w:col w:w="1880"/>
          </w:cols>
          <w:pgMar w:left="32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Capitalized R&amp;D and sofware costs</w:t>
            </w:r>
          </w:p>
        </w:tc>
        <w:tc>
          <w:tcPr>
            <w:tcW w:w="480" w:type="dxa"/>
            <w:vAlign w:val="bottom"/>
          </w:tcPr>
          <w:p>
            <w:pPr>
              <w:jc w:val="right"/>
              <w:ind w:right="290"/>
              <w:spacing w:after="0"/>
              <w:rPr>
                <w:sz w:val="20"/>
                <w:szCs w:val="20"/>
                <w:color w:val="auto"/>
              </w:rPr>
            </w:pPr>
            <w:r>
              <w:rPr>
                <w:rFonts w:ascii="Calibri" w:cs="Calibri" w:eastAsia="Calibri" w:hAnsi="Calibri"/>
                <w:sz w:val="18"/>
                <w:szCs w:val="18"/>
                <w:color w:val="51555C"/>
                <w:w w:val="87"/>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78,809</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47,351</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Federal, state and foreign tax credits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31,495</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39,260</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Stock-based compensaton</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17,176</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24,717</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10,751</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12,867</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Deferred revenue</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7,633</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5,992</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04"/>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Capital loss carryforward</w:t>
            </w:r>
          </w:p>
        </w:tc>
        <w:tc>
          <w:tcPr>
            <w:tcW w:w="48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7,282</w:t>
            </w:r>
          </w:p>
        </w:tc>
        <w:tc>
          <w:tcPr>
            <w:tcW w:w="46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r>
      <w:tr>
        <w:trPr>
          <w:trHeight w:val="219"/>
        </w:trPr>
        <w:tc>
          <w:tcPr>
            <w:tcW w:w="8220" w:type="dxa"/>
            <w:vAlign w:val="bottom"/>
          </w:tcPr>
          <w:p>
            <w:pPr>
              <w:ind w:left="140"/>
              <w:spacing w:after="0"/>
              <w:rPr>
                <w:sz w:val="20"/>
                <w:szCs w:val="20"/>
                <w:color w:val="auto"/>
              </w:rPr>
            </w:pPr>
            <w:r>
              <w:rPr>
                <w:rFonts w:ascii="Calibri" w:cs="Calibri" w:eastAsia="Calibri" w:hAnsi="Calibri"/>
                <w:sz w:val="18"/>
                <w:szCs w:val="18"/>
                <w:color w:val="51555C"/>
              </w:rPr>
              <w:t>Federal and state and foreign net operatng loss carryforwards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4,825</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7,061</w:t>
            </w:r>
          </w:p>
        </w:tc>
      </w:tr>
      <w:tr>
        <w:trPr>
          <w:trHeight w:val="51"/>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Allowance for credit losses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1,441</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1,702</w:t>
            </w:r>
          </w:p>
        </w:tc>
      </w:tr>
      <w:tr>
        <w:trPr>
          <w:trHeight w:val="219"/>
        </w:trPr>
        <w:tc>
          <w:tcPr>
            <w:tcW w:w="8220" w:type="dxa"/>
            <w:vAlign w:val="bottom"/>
          </w:tcPr>
          <w:p>
            <w:pPr>
              <w:ind w:left="140"/>
              <w:spacing w:after="0"/>
              <w:rPr>
                <w:sz w:val="20"/>
                <w:szCs w:val="20"/>
                <w:color w:val="auto"/>
              </w:rPr>
            </w:pPr>
            <w:r>
              <w:rPr>
                <w:rFonts w:ascii="Calibri" w:cs="Calibri" w:eastAsia="Calibri" w:hAnsi="Calibri"/>
                <w:sz w:val="18"/>
                <w:szCs w:val="18"/>
                <w:color w:val="51555C"/>
              </w:rPr>
              <w:t>Intangible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969</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1,050</w:t>
            </w:r>
          </w:p>
        </w:tc>
      </w:tr>
      <w:tr>
        <w:trPr>
          <w:trHeight w:val="51"/>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Accrued bonuses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316</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314</w:t>
            </w:r>
          </w:p>
        </w:tc>
      </w:tr>
      <w:tr>
        <w:trPr>
          <w:trHeight w:val="219"/>
        </w:trPr>
        <w:tc>
          <w:tcPr>
            <w:tcW w:w="8220" w:type="dxa"/>
            <w:vAlign w:val="bottom"/>
          </w:tcPr>
          <w:p>
            <w:pPr>
              <w:ind w:left="140"/>
              <w:spacing w:after="0"/>
              <w:rPr>
                <w:sz w:val="20"/>
                <w:szCs w:val="20"/>
                <w:color w:val="auto"/>
              </w:rPr>
            </w:pPr>
            <w:r>
              <w:rPr>
                <w:rFonts w:ascii="Calibri" w:cs="Calibri" w:eastAsia="Calibri" w:hAnsi="Calibri"/>
                <w:sz w:val="18"/>
                <w:szCs w:val="18"/>
                <w:color w:val="51555C"/>
              </w:rPr>
              <w:t>Other</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1,615</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2,982</w:t>
            </w:r>
          </w:p>
        </w:tc>
      </w:tr>
      <w:tr>
        <w:trPr>
          <w:trHeight w:val="51"/>
        </w:trPr>
        <w:tc>
          <w:tcPr>
            <w:tcW w:w="8220" w:type="dxa"/>
            <w:vAlign w:val="bottom"/>
            <w:tcBorders>
              <w:bottom w:val="single" w:sz="8" w:color="EBFBFF"/>
            </w:tcBorders>
          </w:tcPr>
          <w:p>
            <w:pPr>
              <w:spacing w:after="0"/>
              <w:rPr>
                <w:sz w:val="4"/>
                <w:szCs w:val="4"/>
                <w:color w:val="auto"/>
              </w:rPr>
            </w:pPr>
          </w:p>
        </w:tc>
        <w:tc>
          <w:tcPr>
            <w:tcW w:w="4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r>
      <w:tr>
        <w:trPr>
          <w:trHeight w:val="243"/>
        </w:trPr>
        <w:tc>
          <w:tcPr>
            <w:tcW w:w="8220" w:type="dxa"/>
            <w:vAlign w:val="bottom"/>
            <w:tcBorders>
              <w:bottom w:val="single" w:sz="8" w:color="EBFBFF"/>
            </w:tcBorders>
            <w:shd w:val="clear" w:color="auto" w:fill="EBFBFF"/>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 assets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162,312</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143,296</w:t>
            </w:r>
          </w:p>
        </w:tc>
      </w:tr>
      <w:tr>
        <w:trPr>
          <w:trHeight w:val="220"/>
        </w:trPr>
        <w:tc>
          <w:tcPr>
            <w:tcW w:w="8220" w:type="dxa"/>
            <w:vAlign w:val="bottom"/>
          </w:tcPr>
          <w:p>
            <w:pPr>
              <w:ind w:left="20"/>
              <w:spacing w:after="0"/>
              <w:rPr>
                <w:sz w:val="20"/>
                <w:szCs w:val="20"/>
                <w:color w:val="auto"/>
              </w:rPr>
            </w:pPr>
            <w:r>
              <w:rPr>
                <w:rFonts w:ascii="Calibri" w:cs="Calibri" w:eastAsia="Calibri" w:hAnsi="Calibri"/>
                <w:sz w:val="18"/>
                <w:szCs w:val="18"/>
                <w:b w:val="1"/>
                <w:bCs w:val="1"/>
                <w:color w:val="51555C"/>
              </w:rPr>
              <w:t>Deferred tax liabilites relatng to:</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Intangible assets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(50,530)</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(160,172)</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Costs of obtaining contracts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(13,136)</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(13,870)</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(7,338)</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(9,865)</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Fixed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(4,716)</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(5,833)</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Other</w:t>
            </w:r>
          </w:p>
        </w:tc>
        <w:tc>
          <w:tcPr>
            <w:tcW w:w="48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(9,010)</w:t>
            </w:r>
          </w:p>
        </w:tc>
        <w:tc>
          <w:tcPr>
            <w:tcW w:w="46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(8,342)</w:t>
            </w:r>
          </w:p>
        </w:tc>
      </w:tr>
      <w:tr>
        <w:trPr>
          <w:trHeight w:val="213"/>
        </w:trPr>
        <w:tc>
          <w:tcPr>
            <w:tcW w:w="8220" w:type="dxa"/>
            <w:vAlign w:val="bottom"/>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 liabilites</w:t>
            </w:r>
          </w:p>
        </w:tc>
        <w:tc>
          <w:tcPr>
            <w:tcW w:w="48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(84,730)</w:t>
            </w:r>
          </w:p>
        </w:tc>
        <w:tc>
          <w:tcPr>
            <w:tcW w:w="46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(198,082)</w:t>
            </w:r>
          </w:p>
        </w:tc>
      </w:tr>
      <w:tr>
        <w:trPr>
          <w:trHeight w:val="50"/>
        </w:trPr>
        <w:tc>
          <w:tcPr>
            <w:tcW w:w="8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0"/>
        </w:trPr>
        <w:tc>
          <w:tcPr>
            <w:tcW w:w="822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b w:val="1"/>
                <w:bCs w:val="1"/>
                <w:color w:val="51555C"/>
              </w:rPr>
              <w:t>Valuaton allowance</w:t>
            </w:r>
          </w:p>
        </w:tc>
        <w:tc>
          <w:tcPr>
            <w:tcW w:w="48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(86,672)</w:t>
            </w:r>
          </w:p>
        </w:tc>
        <w:tc>
          <w:tcPr>
            <w:tcW w:w="46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(37,862)</w:t>
            </w:r>
          </w:p>
        </w:tc>
      </w:tr>
      <w:tr>
        <w:trPr>
          <w:trHeight w:val="213"/>
        </w:trPr>
        <w:tc>
          <w:tcPr>
            <w:tcW w:w="8220" w:type="dxa"/>
            <w:vAlign w:val="bottom"/>
          </w:tcPr>
          <w:p>
            <w:pPr>
              <w:ind w:left="360"/>
              <w:spacing w:after="0" w:line="199" w:lineRule="exact"/>
              <w:rPr>
                <w:sz w:val="20"/>
                <w:szCs w:val="20"/>
                <w:color w:val="auto"/>
              </w:rPr>
            </w:pPr>
            <w:r>
              <w:rPr>
                <w:rFonts w:ascii="Calibri" w:cs="Calibri" w:eastAsia="Calibri" w:hAnsi="Calibri"/>
                <w:sz w:val="18"/>
                <w:szCs w:val="18"/>
                <w:b w:val="1"/>
                <w:bCs w:val="1"/>
                <w:color w:val="51555C"/>
              </w:rPr>
              <w:t>Net deferred tax liability</w:t>
            </w:r>
          </w:p>
        </w:tc>
        <w:tc>
          <w:tcPr>
            <w:tcW w:w="480" w:type="dxa"/>
            <w:vAlign w:val="bottom"/>
            <w:tcBorders>
              <w:top w:val="single" w:sz="8" w:color="51555C"/>
            </w:tcBorders>
          </w:tcPr>
          <w:p>
            <w:pPr>
              <w:jc w:val="right"/>
              <w:ind w:right="290"/>
              <w:spacing w:after="0" w:line="213" w:lineRule="exact"/>
              <w:rPr>
                <w:sz w:val="20"/>
                <w:szCs w:val="20"/>
                <w:color w:val="auto"/>
              </w:rPr>
            </w:pPr>
            <w:r>
              <w:rPr>
                <w:rFonts w:ascii="Calibri" w:cs="Calibri" w:eastAsia="Calibri" w:hAnsi="Calibri"/>
                <w:sz w:val="18"/>
                <w:szCs w:val="18"/>
                <w:color w:val="51555C"/>
                <w:w w:val="87"/>
              </w:rPr>
              <w:t>$</w:t>
            </w: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(9,090)</w:t>
            </w:r>
          </w:p>
        </w:tc>
        <w:tc>
          <w:tcPr>
            <w:tcW w:w="46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(92,648)</w:t>
            </w:r>
          </w:p>
        </w:tc>
      </w:tr>
      <w:tr>
        <w:trPr>
          <w:trHeight w:val="50"/>
        </w:trPr>
        <w:tc>
          <w:tcPr>
            <w:tcW w:w="8220" w:type="dxa"/>
            <w:vAlign w:val="bottom"/>
            <w:tcBorders>
              <w:bottom w:val="single" w:sz="8" w:color="0CD973"/>
            </w:tcBorders>
          </w:tcPr>
          <w:p>
            <w:pPr>
              <w:spacing w:after="0"/>
              <w:rPr>
                <w:sz w:val="4"/>
                <w:szCs w:val="4"/>
                <w:color w:val="auto"/>
              </w:rPr>
            </w:pPr>
          </w:p>
        </w:tc>
        <w:tc>
          <w:tcPr>
            <w:tcW w:w="4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r>
    </w:tbl>
    <w:p>
      <w:pPr>
        <w:spacing w:after="0" w:line="23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December 31, 2024, our federal, foreign and state net operatng loss carryforwards for income tax purposes were approximately $11.8 million, $0.7 million and $42.7 million, respectvely. Of our federal net operatng loss carryforwards, $9.4 million are subject to expiraton beginning in 2025 while the remainder have an unlimited carryforward period. The state net operatng loss carryforwards are subject to various applicable state tax laws. If not utlized, the state net operatng loss carryforwards will expire over various periods beginning in 2025. Our foreign net operatng loss carryforwards have an unlimited carryforward period. Our state tax credit carryforwards for income tax purposes were approximately $31.3 million, net of federal beneft. If not utlized, the state tax credit carryforwards will begin to expire in 2025. We also have federal and state capital loss carryforwards of $30.2 million expiring in 2029. The foreign and state net operatng loss carryforwards, capital loss carryforward and state credit carryforwards have a valuaton reserve due to management's uncertainty regarding the future ability to use such carryforwards.</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illustrates the change in our deferred tax asset valuaton allowance: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10" w:type="dxa"/>
            <w:vAlign w:val="bottom"/>
            <w:shd w:val="clear" w:color="auto" w:fill="004054"/>
          </w:tcPr>
          <w:p>
            <w:pPr>
              <w:spacing w:after="0"/>
              <w:rPr>
                <w:sz w:val="15"/>
                <w:szCs w:val="15"/>
                <w:color w:val="auto"/>
              </w:rPr>
            </w:pPr>
          </w:p>
        </w:tc>
        <w:tc>
          <w:tcPr>
            <w:tcW w:w="15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w:t>
            </w:r>
          </w:p>
        </w:tc>
        <w:tc>
          <w:tcPr>
            <w:tcW w:w="1510" w:type="dxa"/>
            <w:vAlign w:val="bottom"/>
            <w:shd w:val="clear" w:color="auto" w:fill="004054"/>
          </w:tcPr>
          <w:p>
            <w:pPr>
              <w:spacing w:after="0"/>
              <w:rPr>
                <w:sz w:val="15"/>
                <w:szCs w:val="15"/>
                <w:color w:val="auto"/>
              </w:rPr>
            </w:pPr>
          </w:p>
        </w:tc>
        <w:tc>
          <w:tcPr>
            <w:tcW w:w="15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r>
      <w:tr>
        <w:trPr>
          <w:trHeight w:val="162"/>
        </w:trPr>
        <w:tc>
          <w:tcPr>
            <w:tcW w:w="6710" w:type="dxa"/>
            <w:vAlign w:val="bottom"/>
            <w:shd w:val="clear" w:color="auto" w:fill="004054"/>
          </w:tcPr>
          <w:p>
            <w:pPr>
              <w:ind w:left="40"/>
              <w:spacing w:after="0" w:line="162" w:lineRule="exact"/>
              <w:rPr>
                <w:sz w:val="20"/>
                <w:szCs w:val="20"/>
                <w:color w:val="auto"/>
              </w:rPr>
            </w:pPr>
            <w:r>
              <w:rPr>
                <w:rFonts w:ascii="Calibri" w:cs="Calibri" w:eastAsia="Calibri" w:hAnsi="Calibri"/>
                <w:sz w:val="14"/>
                <w:szCs w:val="14"/>
                <w:b w:val="1"/>
                <w:bCs w:val="1"/>
                <w:color w:val="FFFFFF"/>
              </w:rPr>
              <w:t>Years ended December 31,</w:t>
            </w:r>
          </w:p>
        </w:tc>
        <w:tc>
          <w:tcPr>
            <w:tcW w:w="151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at beginning</w:t>
            </w:r>
          </w:p>
        </w:tc>
        <w:tc>
          <w:tcPr>
            <w:tcW w:w="151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Charges to</w:t>
            </w:r>
          </w:p>
        </w:tc>
        <w:tc>
          <w:tcPr>
            <w:tcW w:w="153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end of</w:t>
            </w:r>
          </w:p>
        </w:tc>
      </w:tr>
      <w:tr>
        <w:trPr>
          <w:trHeight w:val="183"/>
        </w:trPr>
        <w:tc>
          <w:tcPr>
            <w:tcW w:w="67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year</w:t>
            </w:r>
          </w:p>
        </w:tc>
        <w:tc>
          <w:tcPr>
            <w:tcW w:w="15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expense</w:t>
            </w:r>
          </w:p>
        </w:tc>
        <w:tc>
          <w:tcPr>
            <w:tcW w:w="15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w:t>
            </w:r>
          </w:p>
        </w:tc>
      </w:tr>
      <w:tr>
        <w:trPr>
          <w:trHeight w:val="74"/>
        </w:trPr>
        <w:tc>
          <w:tcPr>
            <w:tcW w:w="6710" w:type="dxa"/>
            <w:vAlign w:val="bottom"/>
            <w:shd w:val="clear" w:color="auto" w:fill="004054"/>
          </w:tcPr>
          <w:p>
            <w:pPr>
              <w:spacing w:after="0"/>
              <w:rPr>
                <w:sz w:val="6"/>
                <w:szCs w:val="6"/>
                <w:color w:val="auto"/>
              </w:rPr>
            </w:pPr>
          </w:p>
        </w:tc>
        <w:tc>
          <w:tcPr>
            <w:tcW w:w="1510" w:type="dxa"/>
            <w:vAlign w:val="bottom"/>
            <w:shd w:val="clear" w:color="auto" w:fill="004054"/>
          </w:tcPr>
          <w:p>
            <w:pPr>
              <w:spacing w:after="0"/>
              <w:rPr>
                <w:sz w:val="6"/>
                <w:szCs w:val="6"/>
                <w:color w:val="auto"/>
              </w:rPr>
            </w:pPr>
          </w:p>
        </w:tc>
        <w:tc>
          <w:tcPr>
            <w:tcW w:w="1510" w:type="dxa"/>
            <w:vAlign w:val="bottom"/>
            <w:shd w:val="clear" w:color="auto" w:fill="004054"/>
          </w:tcPr>
          <w:p>
            <w:pPr>
              <w:spacing w:after="0"/>
              <w:rPr>
                <w:sz w:val="6"/>
                <w:szCs w:val="6"/>
                <w:color w:val="auto"/>
              </w:rPr>
            </w:pPr>
          </w:p>
        </w:tc>
        <w:tc>
          <w:tcPr>
            <w:tcW w:w="153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3560" w:type="dxa"/>
            <w:vAlign w:val="bottom"/>
          </w:tcPr>
          <w:p>
            <w:pPr>
              <w:jc w:val="right"/>
              <w:ind w:right="3090"/>
              <w:spacing w:after="0"/>
              <w:rPr>
                <w:sz w:val="20"/>
                <w:szCs w:val="20"/>
                <w:color w:val="auto"/>
              </w:rPr>
            </w:pPr>
            <w:r>
              <w:rPr>
                <w:rFonts w:ascii="Calibri" w:cs="Calibri" w:eastAsia="Calibri" w:hAnsi="Calibri"/>
                <w:sz w:val="18"/>
                <w:szCs w:val="18"/>
                <w:color w:val="51555C"/>
                <w:w w:val="98"/>
              </w:rPr>
              <w:t>2024</w:t>
            </w:r>
          </w:p>
        </w:tc>
        <w:tc>
          <w:tcPr>
            <w:tcW w:w="3680" w:type="dxa"/>
            <w:vAlign w:val="bottom"/>
          </w:tcPr>
          <w:p>
            <w:pPr>
              <w:jc w:val="right"/>
              <w:ind w:right="330"/>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37,862</w:t>
            </w:r>
          </w:p>
        </w:tc>
        <w:tc>
          <w:tcPr>
            <w:tcW w:w="240" w:type="dxa"/>
            <w:vAlign w:val="bottom"/>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48,810</w:t>
            </w:r>
          </w:p>
        </w:tc>
        <w:tc>
          <w:tcPr>
            <w:tcW w:w="560" w:type="dxa"/>
            <w:vAlign w:val="bottom"/>
          </w:tcPr>
          <w:p>
            <w:pPr>
              <w:jc w:val="right"/>
              <w:ind w:right="33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86,672</w:t>
            </w:r>
          </w:p>
        </w:tc>
      </w:tr>
      <w:tr>
        <w:trPr>
          <w:trHeight w:val="270"/>
        </w:trPr>
        <w:tc>
          <w:tcPr>
            <w:tcW w:w="3560" w:type="dxa"/>
            <w:vAlign w:val="bottom"/>
          </w:tcPr>
          <w:p>
            <w:pPr>
              <w:jc w:val="right"/>
              <w:ind w:right="3090"/>
              <w:spacing w:after="0"/>
              <w:rPr>
                <w:sz w:val="20"/>
                <w:szCs w:val="20"/>
                <w:color w:val="auto"/>
              </w:rPr>
            </w:pPr>
            <w:r>
              <w:rPr>
                <w:rFonts w:ascii="Calibri" w:cs="Calibri" w:eastAsia="Calibri" w:hAnsi="Calibri"/>
                <w:sz w:val="18"/>
                <w:szCs w:val="18"/>
                <w:color w:val="51555C"/>
                <w:w w:val="98"/>
              </w:rPr>
              <w:t>2023</w:t>
            </w:r>
          </w:p>
        </w:tc>
        <w:tc>
          <w:tcPr>
            <w:tcW w:w="36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34,769</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3,093</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37,862</w:t>
            </w:r>
          </w:p>
        </w:tc>
      </w:tr>
      <w:tr>
        <w:trPr>
          <w:trHeight w:val="51"/>
        </w:trPr>
        <w:tc>
          <w:tcPr>
            <w:tcW w:w="35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5"/>
        </w:trPr>
        <w:tc>
          <w:tcPr>
            <w:tcW w:w="3560" w:type="dxa"/>
            <w:vAlign w:val="bottom"/>
            <w:tcBorders>
              <w:bottom w:val="single" w:sz="8" w:color="EBFBFF"/>
            </w:tcBorders>
            <w:shd w:val="clear" w:color="auto" w:fill="EBFBFF"/>
          </w:tcPr>
          <w:p>
            <w:pPr>
              <w:jc w:val="right"/>
              <w:ind w:right="3090"/>
              <w:spacing w:after="0"/>
              <w:rPr>
                <w:sz w:val="20"/>
                <w:szCs w:val="20"/>
                <w:color w:val="auto"/>
              </w:rPr>
            </w:pPr>
            <w:r>
              <w:rPr>
                <w:rFonts w:ascii="Calibri" w:cs="Calibri" w:eastAsia="Calibri" w:hAnsi="Calibri"/>
                <w:sz w:val="18"/>
                <w:szCs w:val="18"/>
                <w:color w:val="51555C"/>
                <w:w w:val="98"/>
              </w:rPr>
              <w:t>2022</w:t>
            </w:r>
          </w:p>
        </w:tc>
        <w:tc>
          <w:tcPr>
            <w:tcW w:w="36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31,974</w:t>
            </w:r>
          </w:p>
        </w:tc>
        <w:tc>
          <w:tcPr>
            <w:tcW w:w="24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2,795</w:t>
            </w:r>
          </w:p>
        </w:tc>
        <w:tc>
          <w:tcPr>
            <w:tcW w:w="5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34,769</w:t>
            </w:r>
          </w:p>
        </w:tc>
      </w:tr>
      <w:tr>
        <w:trPr>
          <w:trHeight w:val="662"/>
        </w:trPr>
        <w:tc>
          <w:tcPr>
            <w:tcW w:w="3560" w:type="dxa"/>
            <w:vAlign w:val="bottom"/>
            <w:tcBorders>
              <w:top w:val="single" w:sz="8" w:color="0CD973"/>
            </w:tcBorders>
          </w:tcPr>
          <w:p>
            <w:pPr>
              <w:spacing w:after="0"/>
              <w:rPr>
                <w:sz w:val="24"/>
                <w:szCs w:val="24"/>
                <w:color w:val="auto"/>
              </w:rPr>
            </w:pPr>
          </w:p>
        </w:tc>
        <w:tc>
          <w:tcPr>
            <w:tcW w:w="3680" w:type="dxa"/>
            <w:vAlign w:val="bottom"/>
            <w:tcBorders>
              <w:top w:val="single" w:sz="8" w:color="0CD973"/>
            </w:tcBorders>
          </w:tcPr>
          <w:p>
            <w:pPr>
              <w:spacing w:after="0"/>
              <w:rPr>
                <w:sz w:val="24"/>
                <w:szCs w:val="24"/>
                <w:color w:val="auto"/>
              </w:rPr>
            </w:pPr>
          </w:p>
        </w:tc>
        <w:tc>
          <w:tcPr>
            <w:tcW w:w="96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jc w:val="right"/>
              <w:ind w:right="155"/>
              <w:spacing w:after="0"/>
              <w:rPr>
                <w:sz w:val="20"/>
                <w:szCs w:val="20"/>
                <w:color w:val="auto"/>
              </w:rPr>
            </w:pPr>
            <w:r>
              <w:rPr>
                <w:rFonts w:ascii="Calibri" w:cs="Calibri" w:eastAsia="Calibri" w:hAnsi="Calibri"/>
                <w:sz w:val="14"/>
                <w:szCs w:val="14"/>
                <w:color w:val="51555C"/>
              </w:rPr>
              <w:t>2024 Form 10-K</w:t>
            </w:r>
          </w:p>
        </w:tc>
        <w:tc>
          <w:tcPr>
            <w:tcW w:w="5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101</w:t>
            </w:r>
          </w:p>
        </w:tc>
      </w:tr>
      <w:tr>
        <w:trPr>
          <w:trHeight w:val="338"/>
        </w:trPr>
        <w:tc>
          <w:tcPr>
            <w:tcW w:w="3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the change to our unrecognized tax beneft for the years ended December 31, 2024, 2023 and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shd w:val="clear" w:color="auto" w:fill="004054"/>
          </w:tcPr>
          <w:p>
            <w:pPr>
              <w:spacing w:after="0"/>
              <w:rPr>
                <w:sz w:val="16"/>
                <w:szCs w:val="16"/>
                <w:color w:val="auto"/>
              </w:rPr>
            </w:pPr>
          </w:p>
        </w:tc>
        <w:tc>
          <w:tcPr>
            <w:tcW w:w="58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24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7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8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62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8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6700" w:type="dxa"/>
            <w:vAlign w:val="bottom"/>
            <w:shd w:val="clear" w:color="auto" w:fill="004054"/>
          </w:tcPr>
          <w:p>
            <w:pPr>
              <w:spacing w:after="0"/>
              <w:rPr>
                <w:sz w:val="6"/>
                <w:szCs w:val="6"/>
                <w:color w:val="auto"/>
              </w:rPr>
            </w:pPr>
          </w:p>
        </w:tc>
        <w:tc>
          <w:tcPr>
            <w:tcW w:w="58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62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58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7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Balance at beginning of year</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3,240</w:t>
            </w:r>
          </w:p>
        </w:tc>
        <w:tc>
          <w:tcPr>
            <w:tcW w:w="620" w:type="dxa"/>
            <w:vAlign w:val="bottom"/>
            <w:tcBorders>
              <w:bottom w:val="single" w:sz="8" w:color="EBFBFF"/>
            </w:tcBorders>
            <w:shd w:val="clear" w:color="auto" w:fill="EBFBFF"/>
          </w:tcPr>
          <w:p>
            <w:pPr>
              <w:jc w:val="right"/>
              <w:ind w:right="390"/>
              <w:spacing w:after="0"/>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3,083</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3,651</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Increases from prior period positons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1,249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101</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89</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Increases from current period positons</w:t>
            </w:r>
          </w:p>
        </w:tc>
        <w:tc>
          <w:tcPr>
            <w:tcW w:w="58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706</w:t>
            </w:r>
          </w:p>
        </w:tc>
        <w:tc>
          <w:tcPr>
            <w:tcW w:w="6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762</w:t>
            </w:r>
          </w:p>
        </w:tc>
        <w:tc>
          <w:tcPr>
            <w:tcW w:w="5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629</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Decreases in prior year positons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(118)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(908)</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Setlements (payments)</w:t>
            </w:r>
          </w:p>
        </w:tc>
        <w:tc>
          <w:tcPr>
            <w:tcW w:w="58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6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w:t>
            </w:r>
          </w:p>
        </w:tc>
        <w:tc>
          <w:tcPr>
            <w:tcW w:w="5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Lapse of statute of limitatons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(428)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(378)</w:t>
            </w:r>
          </w:p>
        </w:tc>
        <w:tc>
          <w:tcPr>
            <w:tcW w:w="20" w:type="dxa"/>
            <w:vAlign w:val="bottom"/>
          </w:tcPr>
          <w:p>
            <w:pPr>
              <w:spacing w:after="0"/>
              <w:rPr>
                <w:sz w:val="19"/>
                <w:szCs w:val="19"/>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8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62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58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7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Balance at end of year</w:t>
            </w:r>
          </w:p>
        </w:tc>
        <w:tc>
          <w:tcPr>
            <w:tcW w:w="580" w:type="dxa"/>
            <w:vAlign w:val="bottom"/>
            <w:tcBorders>
              <w:bottom w:val="single" w:sz="8" w:color="EBFBFF"/>
            </w:tcBorders>
            <w:shd w:val="clear" w:color="auto" w:fill="EBFBFF"/>
          </w:tcPr>
          <w:p>
            <w:pPr>
              <w:jc w:val="right"/>
              <w:ind w:right="370"/>
              <w:spacing w:after="0" w:line="213" w:lineRule="exact"/>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5,195</w:t>
            </w:r>
          </w:p>
        </w:tc>
        <w:tc>
          <w:tcPr>
            <w:tcW w:w="620" w:type="dxa"/>
            <w:vAlign w:val="bottom"/>
            <w:tcBorders>
              <w:bottom w:val="single" w:sz="8" w:color="EBFBFF"/>
            </w:tcBorders>
            <w:shd w:val="clear" w:color="auto" w:fill="EBFBFF"/>
          </w:tcPr>
          <w:p>
            <w:pPr>
              <w:jc w:val="right"/>
              <w:ind w:right="39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3,240</w:t>
            </w:r>
          </w:p>
        </w:tc>
        <w:tc>
          <w:tcPr>
            <w:tcW w:w="580" w:type="dxa"/>
            <w:vAlign w:val="bottom"/>
            <w:tcBorders>
              <w:bottom w:val="single" w:sz="8" w:color="EBFBFF"/>
            </w:tcBorders>
            <w:shd w:val="clear" w:color="auto" w:fill="EBFBFF"/>
          </w:tcPr>
          <w:p>
            <w:pPr>
              <w:jc w:val="right"/>
              <w:ind w:right="37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3,083</w:t>
            </w:r>
          </w:p>
        </w:tc>
        <w:tc>
          <w:tcPr>
            <w:tcW w:w="20" w:type="dxa"/>
            <w:vAlign w:val="bottom"/>
          </w:tcPr>
          <w:p>
            <w:pPr>
              <w:spacing w:after="0"/>
              <w:rPr>
                <w:sz w:val="21"/>
                <w:szCs w:val="21"/>
                <w:color w:val="auto"/>
              </w:rPr>
            </w:pPr>
          </w:p>
        </w:tc>
      </w:tr>
      <w:tr>
        <w:trPr>
          <w:trHeight w:val="20"/>
        </w:trPr>
        <w:tc>
          <w:tcPr>
            <w:tcW w:w="6700" w:type="dxa"/>
            <w:vAlign w:val="bottom"/>
            <w:shd w:val="clear" w:color="auto" w:fill="0CD973"/>
          </w:tcPr>
          <w:p>
            <w:pPr>
              <w:spacing w:after="0" w:line="20" w:lineRule="exact"/>
              <w:rPr>
                <w:sz w:val="1"/>
                <w:szCs w:val="1"/>
                <w:color w:val="auto"/>
              </w:rPr>
            </w:pPr>
          </w:p>
        </w:tc>
        <w:tc>
          <w:tcPr>
            <w:tcW w:w="58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62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58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-1379855</wp:posOffset>
            </wp:positionV>
            <wp:extent cx="28886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amount of unrecognized tax beneft that, if recognized, would favorably afect the efectve tax rate was $5.2 million at December 31, 2024. Certain prior period amounts relatng to our 2014 acquisitons were covered under indemnifcaton agreements and, therefore, had a corresponding indemnifcaton asset. Due to lapse of statute of limitatons, the indemnifed unrecognized tax beneft was released in 2022 resultng in income tax beneft with ofsetng expense included in pretax income from corresponding release of indemnifcaton asset. We recognize accrued interest and penaltes, if any, related to unrecognized tax benefts as a component of income tax expense. The total amount of accrued interest and penaltes included in the consolidated balance sheet as of December 31, 2024 and December 31, 2023 was $0.9 million and insignifcant, respectvely. The total amount of interest and penaltes included in the consolidated statements of comprehensive loss as an increase or decrease in income tax expense for 2024 was $0.8 million and for 2023 and 2022 was insignifcant.</w:t>
      </w:r>
    </w:p>
    <w:p>
      <w:pPr>
        <w:spacing w:after="0" w:line="16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taken federal and state tax positons for which it is reasonably possible that the total amounts of unrecognized tax benefts might decrease within the next twelve months. This possible decrease could result from the expiraton of statutes of limitatons. The reasonably possible decrease at December 31, 2024 was insignifcant.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For our undistributed earnings of foreign subsidiaries, we concluded that these earnings would be permanently reinvested in the local jurisdictons and not repatriated to the United States except to the extent that said earnings are of previously taxed income. Accordingly, we have not provided for U.S. income taxes and foreign withholding taxes on those undistributed earnings of our foreign subsidiaries.</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13. Stock-based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Employee stock-based compensaton plans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Under the 2016 Equity and Incentve Compensaton Plan Amended and Restated as of June 12, 2024 (the "2016 Equity Plan"), we may grant incentve stock optons, nonstatutory stock optons, stock appreciaton rights, restricted stock, restricted stock units, other stock awards and cash incentve awards to employees, directors and consultants. Our Compensaton Commitee of the Board of Directors administers this plan and the stock-based awards are granted under terms determined by it.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number of authorized stock-based awards available under our plan was 3,823,058 as of December 31, 2024. We issue common stock from our pool of authorized stock upon exercise of stock optons and stock appreciaton rights, vestng of restricted stock units or upon grantng of restricted stock.</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102</w:t>
      </w:r>
      <w:r>
        <w:rPr>
          <w:sz w:val="20"/>
          <w:szCs w:val="20"/>
          <w:color w:val="auto"/>
        </w:rPr>
        <w:tab/>
      </w:r>
      <w:r>
        <w:rPr>
          <w:sz w:val="1"/>
          <w:szCs w:val="1"/>
          <w:color w:val="auto"/>
        </w:rPr>
        <w:drawing>
          <wp:inline distT="0" distB="0" distL="0" distR="0">
            <wp:extent cx="728345" cy="188595"/>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Recently, we have issued three types of awards under our plans: restricted stock awards, tme-based restricted stock units, and performance-based restricted stock units. The following table sets forth the number of awards outstanding for each award type as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shd w:val="clear" w:color="auto" w:fill="004054"/>
          </w:tcPr>
          <w:p>
            <w:pPr>
              <w:spacing w:after="0"/>
              <w:rPr>
                <w:sz w:val="16"/>
                <w:szCs w:val="16"/>
                <w:color w:val="auto"/>
              </w:rPr>
            </w:pPr>
          </w:p>
        </w:tc>
        <w:tc>
          <w:tcPr>
            <w:tcW w:w="1860" w:type="dxa"/>
            <w:vAlign w:val="bottom"/>
            <w:shd w:val="clear" w:color="auto" w:fill="004054"/>
          </w:tcPr>
          <w:p>
            <w:pPr>
              <w:spacing w:after="0"/>
              <w:rPr>
                <w:sz w:val="16"/>
                <w:szCs w:val="16"/>
                <w:color w:val="auto"/>
              </w:rPr>
            </w:pPr>
          </w:p>
        </w:tc>
        <w:tc>
          <w:tcPr>
            <w:tcW w:w="1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Outstanding at December 31,</w:t>
            </w:r>
          </w:p>
        </w:tc>
        <w:tc>
          <w:tcPr>
            <w:tcW w:w="20" w:type="dxa"/>
            <w:vAlign w:val="bottom"/>
            <w:shd w:val="clear" w:color="auto" w:fill="004054"/>
          </w:tcPr>
          <w:p>
            <w:pPr>
              <w:spacing w:after="0"/>
              <w:rPr>
                <w:sz w:val="16"/>
                <w:szCs w:val="16"/>
                <w:color w:val="auto"/>
              </w:rPr>
            </w:pPr>
          </w:p>
        </w:tc>
      </w:tr>
      <w:tr>
        <w:trPr>
          <w:trHeight w:val="236"/>
        </w:trPr>
        <w:tc>
          <w:tcPr>
            <w:tcW w:w="74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Award type</w:t>
            </w:r>
          </w:p>
        </w:tc>
        <w:tc>
          <w:tcPr>
            <w:tcW w:w="1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0"/>
                <w:szCs w:val="20"/>
                <w:color w:val="auto"/>
              </w:rPr>
            </w:pPr>
          </w:p>
        </w:tc>
      </w:tr>
      <w:tr>
        <w:trPr>
          <w:trHeight w:val="74"/>
        </w:trPr>
        <w:tc>
          <w:tcPr>
            <w:tcW w:w="7460" w:type="dxa"/>
            <w:vAlign w:val="bottom"/>
            <w:shd w:val="clear" w:color="auto" w:fill="004054"/>
          </w:tcPr>
          <w:p>
            <w:pPr>
              <w:spacing w:after="0"/>
              <w:rPr>
                <w:sz w:val="6"/>
                <w:szCs w:val="6"/>
                <w:color w:val="auto"/>
              </w:rPr>
            </w:pPr>
          </w:p>
        </w:tc>
        <w:tc>
          <w:tcPr>
            <w:tcW w:w="1860" w:type="dxa"/>
            <w:vAlign w:val="bottom"/>
            <w:shd w:val="clear" w:color="auto" w:fill="004054"/>
          </w:tcPr>
          <w:p>
            <w:pPr>
              <w:spacing w:after="0"/>
              <w:rPr>
                <w:sz w:val="6"/>
                <w:szCs w:val="6"/>
                <w:color w:val="auto"/>
              </w:rPr>
            </w:pPr>
          </w:p>
        </w:tc>
        <w:tc>
          <w:tcPr>
            <w:tcW w:w="19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Restricted stock awards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814,336</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1,101,702</w:t>
            </w:r>
          </w:p>
        </w:tc>
        <w:tc>
          <w:tcPr>
            <w:tcW w:w="20" w:type="dxa"/>
            <w:vAlign w:val="bottom"/>
          </w:tcPr>
          <w:p>
            <w:pPr>
              <w:spacing w:after="0"/>
              <w:rPr>
                <w:sz w:val="21"/>
                <w:szCs w:val="21"/>
                <w:color w:val="auto"/>
              </w:rPr>
            </w:pPr>
          </w:p>
        </w:tc>
      </w:tr>
      <w:tr>
        <w:trPr>
          <w:trHeight w:val="219"/>
        </w:trPr>
        <w:tc>
          <w:tcPr>
            <w:tcW w:w="7460" w:type="dxa"/>
            <w:vAlign w:val="bottom"/>
          </w:tcPr>
          <w:p>
            <w:pPr>
              <w:ind w:left="20"/>
              <w:spacing w:after="0"/>
              <w:rPr>
                <w:sz w:val="20"/>
                <w:szCs w:val="20"/>
                <w:color w:val="auto"/>
              </w:rPr>
            </w:pPr>
            <w:r>
              <w:rPr>
                <w:rFonts w:ascii="Calibri" w:cs="Calibri" w:eastAsia="Calibri" w:hAnsi="Calibri"/>
                <w:sz w:val="18"/>
                <w:szCs w:val="18"/>
                <w:color w:val="51555C"/>
              </w:rPr>
              <w:t>Time-based restricted stock units</w:t>
            </w:r>
          </w:p>
        </w:tc>
        <w:tc>
          <w:tcPr>
            <w:tcW w:w="1860" w:type="dxa"/>
            <w:vAlign w:val="bottom"/>
          </w:tcPr>
          <w:p>
            <w:pPr>
              <w:jc w:val="right"/>
              <w:spacing w:after="0"/>
              <w:rPr>
                <w:sz w:val="20"/>
                <w:szCs w:val="20"/>
                <w:color w:val="auto"/>
              </w:rPr>
            </w:pPr>
            <w:r>
              <w:rPr>
                <w:rFonts w:ascii="Calibri" w:cs="Calibri" w:eastAsia="Calibri" w:hAnsi="Calibri"/>
                <w:sz w:val="18"/>
                <w:szCs w:val="18"/>
                <w:color w:val="51555C"/>
              </w:rPr>
              <w:t>616,035</w:t>
            </w:r>
          </w:p>
        </w:tc>
        <w:tc>
          <w:tcPr>
            <w:tcW w:w="1920" w:type="dxa"/>
            <w:vAlign w:val="bottom"/>
          </w:tcPr>
          <w:p>
            <w:pPr>
              <w:jc w:val="right"/>
              <w:spacing w:after="0"/>
              <w:rPr>
                <w:sz w:val="20"/>
                <w:szCs w:val="20"/>
                <w:color w:val="auto"/>
              </w:rPr>
            </w:pPr>
            <w:r>
              <w:rPr>
                <w:rFonts w:ascii="Calibri" w:cs="Calibri" w:eastAsia="Calibri" w:hAnsi="Calibri"/>
                <w:sz w:val="18"/>
                <w:szCs w:val="18"/>
                <w:color w:val="51555C"/>
              </w:rPr>
              <w:t>607,100</w:t>
            </w:r>
          </w:p>
        </w:tc>
        <w:tc>
          <w:tcPr>
            <w:tcW w:w="20" w:type="dxa"/>
            <w:vAlign w:val="bottom"/>
          </w:tcPr>
          <w:p>
            <w:pPr>
              <w:spacing w:after="0"/>
              <w:rPr>
                <w:sz w:val="19"/>
                <w:szCs w:val="19"/>
                <w:color w:val="auto"/>
              </w:rPr>
            </w:pPr>
          </w:p>
        </w:tc>
      </w:tr>
      <w:tr>
        <w:trPr>
          <w:trHeight w:val="51"/>
        </w:trPr>
        <w:tc>
          <w:tcPr>
            <w:tcW w:w="74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Performance-based restricted stock units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1,029,214</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1,209,515</w:t>
            </w:r>
          </w:p>
        </w:tc>
        <w:tc>
          <w:tcPr>
            <w:tcW w:w="20" w:type="dxa"/>
            <w:vAlign w:val="bottom"/>
          </w:tcPr>
          <w:p>
            <w:pPr>
              <w:spacing w:after="0"/>
              <w:rPr>
                <w:sz w:val="21"/>
                <w:szCs w:val="21"/>
                <w:color w:val="auto"/>
              </w:rPr>
            </w:pPr>
          </w:p>
        </w:tc>
      </w:tr>
      <w:tr>
        <w:trPr>
          <w:trHeight w:val="20"/>
        </w:trPr>
        <w:tc>
          <w:tcPr>
            <w:tcW w:w="7460" w:type="dxa"/>
            <w:vAlign w:val="bottom"/>
            <w:shd w:val="clear" w:color="auto" w:fill="0CD973"/>
          </w:tcPr>
          <w:p>
            <w:pPr>
              <w:spacing w:after="0" w:line="20" w:lineRule="exact"/>
              <w:rPr>
                <w:sz w:val="1"/>
                <w:szCs w:val="1"/>
                <w:color w:val="auto"/>
              </w:rPr>
            </w:pPr>
          </w:p>
        </w:tc>
        <w:tc>
          <w:tcPr>
            <w:tcW w:w="1860" w:type="dxa"/>
            <w:vAlign w:val="bottom"/>
            <w:shd w:val="clear" w:color="auto" w:fill="0CD973"/>
          </w:tcPr>
          <w:p>
            <w:pPr>
              <w:spacing w:after="0" w:line="20" w:lineRule="exact"/>
              <w:rPr>
                <w:sz w:val="1"/>
                <w:szCs w:val="1"/>
                <w:color w:val="auto"/>
              </w:rPr>
            </w:pPr>
          </w:p>
        </w:tc>
        <w:tc>
          <w:tcPr>
            <w:tcW w:w="19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-685165</wp:posOffset>
            </wp:positionV>
            <wp:extent cx="24085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14"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Awards granted to our executve ofcers and certain members of management are subject to accelerated vestng upon a change in control as defned in the employees’ employment agreement or retenton agreement.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Expense recogniton</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recognize compensaton expense associated with stock optons and awards with performance or market based vestng conditons on an accelerated basis over the requisite service period of the individual grantees, which generally equals the vestng period. We recognize compensaton expense associated with restricted stock awards and SARs on a straight-line basis over the requisite service period of the individual grantees, which generally equals the vestng period. We recognize the efect of awards for which the requisite service period is not rendered when the award is forfeited (that is, we recognize the efect of forfeitures in compensaton cost when they occur). Previously recognized compensaton cost for an award is reversed in the period that the award is forfeited.</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Stock-based compensaton expense is allocated to cost of revenue and operatng expenses on the consolidated statements of comprehensive loss based on where the associated employee’s compensaton is recorded. The following table summarizes stock-based compensaton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248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6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46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8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6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680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r>
      <w:tr>
        <w:trPr>
          <w:trHeight w:val="250"/>
        </w:trPr>
        <w:tc>
          <w:tcPr>
            <w:tcW w:w="6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cost of revenue:</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Cost of recurring</w:t>
            </w:r>
          </w:p>
        </w:tc>
        <w:tc>
          <w:tcPr>
            <w:tcW w:w="460" w:type="dxa"/>
            <w:vAlign w:val="bottom"/>
          </w:tcPr>
          <w:p>
            <w:pPr>
              <w:jc w:val="right"/>
              <w:ind w:right="270"/>
              <w:spacing w:after="0"/>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12,606</w:t>
            </w:r>
          </w:p>
        </w:tc>
        <w:tc>
          <w:tcPr>
            <w:tcW w:w="480" w:type="dxa"/>
            <w:vAlign w:val="bottom"/>
          </w:tcPr>
          <w:p>
            <w:pPr>
              <w:jc w:val="right"/>
              <w:ind w:right="270"/>
              <w:spacing w:after="0"/>
              <w:rPr>
                <w:sz w:val="20"/>
                <w:szCs w:val="20"/>
                <w:color w:val="auto"/>
              </w:rPr>
            </w:pPr>
            <w:r>
              <w:rPr>
                <w:rFonts w:ascii="Calibri" w:cs="Calibri" w:eastAsia="Calibri" w:hAnsi="Calibri"/>
                <w:sz w:val="18"/>
                <w:szCs w:val="18"/>
                <w:color w:val="51555C"/>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14,052</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11,258</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68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Cost of one-tme services and other</w:t>
            </w:r>
          </w:p>
        </w:tc>
        <w:tc>
          <w:tcPr>
            <w:tcW w:w="46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1,486</w:t>
            </w:r>
          </w:p>
        </w:tc>
        <w:tc>
          <w:tcPr>
            <w:tcW w:w="48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2,606</w:t>
            </w:r>
          </w:p>
        </w:tc>
        <w:tc>
          <w:tcPr>
            <w:tcW w:w="46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3,178</w:t>
            </w:r>
          </w:p>
        </w:tc>
      </w:tr>
      <w:tr>
        <w:trPr>
          <w:trHeight w:val="213"/>
        </w:trPr>
        <w:tc>
          <w:tcPr>
            <w:tcW w:w="6800" w:type="dxa"/>
            <w:vAlign w:val="bottom"/>
          </w:tcPr>
          <w:p>
            <w:pPr>
              <w:ind w:left="360"/>
              <w:spacing w:after="0" w:line="199" w:lineRule="exact"/>
              <w:rPr>
                <w:sz w:val="20"/>
                <w:szCs w:val="20"/>
                <w:color w:val="auto"/>
              </w:rPr>
            </w:pPr>
            <w:r>
              <w:rPr>
                <w:rFonts w:ascii="Calibri" w:cs="Calibri" w:eastAsia="Calibri" w:hAnsi="Calibri"/>
                <w:sz w:val="18"/>
                <w:szCs w:val="18"/>
                <w:color w:val="51555C"/>
              </w:rPr>
              <w:t>Total included in cost of revenue</w:t>
            </w:r>
          </w:p>
        </w:tc>
        <w:tc>
          <w:tcPr>
            <w:tcW w:w="46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14,092</w:t>
            </w:r>
          </w:p>
        </w:tc>
        <w:tc>
          <w:tcPr>
            <w:tcW w:w="48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16,658</w:t>
            </w:r>
          </w:p>
        </w:tc>
        <w:tc>
          <w:tcPr>
            <w:tcW w:w="46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14,436</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operatng expenses:</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Sales, marketng and customer success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17,946</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24,892</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21,409</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8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Research and development</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26,488</w:t>
            </w: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30,780</w:t>
            </w: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24,207</w:t>
            </w: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General and administratve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46,442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55,432</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50,242</w:t>
            </w:r>
          </w:p>
        </w:tc>
      </w:tr>
      <w:tr>
        <w:trPr>
          <w:trHeight w:val="50"/>
        </w:trPr>
        <w:tc>
          <w:tcPr>
            <w:tcW w:w="6800" w:type="dxa"/>
            <w:vAlign w:val="bottom"/>
            <w:tcBorders>
              <w:bottom w:val="single" w:sz="8" w:color="EBFBFF"/>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48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r>
      <w:tr>
        <w:trPr>
          <w:trHeight w:val="263"/>
        </w:trPr>
        <w:tc>
          <w:tcPr>
            <w:tcW w:w="6800" w:type="dxa"/>
            <w:vAlign w:val="bottom"/>
            <w:tcBorders>
              <w:bottom w:val="single" w:sz="8" w:color="EBFBFF"/>
            </w:tcBorders>
            <w:shd w:val="clear" w:color="auto" w:fill="EBFBFF"/>
          </w:tcPr>
          <w:p>
            <w:pPr>
              <w:ind w:left="360"/>
              <w:spacing w:after="0" w:line="199" w:lineRule="exact"/>
              <w:rPr>
                <w:sz w:val="20"/>
                <w:szCs w:val="20"/>
                <w:color w:val="auto"/>
              </w:rPr>
            </w:pPr>
            <w:r>
              <w:rPr>
                <w:rFonts w:ascii="Calibri" w:cs="Calibri" w:eastAsia="Calibri" w:hAnsi="Calibri"/>
                <w:sz w:val="18"/>
                <w:szCs w:val="18"/>
                <w:color w:val="51555C"/>
              </w:rPr>
              <w:t>Total included in operatng expenses</w:t>
            </w:r>
          </w:p>
        </w:tc>
        <w:tc>
          <w:tcPr>
            <w:tcW w:w="46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90,876</w:t>
            </w:r>
          </w:p>
        </w:tc>
        <w:tc>
          <w:tcPr>
            <w:tcW w:w="48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111,104</w:t>
            </w:r>
          </w:p>
        </w:tc>
        <w:tc>
          <w:tcPr>
            <w:tcW w:w="46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95,858</w:t>
            </w:r>
          </w:p>
        </w:tc>
      </w:tr>
      <w:tr>
        <w:trPr>
          <w:trHeight w:val="213"/>
        </w:trPr>
        <w:tc>
          <w:tcPr>
            <w:tcW w:w="6800" w:type="dxa"/>
            <w:vAlign w:val="bottom"/>
          </w:tcPr>
          <w:p>
            <w:pPr>
              <w:ind w:left="440"/>
              <w:spacing w:after="0" w:line="199" w:lineRule="exact"/>
              <w:rPr>
                <w:sz w:val="20"/>
                <w:szCs w:val="20"/>
                <w:color w:val="auto"/>
              </w:rPr>
            </w:pPr>
            <w:r>
              <w:rPr>
                <w:rFonts w:ascii="Calibri" w:cs="Calibri" w:eastAsia="Calibri" w:hAnsi="Calibri"/>
                <w:sz w:val="18"/>
                <w:szCs w:val="18"/>
                <w:color w:val="51555C"/>
              </w:rPr>
              <w:t>Total stock-based compensaton expense</w:t>
            </w:r>
          </w:p>
        </w:tc>
        <w:tc>
          <w:tcPr>
            <w:tcW w:w="460" w:type="dxa"/>
            <w:vAlign w:val="bottom"/>
            <w:tcBorders>
              <w:top w:val="single" w:sz="8" w:color="51555C"/>
            </w:tcBorders>
          </w:tcPr>
          <w:p>
            <w:pPr>
              <w:jc w:val="right"/>
              <w:ind w:right="270"/>
              <w:spacing w:after="0" w:line="213" w:lineRule="exact"/>
              <w:rPr>
                <w:sz w:val="20"/>
                <w:szCs w:val="20"/>
                <w:color w:val="auto"/>
              </w:rPr>
            </w:pPr>
            <w:r>
              <w:rPr>
                <w:rFonts w:ascii="Calibri" w:cs="Calibri" w:eastAsia="Calibri" w:hAnsi="Calibri"/>
                <w:sz w:val="18"/>
                <w:szCs w:val="18"/>
                <w:color w:val="51555C"/>
                <w:w w:val="87"/>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104,968</w:t>
            </w:r>
          </w:p>
        </w:tc>
        <w:tc>
          <w:tcPr>
            <w:tcW w:w="480" w:type="dxa"/>
            <w:vAlign w:val="bottom"/>
            <w:tcBorders>
              <w:top w:val="single" w:sz="8" w:color="51555C"/>
            </w:tcBorders>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127,762</w:t>
            </w:r>
          </w:p>
        </w:tc>
        <w:tc>
          <w:tcPr>
            <w:tcW w:w="46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110,294</w:t>
            </w:r>
          </w:p>
        </w:tc>
      </w:tr>
      <w:tr>
        <w:trPr>
          <w:trHeight w:val="50"/>
        </w:trPr>
        <w:tc>
          <w:tcPr>
            <w:tcW w:w="680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c>
          <w:tcPr>
            <w:tcW w:w="48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-1910715</wp:posOffset>
            </wp:positionV>
            <wp:extent cx="28117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amount of compensaton cost related to unvested awards not recognized was $67.6 million at December 31, 2024. It is expected that this amount will be recognized over a weighted average period of 1.2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229870</wp:posOffset>
            </wp:positionV>
            <wp:extent cx="728980" cy="1885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103</w:t>
            </w:r>
          </w:p>
        </w:tc>
      </w:tr>
      <w:tr>
        <w:trPr>
          <w:trHeight w:val="337"/>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stock awards</w:t>
      </w:r>
    </w:p>
    <w:p>
      <w:pPr>
        <w:spacing w:after="0" w:line="163"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have granted shares of common stock subject to certain restrictons under the 2016 Equity Plan. Restricted stock awards granted to employees vest in equal annual installments generally over three years from the grant date subject to the recipient’s contnued employment with us. Restricted stock awards granted to non-employee directors vest afer one year from the date of grant or, if earlier, immediately prior to the next annual electon of directors, provided the non-employee director is serving as a director at that tme. The fair market value of the stock at the tme of the grant is amortzed on a straight-line basis to expense over the period of vestng. Recipients of restricted stock awards have the right to vote such shares and receive dividends, if declared.</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unvested restricted stock awards as of December 31, 2024, and changes during the year then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004054"/>
          </w:tcPr>
          <w:p>
            <w:pPr>
              <w:spacing w:after="0"/>
              <w:rPr>
                <w:sz w:val="14"/>
                <w:szCs w:val="14"/>
                <w:color w:val="auto"/>
              </w:rPr>
            </w:pPr>
          </w:p>
        </w:tc>
        <w:tc>
          <w:tcPr>
            <w:tcW w:w="15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line="169" w:lineRule="exact"/>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vMerge w:val="continue"/>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awards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2024</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1,101,702</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64.92</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422,685</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69.86</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(77,785)</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65.27</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Vested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(632,266)</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67.47</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Borders>
              <w:bottom w:val="single" w:sz="8" w:color="EBFBFF"/>
            </w:tcBorders>
          </w:tcPr>
          <w:p>
            <w:pPr>
              <w:spacing w:after="0"/>
              <w:rPr>
                <w:sz w:val="4"/>
                <w:szCs w:val="4"/>
                <w:color w:val="auto"/>
              </w:rPr>
            </w:pPr>
          </w:p>
        </w:tc>
        <w:tc>
          <w:tcPr>
            <w:tcW w:w="1520" w:type="dxa"/>
            <w:vAlign w:val="bottom"/>
            <w:tcBorders>
              <w:bottom w:val="single" w:sz="8" w:color="51555C"/>
            </w:tcBorders>
          </w:tcPr>
          <w:p>
            <w:pPr>
              <w:spacing w:after="0"/>
              <w:rPr>
                <w:sz w:val="4"/>
                <w:szCs w:val="4"/>
                <w:color w:val="auto"/>
              </w:rPr>
            </w:pPr>
          </w:p>
        </w:tc>
        <w:tc>
          <w:tcPr>
            <w:tcW w:w="400" w:type="dxa"/>
            <w:vAlign w:val="bottom"/>
            <w:tcBorders>
              <w:bottom w:val="single" w:sz="8" w:color="EBFBFF"/>
            </w:tcBorders>
          </w:tcPr>
          <w:p>
            <w:pPr>
              <w:spacing w:after="0"/>
              <w:rPr>
                <w:sz w:val="4"/>
                <w:szCs w:val="4"/>
                <w:color w:val="auto"/>
              </w:rPr>
            </w:pPr>
          </w:p>
        </w:tc>
        <w:tc>
          <w:tcPr>
            <w:tcW w:w="970" w:type="dxa"/>
            <w:vAlign w:val="bottom"/>
            <w:tcBorders>
              <w:bottom w:val="single" w:sz="8" w:color="EBFBFF"/>
            </w:tcBorders>
          </w:tcPr>
          <w:p>
            <w:pPr>
              <w:spacing w:after="0"/>
              <w:rPr>
                <w:sz w:val="4"/>
                <w:szCs w:val="4"/>
                <w:color w:val="auto"/>
              </w:rPr>
            </w:pPr>
          </w:p>
        </w:tc>
        <w:tc>
          <w:tcPr>
            <w:tcW w:w="530" w:type="dxa"/>
            <w:vAlign w:val="bottom"/>
            <w:tcBorders>
              <w:bottom w:val="single" w:sz="8" w:color="EBFBFF"/>
            </w:tcBorders>
          </w:tcPr>
          <w:p>
            <w:pPr>
              <w:spacing w:after="0"/>
              <w:rPr>
                <w:sz w:val="4"/>
                <w:szCs w:val="4"/>
                <w:color w:val="auto"/>
              </w:rPr>
            </w:pPr>
          </w:p>
        </w:tc>
        <w:tc>
          <w:tcPr>
            <w:tcW w:w="132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Unvested at December 31, 2024</w:t>
            </w:r>
          </w:p>
        </w:tc>
        <w:tc>
          <w:tcPr>
            <w:tcW w:w="15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814,336</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3" w:lineRule="exact"/>
              <w:rPr>
                <w:sz w:val="20"/>
                <w:szCs w:val="20"/>
                <w:color w:val="auto"/>
              </w:rPr>
            </w:pPr>
            <w:r>
              <w:rPr>
                <w:rFonts w:ascii="Calibri" w:cs="Calibri" w:eastAsia="Calibri" w:hAnsi="Calibri"/>
                <w:sz w:val="18"/>
                <w:szCs w:val="18"/>
                <w:color w:val="51555C"/>
              </w:rPr>
              <w:t>66.27</w:t>
            </w:r>
          </w:p>
        </w:tc>
        <w:tc>
          <w:tcPr>
            <w:tcW w:w="53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60,196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3"/>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restricted stock awards that vested during the years ended December 31, 2024, 2023 and 2022 was $42.7 million, $42.7 million and $41.0 million, respectvely. The weighted average grant-date fair value of restricted stock awards granted during the years ended December 31, 2023 and 2022 was $62.59 and $60.90, respectvely.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stock units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also granted restricted stock units subject to certain restrictons under the 2016 Equity Plan. Restricted stock units granted to employees vest in equal annual installments generally over three years from the grant date subject to the recipient’s contnued employment with us. We have also granted restricted stock units for which vestng is subject to meetng certain performance conditons. The fair market value of the stock at the tme of the grant is amortzed to expense on a straight-line basis over the period of vestng except for awards with performance conditons, which are amortzed on an accelerated basis over the period of vestng.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unvested, tme-based restricted stock units as of December 31, 2024, and changes during the year then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004054"/>
          </w:tcPr>
          <w:p>
            <w:pPr>
              <w:spacing w:after="0"/>
              <w:rPr>
                <w:sz w:val="14"/>
                <w:szCs w:val="14"/>
                <w:color w:val="auto"/>
              </w:rPr>
            </w:pPr>
          </w:p>
        </w:tc>
        <w:tc>
          <w:tcPr>
            <w:tcW w:w="15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Time-based 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vMerge w:val="continue"/>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units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2024</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607,100</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64.01</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330,913</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67.73</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(30,834)</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70.03</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Vested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(291,144)</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66.54</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Borders>
              <w:bottom w:val="single" w:sz="8" w:color="EBFBFF"/>
            </w:tcBorders>
          </w:tcPr>
          <w:p>
            <w:pPr>
              <w:spacing w:after="0"/>
              <w:rPr>
                <w:sz w:val="4"/>
                <w:szCs w:val="4"/>
                <w:color w:val="auto"/>
              </w:rPr>
            </w:pPr>
          </w:p>
        </w:tc>
        <w:tc>
          <w:tcPr>
            <w:tcW w:w="1520" w:type="dxa"/>
            <w:vAlign w:val="bottom"/>
            <w:tcBorders>
              <w:bottom w:val="single" w:sz="8" w:color="51555C"/>
            </w:tcBorders>
          </w:tcPr>
          <w:p>
            <w:pPr>
              <w:spacing w:after="0"/>
              <w:rPr>
                <w:sz w:val="4"/>
                <w:szCs w:val="4"/>
                <w:color w:val="auto"/>
              </w:rPr>
            </w:pPr>
          </w:p>
        </w:tc>
        <w:tc>
          <w:tcPr>
            <w:tcW w:w="400" w:type="dxa"/>
            <w:vAlign w:val="bottom"/>
            <w:tcBorders>
              <w:bottom w:val="single" w:sz="8" w:color="EBFBFF"/>
            </w:tcBorders>
          </w:tcPr>
          <w:p>
            <w:pPr>
              <w:spacing w:after="0"/>
              <w:rPr>
                <w:sz w:val="4"/>
                <w:szCs w:val="4"/>
                <w:color w:val="auto"/>
              </w:rPr>
            </w:pPr>
          </w:p>
        </w:tc>
        <w:tc>
          <w:tcPr>
            <w:tcW w:w="970" w:type="dxa"/>
            <w:vAlign w:val="bottom"/>
            <w:tcBorders>
              <w:bottom w:val="single" w:sz="8" w:color="EBFBFF"/>
            </w:tcBorders>
          </w:tcPr>
          <w:p>
            <w:pPr>
              <w:spacing w:after="0"/>
              <w:rPr>
                <w:sz w:val="4"/>
                <w:szCs w:val="4"/>
                <w:color w:val="auto"/>
              </w:rPr>
            </w:pPr>
          </w:p>
        </w:tc>
        <w:tc>
          <w:tcPr>
            <w:tcW w:w="530" w:type="dxa"/>
            <w:vAlign w:val="bottom"/>
            <w:tcBorders>
              <w:bottom w:val="single" w:sz="8" w:color="EBFBFF"/>
            </w:tcBorders>
          </w:tcPr>
          <w:p>
            <w:pPr>
              <w:spacing w:after="0"/>
              <w:rPr>
                <w:sz w:val="4"/>
                <w:szCs w:val="4"/>
                <w:color w:val="auto"/>
              </w:rPr>
            </w:pPr>
          </w:p>
        </w:tc>
        <w:tc>
          <w:tcPr>
            <w:tcW w:w="132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Unvested at December 31, 2024</w:t>
            </w:r>
          </w:p>
        </w:tc>
        <w:tc>
          <w:tcPr>
            <w:tcW w:w="15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616,035</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3" w:lineRule="exact"/>
              <w:rPr>
                <w:sz w:val="20"/>
                <w:szCs w:val="20"/>
                <w:color w:val="auto"/>
              </w:rPr>
            </w:pPr>
            <w:r>
              <w:rPr>
                <w:rFonts w:ascii="Calibri" w:cs="Calibri" w:eastAsia="Calibri" w:hAnsi="Calibri"/>
                <w:sz w:val="18"/>
                <w:szCs w:val="18"/>
                <w:color w:val="51555C"/>
              </w:rPr>
              <w:t>65.08</w:t>
            </w:r>
          </w:p>
        </w:tc>
        <w:tc>
          <w:tcPr>
            <w:tcW w:w="53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45,537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4"/>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tme-based restricted stock units that vested during the years ended December 31, 2024, 2023 and 2022 was $19.4 million, $13.5 million and $9.3 million, respectvely. The weighted average grant date fair value of tme-based restricted stock units granted for the years ended December 31, 2023 and 2022 was $61.37 and $62.38, respectvely.</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104</w:t>
      </w:r>
      <w:r>
        <w:rPr>
          <w:sz w:val="20"/>
          <w:szCs w:val="20"/>
          <w:color w:val="auto"/>
        </w:rPr>
        <w:tab/>
      </w:r>
      <w:r>
        <w:rPr>
          <w:sz w:val="1"/>
          <w:szCs w:val="1"/>
          <w:color w:val="auto"/>
        </w:rPr>
        <w:drawing>
          <wp:inline distT="0" distB="0" distL="0" distR="0">
            <wp:extent cx="728345" cy="18859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17"/>
          <w:szCs w:val="17"/>
          <w:color w:val="51555C"/>
        </w:rPr>
        <w:t>The following table summarizes our unvested, performance-based restricted stock units as of December 31, 2024, and changes during the year then ended: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69"/>
        </w:trPr>
        <w:tc>
          <w:tcPr>
            <w:tcW w:w="6500" w:type="dxa"/>
            <w:vAlign w:val="bottom"/>
            <w:shd w:val="clear" w:color="auto" w:fill="004054"/>
          </w:tcPr>
          <w:p>
            <w:pPr>
              <w:spacing w:after="0"/>
              <w:rPr>
                <w:sz w:val="14"/>
                <w:szCs w:val="14"/>
                <w:color w:val="auto"/>
              </w:rPr>
            </w:pPr>
          </w:p>
        </w:tc>
        <w:tc>
          <w:tcPr>
            <w:tcW w:w="15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Performance-based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line="169" w:lineRule="exact"/>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units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r>
      <w:tr>
        <w:trPr>
          <w:trHeight w:val="61"/>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2024</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1,209,515</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61.29</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778,467</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67.90</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(51,271)</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66.66</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323"/>
        </w:trPr>
        <w:tc>
          <w:tcPr>
            <w:tcW w:w="6500" w:type="dxa"/>
            <w:vAlign w:val="bottom"/>
            <w:tcBorders>
              <w:bottom w:val="single" w:sz="8" w:color="EBFBFF"/>
            </w:tcBorders>
          </w:tcPr>
          <w:p>
            <w:pPr>
              <w:ind w:left="20"/>
              <w:spacing w:after="0"/>
              <w:rPr>
                <w:sz w:val="20"/>
                <w:szCs w:val="20"/>
                <w:color w:val="auto"/>
              </w:rPr>
            </w:pPr>
            <w:r>
              <w:rPr>
                <w:rFonts w:ascii="Calibri" w:cs="Calibri" w:eastAsia="Calibri" w:hAnsi="Calibri"/>
                <w:sz w:val="18"/>
                <w:szCs w:val="18"/>
                <w:color w:val="51555C"/>
              </w:rPr>
              <w:t>Vested</w:t>
            </w:r>
            <w:r>
              <w:rPr>
                <w:rFonts w:ascii="Calibri" w:cs="Calibri" w:eastAsia="Calibri" w:hAnsi="Calibri"/>
                <w:sz w:val="23"/>
                <w:szCs w:val="23"/>
                <w:color w:val="51555C"/>
                <w:vertAlign w:val="superscript"/>
              </w:rPr>
              <w:t>(2)</w:t>
            </w:r>
          </w:p>
        </w:tc>
        <w:tc>
          <w:tcPr>
            <w:tcW w:w="1520" w:type="dxa"/>
            <w:vAlign w:val="bottom"/>
            <w:tcBorders>
              <w:bottom w:val="single" w:sz="8" w:color="51555C"/>
            </w:tcBorders>
          </w:tcPr>
          <w:p>
            <w:pPr>
              <w:jc w:val="right"/>
              <w:spacing w:after="0"/>
              <w:rPr>
                <w:sz w:val="20"/>
                <w:szCs w:val="20"/>
                <w:color w:val="auto"/>
              </w:rPr>
            </w:pPr>
            <w:r>
              <w:rPr>
                <w:rFonts w:ascii="Calibri" w:cs="Calibri" w:eastAsia="Calibri" w:hAnsi="Calibri"/>
                <w:sz w:val="18"/>
                <w:szCs w:val="18"/>
                <w:color w:val="51555C"/>
              </w:rPr>
              <w:t>(907,497)</w:t>
            </w:r>
          </w:p>
        </w:tc>
        <w:tc>
          <w:tcPr>
            <w:tcW w:w="400" w:type="dxa"/>
            <w:vAlign w:val="bottom"/>
            <w:tcBorders>
              <w:bottom w:val="single" w:sz="8" w:color="EBFBFF"/>
            </w:tcBorders>
          </w:tcPr>
          <w:p>
            <w:pPr>
              <w:spacing w:after="0"/>
              <w:rPr>
                <w:sz w:val="24"/>
                <w:szCs w:val="24"/>
                <w:color w:val="auto"/>
              </w:rPr>
            </w:pPr>
          </w:p>
        </w:tc>
        <w:tc>
          <w:tcPr>
            <w:tcW w:w="970" w:type="dxa"/>
            <w:vAlign w:val="bottom"/>
            <w:tcBorders>
              <w:bottom w:val="single" w:sz="8" w:color="EBFBFF"/>
            </w:tcBorders>
          </w:tcPr>
          <w:p>
            <w:pPr>
              <w:ind w:left="460"/>
              <w:spacing w:after="0"/>
              <w:rPr>
                <w:sz w:val="20"/>
                <w:szCs w:val="20"/>
                <w:color w:val="auto"/>
              </w:rPr>
            </w:pPr>
            <w:r>
              <w:rPr>
                <w:rFonts w:ascii="Calibri" w:cs="Calibri" w:eastAsia="Calibri" w:hAnsi="Calibri"/>
                <w:sz w:val="18"/>
                <w:szCs w:val="18"/>
                <w:color w:val="51555C"/>
              </w:rPr>
              <w:t>61.17</w:t>
            </w:r>
          </w:p>
        </w:tc>
        <w:tc>
          <w:tcPr>
            <w:tcW w:w="530" w:type="dxa"/>
            <w:vAlign w:val="bottom"/>
            <w:tcBorders>
              <w:bottom w:val="single" w:sz="8" w:color="EBFBFF"/>
            </w:tcBorders>
          </w:tcPr>
          <w:p>
            <w:pPr>
              <w:spacing w:after="0"/>
              <w:rPr>
                <w:sz w:val="24"/>
                <w:szCs w:val="24"/>
                <w:color w:val="auto"/>
              </w:rPr>
            </w:pPr>
          </w:p>
        </w:tc>
        <w:tc>
          <w:tcPr>
            <w:tcW w:w="1320" w:type="dxa"/>
            <w:vAlign w:val="bottom"/>
            <w:tcBorders>
              <w:bottom w:val="single" w:sz="8" w:color="EBFBFF"/>
            </w:tcBorders>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6500" w:type="dxa"/>
            <w:vAlign w:val="bottom"/>
            <w:tcBorders>
              <w:bottom w:val="single" w:sz="8" w:color="EBFBFF"/>
            </w:tcBorders>
            <w:shd w:val="clear" w:color="auto" w:fill="EBFBFF"/>
          </w:tcPr>
          <w:p>
            <w:pPr>
              <w:ind w:left="20"/>
              <w:spacing w:after="0" w:line="201" w:lineRule="exact"/>
              <w:rPr>
                <w:sz w:val="20"/>
                <w:szCs w:val="20"/>
                <w:color w:val="auto"/>
              </w:rPr>
            </w:pPr>
            <w:r>
              <w:rPr>
                <w:rFonts w:ascii="Calibri" w:cs="Calibri" w:eastAsia="Calibri" w:hAnsi="Calibri"/>
                <w:sz w:val="18"/>
                <w:szCs w:val="18"/>
                <w:color w:val="51555C"/>
              </w:rPr>
              <w:t>Unvested at December 31, 2024</w:t>
            </w:r>
          </w:p>
        </w:tc>
        <w:tc>
          <w:tcPr>
            <w:tcW w:w="1520" w:type="dxa"/>
            <w:vAlign w:val="bottom"/>
            <w:tcBorders>
              <w:bottom w:val="single" w:sz="8" w:color="EBFBFF"/>
            </w:tcBorders>
            <w:shd w:val="clear" w:color="auto" w:fill="EBFBFF"/>
          </w:tcPr>
          <w:p>
            <w:pPr>
              <w:jc w:val="right"/>
              <w:spacing w:after="0" w:line="214" w:lineRule="exact"/>
              <w:rPr>
                <w:sz w:val="20"/>
                <w:szCs w:val="20"/>
                <w:color w:val="auto"/>
              </w:rPr>
            </w:pPr>
            <w:r>
              <w:rPr>
                <w:rFonts w:ascii="Calibri" w:cs="Calibri" w:eastAsia="Calibri" w:hAnsi="Calibri"/>
                <w:sz w:val="18"/>
                <w:szCs w:val="18"/>
                <w:color w:val="51555C"/>
              </w:rPr>
              <w:t>1,029,214</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4" w:lineRule="exact"/>
              <w:rPr>
                <w:sz w:val="20"/>
                <w:szCs w:val="20"/>
                <w:color w:val="auto"/>
              </w:rPr>
            </w:pPr>
            <w:r>
              <w:rPr>
                <w:rFonts w:ascii="Calibri" w:cs="Calibri" w:eastAsia="Calibri" w:hAnsi="Calibri"/>
                <w:sz w:val="18"/>
                <w:szCs w:val="18"/>
                <w:color w:val="51555C"/>
              </w:rPr>
              <w:t>66.92</w:t>
            </w:r>
          </w:p>
        </w:tc>
        <w:tc>
          <w:tcPr>
            <w:tcW w:w="530" w:type="dxa"/>
            <w:vAlign w:val="bottom"/>
            <w:tcBorders>
              <w:bottom w:val="single" w:sz="8" w:color="EBFBFF"/>
            </w:tcBorders>
            <w:shd w:val="clear" w:color="auto" w:fill="EBFBFF"/>
          </w:tcPr>
          <w:p>
            <w:pPr>
              <w:jc w:val="right"/>
              <w:ind w:right="270"/>
              <w:spacing w:after="0" w:line="214"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4" w:lineRule="exact"/>
              <w:rPr>
                <w:sz w:val="20"/>
                <w:szCs w:val="20"/>
                <w:color w:val="auto"/>
              </w:rPr>
            </w:pPr>
            <w:r>
              <w:rPr>
                <w:rFonts w:ascii="Calibri" w:cs="Calibri" w:eastAsia="Calibri" w:hAnsi="Calibri"/>
                <w:sz w:val="18"/>
                <w:szCs w:val="18"/>
                <w:color w:val="51555C"/>
              </w:rPr>
              <w:t>76,079</w:t>
            </w:r>
          </w:p>
        </w:tc>
        <w:tc>
          <w:tcPr>
            <w:tcW w:w="20" w:type="dxa"/>
            <w:vAlign w:val="bottom"/>
          </w:tcPr>
          <w:p>
            <w:pPr>
              <w:spacing w:after="0"/>
              <w:rPr>
                <w:sz w:val="21"/>
                <w:szCs w:val="2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5"/>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ind w:left="340" w:right="20" w:hanging="332"/>
        <w:spacing w:after="0" w:line="236" w:lineRule="auto"/>
        <w:tabs>
          <w:tab w:leader="none" w:pos="338" w:val="left"/>
        </w:tabs>
        <w:numPr>
          <w:ilvl w:val="0"/>
          <w:numId w:val="55"/>
        </w:numPr>
        <w:rPr>
          <w:rFonts w:ascii="Calibri" w:cs="Calibri" w:eastAsia="Calibri" w:hAnsi="Calibri"/>
          <w:sz w:val="14"/>
          <w:szCs w:val="14"/>
          <w:color w:val="51555C"/>
        </w:rPr>
      </w:pPr>
      <w:r>
        <w:rPr>
          <w:rFonts w:ascii="Calibri" w:cs="Calibri" w:eastAsia="Calibri" w:hAnsi="Calibri"/>
          <w:sz w:val="14"/>
          <w:szCs w:val="14"/>
          <w:color w:val="51555C"/>
        </w:rPr>
        <w:t>This amount represents the target number of shares that were eligible to be earned and vested. The number of shares earned and vested based on actual results when compared to the performance conditons was 1,119,025 and those shares had a weighted average grant date fair value of $61.17.</w:t>
      </w:r>
    </w:p>
    <w:p>
      <w:pPr>
        <w:spacing w:after="0" w:line="17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performance-based restricted stock units that vested during the years ended December 31, 2024, 2023 and 2022 was $55.5 million, $50.9 million, and $50.5 million, respectvely. The weighted average grant date fair value of performance-based restricted stock units granted for the years ended December 31, 2023 and 2022 was $59.62 and $61.79, respectvely.</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14.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Preferred stock</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Board of Directors may fx the relatve rights and preferences of each series of preferred stock in a resoluton of the Board of Directors.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Stock repurchase program</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Under our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does not have an expiraton date and may be limited, suspended or discontnued at any tme without prior notce. Under the 2024 Credit Agreement, we have restrictons on our ability to repurchase shares of our common stock, which are summarized on page 56 in this report.</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account for purchases of treasury stock under the cost method. On January 17, 2024, our Board of Directors reauthorized, expanded and replenished our stock repurchase program by expanding the total capacity under the program from $250.0 million to $500.0 million available for repurchases.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March 2024, we entered into an issuer forward repurchase transacton with a large fnancial insttuton to repurchase an aggregate $200 million of shares of our common stock (the "ASR Transacton").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was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We funded the ASR Transacton prepayment with borrowings pursuant to a revolving credit loan under the then efectve 2020 Credit Agreement. On October 29, 2024, in connecton with the setlement of the ASR Transacton, we received approximately 490,000 shares of our common stock, in additon to the 2.1 million shares received in March 2024. The diference of $9.2 million between the prepayment of $200 million and the value of the shares repurchased on the ASR Transacton is classifed as a reducton to additonal paid-in capital within our consolidated statement of stockholders' equity. No cash was exchanged as part of the setlement of the ASR Transacton.</w:t>
      </w:r>
    </w:p>
    <w:p>
      <w:pPr>
        <w:spacing w:after="0" w:line="17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On July 16, 2024, our Board of Directors reauthorized, expanded and replenished our stock repurchase program by expanding the total capacity under the program from $500.0 million to $800.0 million available for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220980</wp:posOffset>
            </wp:positionV>
            <wp:extent cx="728980" cy="1885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105</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jc w:val="center"/>
        <w:ind w:right="-19"/>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2024, we repurchased an aggregate of 5,362,439 shares for $418.0 million, including the shares repurchased pursuant to the ASR Transacton. The remaining amount available to purchase stock under the approved stock repurchase program was $644.6 million as of December 31, 2024.</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Changes in accumulated other comprehensive (loss) income by component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accumulated other comprehensive (loss) income by component,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206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7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360" w:type="dxa"/>
            <w:vAlign w:val="bottom"/>
            <w:shd w:val="clear" w:color="auto" w:fill="004054"/>
          </w:tcPr>
          <w:p>
            <w:pPr>
              <w:spacing w:after="0"/>
              <w:rPr>
                <w:sz w:val="20"/>
                <w:szCs w:val="20"/>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360" w:type="dxa"/>
            <w:vAlign w:val="bottom"/>
            <w:shd w:val="clear" w:color="auto" w:fill="004054"/>
          </w:tcPr>
          <w:p>
            <w:pPr>
              <w:spacing w:after="0"/>
              <w:rPr>
                <w:sz w:val="20"/>
                <w:szCs w:val="20"/>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40" w:type="dxa"/>
            <w:vAlign w:val="bottom"/>
            <w:shd w:val="clear" w:color="auto" w:fill="004054"/>
          </w:tcPr>
          <w:p>
            <w:pPr>
              <w:spacing w:after="0"/>
              <w:rPr>
                <w:sz w:val="20"/>
                <w:szCs w:val="20"/>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60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34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r>
      <w:tr>
        <w:trPr>
          <w:trHeight w:val="250"/>
        </w:trPr>
        <w:tc>
          <w:tcPr>
            <w:tcW w:w="7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Accumulated other comprehensive (loss) income, beginning of period</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(1,688)</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8,938</w:t>
            </w:r>
          </w:p>
        </w:tc>
        <w:tc>
          <w:tcPr>
            <w:tcW w:w="34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w w:val="8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6,522</w:t>
            </w:r>
          </w:p>
        </w:tc>
      </w:tr>
      <w:tr>
        <w:trPr>
          <w:trHeight w:val="220"/>
        </w:trPr>
        <w:tc>
          <w:tcPr>
            <w:tcW w:w="7600" w:type="dxa"/>
            <w:vAlign w:val="bottom"/>
          </w:tcPr>
          <w:p>
            <w:pPr>
              <w:ind w:left="20"/>
              <w:spacing w:after="0"/>
              <w:rPr>
                <w:sz w:val="20"/>
                <w:szCs w:val="20"/>
                <w:color w:val="auto"/>
              </w:rPr>
            </w:pPr>
            <w:r>
              <w:rPr>
                <w:rFonts w:ascii="Calibri" w:cs="Calibri" w:eastAsia="Calibri" w:hAnsi="Calibri"/>
                <w:sz w:val="18"/>
                <w:szCs w:val="18"/>
                <w:b w:val="1"/>
                <w:bCs w:val="1"/>
                <w:color w:val="51555C"/>
              </w:rPr>
              <w:t>By component:</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6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b w:val="1"/>
                <w:bCs w:val="1"/>
                <w:color w:val="51555C"/>
              </w:rPr>
              <w:t>Gains and losses on cash fow hedges:</w:t>
            </w:r>
          </w:p>
        </w:tc>
        <w:tc>
          <w:tcPr>
            <w:tcW w:w="36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r>
      <w:tr>
        <w:trPr>
          <w:trHeight w:val="220"/>
        </w:trPr>
        <w:tc>
          <w:tcPr>
            <w:tcW w:w="7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income balance, beginning of period</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Pr>
          <w:p>
            <w:pPr>
              <w:jc w:val="right"/>
              <w:spacing w:after="0"/>
              <w:rPr>
                <w:sz w:val="20"/>
                <w:szCs w:val="20"/>
                <w:color w:val="auto"/>
              </w:rPr>
            </w:pPr>
            <w:r>
              <w:rPr>
                <w:rFonts w:ascii="Calibri" w:cs="Calibri" w:eastAsia="Calibri" w:hAnsi="Calibri"/>
                <w:sz w:val="18"/>
                <w:szCs w:val="18"/>
                <w:color w:val="51555C"/>
              </w:rPr>
              <w:t>8,158</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23,833</w:t>
            </w:r>
          </w:p>
        </w:tc>
        <w:tc>
          <w:tcPr>
            <w:tcW w:w="340" w:type="dxa"/>
            <w:vAlign w:val="bottom"/>
          </w:tcPr>
          <w:p>
            <w:pPr>
              <w:jc w:val="right"/>
              <w:ind w:right="150"/>
              <w:spacing w:after="0"/>
              <w:rPr>
                <w:sz w:val="20"/>
                <w:szCs w:val="20"/>
                <w:color w:val="auto"/>
              </w:rPr>
            </w:pPr>
            <w:r>
              <w:rPr>
                <w:rFonts w:ascii="Calibri" w:cs="Calibri" w:eastAsia="Calibri" w:hAnsi="Calibri"/>
                <w:sz w:val="18"/>
                <w:szCs w:val="18"/>
                <w:color w:val="51555C"/>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5,257</w:t>
            </w: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3"/>
        </w:trPr>
        <w:tc>
          <w:tcPr>
            <w:tcW w:w="7600" w:type="dxa"/>
            <w:vAlign w:val="bottom"/>
            <w:shd w:val="clear" w:color="auto" w:fill="EBFBFF"/>
          </w:tcPr>
          <w:p>
            <w:pPr>
              <w:ind w:left="360"/>
              <w:spacing w:after="0"/>
              <w:rPr>
                <w:sz w:val="20"/>
                <w:szCs w:val="20"/>
                <w:color w:val="auto"/>
              </w:rPr>
            </w:pPr>
            <w:r>
              <w:rPr>
                <w:rFonts w:ascii="Calibri" w:cs="Calibri" w:eastAsia="Calibri" w:hAnsi="Calibri"/>
                <w:sz w:val="18"/>
                <w:szCs w:val="18"/>
                <w:color w:val="51555C"/>
              </w:rPr>
              <w:t>Other comprehensive income (loss) before reclassifcatons, net of tax efects of $(5,080), $201 and</w:t>
            </w:r>
          </w:p>
        </w:tc>
        <w:tc>
          <w:tcPr>
            <w:tcW w:w="360" w:type="dxa"/>
            <w:vAlign w:val="bottom"/>
            <w:shd w:val="clear" w:color="auto" w:fill="EBFBFF"/>
          </w:tcPr>
          <w:p>
            <w:pPr>
              <w:spacing w:after="0"/>
              <w:rPr>
                <w:sz w:val="23"/>
                <w:szCs w:val="23"/>
                <w:color w:val="auto"/>
              </w:rPr>
            </w:pPr>
          </w:p>
        </w:tc>
        <w:tc>
          <w:tcPr>
            <w:tcW w:w="840" w:type="dxa"/>
            <w:vAlign w:val="bottom"/>
            <w:shd w:val="clear" w:color="auto" w:fill="EBFBFF"/>
          </w:tcPr>
          <w:p>
            <w:pPr>
              <w:spacing w:after="0"/>
              <w:rPr>
                <w:sz w:val="23"/>
                <w:szCs w:val="23"/>
                <w:color w:val="auto"/>
              </w:rPr>
            </w:pPr>
          </w:p>
        </w:tc>
        <w:tc>
          <w:tcPr>
            <w:tcW w:w="360" w:type="dxa"/>
            <w:vAlign w:val="bottom"/>
            <w:shd w:val="clear" w:color="auto" w:fill="EBFBFF"/>
          </w:tcPr>
          <w:p>
            <w:pPr>
              <w:spacing w:after="0"/>
              <w:rPr>
                <w:sz w:val="23"/>
                <w:szCs w:val="23"/>
                <w:color w:val="auto"/>
              </w:rPr>
            </w:pPr>
          </w:p>
        </w:tc>
        <w:tc>
          <w:tcPr>
            <w:tcW w:w="860" w:type="dxa"/>
            <w:vAlign w:val="bottom"/>
            <w:shd w:val="clear" w:color="auto" w:fill="EBFBFF"/>
          </w:tcPr>
          <w:p>
            <w:pPr>
              <w:spacing w:after="0"/>
              <w:rPr>
                <w:sz w:val="23"/>
                <w:szCs w:val="23"/>
                <w:color w:val="auto"/>
              </w:rPr>
            </w:pPr>
          </w:p>
        </w:tc>
        <w:tc>
          <w:tcPr>
            <w:tcW w:w="340" w:type="dxa"/>
            <w:vAlign w:val="bottom"/>
            <w:shd w:val="clear" w:color="auto" w:fill="EBFBFF"/>
          </w:tcPr>
          <w:p>
            <w:pPr>
              <w:spacing w:after="0"/>
              <w:rPr>
                <w:sz w:val="23"/>
                <w:szCs w:val="23"/>
                <w:color w:val="auto"/>
              </w:rPr>
            </w:pPr>
          </w:p>
        </w:tc>
        <w:tc>
          <w:tcPr>
            <w:tcW w:w="860" w:type="dxa"/>
            <w:vAlign w:val="bottom"/>
            <w:shd w:val="clear" w:color="auto" w:fill="EBFBFF"/>
          </w:tcPr>
          <w:p>
            <w:pPr>
              <w:spacing w:after="0"/>
              <w:rPr>
                <w:sz w:val="23"/>
                <w:szCs w:val="23"/>
                <w:color w:val="auto"/>
              </w:rPr>
            </w:pPr>
          </w:p>
        </w:tc>
      </w:tr>
      <w:tr>
        <w:trPr>
          <w:trHeight w:val="247"/>
        </w:trPr>
        <w:tc>
          <w:tcPr>
            <w:tcW w:w="7600" w:type="dxa"/>
            <w:vAlign w:val="bottom"/>
            <w:tcBorders>
              <w:bottom w:val="single" w:sz="8" w:color="EBFBFF"/>
            </w:tcBorders>
            <w:shd w:val="clear" w:color="auto" w:fill="EBFBFF"/>
          </w:tcPr>
          <w:p>
            <w:pPr>
              <w:ind w:left="360"/>
              <w:spacing w:after="0" w:line="216" w:lineRule="exact"/>
              <w:rPr>
                <w:sz w:val="20"/>
                <w:szCs w:val="20"/>
                <w:color w:val="auto"/>
              </w:rPr>
            </w:pPr>
            <w:r>
              <w:rPr>
                <w:rFonts w:ascii="Calibri" w:cs="Calibri" w:eastAsia="Calibri" w:hAnsi="Calibri"/>
                <w:sz w:val="18"/>
                <w:szCs w:val="18"/>
                <w:color w:val="51555C"/>
              </w:rPr>
              <w:t>$(8,068)</w:t>
            </w:r>
          </w:p>
        </w:tc>
        <w:tc>
          <w:tcPr>
            <w:tcW w:w="36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14,047</w:t>
            </w: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(271)</w:t>
            </w:r>
          </w:p>
        </w:tc>
        <w:tc>
          <w:tcPr>
            <w:tcW w:w="34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22,772</w:t>
            </w:r>
          </w:p>
        </w:tc>
      </w:tr>
      <w:tr>
        <w:trPr>
          <w:trHeight w:val="220"/>
        </w:trPr>
        <w:tc>
          <w:tcPr>
            <w:tcW w:w="7600" w:type="dxa"/>
            <w:vAlign w:val="bottom"/>
          </w:tcPr>
          <w:p>
            <w:pPr>
              <w:ind w:left="560"/>
              <w:spacing w:after="0"/>
              <w:rPr>
                <w:sz w:val="20"/>
                <w:szCs w:val="20"/>
                <w:color w:val="auto"/>
              </w:rPr>
            </w:pPr>
            <w:r>
              <w:rPr>
                <w:rFonts w:ascii="Calibri" w:cs="Calibri" w:eastAsia="Calibri" w:hAnsi="Calibri"/>
                <w:sz w:val="18"/>
                <w:szCs w:val="18"/>
                <w:color w:val="51555C"/>
              </w:rPr>
              <w:t>Amounts reclassifed from accumulated other comprehensive income (loss)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51555C"/>
              </w:rPr>
              <w:t>(19,613)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51555C"/>
              </w:rPr>
              <w:t>(20,806)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51555C"/>
              </w:rPr>
              <w:t>(5,685)</w:t>
            </w: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7600" w:type="dxa"/>
            <w:vAlign w:val="bottom"/>
            <w:tcBorders>
              <w:bottom w:val="single" w:sz="8" w:color="EBFBFF"/>
            </w:tcBorders>
            <w:shd w:val="clear" w:color="auto" w:fill="EBFBFF"/>
          </w:tcPr>
          <w:p>
            <w:pPr>
              <w:ind w:left="560"/>
              <w:spacing w:after="0"/>
              <w:rPr>
                <w:sz w:val="20"/>
                <w:szCs w:val="20"/>
                <w:color w:val="auto"/>
              </w:rPr>
            </w:pPr>
            <w:r>
              <w:rPr>
                <w:rFonts w:ascii="Calibri" w:cs="Calibri" w:eastAsia="Calibri" w:hAnsi="Calibri"/>
                <w:sz w:val="18"/>
                <w:szCs w:val="18"/>
                <w:color w:val="51555C"/>
              </w:rPr>
              <w:t>Tax expense included in provision for income taxes</w:t>
            </w:r>
          </w:p>
        </w:tc>
        <w:tc>
          <w:tcPr>
            <w:tcW w:w="36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5,207</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5,402</w:t>
            </w:r>
          </w:p>
        </w:tc>
        <w:tc>
          <w:tcPr>
            <w:tcW w:w="34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1,489</w:t>
            </w:r>
          </w:p>
        </w:tc>
      </w:tr>
      <w:tr>
        <w:trPr>
          <w:trHeight w:val="213"/>
        </w:trPr>
        <w:tc>
          <w:tcPr>
            <w:tcW w:w="760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amounts reclassifed from accumulated other comprehensive income (loss)</w:t>
            </w:r>
          </w:p>
        </w:tc>
        <w:tc>
          <w:tcPr>
            <w:tcW w:w="360" w:type="dxa"/>
            <w:vAlign w:val="bottom"/>
            <w:tcBorders>
              <w:top w:val="single" w:sz="8" w:color="51555C"/>
            </w:tcBorders>
          </w:tcPr>
          <w:p>
            <w:pPr>
              <w:spacing w:after="0"/>
              <w:rPr>
                <w:sz w:val="18"/>
                <w:szCs w:val="18"/>
                <w:color w:val="auto"/>
              </w:rPr>
            </w:pP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(14,406)</w:t>
            </w:r>
          </w:p>
        </w:tc>
        <w:tc>
          <w:tcPr>
            <w:tcW w:w="36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(15,404)</w:t>
            </w:r>
          </w:p>
        </w:tc>
        <w:tc>
          <w:tcPr>
            <w:tcW w:w="34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(4,196)</w:t>
            </w:r>
          </w:p>
        </w:tc>
      </w:tr>
      <w:tr>
        <w:trPr>
          <w:trHeight w:val="50"/>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r>
      <w:tr>
        <w:trPr>
          <w:trHeight w:val="263"/>
        </w:trPr>
        <w:tc>
          <w:tcPr>
            <w:tcW w:w="760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Net current-period other comprehensive (loss) income</w:t>
            </w:r>
          </w:p>
        </w:tc>
        <w:tc>
          <w:tcPr>
            <w:tcW w:w="360" w:type="dxa"/>
            <w:vAlign w:val="bottom"/>
            <w:tcBorders>
              <w:bottom w:val="single" w:sz="8" w:color="EBFBFF"/>
            </w:tcBorders>
            <w:shd w:val="clear" w:color="auto" w:fill="EBFBFF"/>
          </w:tcPr>
          <w:p>
            <w:pPr>
              <w:spacing w:after="0"/>
              <w:rPr>
                <w:sz w:val="22"/>
                <w:szCs w:val="22"/>
                <w:color w:val="auto"/>
              </w:rPr>
            </w:pPr>
          </w:p>
        </w:tc>
        <w:tc>
          <w:tcPr>
            <w:tcW w:w="8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(359)</w:t>
            </w:r>
          </w:p>
        </w:tc>
        <w:tc>
          <w:tcPr>
            <w:tcW w:w="36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(15,675)</w:t>
            </w:r>
          </w:p>
        </w:tc>
        <w:tc>
          <w:tcPr>
            <w:tcW w:w="34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18,576</w:t>
            </w:r>
          </w:p>
        </w:tc>
      </w:tr>
      <w:tr>
        <w:trPr>
          <w:trHeight w:val="213"/>
        </w:trPr>
        <w:tc>
          <w:tcPr>
            <w:tcW w:w="7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income balance, end of period</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7,799</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8,158</w:t>
            </w:r>
          </w:p>
        </w:tc>
        <w:tc>
          <w:tcPr>
            <w:tcW w:w="34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w w:val="87"/>
              </w:rPr>
              <w:t>$</w:t>
            </w: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23,833</w:t>
            </w:r>
          </w:p>
        </w:tc>
      </w:tr>
      <w:tr>
        <w:trPr>
          <w:trHeight w:val="50"/>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r>
      <w:tr>
        <w:trPr>
          <w:trHeight w:val="230"/>
        </w:trPr>
        <w:tc>
          <w:tcPr>
            <w:tcW w:w="76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b w:val="1"/>
                <w:bCs w:val="1"/>
                <w:color w:val="51555C"/>
              </w:rPr>
              <w:t>Foreign currency translaton adjustment:</w:t>
            </w:r>
          </w:p>
        </w:tc>
        <w:tc>
          <w:tcPr>
            <w:tcW w:w="360" w:type="dxa"/>
            <w:vAlign w:val="bottom"/>
            <w:tcBorders>
              <w:bottom w:val="single" w:sz="8" w:color="EBFBFF"/>
            </w:tcBorders>
            <w:shd w:val="clear" w:color="auto" w:fill="EBFBFF"/>
          </w:tcPr>
          <w:p>
            <w:pPr>
              <w:spacing w:after="0"/>
              <w:rPr>
                <w:sz w:val="20"/>
                <w:szCs w:val="20"/>
                <w:color w:val="auto"/>
              </w:rPr>
            </w:pPr>
          </w:p>
        </w:tc>
        <w:tc>
          <w:tcPr>
            <w:tcW w:w="840" w:type="dxa"/>
            <w:vAlign w:val="bottom"/>
            <w:tcBorders>
              <w:bottom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860" w:type="dxa"/>
            <w:vAlign w:val="bottom"/>
            <w:tcBorders>
              <w:bottom w:val="single" w:sz="8" w:color="EBFBFF"/>
            </w:tcBorders>
            <w:shd w:val="clear" w:color="auto" w:fill="EBFBFF"/>
          </w:tcPr>
          <w:p>
            <w:pPr>
              <w:spacing w:after="0"/>
              <w:rPr>
                <w:sz w:val="20"/>
                <w:szCs w:val="20"/>
                <w:color w:val="auto"/>
              </w:rPr>
            </w:pPr>
          </w:p>
        </w:tc>
        <w:tc>
          <w:tcPr>
            <w:tcW w:w="340" w:type="dxa"/>
            <w:vAlign w:val="bottom"/>
            <w:tcBorders>
              <w:bottom w:val="single" w:sz="8" w:color="EBFBFF"/>
            </w:tcBorders>
            <w:shd w:val="clear" w:color="auto" w:fill="EBFBFF"/>
          </w:tcPr>
          <w:p>
            <w:pPr>
              <w:spacing w:after="0"/>
              <w:rPr>
                <w:sz w:val="20"/>
                <w:szCs w:val="20"/>
                <w:color w:val="auto"/>
              </w:rPr>
            </w:pPr>
          </w:p>
        </w:tc>
        <w:tc>
          <w:tcPr>
            <w:tcW w:w="860" w:type="dxa"/>
            <w:vAlign w:val="bottom"/>
            <w:tcBorders>
              <w:bottom w:val="single" w:sz="8" w:color="EBFBFF"/>
            </w:tcBorders>
            <w:shd w:val="clear" w:color="auto" w:fill="EBFBFF"/>
          </w:tcPr>
          <w:p>
            <w:pPr>
              <w:spacing w:after="0"/>
              <w:rPr>
                <w:sz w:val="20"/>
                <w:szCs w:val="20"/>
                <w:color w:val="auto"/>
              </w:rPr>
            </w:pPr>
          </w:p>
        </w:tc>
      </w:tr>
      <w:tr>
        <w:trPr>
          <w:trHeight w:val="220"/>
        </w:trPr>
        <w:tc>
          <w:tcPr>
            <w:tcW w:w="7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(loss) income balance, beginning of period</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Pr>
          <w:p>
            <w:pPr>
              <w:jc w:val="right"/>
              <w:spacing w:after="0"/>
              <w:rPr>
                <w:sz w:val="20"/>
                <w:szCs w:val="20"/>
                <w:color w:val="auto"/>
              </w:rPr>
            </w:pPr>
            <w:r>
              <w:rPr>
                <w:rFonts w:ascii="Calibri" w:cs="Calibri" w:eastAsia="Calibri" w:hAnsi="Calibri"/>
                <w:sz w:val="18"/>
                <w:szCs w:val="18"/>
                <w:color w:val="51555C"/>
              </w:rPr>
              <w:t>(9,846)</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(14,895)</w:t>
            </w:r>
          </w:p>
        </w:tc>
        <w:tc>
          <w:tcPr>
            <w:tcW w:w="340" w:type="dxa"/>
            <w:vAlign w:val="bottom"/>
          </w:tcPr>
          <w:p>
            <w:pPr>
              <w:jc w:val="right"/>
              <w:ind w:right="150"/>
              <w:spacing w:after="0"/>
              <w:rPr>
                <w:sz w:val="20"/>
                <w:szCs w:val="20"/>
                <w:color w:val="auto"/>
              </w:rPr>
            </w:pPr>
            <w:r>
              <w:rPr>
                <w:rFonts w:ascii="Calibri" w:cs="Calibri" w:eastAsia="Calibri" w:hAnsi="Calibri"/>
                <w:sz w:val="18"/>
                <w:szCs w:val="18"/>
                <w:color w:val="51555C"/>
                <w:w w:val="87"/>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1,265</w:t>
            </w: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76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Translaton adjustment</w:t>
            </w:r>
          </w:p>
        </w:tc>
        <w:tc>
          <w:tcPr>
            <w:tcW w:w="36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(2,822)</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5,049</w:t>
            </w:r>
          </w:p>
        </w:tc>
        <w:tc>
          <w:tcPr>
            <w:tcW w:w="34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(16,160)</w:t>
            </w:r>
          </w:p>
        </w:tc>
      </w:tr>
      <w:tr>
        <w:trPr>
          <w:trHeight w:val="213"/>
        </w:trPr>
        <w:tc>
          <w:tcPr>
            <w:tcW w:w="7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loss balance, end of period</w:t>
            </w:r>
          </w:p>
        </w:tc>
        <w:tc>
          <w:tcPr>
            <w:tcW w:w="360" w:type="dxa"/>
            <w:vAlign w:val="bottom"/>
            <w:tcBorders>
              <w:top w:val="single" w:sz="8" w:color="51555C"/>
            </w:tcBorders>
          </w:tcPr>
          <w:p>
            <w:pPr>
              <w:spacing w:after="0"/>
              <w:rPr>
                <w:sz w:val="18"/>
                <w:szCs w:val="18"/>
                <w:color w:val="auto"/>
              </w:rPr>
            </w:pP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(12,668)</w:t>
            </w:r>
          </w:p>
        </w:tc>
        <w:tc>
          <w:tcPr>
            <w:tcW w:w="36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(9,846)</w:t>
            </w:r>
          </w:p>
        </w:tc>
        <w:tc>
          <w:tcPr>
            <w:tcW w:w="34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(14,895)</w:t>
            </w:r>
          </w:p>
        </w:tc>
      </w:tr>
      <w:tr>
        <w:trPr>
          <w:trHeight w:val="50"/>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r>
      <w:tr>
        <w:trPr>
          <w:trHeight w:val="243"/>
        </w:trPr>
        <w:tc>
          <w:tcPr>
            <w:tcW w:w="76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Accumulated other comprehensive (loss) income, end of period</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(4,869)</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(1,688)</w:t>
            </w:r>
          </w:p>
        </w:tc>
        <w:tc>
          <w:tcPr>
            <w:tcW w:w="34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w w:val="87"/>
              </w:rPr>
              <w:t>$</w:t>
            </w: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8,938</w:t>
            </w:r>
          </w:p>
        </w:tc>
      </w:tr>
      <w:tr>
        <w:trPr>
          <w:trHeight w:val="20"/>
        </w:trPr>
        <w:tc>
          <w:tcPr>
            <w:tcW w:w="760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-2957195</wp:posOffset>
            </wp:positionV>
            <wp:extent cx="229743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15. Defned Contributon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 defned contributon 401(k) plan (the "401K Plan") covering substantally all employees. Employees were able to contribute between 1% and 75% of their salaries in 2024, 2023 and 2022. We match 50% of qualifed employees’ contributons up to 6% of their salary. The 401K Plan also provides for additonal employer contributons to be made at our discreton. Total matching contributons to the 401K Plan for the years ended December 31, 2024, 2023 and 2022 were $8.2 million, $7.8 million and $9.3 million, respectvely.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There were no discretonary contributons by us to the 401K Plan in 2024, 2023 and 2022.</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16.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one operatng segment and one reportable segment. Our CODM is our chief executve ofcer ("CEO"), who reviews fnancial informaton presented on a consolidated basis, accompanied by disaggregated informaton about our revenue, for purposes of making decisions about assessing fnancial performance and allocatng resources. Our CEO considers costs of revenue, sales, marketng and customer success, research and development, and general and administratve expense categories on our consolidated statements of comprehensive loss as signifcant. Our CEO uses consolidated operatng margin and net income as the primary measures of proft or loss. These fnancial metrics are used by our CEO to make key operatng decisions, such as the allocaton of budget between costs of revenues and our diferent operatng expense categories.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other segment items include amortzaton, interest expense, other income, net, and income tax (beneft) provision on our consolidated statements of comprehensive loss.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106</w:t>
      </w:r>
      <w:r>
        <w:rPr>
          <w:sz w:val="20"/>
          <w:szCs w:val="20"/>
          <w:color w:val="auto"/>
        </w:rPr>
        <w:tab/>
      </w:r>
      <w:r>
        <w:rPr>
          <w:sz w:val="1"/>
          <w:szCs w:val="1"/>
          <w:color w:val="auto"/>
        </w:rPr>
        <w:drawing>
          <wp:inline distT="0" distB="0" distL="0" distR="0">
            <wp:extent cx="728345" cy="18859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presents long-lived assets by geographic region based on the locaton of the assets. For purposes of this disclosure, long-lived assets includes property and equipment, net and operatng lease ROU assets.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c>
          <w:tcPr>
            <w:tcW w:w="20" w:type="dxa"/>
            <w:vAlign w:val="bottom"/>
            <w:shd w:val="clear" w:color="auto" w:fill="004054"/>
          </w:tcPr>
          <w:p>
            <w:pPr>
              <w:spacing w:after="0"/>
              <w:rPr>
                <w:sz w:val="16"/>
                <w:szCs w:val="16"/>
                <w:color w:val="auto"/>
              </w:rPr>
            </w:pPr>
          </w:p>
        </w:tc>
      </w:tr>
      <w:tr>
        <w:trPr>
          <w:trHeight w:val="170"/>
        </w:trPr>
        <w:tc>
          <w:tcPr>
            <w:tcW w:w="872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90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43"/>
        </w:trPr>
        <w:tc>
          <w:tcPr>
            <w:tcW w:w="8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21"/>
                <w:szCs w:val="21"/>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60" w:type="dxa"/>
            <w:vAlign w:val="bottom"/>
            <w:shd w:val="clear" w:color="auto" w:fill="004054"/>
          </w:tcPr>
          <w:p>
            <w:pPr>
              <w:spacing w:after="0"/>
              <w:rPr>
                <w:sz w:val="21"/>
                <w:szCs w:val="21"/>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21"/>
                <w:szCs w:val="21"/>
                <w:color w:val="auto"/>
              </w:rPr>
            </w:pPr>
          </w:p>
        </w:tc>
      </w:tr>
      <w:tr>
        <w:trPr>
          <w:trHeight w:val="74"/>
        </w:trPr>
        <w:tc>
          <w:tcPr>
            <w:tcW w:w="87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8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United States</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117,582</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134,316</w:t>
            </w:r>
          </w:p>
        </w:tc>
        <w:tc>
          <w:tcPr>
            <w:tcW w:w="20" w:type="dxa"/>
            <w:vAlign w:val="bottom"/>
          </w:tcPr>
          <w:p>
            <w:pPr>
              <w:spacing w:after="0"/>
              <w:rPr>
                <w:sz w:val="21"/>
                <w:szCs w:val="21"/>
                <w:color w:val="auto"/>
              </w:rPr>
            </w:pPr>
          </w:p>
        </w:tc>
      </w:tr>
      <w:tr>
        <w:trPr>
          <w:trHeight w:val="220"/>
        </w:trPr>
        <w:tc>
          <w:tcPr>
            <w:tcW w:w="8720" w:type="dxa"/>
            <w:vAlign w:val="bottom"/>
          </w:tcPr>
          <w:p>
            <w:pPr>
              <w:ind w:left="20"/>
              <w:spacing w:after="0"/>
              <w:rPr>
                <w:sz w:val="20"/>
                <w:szCs w:val="20"/>
                <w:color w:val="auto"/>
              </w:rPr>
            </w:pPr>
            <w:r>
              <w:rPr>
                <w:rFonts w:ascii="Calibri" w:cs="Calibri" w:eastAsia="Calibri" w:hAnsi="Calibri"/>
                <w:sz w:val="18"/>
                <w:szCs w:val="18"/>
                <w:color w:val="51555C"/>
              </w:rPr>
              <w:t>Other countries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898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1,300</w:t>
            </w:r>
          </w:p>
        </w:tc>
        <w:tc>
          <w:tcPr>
            <w:tcW w:w="20" w:type="dxa"/>
            <w:vAlign w:val="bottom"/>
          </w:tcPr>
          <w:p>
            <w:pPr>
              <w:spacing w:after="0"/>
              <w:rPr>
                <w:sz w:val="19"/>
                <w:szCs w:val="19"/>
                <w:color w:val="auto"/>
              </w:rPr>
            </w:pPr>
          </w:p>
        </w:tc>
      </w:tr>
      <w:tr>
        <w:trPr>
          <w:trHeight w:val="50"/>
        </w:trPr>
        <w:tc>
          <w:tcPr>
            <w:tcW w:w="872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7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Total long-lived assets</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118,480</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135,616</w:t>
            </w:r>
          </w:p>
        </w:tc>
        <w:tc>
          <w:tcPr>
            <w:tcW w:w="20" w:type="dxa"/>
            <w:vAlign w:val="bottom"/>
          </w:tcPr>
          <w:p>
            <w:pPr>
              <w:spacing w:after="0"/>
              <w:rPr>
                <w:sz w:val="24"/>
                <w:szCs w:val="24"/>
                <w:color w:val="auto"/>
              </w:rPr>
            </w:pPr>
          </w:p>
        </w:tc>
      </w:tr>
      <w:tr>
        <w:trPr>
          <w:trHeight w:val="20"/>
        </w:trPr>
        <w:tc>
          <w:tcPr>
            <w:tcW w:w="872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-719455</wp:posOffset>
            </wp:positionV>
            <wp:extent cx="160274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color w:val="51555C"/>
        </w:rPr>
        <w:t>See Note 17 to these consolidated fnancial statements for informaton about our revenues by geographic region.</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17. Revenue Recogniton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Transacton price allocated to the remaining performance obligatons</w:t>
      </w:r>
    </w:p>
    <w:p>
      <w:pPr>
        <w:spacing w:after="0" w:line="16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As of December 31, 2024, approximately $1.2 billion of revenue is expected to be recognized from remaining performance obligatons. We expect to recognize revenue on approximately 55% of these remaining performance obligatons over the next 12 months, with the remainder recognized thereafer.</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applied the practcal expedient in ASC 606-10-50-14 and have excluded the value of unsatsfed performance obligatons for which we recognize revenue at the amount to which we have the right to invoice for services performed (transactonal revenue).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Contract balances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contract assets as of December 31, 2024 and December 31, 2023 were insignifcant. Our closing balances of deferred revenue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44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46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0" w:type="dxa"/>
            <w:vAlign w:val="bottom"/>
            <w:shd w:val="clear" w:color="auto" w:fill="004054"/>
          </w:tcPr>
          <w:p>
            <w:pPr>
              <w:spacing w:after="0"/>
              <w:rPr>
                <w:sz w:val="14"/>
                <w:szCs w:val="14"/>
                <w:color w:val="auto"/>
              </w:rPr>
            </w:pPr>
          </w:p>
        </w:tc>
      </w:tr>
      <w:tr>
        <w:trPr>
          <w:trHeight w:val="74"/>
        </w:trPr>
        <w:tc>
          <w:tcPr>
            <w:tcW w:w="798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Total deferred revenue</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361,544</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394,927</w:t>
            </w:r>
          </w:p>
        </w:tc>
        <w:tc>
          <w:tcPr>
            <w:tcW w:w="20" w:type="dxa"/>
            <w:vAlign w:val="bottom"/>
          </w:tcPr>
          <w:p>
            <w:pPr>
              <w:spacing w:after="0"/>
              <w:rPr>
                <w:sz w:val="21"/>
                <w:szCs w:val="21"/>
                <w:color w:val="auto"/>
              </w:rPr>
            </w:pPr>
          </w:p>
        </w:tc>
      </w:tr>
      <w:tr>
        <w:trPr>
          <w:trHeight w:val="20"/>
        </w:trPr>
        <w:tc>
          <w:tcPr>
            <w:tcW w:w="79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decrease in deferred revenue during 2024 was primarily due to our divestture of EVERFI on December 31, 2024. Historically, due to the tming of customer budget cycles, we have an increase in customer contract renewals at or near the beginning of our third quarter. Generally, our lowest balance of deferred revenue during the year is at the end of our frst quarter. The amount of revenue recognized during 2024 that was included in the deferred revenue balance at the beginning of the period was approximately $376 million. The amount of revenue recognized during 2024 from performance obligatons satsfed in prior periods was insignifcant.</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Disaggregaton of revenue</w:t>
      </w:r>
    </w:p>
    <w:p>
      <w:pPr>
        <w:spacing w:after="0" w:line="163"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51555C"/>
        </w:rPr>
        <w:t>We sell our cloud solutons and related services in three primary geographical markets: to customers in the United States, to customers in the United Kingdom and to customers located in other countries. The following table presents our revenue by geographic area based on the locaton of our customers: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9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17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r>
      <w:tr>
        <w:trPr>
          <w:trHeight w:val="170"/>
        </w:trPr>
        <w:tc>
          <w:tcPr>
            <w:tcW w:w="7690" w:type="dxa"/>
            <w:vAlign w:val="bottom"/>
            <w:shd w:val="clear" w:color="auto" w:fill="004054"/>
          </w:tcPr>
          <w:p>
            <w:pPr>
              <w:spacing w:after="0"/>
              <w:rPr>
                <w:sz w:val="14"/>
                <w:szCs w:val="14"/>
                <w:color w:val="auto"/>
              </w:rPr>
            </w:pPr>
          </w:p>
        </w:tc>
        <w:tc>
          <w:tcPr>
            <w:tcW w:w="1200" w:type="dxa"/>
            <w:vAlign w:val="bottom"/>
            <w:shd w:val="clear" w:color="auto" w:fill="004054"/>
          </w:tcPr>
          <w:p>
            <w:pPr>
              <w:spacing w:after="0"/>
              <w:rPr>
                <w:sz w:val="14"/>
                <w:szCs w:val="14"/>
                <w:color w:val="auto"/>
              </w:rPr>
            </w:pPr>
          </w:p>
        </w:tc>
        <w:tc>
          <w:tcPr>
            <w:tcW w:w="117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243"/>
        </w:trPr>
        <w:tc>
          <w:tcPr>
            <w:tcW w:w="76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1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69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17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-161925</wp:posOffset>
            </wp:positionV>
            <wp:extent cx="22631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680" w:type="dxa"/>
            <w:vAlign w:val="bottom"/>
          </w:tcPr>
          <w:p>
            <w:pPr>
              <w:ind w:left="20"/>
              <w:spacing w:after="0"/>
              <w:rPr>
                <w:sz w:val="20"/>
                <w:szCs w:val="20"/>
                <w:color w:val="auto"/>
              </w:rPr>
            </w:pPr>
            <w:r>
              <w:rPr>
                <w:rFonts w:ascii="Calibri" w:cs="Calibri" w:eastAsia="Calibri" w:hAnsi="Calibri"/>
                <w:sz w:val="18"/>
                <w:szCs w:val="18"/>
                <w:color w:val="51555C"/>
              </w:rPr>
              <w:t>United States</w:t>
            </w:r>
          </w:p>
        </w:tc>
        <w:tc>
          <w:tcPr>
            <w:tcW w:w="260" w:type="dxa"/>
            <w:vAlign w:val="bottom"/>
          </w:tcPr>
          <w:p>
            <w:pPr>
              <w:jc w:val="right"/>
              <w:ind w:right="50"/>
              <w:spacing w:after="0"/>
              <w:rPr>
                <w:sz w:val="20"/>
                <w:szCs w:val="20"/>
                <w:color w:val="auto"/>
              </w:rPr>
            </w:pPr>
            <w:r>
              <w:rPr>
                <w:rFonts w:ascii="Calibri" w:cs="Calibri" w:eastAsia="Calibri" w:hAnsi="Calibri"/>
                <w:sz w:val="18"/>
                <w:szCs w:val="18"/>
                <w:color w:val="51555C"/>
              </w:rPr>
              <w:t>$</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988,536</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880" w:type="dxa"/>
            <w:vAlign w:val="bottom"/>
          </w:tcPr>
          <w:p>
            <w:pPr>
              <w:jc w:val="right"/>
              <w:spacing w:after="0"/>
              <w:rPr>
                <w:sz w:val="20"/>
                <w:szCs w:val="20"/>
                <w:color w:val="auto"/>
              </w:rPr>
            </w:pPr>
            <w:r>
              <w:rPr>
                <w:rFonts w:ascii="Calibri" w:cs="Calibri" w:eastAsia="Calibri" w:hAnsi="Calibri"/>
                <w:sz w:val="18"/>
                <w:szCs w:val="18"/>
                <w:color w:val="51555C"/>
              </w:rPr>
              <w:t>945,580</w:t>
            </w:r>
          </w:p>
        </w:tc>
        <w:tc>
          <w:tcPr>
            <w:tcW w:w="30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896,116</w:t>
            </w:r>
          </w:p>
        </w:tc>
      </w:tr>
      <w:tr>
        <w:trPr>
          <w:trHeight w:val="270"/>
        </w:trPr>
        <w:tc>
          <w:tcPr>
            <w:tcW w:w="7680" w:type="dxa"/>
            <w:vAlign w:val="bottom"/>
          </w:tcPr>
          <w:p>
            <w:pPr>
              <w:ind w:left="20"/>
              <w:spacing w:after="0"/>
              <w:rPr>
                <w:sz w:val="20"/>
                <w:szCs w:val="20"/>
                <w:color w:val="auto"/>
              </w:rPr>
            </w:pPr>
            <w:r>
              <w:rPr>
                <w:rFonts w:ascii="Calibri" w:cs="Calibri" w:eastAsia="Calibri" w:hAnsi="Calibri"/>
                <w:sz w:val="18"/>
                <w:szCs w:val="18"/>
                <w:color w:val="51555C"/>
              </w:rPr>
              <w:t>United Kingdom</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104,028</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51555C"/>
              </w:rPr>
              <w:t>100,833</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101,026</w:t>
            </w:r>
          </w:p>
        </w:tc>
      </w:tr>
      <w:tr>
        <w:trPr>
          <w:trHeight w:val="50"/>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7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countries</w:t>
            </w:r>
          </w:p>
        </w:tc>
        <w:tc>
          <w:tcPr>
            <w:tcW w:w="26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62,931</w:t>
            </w:r>
          </w:p>
        </w:tc>
        <w:tc>
          <w:tcPr>
            <w:tcW w:w="280" w:type="dxa"/>
            <w:vAlign w:val="bottom"/>
            <w:tcBorders>
              <w:bottom w:val="single" w:sz="8" w:color="EBFBFF"/>
            </w:tcBorders>
            <w:shd w:val="clear" w:color="auto" w:fill="EBFBFF"/>
          </w:tcPr>
          <w:p>
            <w:pPr>
              <w:spacing w:after="0"/>
              <w:rPr>
                <w:sz w:val="23"/>
                <w:szCs w:val="23"/>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59,019</w:t>
            </w:r>
          </w:p>
        </w:tc>
        <w:tc>
          <w:tcPr>
            <w:tcW w:w="30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60,963</w:t>
            </w:r>
          </w:p>
        </w:tc>
      </w:tr>
      <w:tr>
        <w:trPr>
          <w:trHeight w:val="213"/>
        </w:trPr>
        <w:tc>
          <w:tcPr>
            <w:tcW w:w="768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260" w:type="dxa"/>
            <w:vAlign w:val="bottom"/>
            <w:tcBorders>
              <w:top w:val="single" w:sz="8" w:color="51555C"/>
            </w:tcBorders>
          </w:tcPr>
          <w:p>
            <w:pPr>
              <w:jc w:val="right"/>
              <w:ind w:right="5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1,155,495</w:t>
            </w:r>
          </w:p>
        </w:tc>
        <w:tc>
          <w:tcPr>
            <w:tcW w:w="28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8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1,105,432</w:t>
            </w:r>
          </w:p>
        </w:tc>
        <w:tc>
          <w:tcPr>
            <w:tcW w:w="30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1,058,105</w:t>
            </w:r>
          </w:p>
        </w:tc>
      </w:tr>
      <w:tr>
        <w:trPr>
          <w:trHeight w:val="51"/>
        </w:trPr>
        <w:tc>
          <w:tcPr>
            <w:tcW w:w="768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2080" w:type="dxa"/>
            <w:vAlign w:val="bottom"/>
            <w:tcBorders>
              <w:bottom w:val="single" w:sz="8" w:color="0CD973"/>
            </w:tcBorders>
            <w:gridSpan w:val="3"/>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r>
      <w:tr>
        <w:trPr>
          <w:trHeight w:val="662"/>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3"/>
          </w:tcPr>
          <w:p>
            <w:pPr>
              <w:jc w:val="right"/>
              <w:ind w:right="470"/>
              <w:spacing w:after="0"/>
              <w:rPr>
                <w:sz w:val="20"/>
                <w:szCs w:val="20"/>
                <w:color w:val="auto"/>
              </w:rPr>
            </w:pPr>
            <w:r>
              <w:rPr>
                <w:rFonts w:ascii="Calibri" w:cs="Calibri" w:eastAsia="Calibri" w:hAnsi="Calibri"/>
                <w:sz w:val="14"/>
                <w:szCs w:val="14"/>
                <w:color w:val="51555C"/>
              </w:rPr>
              <w:t>2024 Form 10-K</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107</w:t>
            </w:r>
          </w:p>
        </w:tc>
      </w:tr>
      <w:tr>
        <w:trPr>
          <w:trHeight w:val="351"/>
        </w:trPr>
        <w:tc>
          <w:tcPr>
            <w:tcW w:w="7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 Social Sector and Corporate Sector market groups comprised our go-to-market organizatons as of December 31, 2024. The following is a descripton of each market group as of that date:</w:t>
      </w:r>
    </w:p>
    <w:p>
      <w:pPr>
        <w:spacing w:after="0" w:line="164" w:lineRule="exact"/>
        <w:rPr>
          <w:sz w:val="20"/>
          <w:szCs w:val="20"/>
          <w:color w:val="auto"/>
        </w:rPr>
      </w:pPr>
    </w:p>
    <w:p>
      <w:pPr>
        <w:ind w:left="660" w:right="20" w:hanging="328"/>
        <w:spacing w:after="0" w:line="235" w:lineRule="auto"/>
        <w:tabs>
          <w:tab w:leader="none" w:pos="653" w:val="left"/>
        </w:tabs>
        <w:numPr>
          <w:ilvl w:val="0"/>
          <w:numId w:val="56"/>
        </w:numPr>
        <w:rPr>
          <w:rFonts w:ascii="Calibri" w:cs="Calibri" w:eastAsia="Calibri" w:hAnsi="Calibri"/>
          <w:sz w:val="18"/>
          <w:szCs w:val="18"/>
          <w:color w:val="51555C"/>
        </w:rPr>
      </w:pPr>
      <w:r>
        <w:rPr>
          <w:rFonts w:ascii="Calibri" w:cs="Calibri" w:eastAsia="Calibri" w:hAnsi="Calibri"/>
          <w:sz w:val="18"/>
          <w:szCs w:val="18"/>
          <w:color w:val="51555C"/>
        </w:rPr>
        <w:t>The Social Sector market group focuses on sales to customers and prospects in the social sector, such as nonprofts, foundatons, educaton insttutons, healthcare organizatons and other not-for-proft enttes globally, and includes JustGiving; and</w:t>
      </w:r>
    </w:p>
    <w:p>
      <w:pPr>
        <w:spacing w:after="0" w:line="163" w:lineRule="exact"/>
        <w:rPr>
          <w:rFonts w:ascii="Calibri" w:cs="Calibri" w:eastAsia="Calibri" w:hAnsi="Calibri"/>
          <w:sz w:val="18"/>
          <w:szCs w:val="18"/>
          <w:color w:val="51555C"/>
        </w:rPr>
      </w:pPr>
    </w:p>
    <w:p>
      <w:pPr>
        <w:ind w:left="660" w:right="20" w:hanging="328"/>
        <w:spacing w:after="0" w:line="235" w:lineRule="auto"/>
        <w:tabs>
          <w:tab w:leader="none" w:pos="653" w:val="left"/>
        </w:tabs>
        <w:numPr>
          <w:ilvl w:val="0"/>
          <w:numId w:val="56"/>
        </w:numPr>
        <w:rPr>
          <w:rFonts w:ascii="Calibri" w:cs="Calibri" w:eastAsia="Calibri" w:hAnsi="Calibri"/>
          <w:sz w:val="18"/>
          <w:szCs w:val="18"/>
          <w:color w:val="51555C"/>
        </w:rPr>
      </w:pPr>
      <w:r>
        <w:rPr>
          <w:rFonts w:ascii="Calibri" w:cs="Calibri" w:eastAsia="Calibri" w:hAnsi="Calibri"/>
          <w:sz w:val="18"/>
          <w:szCs w:val="18"/>
          <w:color w:val="51555C"/>
        </w:rPr>
        <w:t>The Corporate Sector market group focuses on sales to customers and prospects in the corporate sector globally, and included EVERFI and YourCause.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our revenue by market group:</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9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17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r>
      <w:tr>
        <w:trPr>
          <w:trHeight w:val="170"/>
        </w:trPr>
        <w:tc>
          <w:tcPr>
            <w:tcW w:w="7690" w:type="dxa"/>
            <w:vAlign w:val="bottom"/>
            <w:shd w:val="clear" w:color="auto" w:fill="004054"/>
          </w:tcPr>
          <w:p>
            <w:pPr>
              <w:spacing w:after="0"/>
              <w:rPr>
                <w:sz w:val="14"/>
                <w:szCs w:val="14"/>
                <w:color w:val="auto"/>
              </w:rPr>
            </w:pPr>
          </w:p>
        </w:tc>
        <w:tc>
          <w:tcPr>
            <w:tcW w:w="1200" w:type="dxa"/>
            <w:vAlign w:val="bottom"/>
            <w:shd w:val="clear" w:color="auto" w:fill="004054"/>
          </w:tcPr>
          <w:p>
            <w:pPr>
              <w:spacing w:after="0"/>
              <w:rPr>
                <w:sz w:val="14"/>
                <w:szCs w:val="14"/>
                <w:color w:val="auto"/>
              </w:rPr>
            </w:pPr>
          </w:p>
        </w:tc>
        <w:tc>
          <w:tcPr>
            <w:tcW w:w="117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243"/>
        </w:trPr>
        <w:tc>
          <w:tcPr>
            <w:tcW w:w="76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11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69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17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146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-162560</wp:posOffset>
            </wp:positionV>
            <wp:extent cx="22631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gridSpan w:val="2"/>
          </w:tcPr>
          <w:p>
            <w:pPr>
              <w:ind w:left="20"/>
              <w:spacing w:after="0"/>
              <w:rPr>
                <w:sz w:val="20"/>
                <w:szCs w:val="20"/>
                <w:color w:val="auto"/>
              </w:rPr>
            </w:pPr>
            <w:r>
              <w:rPr>
                <w:rFonts w:ascii="Calibri" w:cs="Calibri" w:eastAsia="Calibri" w:hAnsi="Calibri"/>
                <w:sz w:val="18"/>
                <w:szCs w:val="18"/>
                <w:color w:val="51555C"/>
              </w:rPr>
              <w:t>Social Sector</w:t>
            </w:r>
          </w:p>
        </w:tc>
        <w:tc>
          <w:tcPr>
            <w:tcW w:w="240" w:type="dxa"/>
            <w:vAlign w:val="bottom"/>
          </w:tcPr>
          <w:p>
            <w:pPr>
              <w:jc w:val="right"/>
              <w:ind w:right="56"/>
              <w:spacing w:after="0"/>
              <w:rPr>
                <w:sz w:val="20"/>
                <w:szCs w:val="20"/>
                <w:color w:val="auto"/>
              </w:rPr>
            </w:pPr>
            <w:r>
              <w:rPr>
                <w:rFonts w:ascii="Calibri" w:cs="Calibri" w:eastAsia="Calibri" w:hAnsi="Calibri"/>
                <w:sz w:val="18"/>
                <w:szCs w:val="18"/>
                <w:color w:val="51555C"/>
                <w:w w:val="87"/>
              </w:rPr>
              <w:t>$</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1,022,215</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954,845</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51555C"/>
                <w:w w:val="87"/>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907,197</w:t>
            </w:r>
          </w:p>
        </w:tc>
        <w:tc>
          <w:tcPr>
            <w:tcW w:w="20" w:type="dxa"/>
            <w:vAlign w:val="bottom"/>
          </w:tcPr>
          <w:p>
            <w:pPr>
              <w:spacing w:after="0"/>
              <w:rPr>
                <w:sz w:val="19"/>
                <w:szCs w:val="19"/>
                <w:color w:val="auto"/>
              </w:rPr>
            </w:pPr>
          </w:p>
        </w:tc>
      </w:tr>
      <w:tr>
        <w:trPr>
          <w:trHeight w:val="324"/>
        </w:trPr>
        <w:tc>
          <w:tcPr>
            <w:tcW w:w="7700" w:type="dxa"/>
            <w:vAlign w:val="bottom"/>
            <w:gridSpan w:val="2"/>
          </w:tcPr>
          <w:p>
            <w:pPr>
              <w:ind w:left="20"/>
              <w:spacing w:after="0"/>
              <w:rPr>
                <w:sz w:val="20"/>
                <w:szCs w:val="20"/>
                <w:color w:val="auto"/>
              </w:rPr>
            </w:pPr>
            <w:r>
              <w:rPr>
                <w:rFonts w:ascii="Calibri" w:cs="Calibri" w:eastAsia="Calibri" w:hAnsi="Calibri"/>
                <w:sz w:val="18"/>
                <w:szCs w:val="18"/>
                <w:color w:val="51555C"/>
              </w:rPr>
              <w:t>Corporate Sector</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133,280</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150,587</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150,908</w:t>
            </w:r>
          </w:p>
        </w:tc>
        <w:tc>
          <w:tcPr>
            <w:tcW w:w="20" w:type="dxa"/>
            <w:vAlign w:val="bottom"/>
          </w:tcPr>
          <w:p>
            <w:pPr>
              <w:spacing w:after="0"/>
              <w:rPr>
                <w:sz w:val="24"/>
                <w:szCs w:val="24"/>
                <w:color w:val="auto"/>
              </w:rPr>
            </w:pPr>
          </w:p>
        </w:tc>
      </w:tr>
      <w:tr>
        <w:trPr>
          <w:trHeight w:val="50"/>
        </w:trPr>
        <w:tc>
          <w:tcPr>
            <w:tcW w:w="7680" w:type="dxa"/>
            <w:vAlign w:val="bottom"/>
            <w:tcBorders>
              <w:bottom w:val="single" w:sz="8" w:color="EBFBFF"/>
            </w:tcBorders>
          </w:tcPr>
          <w:p>
            <w:pPr>
              <w:spacing w:after="0"/>
              <w:rPr>
                <w:sz w:val="4"/>
                <w:szCs w:val="4"/>
                <w:color w:val="auto"/>
              </w:rPr>
            </w:pPr>
          </w:p>
        </w:tc>
        <w:tc>
          <w:tcPr>
            <w:tcW w:w="2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7700" w:type="dxa"/>
            <w:vAlign w:val="bottom"/>
            <w:tcBorders>
              <w:bottom w:val="single" w:sz="8" w:color="EBFBFF"/>
            </w:tcBorders>
            <w:gridSpan w:val="2"/>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240" w:type="dxa"/>
            <w:vAlign w:val="bottom"/>
            <w:tcBorders>
              <w:bottom w:val="single" w:sz="8" w:color="EBFBFF"/>
            </w:tcBorders>
            <w:shd w:val="clear" w:color="auto" w:fill="EBFBFF"/>
          </w:tcPr>
          <w:p>
            <w:pPr>
              <w:jc w:val="right"/>
              <w:ind w:right="56"/>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1,155,495</w:t>
            </w:r>
          </w:p>
        </w:tc>
        <w:tc>
          <w:tcPr>
            <w:tcW w:w="28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1,105,432</w:t>
            </w:r>
          </w:p>
        </w:tc>
        <w:tc>
          <w:tcPr>
            <w:tcW w:w="22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1,058,105</w:t>
            </w:r>
          </w:p>
        </w:tc>
        <w:tc>
          <w:tcPr>
            <w:tcW w:w="20" w:type="dxa"/>
            <w:vAlign w:val="bottom"/>
          </w:tcPr>
          <w:p>
            <w:pPr>
              <w:spacing w:after="0"/>
              <w:rPr>
                <w:sz w:val="22"/>
                <w:szCs w:val="22"/>
                <w:color w:val="auto"/>
              </w:rPr>
            </w:pPr>
          </w:p>
        </w:tc>
      </w:tr>
      <w:tr>
        <w:trPr>
          <w:trHeight w:val="443"/>
        </w:trPr>
        <w:tc>
          <w:tcPr>
            <w:tcW w:w="7700" w:type="dxa"/>
            <w:vAlign w:val="bottom"/>
            <w:tcBorders>
              <w:top w:val="single" w:sz="8" w:color="0CD973"/>
            </w:tcBorders>
            <w:gridSpan w:val="2"/>
          </w:tcPr>
          <w:p>
            <w:pPr>
              <w:spacing w:after="0"/>
              <w:rPr>
                <w:sz w:val="20"/>
                <w:szCs w:val="20"/>
                <w:color w:val="auto"/>
              </w:rPr>
            </w:pPr>
            <w:r>
              <w:rPr>
                <w:rFonts w:ascii="Calibri" w:cs="Calibri" w:eastAsia="Calibri" w:hAnsi="Calibri"/>
                <w:sz w:val="18"/>
                <w:szCs w:val="18"/>
                <w:color w:val="51555C"/>
              </w:rPr>
              <w:t>The following table presents our recurring revenue by type:</w:t>
            </w:r>
          </w:p>
        </w:tc>
        <w:tc>
          <w:tcPr>
            <w:tcW w:w="240" w:type="dxa"/>
            <w:vAlign w:val="bottom"/>
            <w:tcBorders>
              <w:top w:val="single" w:sz="8" w:color="0CD973"/>
            </w:tcBorders>
          </w:tcPr>
          <w:p>
            <w:pPr>
              <w:spacing w:after="0"/>
              <w:rPr>
                <w:sz w:val="24"/>
                <w:szCs w:val="24"/>
                <w:color w:val="auto"/>
              </w:rPr>
            </w:pPr>
          </w:p>
        </w:tc>
        <w:tc>
          <w:tcPr>
            <w:tcW w:w="920" w:type="dxa"/>
            <w:vAlign w:val="bottom"/>
            <w:tcBorders>
              <w:top w:val="single" w:sz="8" w:color="0CD973"/>
            </w:tcBorders>
          </w:tcPr>
          <w:p>
            <w:pPr>
              <w:spacing w:after="0"/>
              <w:rPr>
                <w:sz w:val="24"/>
                <w:szCs w:val="24"/>
                <w:color w:val="auto"/>
              </w:rPr>
            </w:pPr>
          </w:p>
        </w:tc>
        <w:tc>
          <w:tcPr>
            <w:tcW w:w="280" w:type="dxa"/>
            <w:vAlign w:val="bottom"/>
            <w:tcBorders>
              <w:top w:val="single" w:sz="8" w:color="0CD973"/>
            </w:tcBorders>
          </w:tcPr>
          <w:p>
            <w:pPr>
              <w:spacing w:after="0"/>
              <w:rPr>
                <w:sz w:val="24"/>
                <w:szCs w:val="24"/>
                <w:color w:val="auto"/>
              </w:rPr>
            </w:pPr>
          </w:p>
        </w:tc>
        <w:tc>
          <w:tcPr>
            <w:tcW w:w="920" w:type="dxa"/>
            <w:vAlign w:val="bottom"/>
            <w:tcBorders>
              <w:top w:val="single" w:sz="8" w:color="0CD973"/>
            </w:tcBorders>
          </w:tcPr>
          <w:p>
            <w:pPr>
              <w:spacing w:after="0"/>
              <w:rPr>
                <w:sz w:val="24"/>
                <w:szCs w:val="24"/>
                <w:color w:val="auto"/>
              </w:rPr>
            </w:pPr>
          </w:p>
        </w:tc>
        <w:tc>
          <w:tcPr>
            <w:tcW w:w="220" w:type="dxa"/>
            <w:vAlign w:val="bottom"/>
            <w:tcBorders>
              <w:top w:val="single" w:sz="8" w:color="0CD973"/>
            </w:tcBorders>
          </w:tcPr>
          <w:p>
            <w:pPr>
              <w:spacing w:after="0"/>
              <w:rPr>
                <w:sz w:val="24"/>
                <w:szCs w:val="24"/>
                <w:color w:val="auto"/>
              </w:rPr>
            </w:pPr>
          </w:p>
        </w:tc>
        <w:tc>
          <w:tcPr>
            <w:tcW w:w="96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7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768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c>
          <w:tcPr>
            <w:tcW w:w="20" w:type="dxa"/>
            <w:vAlign w:val="bottom"/>
            <w:shd w:val="clear" w:color="auto" w:fill="004054"/>
          </w:tcPr>
          <w:p>
            <w:pPr>
              <w:spacing w:after="0"/>
              <w:rPr>
                <w:sz w:val="15"/>
                <w:szCs w:val="15"/>
                <w:color w:val="auto"/>
              </w:rPr>
            </w:pPr>
          </w:p>
        </w:tc>
      </w:tr>
      <w:tr>
        <w:trPr>
          <w:trHeight w:val="170"/>
        </w:trPr>
        <w:tc>
          <w:tcPr>
            <w:tcW w:w="768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57"/>
        </w:trPr>
        <w:tc>
          <w:tcPr>
            <w:tcW w:w="76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0" w:type="dxa"/>
            <w:vAlign w:val="bottom"/>
            <w:shd w:val="clear" w:color="auto" w:fill="004054"/>
          </w:tcPr>
          <w:p>
            <w:pPr>
              <w:spacing w:after="0"/>
              <w:rPr>
                <w:sz w:val="22"/>
                <w:szCs w:val="22"/>
                <w:color w:val="auto"/>
              </w:rPr>
            </w:pPr>
          </w:p>
        </w:tc>
        <w:tc>
          <w:tcPr>
            <w:tcW w:w="240" w:type="dxa"/>
            <w:vAlign w:val="bottom"/>
            <w:shd w:val="clear" w:color="auto" w:fill="004054"/>
          </w:tcPr>
          <w:p>
            <w:pPr>
              <w:spacing w:after="0"/>
              <w:rPr>
                <w:sz w:val="22"/>
                <w:szCs w:val="22"/>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2024</w:t>
            </w:r>
          </w:p>
        </w:tc>
        <w:tc>
          <w:tcPr>
            <w:tcW w:w="280" w:type="dxa"/>
            <w:vAlign w:val="bottom"/>
            <w:shd w:val="clear" w:color="auto" w:fill="004054"/>
          </w:tcPr>
          <w:p>
            <w:pPr>
              <w:spacing w:after="0"/>
              <w:rPr>
                <w:sz w:val="22"/>
                <w:szCs w:val="22"/>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20" w:type="dxa"/>
            <w:vAlign w:val="bottom"/>
            <w:shd w:val="clear" w:color="auto" w:fill="004054"/>
          </w:tcPr>
          <w:p>
            <w:pPr>
              <w:spacing w:after="0"/>
              <w:rPr>
                <w:sz w:val="22"/>
                <w:szCs w:val="22"/>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2"/>
                <w:szCs w:val="22"/>
                <w:color w:val="auto"/>
              </w:rPr>
            </w:pPr>
          </w:p>
        </w:tc>
      </w:tr>
      <w:tr>
        <w:trPr>
          <w:trHeight w:val="74"/>
        </w:trPr>
        <w:tc>
          <w:tcPr>
            <w:tcW w:w="76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70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8"/>
                <w:szCs w:val="18"/>
                <w:color w:val="51555C"/>
              </w:rPr>
              <w:t>Contractual recurring</w:t>
            </w:r>
          </w:p>
        </w:tc>
        <w:tc>
          <w:tcPr>
            <w:tcW w:w="240" w:type="dxa"/>
            <w:vAlign w:val="bottom"/>
            <w:tcBorders>
              <w:bottom w:val="single" w:sz="8" w:color="EBFBFF"/>
            </w:tcBorders>
            <w:shd w:val="clear" w:color="auto" w:fill="EBFBFF"/>
          </w:tcPr>
          <w:p>
            <w:pPr>
              <w:jc w:val="right"/>
              <w:ind w:right="76"/>
              <w:spacing w:after="0"/>
              <w:rPr>
                <w:sz w:val="20"/>
                <w:szCs w:val="20"/>
                <w:color w:val="auto"/>
              </w:rPr>
            </w:pPr>
            <w:r>
              <w:rPr>
                <w:rFonts w:ascii="Calibri" w:cs="Calibri" w:eastAsia="Calibri" w:hAnsi="Calibri"/>
                <w:sz w:val="16"/>
                <w:szCs w:val="16"/>
                <w:color w:val="51555C"/>
                <w:w w:val="73"/>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775,075</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738,351</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w w:val="8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709,097</w:t>
            </w:r>
          </w:p>
        </w:tc>
        <w:tc>
          <w:tcPr>
            <w:tcW w:w="20" w:type="dxa"/>
            <w:vAlign w:val="bottom"/>
          </w:tcPr>
          <w:p>
            <w:pPr>
              <w:spacing w:after="0"/>
              <w:rPr>
                <w:sz w:val="21"/>
                <w:szCs w:val="21"/>
                <w:color w:val="auto"/>
              </w:rPr>
            </w:pPr>
          </w:p>
        </w:tc>
      </w:tr>
      <w:tr>
        <w:trPr>
          <w:trHeight w:val="220"/>
        </w:trPr>
        <w:tc>
          <w:tcPr>
            <w:tcW w:w="7700" w:type="dxa"/>
            <w:vAlign w:val="bottom"/>
            <w:gridSpan w:val="2"/>
          </w:tcPr>
          <w:p>
            <w:pPr>
              <w:ind w:left="20"/>
              <w:spacing w:after="0"/>
              <w:rPr>
                <w:sz w:val="20"/>
                <w:szCs w:val="20"/>
                <w:color w:val="auto"/>
              </w:rPr>
            </w:pPr>
            <w:r>
              <w:rPr>
                <w:rFonts w:ascii="Calibri" w:cs="Calibri" w:eastAsia="Calibri" w:hAnsi="Calibri"/>
                <w:sz w:val="18"/>
                <w:szCs w:val="18"/>
                <w:color w:val="51555C"/>
              </w:rPr>
              <w:t>Transactonal recurring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354,039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333,169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302,636</w:t>
            </w:r>
          </w:p>
        </w:tc>
        <w:tc>
          <w:tcPr>
            <w:tcW w:w="20" w:type="dxa"/>
            <w:vAlign w:val="bottom"/>
          </w:tcPr>
          <w:p>
            <w:pPr>
              <w:spacing w:after="0"/>
              <w:rPr>
                <w:sz w:val="19"/>
                <w:szCs w:val="19"/>
                <w:color w:val="auto"/>
              </w:rPr>
            </w:pPr>
          </w:p>
        </w:tc>
      </w:tr>
      <w:tr>
        <w:trPr>
          <w:trHeight w:val="50"/>
        </w:trPr>
        <w:tc>
          <w:tcPr>
            <w:tcW w:w="7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7680" w:type="dxa"/>
            <w:vAlign w:val="bottom"/>
            <w:tcBorders>
              <w:top w:val="single" w:sz="8" w:color="EBFBFF"/>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recurring revenue</w:t>
            </w:r>
          </w:p>
        </w:tc>
        <w:tc>
          <w:tcPr>
            <w:tcW w:w="20" w:type="dxa"/>
            <w:vAlign w:val="bottom"/>
            <w:tcBorders>
              <w:top w:val="single" w:sz="8" w:color="51555C"/>
              <w:bottom w:val="single" w:sz="8" w:color="EBFBFF"/>
            </w:tcBorders>
            <w:shd w:val="clear" w:color="auto" w:fill="EBFBFF"/>
          </w:tcPr>
          <w:p>
            <w:pPr>
              <w:spacing w:after="0"/>
              <w:rPr>
                <w:sz w:val="21"/>
                <w:szCs w:val="21"/>
                <w:color w:val="auto"/>
              </w:rPr>
            </w:pPr>
          </w:p>
        </w:tc>
        <w:tc>
          <w:tcPr>
            <w:tcW w:w="240" w:type="dxa"/>
            <w:vAlign w:val="bottom"/>
            <w:tcBorders>
              <w:top w:val="single" w:sz="8" w:color="51555C"/>
              <w:bottom w:val="single" w:sz="8" w:color="EBFBFF"/>
            </w:tcBorders>
            <w:shd w:val="clear" w:color="auto" w:fill="EBFBFF"/>
          </w:tcPr>
          <w:p>
            <w:pPr>
              <w:jc w:val="right"/>
              <w:ind w:right="76"/>
              <w:spacing w:after="0"/>
              <w:rPr>
                <w:sz w:val="20"/>
                <w:szCs w:val="20"/>
                <w:color w:val="auto"/>
              </w:rPr>
            </w:pPr>
            <w:r>
              <w:rPr>
                <w:rFonts w:ascii="Calibri" w:cs="Calibri" w:eastAsia="Calibri" w:hAnsi="Calibri"/>
                <w:sz w:val="16"/>
                <w:szCs w:val="16"/>
                <w:color w:val="51555C"/>
                <w:w w:val="73"/>
              </w:rPr>
              <w:t>$</w:t>
            </w:r>
          </w:p>
        </w:tc>
        <w:tc>
          <w:tcPr>
            <w:tcW w:w="920" w:type="dxa"/>
            <w:vAlign w:val="bottom"/>
            <w:tcBorders>
              <w:top w:val="single" w:sz="8" w:color="51555C"/>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1,129,114</w:t>
            </w:r>
          </w:p>
        </w:tc>
        <w:tc>
          <w:tcPr>
            <w:tcW w:w="280" w:type="dxa"/>
            <w:vAlign w:val="bottom"/>
            <w:tcBorders>
              <w:top w:val="single" w:sz="8" w:color="51555C"/>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top w:val="single" w:sz="8" w:color="51555C"/>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1,071,520</w:t>
            </w:r>
          </w:p>
        </w:tc>
        <w:tc>
          <w:tcPr>
            <w:tcW w:w="220" w:type="dxa"/>
            <w:vAlign w:val="bottom"/>
            <w:tcBorders>
              <w:top w:val="single" w:sz="8" w:color="51555C"/>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top w:val="single" w:sz="8" w:color="51555C"/>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1,011,733</w:t>
            </w:r>
          </w:p>
        </w:tc>
        <w:tc>
          <w:tcPr>
            <w:tcW w:w="20" w:type="dxa"/>
            <w:vAlign w:val="bottom"/>
          </w:tcPr>
          <w:p>
            <w:pPr>
              <w:spacing w:after="0"/>
              <w:rPr>
                <w:sz w:val="21"/>
                <w:szCs w:val="21"/>
                <w:color w:val="auto"/>
              </w:rPr>
            </w:pPr>
          </w:p>
        </w:tc>
      </w:tr>
      <w:tr>
        <w:trPr>
          <w:trHeight w:val="20"/>
        </w:trPr>
        <w:tc>
          <w:tcPr>
            <w:tcW w:w="768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-693420</wp:posOffset>
            </wp:positionV>
            <wp:extent cx="227139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18.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Release from Washington, DC lease</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February 2025, we made a one-tme cash release payment of $28 million to the lessor in connecton with a release from our lease for ofce space in Washington, DC (which was acquired as part of our acquisiton of EVERFI in December 2021). Due to our remote-frst workforce strategy, we had not used the ofce space since February 2023 and had subleased a porton of the space.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108</w:t>
      </w:r>
      <w:r>
        <w:rPr>
          <w:sz w:val="20"/>
          <w:szCs w:val="20"/>
          <w:color w:val="auto"/>
        </w:rPr>
        <w:tab/>
      </w:r>
      <w:r>
        <w:rPr>
          <w:sz w:val="1"/>
          <w:szCs w:val="1"/>
          <w:color w:val="auto"/>
        </w:rPr>
        <w:drawing>
          <wp:inline distT="0" distB="0" distL="0" distR="0">
            <wp:extent cx="728345" cy="18859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00"/>
        <w:spacing w:after="0" w:line="235" w:lineRule="auto"/>
        <w:rPr>
          <w:sz w:val="20"/>
          <w:szCs w:val="20"/>
          <w:color w:val="auto"/>
        </w:rPr>
      </w:pPr>
      <w:r>
        <w:rPr>
          <w:rFonts w:ascii="Calibri" w:cs="Calibri" w:eastAsia="Calibri" w:hAnsi="Calibri"/>
          <w:sz w:val="29"/>
          <w:szCs w:val="29"/>
          <w:b w:val="1"/>
          <w:bCs w:val="1"/>
          <w:color w:val="004054"/>
        </w:rPr>
        <w:t>ITEM 9. 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None.</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9A. CONTROLS AND PROCEDURES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Evaluaton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Disclosure controls and procedures (as defned in Exchange Act Rule 13a-15(e) and 15d-15(e)) are designed only to provide reasonable assurance that they will meet their objectves. As of the end of the period covered by this report, we carried out an evaluaton, under the supervision and with the partcipaton of our management, including our Chief Executve Ofcer (principal executve ofcer) and Chief Financial Ofcer (principal fnancial and accountng ofcer), of the efectveness of our disclosure controls and procedures (as defned in Rule 13a-15(e) and 15d-15(e)) pursuant to Exchange Act Rule 13a-15(b). Based upon that evaluaton, our Chief Executve Ofcer and Chief Financial Ofcer have concluded that our disclosure controls and procedures are efectve to provide the reasonable assurance discussed above.</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Changes in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 changes in internal control over fnancial reportng occurred during the most recent fscal quarter ended December 31, 2024 with respect to our operatons that has materially afected, or is reasonably likely to materially afect, our internal control over fnancial reportng.</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Management’s Report on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management is responsible for establishing and maintaining adequate internal control over fnancial reportng (as defned in Rules 13a-15(f) and 15d-15(f) under the Exchange Act). Internal control over fnancial reportng is a process designed to provide reasonable assurance regarding the reliability of fnancial reportng and the preparaton of fnancial statements for external purposes in accordance with U.S. GAAP. Our internal control over fnancial reportng includes those policies and procedures that: (i) pertain to the maintenance of records that, in reasonable detail, accurately and fairly refect the transactons and dispositons of our assets; (ii) provide reasonable assurance that transactons are recorded as necessary to permit preparaton of fnancial statements in accordance with U.S. GAAP, and that our receipts and expenditures are being made only in accordance with authorizatons of our management and directors; and (iii) provide reasonable assurance regarding preventon or tmely detecton of unauthorized acquisiton, use, or dispositon of our assets that could have a material efect on the fnancial statements.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management conducted an evaluaton of the efectveness of our internal control over fnancial reportng as of December 31, 2024, based on the framework in </w:t>
      </w:r>
      <w:r>
        <w:rPr>
          <w:rFonts w:ascii="Calibri" w:cs="Calibri" w:eastAsia="Calibri" w:hAnsi="Calibri"/>
          <w:sz w:val="18"/>
          <w:szCs w:val="18"/>
          <w:i w:val="1"/>
          <w:iCs w:val="1"/>
          <w:color w:val="51555C"/>
        </w:rPr>
        <w:t>Internal Control - Integrated Framework issued by the Commitee of Sponsoring Organizatons of the Treadway Commission (2013 framework)</w:t>
      </w:r>
      <w:r>
        <w:rPr>
          <w:rFonts w:ascii="Calibri" w:cs="Calibri" w:eastAsia="Calibri" w:hAnsi="Calibri"/>
          <w:sz w:val="18"/>
          <w:szCs w:val="18"/>
          <w:color w:val="51555C"/>
        </w:rPr>
        <w:t xml:space="preserve">. Based on this evaluaton under the </w:t>
      </w:r>
      <w:r>
        <w:rPr>
          <w:rFonts w:ascii="Calibri" w:cs="Calibri" w:eastAsia="Calibri" w:hAnsi="Calibri"/>
          <w:sz w:val="18"/>
          <w:szCs w:val="18"/>
          <w:i w:val="1"/>
          <w:iCs w:val="1"/>
          <w:color w:val="51555C"/>
        </w:rPr>
        <w:t>Internal Control - Integrated Framework</w:t>
      </w:r>
      <w:r>
        <w:rPr>
          <w:rFonts w:ascii="Calibri" w:cs="Calibri" w:eastAsia="Calibri" w:hAnsi="Calibri"/>
          <w:sz w:val="18"/>
          <w:szCs w:val="18"/>
          <w:color w:val="51555C"/>
        </w:rPr>
        <w:t>, management concluded that our internal control over fnancial reportng was efectve as of December 31, 2024.</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efectveness of our internal control over fnancial reportng as of December 31, 2024, has been audited by our independent registered public accountng frm, as stated in their atestaton report, which is included in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220980</wp:posOffset>
            </wp:positionV>
            <wp:extent cx="728980" cy="1885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109</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9B. OTHER INFORMATION</w:t>
      </w: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Trading Plans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 following table provides informaton about trading arrangements adopted or terminated by certain of our ofcers and directors during the three months ended December 31,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shd w:val="clear" w:color="auto" w:fill="004054"/>
          </w:tcPr>
          <w:p>
            <w:pPr>
              <w:spacing w:after="0"/>
              <w:rPr>
                <w:sz w:val="15"/>
                <w:szCs w:val="15"/>
                <w:color w:val="auto"/>
              </w:rPr>
            </w:pPr>
          </w:p>
        </w:tc>
        <w:tc>
          <w:tcPr>
            <w:tcW w:w="143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320" w:type="dxa"/>
            <w:vAlign w:val="bottom"/>
            <w:gridSpan w:val="2"/>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Trading</w:t>
            </w:r>
          </w:p>
        </w:tc>
        <w:tc>
          <w:tcPr>
            <w:tcW w:w="110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Aggregate</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00" w:type="dxa"/>
            <w:vAlign w:val="bottom"/>
            <w:shd w:val="clear" w:color="auto" w:fill="004054"/>
          </w:tcPr>
          <w:p>
            <w:pPr>
              <w:spacing w:after="0"/>
              <w:rPr>
                <w:sz w:val="5"/>
                <w:szCs w:val="5"/>
                <w:color w:val="auto"/>
              </w:rPr>
            </w:pPr>
          </w:p>
        </w:tc>
        <w:tc>
          <w:tcPr>
            <w:tcW w:w="143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1320" w:type="dxa"/>
            <w:vAlign w:val="bottom"/>
            <w:gridSpan w:val="2"/>
            <w:vMerge w:val="restart"/>
            <w:shd w:val="clear" w:color="auto" w:fill="004054"/>
          </w:tcPr>
          <w:p>
            <w:pPr>
              <w:jc w:val="center"/>
              <w:spacing w:after="0" w:line="210" w:lineRule="exact"/>
              <w:rPr>
                <w:sz w:val="20"/>
                <w:szCs w:val="20"/>
                <w:color w:val="auto"/>
              </w:rPr>
            </w:pPr>
            <w:r>
              <w:rPr>
                <w:rFonts w:ascii="Calibri" w:cs="Calibri" w:eastAsia="Calibri" w:hAnsi="Calibri"/>
                <w:sz w:val="14"/>
                <w:szCs w:val="14"/>
                <w:b w:val="1"/>
                <w:bCs w:val="1"/>
                <w:color w:val="FFFFFF"/>
                <w:w w:val="98"/>
              </w:rPr>
              <w:t>arrangement</w:t>
            </w:r>
            <w:r>
              <w:rPr>
                <w:rFonts w:ascii="Calibri" w:cs="Calibri" w:eastAsia="Calibri" w:hAnsi="Calibri"/>
                <w:sz w:val="18"/>
                <w:szCs w:val="18"/>
                <w:b w:val="1"/>
                <w:bCs w:val="1"/>
                <w:color w:val="FFFFFF"/>
                <w:w w:val="98"/>
                <w:vertAlign w:val="superscript"/>
              </w:rPr>
              <w:t>(1)</w:t>
            </w:r>
          </w:p>
        </w:tc>
        <w:tc>
          <w:tcPr>
            <w:tcW w:w="1100" w:type="dxa"/>
            <w:vAlign w:val="bottom"/>
            <w:vMerge w:val="continue"/>
            <w:shd w:val="clear" w:color="auto" w:fill="004054"/>
          </w:tcPr>
          <w:p>
            <w:pPr>
              <w:spacing w:after="0"/>
              <w:rPr>
                <w:sz w:val="5"/>
                <w:szCs w:val="5"/>
                <w:color w:val="auto"/>
              </w:rPr>
            </w:pPr>
          </w:p>
        </w:tc>
        <w:tc>
          <w:tcPr>
            <w:tcW w:w="37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004054"/>
          </w:tcPr>
          <w:p>
            <w:pPr>
              <w:spacing w:after="0"/>
              <w:rPr>
                <w:sz w:val="12"/>
                <w:szCs w:val="12"/>
                <w:color w:val="auto"/>
              </w:rPr>
            </w:pPr>
          </w:p>
        </w:tc>
        <w:tc>
          <w:tcPr>
            <w:tcW w:w="143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98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880" w:type="dxa"/>
            <w:vAlign w:val="bottom"/>
            <w:shd w:val="clear" w:color="auto" w:fill="004054"/>
          </w:tcPr>
          <w:p>
            <w:pPr>
              <w:spacing w:after="0"/>
              <w:rPr>
                <w:sz w:val="12"/>
                <w:szCs w:val="12"/>
                <w:color w:val="auto"/>
              </w:rPr>
            </w:pPr>
          </w:p>
        </w:tc>
        <w:tc>
          <w:tcPr>
            <w:tcW w:w="1320" w:type="dxa"/>
            <w:vAlign w:val="bottom"/>
            <w:gridSpan w:val="2"/>
            <w:vMerge w:val="continue"/>
            <w:shd w:val="clear" w:color="auto" w:fill="004054"/>
          </w:tcPr>
          <w:p>
            <w:pPr>
              <w:spacing w:after="0"/>
              <w:rPr>
                <w:sz w:val="12"/>
                <w:szCs w:val="12"/>
                <w:color w:val="auto"/>
              </w:rPr>
            </w:pPr>
          </w:p>
        </w:tc>
        <w:tc>
          <w:tcPr>
            <w:tcW w:w="1100" w:type="dxa"/>
            <w:vAlign w:val="bottom"/>
            <w:vMerge w:val="restart"/>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number of</w:t>
            </w:r>
          </w:p>
        </w:tc>
        <w:tc>
          <w:tcPr>
            <w:tcW w:w="370" w:type="dxa"/>
            <w:vAlign w:val="bottom"/>
            <w:shd w:val="clear" w:color="auto" w:fill="004054"/>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00" w:type="dxa"/>
            <w:vAlign w:val="bottom"/>
            <w:shd w:val="clear" w:color="auto" w:fill="004054"/>
          </w:tcPr>
          <w:p>
            <w:pPr>
              <w:spacing w:after="0"/>
              <w:rPr>
                <w:sz w:val="2"/>
                <w:szCs w:val="2"/>
                <w:color w:val="auto"/>
              </w:rPr>
            </w:pPr>
          </w:p>
        </w:tc>
        <w:tc>
          <w:tcPr>
            <w:tcW w:w="143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98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88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1100" w:type="dxa"/>
            <w:vAlign w:val="bottom"/>
            <w:vMerge w:val="continue"/>
            <w:shd w:val="clear" w:color="auto" w:fill="004054"/>
          </w:tcPr>
          <w:p>
            <w:pPr>
              <w:spacing w:after="0"/>
              <w:rPr>
                <w:sz w:val="2"/>
                <w:szCs w:val="2"/>
                <w:color w:val="auto"/>
              </w:rPr>
            </w:pPr>
          </w:p>
        </w:tc>
        <w:tc>
          <w:tcPr>
            <w:tcW w:w="370" w:type="dxa"/>
            <w:vAlign w:val="bottom"/>
            <w:shd w:val="clear" w:color="auto" w:fill="0040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shd w:val="clear" w:color="auto" w:fill="004054"/>
          </w:tcPr>
          <w:p>
            <w:pPr>
              <w:spacing w:after="0"/>
              <w:rPr>
                <w:sz w:val="15"/>
                <w:szCs w:val="15"/>
                <w:color w:val="auto"/>
              </w:rPr>
            </w:pPr>
          </w:p>
        </w:tc>
        <w:tc>
          <w:tcPr>
            <w:tcW w:w="1430" w:type="dxa"/>
            <w:vAlign w:val="bottom"/>
            <w:shd w:val="clear" w:color="auto" w:fill="004054"/>
          </w:tcPr>
          <w:p>
            <w:pPr>
              <w:spacing w:after="0"/>
              <w:rPr>
                <w:sz w:val="15"/>
                <w:szCs w:val="15"/>
                <w:color w:val="auto"/>
              </w:rPr>
            </w:pPr>
          </w:p>
        </w:tc>
        <w:tc>
          <w:tcPr>
            <w:tcW w:w="99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Date of</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990" w:type="dxa"/>
            <w:vAlign w:val="bottom"/>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Plan</w:t>
            </w:r>
          </w:p>
        </w:tc>
        <w:tc>
          <w:tcPr>
            <w:tcW w:w="8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Rule</w:t>
            </w: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Non-Rule</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securites to</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004054"/>
          </w:tcPr>
          <w:p>
            <w:pPr>
              <w:spacing w:after="0"/>
              <w:rPr>
                <w:sz w:val="14"/>
                <w:szCs w:val="14"/>
                <w:color w:val="auto"/>
              </w:rPr>
            </w:pPr>
          </w:p>
        </w:tc>
        <w:tc>
          <w:tcPr>
            <w:tcW w:w="1430" w:type="dxa"/>
            <w:vAlign w:val="bottom"/>
            <w:shd w:val="clear" w:color="auto" w:fill="004054"/>
          </w:tcPr>
          <w:p>
            <w:pPr>
              <w:spacing w:after="0"/>
              <w:rPr>
                <w:sz w:val="14"/>
                <w:szCs w:val="14"/>
                <w:color w:val="auto"/>
              </w:rPr>
            </w:pPr>
          </w:p>
        </w:tc>
        <w:tc>
          <w:tcPr>
            <w:tcW w:w="990" w:type="dxa"/>
            <w:vAlign w:val="bottom"/>
            <w:vMerge w:val="continue"/>
            <w:shd w:val="clear" w:color="auto" w:fill="004054"/>
          </w:tcPr>
          <w:p>
            <w:pPr>
              <w:spacing w:after="0"/>
              <w:rPr>
                <w:sz w:val="14"/>
                <w:szCs w:val="14"/>
                <w:color w:val="auto"/>
              </w:rPr>
            </w:pPr>
          </w:p>
        </w:tc>
        <w:tc>
          <w:tcPr>
            <w:tcW w:w="98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efectve</w:t>
            </w:r>
          </w:p>
        </w:tc>
        <w:tc>
          <w:tcPr>
            <w:tcW w:w="990" w:type="dxa"/>
            <w:vAlign w:val="bottom"/>
            <w:shd w:val="clear" w:color="auto" w:fill="004054"/>
          </w:tcPr>
          <w:p>
            <w:pPr>
              <w:ind w:left="380"/>
              <w:spacing w:after="0" w:line="168" w:lineRule="exact"/>
              <w:rPr>
                <w:sz w:val="20"/>
                <w:szCs w:val="20"/>
                <w:color w:val="auto"/>
              </w:rPr>
            </w:pPr>
            <w:r>
              <w:rPr>
                <w:rFonts w:ascii="Calibri" w:cs="Calibri" w:eastAsia="Calibri" w:hAnsi="Calibri"/>
                <w:sz w:val="14"/>
                <w:szCs w:val="14"/>
                <w:b w:val="1"/>
                <w:bCs w:val="1"/>
                <w:color w:val="FFFFFF"/>
              </w:rPr>
              <w:t>end</w:t>
            </w:r>
          </w:p>
        </w:tc>
        <w:tc>
          <w:tcPr>
            <w:tcW w:w="88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duraton</w:t>
            </w:r>
          </w:p>
        </w:tc>
        <w:tc>
          <w:tcPr>
            <w:tcW w:w="660" w:type="dxa"/>
            <w:vAlign w:val="bottom"/>
            <w:vMerge w:val="continue"/>
            <w:shd w:val="clear" w:color="auto" w:fill="004054"/>
          </w:tcPr>
          <w:p>
            <w:pPr>
              <w:spacing w:after="0"/>
              <w:rPr>
                <w:sz w:val="14"/>
                <w:szCs w:val="14"/>
                <w:color w:val="auto"/>
              </w:rPr>
            </w:pPr>
          </w:p>
        </w:tc>
        <w:tc>
          <w:tcPr>
            <w:tcW w:w="660" w:type="dxa"/>
            <w:vAlign w:val="bottom"/>
            <w:vMerge w:val="continue"/>
            <w:shd w:val="clear" w:color="auto" w:fill="004054"/>
          </w:tcPr>
          <w:p>
            <w:pPr>
              <w:spacing w:after="0"/>
              <w:rPr>
                <w:sz w:val="14"/>
                <w:szCs w:val="14"/>
                <w:color w:val="auto"/>
              </w:rPr>
            </w:pPr>
          </w:p>
        </w:tc>
        <w:tc>
          <w:tcPr>
            <w:tcW w:w="110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be sold</w:t>
            </w:r>
          </w:p>
        </w:tc>
        <w:tc>
          <w:tcPr>
            <w:tcW w:w="37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Name and Title</w:t>
            </w:r>
          </w:p>
        </w:tc>
        <w:tc>
          <w:tcPr>
            <w:tcW w:w="1430" w:type="dxa"/>
            <w:vAlign w:val="bottom"/>
            <w:shd w:val="clear" w:color="auto" w:fill="004054"/>
          </w:tcPr>
          <w:p>
            <w:pPr>
              <w:ind w:left="520"/>
              <w:spacing w:after="0"/>
              <w:rPr>
                <w:sz w:val="20"/>
                <w:szCs w:val="20"/>
                <w:color w:val="auto"/>
              </w:rPr>
            </w:pPr>
            <w:r>
              <w:rPr>
                <w:rFonts w:ascii="Calibri" w:cs="Calibri" w:eastAsia="Calibri" w:hAnsi="Calibri"/>
                <w:sz w:val="14"/>
                <w:szCs w:val="14"/>
                <w:b w:val="1"/>
                <w:bCs w:val="1"/>
                <w:color w:val="FFFFFF"/>
              </w:rPr>
              <w:t>Acton</w:t>
            </w:r>
          </w:p>
        </w:tc>
        <w:tc>
          <w:tcPr>
            <w:tcW w:w="99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Adopton</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8"/>
              </w:rPr>
              <w:t>date</w:t>
            </w:r>
          </w:p>
        </w:tc>
        <w:tc>
          <w:tcPr>
            <w:tcW w:w="990" w:type="dxa"/>
            <w:vAlign w:val="bottom"/>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date</w:t>
            </w:r>
          </w:p>
        </w:tc>
        <w:tc>
          <w:tcPr>
            <w:tcW w:w="8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(months)</w:t>
            </w:r>
          </w:p>
        </w:tc>
        <w:tc>
          <w:tcPr>
            <w:tcW w:w="6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10b5-1</w:t>
            </w:r>
          </w:p>
        </w:tc>
        <w:tc>
          <w:tcPr>
            <w:tcW w:w="6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10b5-1</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plan</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200" w:type="dxa"/>
            <w:vAlign w:val="bottom"/>
            <w:shd w:val="clear" w:color="auto" w:fill="004054"/>
          </w:tcPr>
          <w:p>
            <w:pPr>
              <w:spacing w:after="0"/>
              <w:rPr>
                <w:sz w:val="5"/>
                <w:szCs w:val="5"/>
                <w:color w:val="auto"/>
              </w:rPr>
            </w:pPr>
          </w:p>
        </w:tc>
        <w:tc>
          <w:tcPr>
            <w:tcW w:w="143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1100" w:type="dxa"/>
            <w:vAlign w:val="bottom"/>
            <w:shd w:val="clear" w:color="auto" w:fill="004054"/>
          </w:tcPr>
          <w:p>
            <w:pPr>
              <w:spacing w:after="0"/>
              <w:rPr>
                <w:sz w:val="5"/>
                <w:szCs w:val="5"/>
                <w:color w:val="auto"/>
              </w:rPr>
            </w:pPr>
          </w:p>
        </w:tc>
        <w:tc>
          <w:tcPr>
            <w:tcW w:w="37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718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-376555</wp:posOffset>
            </wp:positionV>
            <wp:extent cx="8483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140" w:type="dxa"/>
            <w:vAlign w:val="bottom"/>
          </w:tcPr>
          <w:p>
            <w:pPr>
              <w:spacing w:after="0"/>
              <w:rPr>
                <w:sz w:val="20"/>
                <w:szCs w:val="20"/>
                <w:color w:val="auto"/>
              </w:rPr>
            </w:pPr>
            <w:r>
              <w:rPr>
                <w:rFonts w:ascii="Calibri" w:cs="Calibri" w:eastAsia="Calibri" w:hAnsi="Calibri"/>
                <w:sz w:val="18"/>
                <w:szCs w:val="18"/>
                <w:b w:val="1"/>
                <w:bCs w:val="1"/>
                <w:color w:val="51555C"/>
              </w:rPr>
              <w:t>David J. Benjamin</w:t>
            </w:r>
          </w:p>
        </w:tc>
        <w:tc>
          <w:tcPr>
            <w:tcW w:w="1360" w:type="dxa"/>
            <w:vAlign w:val="bottom"/>
            <w:vMerge w:val="restart"/>
          </w:tcPr>
          <w:p>
            <w:pPr>
              <w:ind w:left="4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11/28/24</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3/07/25</w:t>
            </w:r>
          </w:p>
        </w:tc>
        <w:tc>
          <w:tcPr>
            <w:tcW w:w="1060" w:type="dxa"/>
            <w:vAlign w:val="bottom"/>
            <w:vMerge w:val="restart"/>
          </w:tcPr>
          <w:p>
            <w:pPr>
              <w:jc w:val="right"/>
              <w:ind w:right="130"/>
              <w:spacing w:after="0"/>
              <w:rPr>
                <w:sz w:val="20"/>
                <w:szCs w:val="20"/>
                <w:color w:val="auto"/>
              </w:rPr>
            </w:pPr>
            <w:r>
              <w:rPr>
                <w:rFonts w:ascii="Calibri" w:cs="Calibri" w:eastAsia="Calibri" w:hAnsi="Calibri"/>
                <w:sz w:val="18"/>
                <w:szCs w:val="18"/>
                <w:color w:val="51555C"/>
              </w:rPr>
              <w:t>10/31/25</w:t>
            </w:r>
          </w:p>
        </w:tc>
        <w:tc>
          <w:tcPr>
            <w:tcW w:w="840" w:type="dxa"/>
            <w:vAlign w:val="bottom"/>
            <w:vMerge w:val="restart"/>
          </w:tcPr>
          <w:p>
            <w:pPr>
              <w:ind w:left="200"/>
              <w:spacing w:after="0"/>
              <w:rPr>
                <w:sz w:val="20"/>
                <w:szCs w:val="20"/>
                <w:color w:val="auto"/>
              </w:rPr>
            </w:pPr>
            <w:r>
              <w:rPr>
                <w:rFonts w:ascii="Calibri" w:cs="Calibri" w:eastAsia="Calibri" w:hAnsi="Calibri"/>
                <w:sz w:val="18"/>
                <w:szCs w:val="18"/>
                <w:color w:val="51555C"/>
              </w:rPr>
              <w:t>Eight</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260" w:type="dxa"/>
            <w:vAlign w:val="bottom"/>
            <w:vMerge w:val="restart"/>
          </w:tcPr>
          <w:p>
            <w:pPr>
              <w:jc w:val="right"/>
              <w:spacing w:after="0"/>
              <w:rPr>
                <w:sz w:val="20"/>
                <w:szCs w:val="20"/>
                <w:color w:val="auto"/>
              </w:rPr>
            </w:pPr>
            <w:r>
              <w:rPr>
                <w:rFonts w:ascii="Calibri" w:cs="Calibri" w:eastAsia="Calibri" w:hAnsi="Calibri"/>
                <w:sz w:val="18"/>
                <w:szCs w:val="18"/>
                <w:color w:val="51555C"/>
              </w:rPr>
              <w:t>17,478</w:t>
            </w:r>
          </w:p>
        </w:tc>
        <w:tc>
          <w:tcPr>
            <w:tcW w:w="0" w:type="dxa"/>
            <w:vAlign w:val="bottom"/>
          </w:tcPr>
          <w:p>
            <w:pPr>
              <w:spacing w:after="0"/>
              <w:rPr>
                <w:sz w:val="1"/>
                <w:szCs w:val="1"/>
                <w:color w:val="auto"/>
              </w:rPr>
            </w:pPr>
          </w:p>
        </w:tc>
      </w:tr>
      <w:tr>
        <w:trPr>
          <w:trHeight w:val="175"/>
        </w:trPr>
        <w:tc>
          <w:tcPr>
            <w:tcW w:w="3140" w:type="dxa"/>
            <w:vAlign w:val="bottom"/>
            <w:vMerge w:val="restart"/>
          </w:tcPr>
          <w:p>
            <w:pPr>
              <w:spacing w:after="0"/>
              <w:rPr>
                <w:sz w:val="20"/>
                <w:szCs w:val="20"/>
                <w:color w:val="auto"/>
              </w:rPr>
            </w:pPr>
            <w:r>
              <w:rPr>
                <w:rFonts w:ascii="Calibri" w:cs="Calibri" w:eastAsia="Calibri" w:hAnsi="Calibri"/>
                <w:sz w:val="14"/>
                <w:szCs w:val="14"/>
                <w:color w:val="51555C"/>
              </w:rPr>
              <w:t>Executve Vice President and Chief Commercial</w:t>
            </w:r>
          </w:p>
        </w:tc>
        <w:tc>
          <w:tcPr>
            <w:tcW w:w="13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3140" w:type="dxa"/>
            <w:vAlign w:val="bottom"/>
            <w:vMerge w:val="continue"/>
          </w:tcPr>
          <w:p>
            <w:pPr>
              <w:spacing w:after="0"/>
              <w:rPr>
                <w:sz w:val="3"/>
                <w:szCs w:val="3"/>
                <w:color w:val="auto"/>
              </w:rPr>
            </w:pPr>
          </w:p>
        </w:tc>
        <w:tc>
          <w:tcPr>
            <w:tcW w:w="1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Calibri" w:cs="Calibri" w:eastAsia="Calibri" w:hAnsi="Calibri"/>
                <w:sz w:val="14"/>
                <w:szCs w:val="14"/>
                <w:color w:val="51555C"/>
              </w:rPr>
              <w:t>Ofcer</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Calibri" w:cs="Calibri" w:eastAsia="Calibri" w:hAnsi="Calibri"/>
                <w:sz w:val="18"/>
                <w:szCs w:val="18"/>
                <w:b w:val="1"/>
                <w:bCs w:val="1"/>
                <w:color w:val="51555C"/>
              </w:rPr>
              <w:t>Kevin R. McDearis</w:t>
            </w:r>
          </w:p>
        </w:tc>
        <w:tc>
          <w:tcPr>
            <w:tcW w:w="1360" w:type="dxa"/>
            <w:vAlign w:val="bottom"/>
            <w:vMerge w:val="restart"/>
          </w:tcPr>
          <w:p>
            <w:pPr>
              <w:ind w:left="4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11/30/24</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3/17/25</w:t>
            </w:r>
          </w:p>
        </w:tc>
        <w:tc>
          <w:tcPr>
            <w:tcW w:w="1060" w:type="dxa"/>
            <w:vAlign w:val="bottom"/>
            <w:vMerge w:val="restart"/>
          </w:tcPr>
          <w:p>
            <w:pPr>
              <w:jc w:val="right"/>
              <w:ind w:right="130"/>
              <w:spacing w:after="0"/>
              <w:rPr>
                <w:sz w:val="20"/>
                <w:szCs w:val="20"/>
                <w:color w:val="auto"/>
              </w:rPr>
            </w:pPr>
            <w:r>
              <w:rPr>
                <w:rFonts w:ascii="Calibri" w:cs="Calibri" w:eastAsia="Calibri" w:hAnsi="Calibri"/>
                <w:sz w:val="18"/>
                <w:szCs w:val="18"/>
                <w:color w:val="51555C"/>
              </w:rPr>
              <w:t>10/31/25</w:t>
            </w:r>
          </w:p>
        </w:tc>
        <w:tc>
          <w:tcPr>
            <w:tcW w:w="840" w:type="dxa"/>
            <w:vAlign w:val="bottom"/>
            <w:vMerge w:val="restart"/>
          </w:tcPr>
          <w:p>
            <w:pPr>
              <w:ind w:left="200"/>
              <w:spacing w:after="0"/>
              <w:rPr>
                <w:sz w:val="20"/>
                <w:szCs w:val="20"/>
                <w:color w:val="auto"/>
              </w:rPr>
            </w:pPr>
            <w:r>
              <w:rPr>
                <w:rFonts w:ascii="Calibri" w:cs="Calibri" w:eastAsia="Calibri" w:hAnsi="Calibri"/>
                <w:sz w:val="18"/>
                <w:szCs w:val="18"/>
                <w:color w:val="51555C"/>
              </w:rPr>
              <w:t>Eight</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260" w:type="dxa"/>
            <w:vAlign w:val="bottom"/>
            <w:vMerge w:val="restart"/>
          </w:tcPr>
          <w:p>
            <w:pPr>
              <w:jc w:val="right"/>
              <w:spacing w:after="0"/>
              <w:rPr>
                <w:sz w:val="20"/>
                <w:szCs w:val="20"/>
                <w:color w:val="auto"/>
              </w:rPr>
            </w:pPr>
            <w:r>
              <w:rPr>
                <w:rFonts w:ascii="Calibri" w:cs="Calibri" w:eastAsia="Calibri" w:hAnsi="Calibri"/>
                <w:sz w:val="18"/>
                <w:szCs w:val="18"/>
                <w:color w:val="51555C"/>
              </w:rPr>
              <w:t>31,557</w:t>
            </w:r>
          </w:p>
        </w:tc>
        <w:tc>
          <w:tcPr>
            <w:tcW w:w="0" w:type="dxa"/>
            <w:vAlign w:val="bottom"/>
          </w:tcPr>
          <w:p>
            <w:pPr>
              <w:spacing w:after="0"/>
              <w:rPr>
                <w:sz w:val="1"/>
                <w:szCs w:val="1"/>
                <w:color w:val="auto"/>
              </w:rPr>
            </w:pPr>
          </w:p>
        </w:tc>
      </w:tr>
      <w:tr>
        <w:trPr>
          <w:trHeight w:val="78"/>
        </w:trPr>
        <w:tc>
          <w:tcPr>
            <w:tcW w:w="31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20"/>
        <w:spacing w:after="0" w:line="199" w:lineRule="auto"/>
        <w:rPr>
          <w:sz w:val="20"/>
          <w:szCs w:val="20"/>
          <w:color w:val="auto"/>
        </w:rPr>
      </w:pPr>
      <w:r>
        <w:rPr>
          <w:rFonts w:ascii="Calibri" w:cs="Calibri" w:eastAsia="Calibri" w:hAnsi="Calibri"/>
          <w:sz w:val="14"/>
          <w:szCs w:val="14"/>
          <w:color w:val="51555C"/>
        </w:rPr>
        <w:t>Executve Vice President and Chief Technology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jc w:val="both"/>
        <w:ind w:left="340" w:right="20" w:hanging="332"/>
        <w:spacing w:after="0" w:line="242" w:lineRule="auto"/>
        <w:tabs>
          <w:tab w:leader="none" w:pos="338" w:val="left"/>
        </w:tabs>
        <w:numPr>
          <w:ilvl w:val="0"/>
          <w:numId w:val="57"/>
        </w:numPr>
        <w:rPr>
          <w:rFonts w:ascii="Calibri" w:cs="Calibri" w:eastAsia="Calibri" w:hAnsi="Calibri"/>
          <w:sz w:val="14"/>
          <w:szCs w:val="14"/>
          <w:color w:val="51555C"/>
        </w:rPr>
      </w:pPr>
      <w:r>
        <w:rPr>
          <w:rFonts w:ascii="Calibri" w:cs="Calibri" w:eastAsia="Calibri" w:hAnsi="Calibri"/>
          <w:sz w:val="14"/>
          <w:szCs w:val="14"/>
          <w:color w:val="51555C"/>
        </w:rPr>
        <w:t>An SEC "Rule 10b5-1(c) trading arrangement" is a trading arrangement made by a person through entering into a binding contract, verbal instructon or adopton of a writen plan prior to becoming aware of material non-public informaton. The contract, instructon or writen plan must specify the amount, price and date of securites to be sold; include the means for determining the amount, price and date of the sale or sales; and not permit the person to have subsequent infuence over the sale or sales. The compliant plan must be entered into and operated in good faith, include a specifed cooling of period, be certfed by an authorized ofcer and is restricted from having multple or overlapping plans. A non-compliant trading arrangement, or a "non-Rule 10b5-1 trading arrangement," is a trading arrangement that has similar requirements to a Rule 10b5-1(c) trading arrangement except that it must be in writen form and does not require a cooling of period or certfcaton of an authorized ofcer and there is no restricton from having multple or overlapping plans.</w:t>
      </w:r>
    </w:p>
    <w:p>
      <w:pPr>
        <w:spacing w:after="0" w:line="5" w:lineRule="exact"/>
        <w:rPr>
          <w:rFonts w:ascii="Calibri" w:cs="Calibri" w:eastAsia="Calibri" w:hAnsi="Calibri"/>
          <w:sz w:val="14"/>
          <w:szCs w:val="14"/>
          <w:color w:val="51555C"/>
        </w:rPr>
      </w:pPr>
    </w:p>
    <w:p>
      <w:pPr>
        <w:ind w:left="340" w:right="20" w:hanging="332"/>
        <w:spacing w:after="0" w:line="233" w:lineRule="auto"/>
        <w:tabs>
          <w:tab w:leader="none" w:pos="338" w:val="left"/>
        </w:tabs>
        <w:numPr>
          <w:ilvl w:val="0"/>
          <w:numId w:val="57"/>
        </w:numPr>
        <w:rPr>
          <w:rFonts w:ascii="Calibri" w:cs="Calibri" w:eastAsia="Calibri" w:hAnsi="Calibri"/>
          <w:sz w:val="14"/>
          <w:szCs w:val="14"/>
          <w:color w:val="51555C"/>
        </w:rPr>
      </w:pPr>
      <w:r>
        <w:rPr>
          <w:rFonts w:ascii="Calibri" w:cs="Calibri" w:eastAsia="Calibri" w:hAnsi="Calibri"/>
          <w:sz w:val="14"/>
          <w:szCs w:val="14"/>
          <w:color w:val="51555C"/>
        </w:rPr>
        <w:t>Represents the target quantty of Performance Share Awards which may be subject to a performance multplier; therefore, the aggregate number of shares to be sold may be equal to, greater than or less than the target quantty.</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color w:val="51555C"/>
        </w:rPr>
        <w:t xml:space="preserve">None of our ofcers or directors adopted or terminated a </w:t>
      </w:r>
      <w:r>
        <w:rPr>
          <w:rFonts w:ascii="Calibri" w:cs="Calibri" w:eastAsia="Calibri" w:hAnsi="Calibri"/>
          <w:sz w:val="18"/>
          <w:szCs w:val="18"/>
          <w:u w:val="single" w:color="auto"/>
          <w:color w:val="51555C"/>
        </w:rPr>
        <w:t>non</w:t>
      </w:r>
      <w:r>
        <w:rPr>
          <w:rFonts w:ascii="Calibri" w:cs="Calibri" w:eastAsia="Calibri" w:hAnsi="Calibri"/>
          <w:sz w:val="18"/>
          <w:szCs w:val="18"/>
          <w:color w:val="51555C"/>
        </w:rPr>
        <w:t>-Rule 10b5-1 trading arrangement during the three months ended December 31, 2024.</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9C. DISCLOSURE REGARDING FOREIGN JURISDICTIONS THAT PREVENT INSPECTIONS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110</w:t>
      </w:r>
      <w:r>
        <w:rPr>
          <w:sz w:val="20"/>
          <w:szCs w:val="20"/>
          <w:color w:val="auto"/>
        </w:rPr>
        <w:tab/>
      </w:r>
      <w:r>
        <w:rPr>
          <w:sz w:val="1"/>
          <w:szCs w:val="1"/>
          <w:color w:val="auto"/>
        </w:rPr>
        <w:drawing>
          <wp:inline distT="0" distB="0" distL="0" distR="0">
            <wp:extent cx="728345" cy="188595"/>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III.</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10. DIRECTORS, EXECUTIVE OFFICERS AND CORPORATE GOVERNANCE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informaton required by Item 10 with respect to Directors and Executve Ofcers is incorporated by reference from the informaton under the captons “Electon of Directors,” “Informaton Regarding Meetngs of the Board and Commitees,” “Delinquent Secton 16(a) Reports,” “Code of Business Conduct and Ethics and Code of Ethics” and "Insider Trading Arrangements and Policies" contained in Blackbaud’s Proxy Statement for the 2025 Annual Meetng of Stockholders expected to be held on June 11, 2025, except for "Informaton About Our Executve Ofcers" which is set forth in Part I of this report.</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11. EXECUTIVE COMPENSATION</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informaton required by Item 11 is incorporated by reference from the informaton under the captons "Director Compensaton," “Executve Compensaton,” “Compensaton Discussion and Analysis,” “2024 Summary Compensaton Table,” "CEO Pay Rato" and "Pay Versus Performance" contained in Blackbaud’s Proxy Statement for the 2025 Annual Meetng of Stockholders expected to be held on June 11, 2025.</w:t>
      </w:r>
    </w:p>
    <w:p>
      <w:pPr>
        <w:spacing w:after="0" w:line="264" w:lineRule="exact"/>
        <w:rPr>
          <w:sz w:val="20"/>
          <w:szCs w:val="20"/>
          <w:color w:val="auto"/>
        </w:rPr>
      </w:pPr>
    </w:p>
    <w:p>
      <w:pPr>
        <w:ind w:right="260"/>
        <w:spacing w:after="0" w:line="231" w:lineRule="auto"/>
        <w:rPr>
          <w:sz w:val="20"/>
          <w:szCs w:val="20"/>
          <w:color w:val="auto"/>
        </w:rPr>
      </w:pPr>
      <w:r>
        <w:rPr>
          <w:rFonts w:ascii="Calibri" w:cs="Calibri" w:eastAsia="Calibri" w:hAnsi="Calibri"/>
          <w:sz w:val="29"/>
          <w:szCs w:val="29"/>
          <w:b w:val="1"/>
          <w:bCs w:val="1"/>
          <w:color w:val="004054"/>
        </w:rPr>
        <w:t>ITEM 12. SECURITY OWNERSHIP OF CERTAIN BENEFICIAL OWNERS AND MANAGEMENT AND RELATED STOCKHOLDER MATTERS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The informaton required by Item 12 is incorporated by reference from informaton under the captons “Stock Ownership” and "Equity Compensaton Plan Informaton" contained in Blackbaud’s Proxy Statement for the 2025 Annual Meetng of Stockholders expected to be held on June 11, 2025.</w:t>
      </w:r>
    </w:p>
    <w:p>
      <w:pPr>
        <w:spacing w:after="0" w:line="263" w:lineRule="exact"/>
        <w:rPr>
          <w:sz w:val="20"/>
          <w:szCs w:val="20"/>
          <w:color w:val="auto"/>
        </w:rPr>
      </w:pPr>
    </w:p>
    <w:p>
      <w:pPr>
        <w:ind w:right="1580"/>
        <w:spacing w:after="0" w:line="235" w:lineRule="auto"/>
        <w:rPr>
          <w:sz w:val="20"/>
          <w:szCs w:val="20"/>
          <w:color w:val="auto"/>
        </w:rPr>
      </w:pPr>
      <w:r>
        <w:rPr>
          <w:rFonts w:ascii="Calibri" w:cs="Calibri" w:eastAsia="Calibri" w:hAnsi="Calibri"/>
          <w:sz w:val="29"/>
          <w:szCs w:val="29"/>
          <w:b w:val="1"/>
          <w:bCs w:val="1"/>
          <w:color w:val="004054"/>
        </w:rPr>
        <w:t>ITEM 13. CERTAIN RELATIONSHIPS AND RELATED TRANSACTIONS, AND DIRECTOR INDEPENDENCE</w:t>
      </w:r>
    </w:p>
    <w:p>
      <w:pPr>
        <w:spacing w:after="0" w:line="166"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51555C"/>
        </w:rPr>
        <w:t>The informaton required by Item 13 is incorporated by reference from the informaton under the captons “Transactons with Related Persons,” and “Independence of Directors” contained in Blackbaud’s Proxy Statement for the 2025 Annual Meetng of Stockholders expected to be held on June 11, 2025.</w:t>
      </w:r>
    </w:p>
    <w:p>
      <w:pPr>
        <w:spacing w:after="0" w:line="23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14. PRINCIPAL ACCOUNTANT FEES AND SERVICES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The informaton required by Item 14 is incorporated by reference from the informaton under the capton “Audit Commitee Report,” contained in Blackbaud’s Proxy Statement for the 2025 Annual Meetng of Stockholders expected to be held on 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220980</wp:posOffset>
            </wp:positionV>
            <wp:extent cx="728980" cy="1885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111</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IV.</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15. EXHIBITS AND FINANCIAL STATEMENT SCHEDULES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(a) The following documents are included as part of the Annual Report on Form 10-K:</w:t>
      </w:r>
    </w:p>
    <w:p>
      <w:pPr>
        <w:spacing w:after="0" w:line="158" w:lineRule="exact"/>
        <w:rPr>
          <w:sz w:val="20"/>
          <w:szCs w:val="20"/>
          <w:color w:val="auto"/>
        </w:rPr>
      </w:pPr>
    </w:p>
    <w:p>
      <w:pPr>
        <w:ind w:left="360" w:hanging="352"/>
        <w:spacing w:after="0"/>
        <w:tabs>
          <w:tab w:leader="none" w:pos="360" w:val="left"/>
        </w:tabs>
        <w:numPr>
          <w:ilvl w:val="0"/>
          <w:numId w:val="58"/>
        </w:numPr>
        <w:rPr>
          <w:rFonts w:ascii="Calibri" w:cs="Calibri" w:eastAsia="Calibri" w:hAnsi="Calibri"/>
          <w:sz w:val="18"/>
          <w:szCs w:val="18"/>
          <w:color w:val="51555C"/>
        </w:rPr>
      </w:pPr>
      <w:r>
        <w:rPr>
          <w:rFonts w:ascii="Calibri" w:cs="Calibri" w:eastAsia="Calibri" w:hAnsi="Calibri"/>
          <w:sz w:val="18"/>
          <w:szCs w:val="18"/>
          <w:i w:val="1"/>
          <w:iCs w:val="1"/>
          <w:color w:val="51555C"/>
        </w:rPr>
        <w:t>Financial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See the "Index to consolidated fnancial statements" in Part II Item 8 of this report.</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There were no retrospectve changes to the Consolidated Statement of Operatons for any quarters in the two most recent fscal years that would require disclosure under Item 302, as amended.</w:t>
      </w:r>
    </w:p>
    <w:p>
      <w:pPr>
        <w:spacing w:after="0" w:line="159"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i w:val="1"/>
          <w:iCs w:val="1"/>
          <w:color w:val="51555C"/>
        </w:rPr>
        <w:t>2.</w:t>
      </w:r>
      <w:r>
        <w:rPr>
          <w:sz w:val="20"/>
          <w:szCs w:val="20"/>
          <w:color w:val="auto"/>
        </w:rPr>
        <w:tab/>
      </w:r>
      <w:r>
        <w:rPr>
          <w:rFonts w:ascii="Calibri" w:cs="Calibri" w:eastAsia="Calibri" w:hAnsi="Calibri"/>
          <w:sz w:val="17"/>
          <w:szCs w:val="17"/>
          <w:i w:val="1"/>
          <w:iCs w:val="1"/>
          <w:color w:val="51555C"/>
        </w:rPr>
        <w:t>Financial statement schedules</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Schedules not listed above have been omited because the informaton required to be set forth therein is not applicable or is shown in the fnancial statements thereto.</w:t>
      </w:r>
    </w:p>
    <w:p>
      <w:pPr>
        <w:spacing w:after="0" w:line="159"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i w:val="1"/>
          <w:iCs w:val="1"/>
          <w:color w:val="51555C"/>
        </w:rPr>
        <w:t>3.</w:t>
      </w:r>
      <w:r>
        <w:rPr>
          <w:sz w:val="20"/>
          <w:szCs w:val="20"/>
          <w:color w:val="auto"/>
        </w:rPr>
        <w:tab/>
      </w:r>
      <w:r>
        <w:rPr>
          <w:rFonts w:ascii="Calibri" w:cs="Calibri" w:eastAsia="Calibri" w:hAnsi="Calibri"/>
          <w:sz w:val="17"/>
          <w:szCs w:val="17"/>
          <w:i w:val="1"/>
          <w:iCs w:val="1"/>
          <w:color w:val="51555C"/>
        </w:rPr>
        <w:t>Exhibits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exhibits listed below are fled or incorporated by reference as part of this report: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30" w:type="dxa"/>
            <w:vAlign w:val="bottom"/>
            <w:shd w:val="clear" w:color="auto" w:fill="004054"/>
          </w:tcPr>
          <w:p>
            <w:pPr>
              <w:spacing w:after="0"/>
              <w:rPr>
                <w:sz w:val="16"/>
                <w:szCs w:val="16"/>
                <w:color w:val="auto"/>
              </w:rPr>
            </w:pPr>
          </w:p>
        </w:tc>
        <w:tc>
          <w:tcPr>
            <w:tcW w:w="65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64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66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54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80" w:type="dxa"/>
            <w:vAlign w:val="bottom"/>
            <w:tcBorders>
              <w:right w:val="single" w:sz="8" w:color="004054"/>
            </w:tcBorders>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3"/>
              <w:spacing w:after="0"/>
              <w:rPr>
                <w:sz w:val="20"/>
                <w:szCs w:val="20"/>
                <w:color w:val="auto"/>
              </w:rPr>
            </w:pPr>
            <w:r>
              <w:rPr>
                <w:rFonts w:ascii="Calibri" w:cs="Calibri" w:eastAsia="Calibri" w:hAnsi="Calibri"/>
                <w:sz w:val="14"/>
                <w:szCs w:val="14"/>
                <w:b w:val="1"/>
                <w:bCs w:val="1"/>
                <w:color w:val="FFFFFF"/>
              </w:rPr>
              <w:t>Filed In</w:t>
            </w:r>
          </w:p>
        </w:tc>
        <w:tc>
          <w:tcPr>
            <w:tcW w:w="111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70" w:type="dxa"/>
            <w:vAlign w:val="bottom"/>
            <w:gridSpan w:val="4"/>
            <w:shd w:val="clear" w:color="auto" w:fill="004054"/>
          </w:tcPr>
          <w:p>
            <w:pPr>
              <w:jc w:val="right"/>
              <w:ind w:right="50"/>
              <w:spacing w:after="0"/>
              <w:rPr>
                <w:sz w:val="20"/>
                <w:szCs w:val="20"/>
                <w:color w:val="auto"/>
              </w:rPr>
            </w:pPr>
            <w:r>
              <w:rPr>
                <w:rFonts w:ascii="Calibri" w:cs="Calibri" w:eastAsia="Calibri" w:hAnsi="Calibri"/>
                <w:sz w:val="14"/>
                <w:szCs w:val="14"/>
                <w:b w:val="1"/>
                <w:bCs w:val="1"/>
                <w:color w:val="FFFFFF"/>
              </w:rPr>
              <w:t>Exhibit</w:t>
            </w:r>
          </w:p>
        </w:tc>
        <w:tc>
          <w:tcPr>
            <w:tcW w:w="650" w:type="dxa"/>
            <w:vAlign w:val="bottom"/>
            <w:shd w:val="clear" w:color="auto" w:fill="004054"/>
          </w:tcPr>
          <w:p>
            <w:pPr>
              <w:spacing w:after="0"/>
              <w:rPr>
                <w:sz w:val="20"/>
                <w:szCs w:val="20"/>
                <w:color w:val="auto"/>
              </w:rPr>
            </w:pPr>
          </w:p>
        </w:tc>
        <w:tc>
          <w:tcPr>
            <w:tcW w:w="260" w:type="dxa"/>
            <w:vAlign w:val="bottom"/>
            <w:shd w:val="clear" w:color="auto" w:fill="004054"/>
          </w:tcPr>
          <w:p>
            <w:pPr>
              <w:spacing w:after="0"/>
              <w:rPr>
                <w:sz w:val="20"/>
                <w:szCs w:val="20"/>
                <w:color w:val="auto"/>
              </w:rPr>
            </w:pPr>
          </w:p>
        </w:tc>
        <w:tc>
          <w:tcPr>
            <w:tcW w:w="640" w:type="dxa"/>
            <w:vAlign w:val="bottom"/>
            <w:shd w:val="clear" w:color="auto" w:fill="004054"/>
          </w:tcPr>
          <w:p>
            <w:pPr>
              <w:spacing w:after="0"/>
              <w:rPr>
                <w:sz w:val="20"/>
                <w:szCs w:val="20"/>
                <w:color w:val="auto"/>
              </w:rPr>
            </w:pPr>
          </w:p>
        </w:tc>
        <w:tc>
          <w:tcPr>
            <w:tcW w:w="18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660" w:type="dxa"/>
            <w:vAlign w:val="bottom"/>
            <w:shd w:val="clear" w:color="auto" w:fill="004054"/>
          </w:tcPr>
          <w:p>
            <w:pPr>
              <w:spacing w:after="0"/>
              <w:rPr>
                <w:sz w:val="20"/>
                <w:szCs w:val="20"/>
                <w:color w:val="auto"/>
              </w:rPr>
            </w:pPr>
          </w:p>
        </w:tc>
        <w:tc>
          <w:tcPr>
            <w:tcW w:w="30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54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80" w:type="dxa"/>
            <w:vAlign w:val="bottom"/>
            <w:tcBorders>
              <w:right w:val="single" w:sz="8" w:color="004054"/>
            </w:tcBorders>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1113" w:type="dxa"/>
            <w:vAlign w:val="bottom"/>
            <w:shd w:val="clear" w:color="auto" w:fill="004054"/>
          </w:tcPr>
          <w:p>
            <w:pPr>
              <w:jc w:val="right"/>
              <w:ind w:right="406"/>
              <w:spacing w:after="0"/>
              <w:rPr>
                <w:sz w:val="20"/>
                <w:szCs w:val="20"/>
                <w:color w:val="auto"/>
              </w:rPr>
            </w:pPr>
            <w:r>
              <w:rPr>
                <w:rFonts w:ascii="Calibri" w:cs="Calibri" w:eastAsia="Calibri" w:hAnsi="Calibri"/>
                <w:sz w:val="14"/>
                <w:szCs w:val="14"/>
                <w:b w:val="1"/>
                <w:bCs w:val="1"/>
                <w:color w:val="FFFFFF"/>
              </w:rPr>
              <w:t>Exhibit</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70" w:type="dxa"/>
            <w:vAlign w:val="bottom"/>
            <w:gridSpan w:val="4"/>
            <w:shd w:val="clear" w:color="auto" w:fill="004054"/>
          </w:tcPr>
          <w:p>
            <w:pPr>
              <w:jc w:val="right"/>
              <w:ind w:right="30"/>
              <w:spacing w:after="0"/>
              <w:rPr>
                <w:sz w:val="20"/>
                <w:szCs w:val="20"/>
                <w:color w:val="auto"/>
              </w:rPr>
            </w:pPr>
            <w:r>
              <w:rPr>
                <w:rFonts w:ascii="Calibri" w:cs="Calibri" w:eastAsia="Calibri" w:hAnsi="Calibri"/>
                <w:sz w:val="14"/>
                <w:szCs w:val="14"/>
                <w:b w:val="1"/>
                <w:bCs w:val="1"/>
                <w:color w:val="FFFFFF"/>
              </w:rPr>
              <w:t>Number</w:t>
            </w:r>
          </w:p>
        </w:tc>
        <w:tc>
          <w:tcPr>
            <w:tcW w:w="65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64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3500" w:type="dxa"/>
            <w:vAlign w:val="bottom"/>
            <w:gridSpan w:val="17"/>
            <w:shd w:val="clear" w:color="auto" w:fill="004054"/>
          </w:tcPr>
          <w:p>
            <w:pPr>
              <w:ind w:left="30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3"/>
              <w:spacing w:after="0"/>
              <w:rPr>
                <w:sz w:val="20"/>
                <w:szCs w:val="20"/>
                <w:color w:val="auto"/>
              </w:rPr>
            </w:pPr>
            <w:r>
              <w:rPr>
                <w:rFonts w:ascii="Calibri" w:cs="Calibri" w:eastAsia="Calibri" w:hAnsi="Calibri"/>
                <w:sz w:val="14"/>
                <w:szCs w:val="14"/>
                <w:b w:val="1"/>
                <w:bCs w:val="1"/>
                <w:color w:val="FFFFFF"/>
              </w:rPr>
              <w:t>Dated</w:t>
            </w:r>
          </w:p>
        </w:tc>
        <w:tc>
          <w:tcPr>
            <w:tcW w:w="1113" w:type="dxa"/>
            <w:vAlign w:val="bottom"/>
            <w:shd w:val="clear" w:color="auto" w:fill="004054"/>
          </w:tcPr>
          <w:p>
            <w:pPr>
              <w:jc w:val="right"/>
              <w:ind w:right="366"/>
              <w:spacing w:after="0"/>
              <w:rPr>
                <w:sz w:val="20"/>
                <w:szCs w:val="20"/>
                <w:color w:val="auto"/>
              </w:rPr>
            </w:pPr>
            <w:r>
              <w:rPr>
                <w:rFonts w:ascii="Calibri" w:cs="Calibri" w:eastAsia="Calibri" w:hAnsi="Calibri"/>
                <w:sz w:val="14"/>
                <w:szCs w:val="14"/>
                <w:b w:val="1"/>
                <w:bCs w:val="1"/>
                <w:color w:val="FFFFFF"/>
              </w:rPr>
              <w:t>Number</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30" w:type="dxa"/>
            <w:vAlign w:val="bottom"/>
            <w:shd w:val="clear" w:color="auto" w:fill="004054"/>
          </w:tcPr>
          <w:p>
            <w:pPr>
              <w:spacing w:after="0"/>
              <w:rPr>
                <w:sz w:val="6"/>
                <w:szCs w:val="6"/>
                <w:color w:val="auto"/>
              </w:rPr>
            </w:pPr>
          </w:p>
        </w:tc>
        <w:tc>
          <w:tcPr>
            <w:tcW w:w="65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64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66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54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80" w:type="dxa"/>
            <w:vAlign w:val="bottom"/>
            <w:tcBorders>
              <w:right w:val="single" w:sz="8" w:color="004054"/>
            </w:tcBorders>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11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20" w:type="dxa"/>
            <w:vAlign w:val="bottom"/>
            <w:gridSpan w:val="2"/>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84">
              <w:r>
                <w:rPr>
                  <w:rFonts w:ascii="Calibri" w:cs="Calibri" w:eastAsia="Calibri" w:hAnsi="Calibri"/>
                  <w:sz w:val="18"/>
                  <w:szCs w:val="18"/>
                  <w:color w:val="7A04DD"/>
                  <w:w w:val="96"/>
                </w:rPr>
                <w:t>2.1</w:t>
              </w:r>
            </w:hyperlink>
          </w:p>
        </w:tc>
        <w:tc>
          <w:tcPr>
            <w:tcW w:w="650" w:type="dxa"/>
            <w:vAlign w:val="bottom"/>
            <w:shd w:val="clear" w:color="auto" w:fill="EBFBFF"/>
          </w:tcPr>
          <w:p>
            <w:pPr>
              <w:spacing w:after="0"/>
              <w:rPr>
                <w:sz w:val="16"/>
                <w:szCs w:val="16"/>
                <w:color w:val="auto"/>
              </w:rPr>
            </w:pPr>
          </w:p>
        </w:tc>
        <w:tc>
          <w:tcPr>
            <w:tcW w:w="4800" w:type="dxa"/>
            <w:vAlign w:val="bottom"/>
            <w:gridSpan w:val="21"/>
            <w:shd w:val="clear" w:color="auto" w:fill="EBFBFF"/>
          </w:tcPr>
          <w:p>
            <w:pPr>
              <w:spacing w:after="0" w:line="189" w:lineRule="exact"/>
              <w:rPr>
                <w:rFonts w:ascii="Calibri" w:cs="Calibri" w:eastAsia="Calibri" w:hAnsi="Calibri"/>
                <w:sz w:val="18"/>
                <w:szCs w:val="18"/>
                <w:color w:val="7A04DD"/>
              </w:rPr>
            </w:pPr>
            <w:hyperlink r:id="rId484">
              <w:r>
                <w:rPr>
                  <w:rFonts w:ascii="Calibri" w:cs="Calibri" w:eastAsia="Calibri" w:hAnsi="Calibri"/>
                  <w:sz w:val="18"/>
                  <w:szCs w:val="18"/>
                  <w:color w:val="7A04DD"/>
                </w:rPr>
                <w:t>Agreement and Plan of Merger and Reincorporaton dated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S-1/A</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4/6/2004</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2.1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EBFBFF"/>
            </w:tcBorders>
            <w:shd w:val="clear" w:color="auto" w:fill="EBFBFF"/>
          </w:tcPr>
          <w:p>
            <w:pPr>
              <w:spacing w:after="0"/>
              <w:rPr>
                <w:sz w:val="17"/>
                <w:szCs w:val="17"/>
                <w:color w:val="auto"/>
              </w:rPr>
            </w:pPr>
          </w:p>
        </w:tc>
        <w:tc>
          <w:tcPr>
            <w:tcW w:w="12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140" w:type="dxa"/>
            <w:vAlign w:val="bottom"/>
            <w:tcBorders>
              <w:top w:val="single" w:sz="8" w:color="7A04DD"/>
            </w:tcBorders>
            <w:gridSpan w:val="12"/>
            <w:shd w:val="clear" w:color="auto" w:fill="EBFBFF"/>
          </w:tcPr>
          <w:p>
            <w:pPr>
              <w:spacing w:after="0" w:line="196" w:lineRule="exact"/>
              <w:rPr>
                <w:rFonts w:ascii="Calibri" w:cs="Calibri" w:eastAsia="Calibri" w:hAnsi="Calibri"/>
                <w:sz w:val="18"/>
                <w:szCs w:val="18"/>
                <w:color w:val="7A04DD"/>
              </w:rPr>
            </w:pPr>
            <w:hyperlink r:id="rId484">
              <w:r>
                <w:rPr>
                  <w:rFonts w:ascii="Calibri" w:cs="Calibri" w:eastAsia="Calibri" w:hAnsi="Calibri"/>
                  <w:sz w:val="18"/>
                  <w:szCs w:val="18"/>
                  <w:color w:val="7A04DD"/>
                </w:rPr>
                <w:t>April 6, 2004</w:t>
              </w:r>
            </w:hyperlink>
          </w:p>
        </w:tc>
        <w:tc>
          <w:tcPr>
            <w:tcW w:w="660" w:type="dxa"/>
            <w:vAlign w:val="bottom"/>
            <w:tcBorders>
              <w:top w:val="single" w:sz="8" w:color="EBFBFF"/>
            </w:tcBorders>
            <w:gridSpan w:val="9"/>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66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85">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2</w:t>
              </w:r>
            </w:hyperlink>
          </w:p>
        </w:tc>
        <w:tc>
          <w:tcPr>
            <w:tcW w:w="650" w:type="dxa"/>
            <w:vAlign w:val="bottom"/>
          </w:tcPr>
          <w:p>
            <w:pPr>
              <w:spacing w:after="0"/>
              <w:rPr>
                <w:sz w:val="16"/>
                <w:szCs w:val="16"/>
                <w:color w:val="auto"/>
              </w:rPr>
            </w:pPr>
          </w:p>
        </w:tc>
        <w:tc>
          <w:tcPr>
            <w:tcW w:w="4800" w:type="dxa"/>
            <w:vAlign w:val="bottom"/>
            <w:gridSpan w:val="21"/>
          </w:tcPr>
          <w:p>
            <w:pPr>
              <w:spacing w:after="0" w:line="189" w:lineRule="exact"/>
              <w:rPr>
                <w:rFonts w:ascii="Calibri" w:cs="Calibri" w:eastAsia="Calibri" w:hAnsi="Calibri"/>
                <w:sz w:val="18"/>
                <w:szCs w:val="18"/>
                <w:color w:val="7A04DD"/>
              </w:rPr>
            </w:pPr>
            <w:hyperlink r:id="rId485">
              <w:r>
                <w:rPr>
                  <w:rFonts w:ascii="Calibri" w:cs="Calibri" w:eastAsia="Calibri" w:hAnsi="Calibri"/>
                  <w:sz w:val="18"/>
                  <w:szCs w:val="18"/>
                  <w:color w:val="7A04DD"/>
                </w:rPr>
                <w:t>Purchase Agreement, dated August 30, 2014, by and among</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10/2/2014</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10.76</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40" w:type="dxa"/>
            <w:vAlign w:val="bottom"/>
            <w:tcBorders>
              <w:top w:val="single" w:sz="8" w:color="7A04DD"/>
              <w:bottom w:val="single" w:sz="8" w:color="7A04DD"/>
            </w:tcBorders>
            <w:gridSpan w:val="13"/>
          </w:tcPr>
          <w:p>
            <w:pPr>
              <w:spacing w:after="0" w:line="196" w:lineRule="exact"/>
              <w:rPr>
                <w:rFonts w:ascii="Calibri" w:cs="Calibri" w:eastAsia="Calibri" w:hAnsi="Calibri"/>
                <w:sz w:val="18"/>
                <w:szCs w:val="18"/>
                <w:color w:val="7A04DD"/>
                <w:w w:val="96"/>
              </w:rPr>
            </w:pPr>
            <w:hyperlink r:id="rId485">
              <w:r>
                <w:rPr>
                  <w:rFonts w:ascii="Calibri" w:cs="Calibri" w:eastAsia="Calibri" w:hAnsi="Calibri"/>
                  <w:sz w:val="18"/>
                  <w:szCs w:val="18"/>
                  <w:color w:val="7A04DD"/>
                  <w:w w:val="96"/>
                </w:rPr>
                <w:t>MicroEdge Holdings, LLC, Blackbaud, Inc, direct and indirect</w:t>
              </w:r>
            </w:hyperlink>
          </w:p>
        </w:tc>
        <w:tc>
          <w:tcPr>
            <w:tcW w:w="20" w:type="dxa"/>
            <w:vAlign w:val="bottom"/>
            <w:tcBorders>
              <w:top w:val="single" w:sz="8" w:color="7A04DD"/>
            </w:tcBorders>
          </w:tcPr>
          <w:p>
            <w:pPr>
              <w:spacing w:after="0"/>
              <w:rPr>
                <w:sz w:val="17"/>
                <w:szCs w:val="17"/>
                <w:color w:val="auto"/>
              </w:rPr>
            </w:pPr>
          </w:p>
        </w:tc>
        <w:tc>
          <w:tcPr>
            <w:tcW w:w="54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1"/>
          </w:tcPr>
          <w:p>
            <w:pPr>
              <w:spacing w:after="0" w:line="196" w:lineRule="exact"/>
              <w:rPr>
                <w:rFonts w:ascii="Calibri" w:cs="Calibri" w:eastAsia="Calibri" w:hAnsi="Calibri"/>
                <w:sz w:val="18"/>
                <w:szCs w:val="18"/>
                <w:color w:val="7A04DD"/>
              </w:rPr>
            </w:pPr>
            <w:hyperlink r:id="rId485">
              <w:r>
                <w:rPr>
                  <w:rFonts w:ascii="Calibri" w:cs="Calibri" w:eastAsia="Calibri" w:hAnsi="Calibri"/>
                  <w:sz w:val="18"/>
                  <w:szCs w:val="18"/>
                  <w:color w:val="7A04DD"/>
                </w:rPr>
                <w:t>holders of all of the outstanding equity interests of MicroEdge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400" w:type="dxa"/>
            <w:vAlign w:val="bottom"/>
            <w:tcBorders>
              <w:top w:val="single" w:sz="8" w:color="7A04DD"/>
            </w:tcBorders>
            <w:gridSpan w:val="15"/>
          </w:tcPr>
          <w:p>
            <w:pPr>
              <w:spacing w:after="0" w:line="196" w:lineRule="exact"/>
              <w:rPr>
                <w:rFonts w:ascii="Calibri" w:cs="Calibri" w:eastAsia="Calibri" w:hAnsi="Calibri"/>
                <w:sz w:val="18"/>
                <w:szCs w:val="18"/>
                <w:color w:val="7A04DD"/>
              </w:rPr>
            </w:pPr>
            <w:hyperlink r:id="rId485">
              <w:r>
                <w:rPr>
                  <w:rFonts w:ascii="Calibri" w:cs="Calibri" w:eastAsia="Calibri" w:hAnsi="Calibri"/>
                  <w:sz w:val="18"/>
                  <w:szCs w:val="18"/>
                  <w:color w:val="7A04DD"/>
                </w:rPr>
                <w:t>Holdings, LLC, and VFF I AIV I, L.P., as Sellers’ Representatve</w:t>
              </w:r>
            </w:hyperlink>
          </w:p>
        </w:tc>
        <w:tc>
          <w:tcPr>
            <w:tcW w:w="40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66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154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86">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3</w:t>
              </w:r>
            </w:hyperlink>
          </w:p>
        </w:tc>
        <w:tc>
          <w:tcPr>
            <w:tcW w:w="650" w:type="dxa"/>
            <w:vAlign w:val="bottom"/>
            <w:shd w:val="clear" w:color="auto" w:fill="EBFBFF"/>
          </w:tcPr>
          <w:p>
            <w:pPr>
              <w:spacing w:after="0"/>
              <w:rPr>
                <w:sz w:val="16"/>
                <w:szCs w:val="16"/>
                <w:color w:val="auto"/>
              </w:rPr>
            </w:pPr>
          </w:p>
        </w:tc>
        <w:tc>
          <w:tcPr>
            <w:tcW w:w="4800" w:type="dxa"/>
            <w:vAlign w:val="bottom"/>
            <w:gridSpan w:val="21"/>
            <w:shd w:val="clear" w:color="auto" w:fill="EBFBFF"/>
          </w:tcPr>
          <w:p>
            <w:pPr>
              <w:spacing w:after="0" w:line="189" w:lineRule="exact"/>
              <w:rPr>
                <w:rFonts w:ascii="Calibri" w:cs="Calibri" w:eastAsia="Calibri" w:hAnsi="Calibri"/>
                <w:sz w:val="18"/>
                <w:szCs w:val="18"/>
                <w:color w:val="7A04DD"/>
              </w:rPr>
            </w:pPr>
            <w:hyperlink r:id="rId486">
              <w:r>
                <w:rPr>
                  <w:rFonts w:ascii="Calibri" w:cs="Calibri" w:eastAsia="Calibri" w:hAnsi="Calibri"/>
                  <w:sz w:val="18"/>
                  <w:szCs w:val="18"/>
                  <w:color w:val="7A04DD"/>
                </w:rPr>
                <w:t>Unit Purchase Agreement, dated as of August 10, 2015, by and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10/8/2015</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10.78</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EBFBFF"/>
            </w:tcBorders>
            <w:shd w:val="clear" w:color="auto" w:fill="EBFBFF"/>
          </w:tcPr>
          <w:p>
            <w:pPr>
              <w:spacing w:after="0"/>
              <w:rPr>
                <w:sz w:val="17"/>
                <w:szCs w:val="17"/>
                <w:color w:val="auto"/>
              </w:rPr>
            </w:pPr>
          </w:p>
        </w:tc>
        <w:tc>
          <w:tcPr>
            <w:tcW w:w="12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7"/>
            <w:shd w:val="clear" w:color="auto" w:fill="EBFBFF"/>
          </w:tcPr>
          <w:p>
            <w:pPr>
              <w:spacing w:after="0" w:line="196" w:lineRule="exact"/>
              <w:rPr>
                <w:rFonts w:ascii="Calibri" w:cs="Calibri" w:eastAsia="Calibri" w:hAnsi="Calibri"/>
                <w:sz w:val="18"/>
                <w:szCs w:val="18"/>
                <w:color w:val="7A04DD"/>
              </w:rPr>
            </w:pPr>
            <w:hyperlink r:id="rId486">
              <w:r>
                <w:rPr>
                  <w:rFonts w:ascii="Calibri" w:cs="Calibri" w:eastAsia="Calibri" w:hAnsi="Calibri"/>
                  <w:sz w:val="18"/>
                  <w:szCs w:val="18"/>
                  <w:color w:val="7A04DD"/>
                </w:rPr>
                <w:t>between Smart Tuiton Holdings, LLC and Blackbaud, Inc.</w:t>
              </w:r>
            </w:hyperlink>
          </w:p>
        </w:tc>
        <w:tc>
          <w:tcPr>
            <w:tcW w:w="340" w:type="dxa"/>
            <w:vAlign w:val="bottom"/>
            <w:tcBorders>
              <w:top w:val="single" w:sz="8" w:color="EBFBFF"/>
            </w:tcBorders>
            <w:gridSpan w:val="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154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87">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4</w:t>
              </w:r>
            </w:hyperlink>
          </w:p>
        </w:tc>
        <w:tc>
          <w:tcPr>
            <w:tcW w:w="650" w:type="dxa"/>
            <w:vAlign w:val="bottom"/>
          </w:tcPr>
          <w:p>
            <w:pPr>
              <w:spacing w:after="0"/>
              <w:rPr>
                <w:sz w:val="16"/>
                <w:szCs w:val="16"/>
                <w:color w:val="auto"/>
              </w:rPr>
            </w:pPr>
          </w:p>
        </w:tc>
        <w:tc>
          <w:tcPr>
            <w:tcW w:w="4800" w:type="dxa"/>
            <w:vAlign w:val="bottom"/>
            <w:gridSpan w:val="21"/>
          </w:tcPr>
          <w:p>
            <w:pPr>
              <w:spacing w:after="0" w:line="189" w:lineRule="exact"/>
              <w:rPr>
                <w:rFonts w:ascii="Calibri" w:cs="Calibri" w:eastAsia="Calibri" w:hAnsi="Calibri"/>
                <w:sz w:val="18"/>
                <w:szCs w:val="18"/>
                <w:color w:val="7A04DD"/>
              </w:rPr>
            </w:pPr>
            <w:hyperlink r:id="rId487">
              <w:r>
                <w:rPr>
                  <w:rFonts w:ascii="Calibri" w:cs="Calibri" w:eastAsia="Calibri" w:hAnsi="Calibri"/>
                  <w:sz w:val="18"/>
                  <w:szCs w:val="18"/>
                  <w:color w:val="7A04DD"/>
                </w:rPr>
                <w:t>Amendment, Consent and Waiver, Agreement dated as of</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10/8/2015</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10.79</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50" w:type="dxa"/>
            <w:vAlign w:val="bottom"/>
          </w:tcPr>
          <w:p>
            <w:pPr>
              <w:spacing w:after="0" w:line="20" w:lineRule="exact"/>
              <w:rPr>
                <w:sz w:val="1"/>
                <w:szCs w:val="1"/>
                <w:color w:val="auto"/>
              </w:rPr>
            </w:pPr>
          </w:p>
        </w:tc>
        <w:tc>
          <w:tcPr>
            <w:tcW w:w="260" w:type="dxa"/>
            <w:vAlign w:val="bottom"/>
            <w:shd w:val="clear" w:color="auto" w:fill="7A04DD"/>
          </w:tcPr>
          <w:p>
            <w:pPr>
              <w:spacing w:after="0" w:line="20" w:lineRule="exact"/>
              <w:rPr>
                <w:sz w:val="1"/>
                <w:szCs w:val="1"/>
                <w:color w:val="auto"/>
              </w:rPr>
            </w:pPr>
          </w:p>
        </w:tc>
        <w:tc>
          <w:tcPr>
            <w:tcW w:w="820" w:type="dxa"/>
            <w:vAlign w:val="bottom"/>
            <w:gridSpan w:val="2"/>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66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154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80" w:type="dxa"/>
            <w:vAlign w:val="bottom"/>
            <w:tcBorders>
              <w:right w:val="single" w:sz="8" w:color="7A04DD"/>
            </w:tcBorders>
            <w:shd w:val="clear" w:color="auto" w:fill="7A04DD"/>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1"/>
          </w:tcPr>
          <w:p>
            <w:pPr>
              <w:spacing w:after="0" w:line="196" w:lineRule="exact"/>
              <w:rPr>
                <w:rFonts w:ascii="Calibri" w:cs="Calibri" w:eastAsia="Calibri" w:hAnsi="Calibri"/>
                <w:sz w:val="18"/>
                <w:szCs w:val="18"/>
                <w:color w:val="7A04DD"/>
              </w:rPr>
            </w:pPr>
            <w:hyperlink r:id="rId487">
              <w:r>
                <w:rPr>
                  <w:rFonts w:ascii="Calibri" w:cs="Calibri" w:eastAsia="Calibri" w:hAnsi="Calibri"/>
                  <w:sz w:val="18"/>
                  <w:szCs w:val="18"/>
                  <w:color w:val="7A04DD"/>
                </w:rPr>
                <w:t>October 2, 2015, by and between Smart Tuiton Holdings, LLC and</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660" w:type="dxa"/>
            <w:vAlign w:val="bottom"/>
            <w:tcBorders>
              <w:top w:val="single" w:sz="8" w:color="7A04DD"/>
            </w:tcBorders>
            <w:gridSpan w:val="20"/>
          </w:tcPr>
          <w:p>
            <w:pPr>
              <w:spacing w:after="0" w:line="196" w:lineRule="exact"/>
              <w:rPr>
                <w:rFonts w:ascii="Calibri" w:cs="Calibri" w:eastAsia="Calibri" w:hAnsi="Calibri"/>
                <w:sz w:val="18"/>
                <w:szCs w:val="18"/>
                <w:color w:val="7A04DD"/>
              </w:rPr>
            </w:pPr>
            <w:hyperlink r:id="rId487">
              <w:r>
                <w:rPr>
                  <w:rFonts w:ascii="Calibri" w:cs="Calibri" w:eastAsia="Calibri" w:hAnsi="Calibri"/>
                  <w:sz w:val="18"/>
                  <w:szCs w:val="18"/>
                  <w:color w:val="7A04DD"/>
                </w:rPr>
                <w:t>Blackbaud, Inc.</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88">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5</w:t>
              </w:r>
            </w:hyperlink>
          </w:p>
        </w:tc>
        <w:tc>
          <w:tcPr>
            <w:tcW w:w="650" w:type="dxa"/>
            <w:vAlign w:val="bottom"/>
            <w:shd w:val="clear" w:color="auto" w:fill="EBFBFF"/>
          </w:tcPr>
          <w:p>
            <w:pPr>
              <w:spacing w:after="0"/>
              <w:rPr>
                <w:sz w:val="16"/>
                <w:szCs w:val="16"/>
                <w:color w:val="auto"/>
              </w:rPr>
            </w:pPr>
          </w:p>
        </w:tc>
        <w:tc>
          <w:tcPr>
            <w:tcW w:w="4800" w:type="dxa"/>
            <w:vAlign w:val="bottom"/>
            <w:gridSpan w:val="21"/>
            <w:shd w:val="clear" w:color="auto" w:fill="EBFBFF"/>
          </w:tcPr>
          <w:p>
            <w:pPr>
              <w:spacing w:after="0" w:line="189" w:lineRule="exact"/>
              <w:rPr>
                <w:rFonts w:ascii="Calibri" w:cs="Calibri" w:eastAsia="Calibri" w:hAnsi="Calibri"/>
                <w:sz w:val="18"/>
                <w:szCs w:val="18"/>
                <w:color w:val="7A04DD"/>
              </w:rPr>
            </w:pPr>
            <w:hyperlink r:id="rId488">
              <w:r>
                <w:rPr>
                  <w:rFonts w:ascii="Calibri" w:cs="Calibri" w:eastAsia="Calibri" w:hAnsi="Calibri"/>
                  <w:sz w:val="18"/>
                  <w:szCs w:val="18"/>
                  <w:color w:val="7A04DD"/>
                </w:rPr>
                <w:t>Agreement and Plan of Merger, dated as of December 30, 2021,</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2.1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EBFBFF"/>
              <w:bottom w:val="single" w:sz="8" w:color="EBFBFF"/>
            </w:tcBorders>
            <w:shd w:val="clear" w:color="auto" w:fill="EBFBFF"/>
          </w:tcPr>
          <w:p>
            <w:pPr>
              <w:spacing w:after="0"/>
              <w:rPr>
                <w:sz w:val="17"/>
                <w:szCs w:val="17"/>
                <w:color w:val="auto"/>
              </w:rPr>
            </w:pPr>
          </w:p>
        </w:tc>
        <w:tc>
          <w:tcPr>
            <w:tcW w:w="120" w:type="dxa"/>
            <w:vAlign w:val="bottom"/>
            <w:tcBorders>
              <w:top w:val="single" w:sz="8" w:color="EBFBFF"/>
              <w:bottom w:val="single" w:sz="8" w:color="EBFBFF"/>
            </w:tcBorders>
            <w:shd w:val="clear" w:color="auto" w:fill="EBFBFF"/>
          </w:tcPr>
          <w:p>
            <w:pPr>
              <w:spacing w:after="0"/>
              <w:rPr>
                <w:sz w:val="17"/>
                <w:szCs w:val="17"/>
                <w:color w:val="auto"/>
              </w:rPr>
            </w:pPr>
          </w:p>
        </w:tc>
        <w:tc>
          <w:tcPr>
            <w:tcW w:w="220" w:type="dxa"/>
            <w:vAlign w:val="bottom"/>
            <w:tcBorders>
              <w:top w:val="single" w:sz="8" w:color="7A04DD"/>
              <w:bottom w:val="single" w:sz="8" w:color="EBFBFF"/>
            </w:tcBorders>
            <w:shd w:val="clear" w:color="auto" w:fill="EBFBFF"/>
          </w:tcPr>
          <w:p>
            <w:pPr>
              <w:spacing w:after="0"/>
              <w:rPr>
                <w:sz w:val="17"/>
                <w:szCs w:val="17"/>
                <w:color w:val="auto"/>
              </w:rPr>
            </w:pPr>
          </w:p>
        </w:tc>
        <w:tc>
          <w:tcPr>
            <w:tcW w:w="30" w:type="dxa"/>
            <w:vAlign w:val="bottom"/>
            <w:tcBorders>
              <w:top w:val="single" w:sz="8" w:color="EBFBFF"/>
              <w:bottom w:val="single" w:sz="8" w:color="EBFBFF"/>
            </w:tcBorders>
            <w:shd w:val="clear" w:color="auto" w:fill="EBFBFF"/>
          </w:tcPr>
          <w:p>
            <w:pPr>
              <w:spacing w:after="0"/>
              <w:rPr>
                <w:sz w:val="17"/>
                <w:szCs w:val="17"/>
                <w:color w:val="auto"/>
              </w:rPr>
            </w:pPr>
          </w:p>
        </w:tc>
        <w:tc>
          <w:tcPr>
            <w:tcW w:w="650" w:type="dxa"/>
            <w:vAlign w:val="bottom"/>
            <w:tcBorders>
              <w:top w:val="single" w:sz="8" w:color="EBFBFF"/>
              <w:bottom w:val="single" w:sz="8" w:color="EBFBFF"/>
            </w:tcBorders>
            <w:shd w:val="clear" w:color="auto" w:fill="EBFBFF"/>
          </w:tcPr>
          <w:p>
            <w:pPr>
              <w:spacing w:after="0"/>
              <w:rPr>
                <w:sz w:val="17"/>
                <w:szCs w:val="17"/>
                <w:color w:val="auto"/>
              </w:rPr>
            </w:pPr>
          </w:p>
        </w:tc>
        <w:tc>
          <w:tcPr>
            <w:tcW w:w="4440" w:type="dxa"/>
            <w:vAlign w:val="bottom"/>
            <w:tcBorders>
              <w:top w:val="single" w:sz="8" w:color="7A04DD"/>
              <w:bottom w:val="single" w:sz="8" w:color="7A04DD"/>
            </w:tcBorders>
            <w:gridSpan w:val="16"/>
            <w:shd w:val="clear" w:color="auto" w:fill="EBFBFF"/>
          </w:tcPr>
          <w:p>
            <w:pPr>
              <w:spacing w:after="0" w:line="196" w:lineRule="exact"/>
              <w:rPr>
                <w:rFonts w:ascii="Calibri" w:cs="Calibri" w:eastAsia="Calibri" w:hAnsi="Calibri"/>
                <w:sz w:val="18"/>
                <w:szCs w:val="18"/>
                <w:color w:val="7A04DD"/>
                <w:w w:val="97"/>
              </w:rPr>
            </w:pPr>
            <w:hyperlink r:id="rId488">
              <w:r>
                <w:rPr>
                  <w:rFonts w:ascii="Calibri" w:cs="Calibri" w:eastAsia="Calibri" w:hAnsi="Calibri"/>
                  <w:sz w:val="18"/>
                  <w:szCs w:val="18"/>
                  <w:color w:val="7A04DD"/>
                  <w:w w:val="97"/>
                </w:rPr>
                <w:t>by and among Blackbaud, Inc., Project Montessori Acquisiton,</w:t>
              </w:r>
            </w:hyperlink>
          </w:p>
        </w:tc>
        <w:tc>
          <w:tcPr>
            <w:tcW w:w="100" w:type="dxa"/>
            <w:vAlign w:val="bottom"/>
            <w:tcBorders>
              <w:top w:val="single" w:sz="8" w:color="7A04DD"/>
              <w:bottom w:val="single" w:sz="8" w:color="EBFBFF"/>
            </w:tcBorders>
            <w:gridSpan w:val="2"/>
            <w:shd w:val="clear" w:color="auto" w:fill="EBFBFF"/>
          </w:tcPr>
          <w:p>
            <w:pPr>
              <w:spacing w:after="0"/>
              <w:rPr>
                <w:sz w:val="17"/>
                <w:szCs w:val="17"/>
                <w:color w:val="auto"/>
              </w:rPr>
            </w:pPr>
          </w:p>
        </w:tc>
        <w:tc>
          <w:tcPr>
            <w:tcW w:w="260" w:type="dxa"/>
            <w:vAlign w:val="bottom"/>
            <w:tcBorders>
              <w:top w:val="single" w:sz="8" w:color="EBFBFF"/>
              <w:bottom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1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30" w:type="dxa"/>
            <w:vAlign w:val="bottom"/>
            <w:shd w:val="clear" w:color="auto" w:fill="EBFBFF"/>
          </w:tcPr>
          <w:p>
            <w:pPr>
              <w:spacing w:after="0"/>
              <w:rPr>
                <w:sz w:val="17"/>
                <w:szCs w:val="17"/>
                <w:color w:val="auto"/>
              </w:rPr>
            </w:pPr>
          </w:p>
        </w:tc>
        <w:tc>
          <w:tcPr>
            <w:tcW w:w="650" w:type="dxa"/>
            <w:vAlign w:val="bottom"/>
            <w:shd w:val="clear" w:color="auto" w:fill="EBFBFF"/>
          </w:tcPr>
          <w:p>
            <w:pPr>
              <w:spacing w:after="0"/>
              <w:rPr>
                <w:sz w:val="17"/>
                <w:szCs w:val="17"/>
                <w:color w:val="auto"/>
              </w:rPr>
            </w:pPr>
          </w:p>
        </w:tc>
        <w:tc>
          <w:tcPr>
            <w:tcW w:w="4800" w:type="dxa"/>
            <w:vAlign w:val="bottom"/>
            <w:gridSpan w:val="21"/>
            <w:shd w:val="clear" w:color="auto" w:fill="EBFBFF"/>
          </w:tcPr>
          <w:p>
            <w:pPr>
              <w:spacing w:after="0" w:line="196" w:lineRule="exact"/>
              <w:rPr>
                <w:rFonts w:ascii="Calibri" w:cs="Calibri" w:eastAsia="Calibri" w:hAnsi="Calibri"/>
                <w:sz w:val="18"/>
                <w:szCs w:val="18"/>
                <w:color w:val="7A04DD"/>
              </w:rPr>
            </w:pPr>
            <w:hyperlink r:id="rId488">
              <w:r>
                <w:rPr>
                  <w:rFonts w:ascii="Calibri" w:cs="Calibri" w:eastAsia="Calibri" w:hAnsi="Calibri"/>
                  <w:sz w:val="18"/>
                  <w:szCs w:val="18"/>
                  <w:color w:val="7A04DD"/>
                </w:rPr>
                <w:t>Inc., EverFi, Inc. and Eon Stockholder Representatve, LLC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154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89">
              <w:r>
                <w:rPr>
                  <w:rFonts w:ascii="Calibri" w:cs="Calibri" w:eastAsia="Calibri" w:hAnsi="Calibri"/>
                  <w:sz w:val="18"/>
                  <w:szCs w:val="18"/>
                  <w:color w:val="7A04DD"/>
                  <w:w w:val="96"/>
                </w:rPr>
                <w:t>3.</w:t>
              </w:r>
              <w:r>
                <w:rPr>
                  <w:rFonts w:ascii="Calibri" w:cs="Calibri" w:eastAsia="Calibri" w:hAnsi="Calibri"/>
                  <w:sz w:val="18"/>
                  <w:szCs w:val="18"/>
                  <w:u w:val="single" w:color="auto"/>
                  <w:color w:val="7A04DD"/>
                  <w:w w:val="96"/>
                </w:rPr>
                <w:t>1</w:t>
              </w:r>
            </w:hyperlink>
          </w:p>
        </w:tc>
        <w:tc>
          <w:tcPr>
            <w:tcW w:w="650" w:type="dxa"/>
            <w:vAlign w:val="bottom"/>
          </w:tcPr>
          <w:p>
            <w:pPr>
              <w:spacing w:after="0"/>
              <w:rPr>
                <w:sz w:val="16"/>
                <w:szCs w:val="16"/>
                <w:color w:val="auto"/>
              </w:rPr>
            </w:pPr>
          </w:p>
        </w:tc>
        <w:tc>
          <w:tcPr>
            <w:tcW w:w="4800" w:type="dxa"/>
            <w:vAlign w:val="bottom"/>
            <w:gridSpan w:val="21"/>
          </w:tcPr>
          <w:p>
            <w:pPr>
              <w:spacing w:after="0" w:line="189" w:lineRule="exact"/>
              <w:rPr>
                <w:rFonts w:ascii="Calibri" w:cs="Calibri" w:eastAsia="Calibri" w:hAnsi="Calibri"/>
                <w:sz w:val="18"/>
                <w:szCs w:val="18"/>
                <w:color w:val="7A04DD"/>
              </w:rPr>
            </w:pPr>
            <w:hyperlink r:id="rId489">
              <w:r>
                <w:rPr>
                  <w:rFonts w:ascii="Calibri" w:cs="Calibri" w:eastAsia="Calibri" w:hAnsi="Calibri"/>
                  <w:sz w:val="18"/>
                  <w:szCs w:val="18"/>
                  <w:color w:val="7A04DD"/>
                </w:rPr>
                <w:t>Amended and Restated Certfcate of Incorporaton of Blackbaud,</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8"/>
              </w:rPr>
              <w:t>DEF 14A</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4/30/2009</w:t>
            </w:r>
          </w:p>
        </w:tc>
        <w:tc>
          <w:tcPr>
            <w:tcW w:w="1113" w:type="dxa"/>
            <w:vAlign w:val="bottom"/>
          </w:tcPr>
          <w:p>
            <w:pPr>
              <w:spacing w:after="0"/>
              <w:rPr>
                <w:sz w:val="16"/>
                <w:szCs w:val="16"/>
                <w:color w:val="auto"/>
              </w:rPr>
            </w:pP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640" w:type="dxa"/>
            <w:vAlign w:val="bottom"/>
            <w:tcBorders>
              <w:top w:val="single" w:sz="8" w:color="7A04DD"/>
            </w:tcBorders>
            <w:gridSpan w:val="19"/>
          </w:tcPr>
          <w:p>
            <w:pPr>
              <w:spacing w:after="0" w:line="196" w:lineRule="exact"/>
              <w:rPr>
                <w:rFonts w:ascii="Calibri" w:cs="Calibri" w:eastAsia="Calibri" w:hAnsi="Calibri"/>
                <w:sz w:val="18"/>
                <w:szCs w:val="18"/>
                <w:color w:val="7A04DD"/>
              </w:rPr>
            </w:pPr>
            <w:hyperlink r:id="rId489">
              <w:r>
                <w:rPr>
                  <w:rFonts w:ascii="Calibri" w:cs="Calibri" w:eastAsia="Calibri" w:hAnsi="Calibri"/>
                  <w:sz w:val="18"/>
                  <w:szCs w:val="18"/>
                  <w:color w:val="7A04DD"/>
                </w:rPr>
                <w:t>Inc.</w:t>
              </w:r>
            </w:hyperlink>
          </w:p>
        </w:tc>
        <w:tc>
          <w:tcPr>
            <w:tcW w:w="1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70" w:type="dxa"/>
            <w:vAlign w:val="bottom"/>
            <w:tcBorders>
              <w:bottom w:val="single" w:sz="8" w:color="EBFBFF"/>
            </w:tcBorders>
            <w:gridSpan w:val="4"/>
            <w:vMerge w:val="restart"/>
            <w:shd w:val="clear" w:color="auto" w:fill="EBFBFF"/>
          </w:tcPr>
          <w:p>
            <w:pPr>
              <w:jc w:val="right"/>
              <w:ind w:right="10"/>
              <w:spacing w:after="0"/>
              <w:rPr>
                <w:rFonts w:ascii="Calibri" w:cs="Calibri" w:eastAsia="Calibri" w:hAnsi="Calibri"/>
                <w:sz w:val="18"/>
                <w:szCs w:val="18"/>
                <w:color w:val="7A04DD"/>
              </w:rPr>
            </w:pPr>
            <w:hyperlink r:id="rId490">
              <w:r>
                <w:rPr>
                  <w:rFonts w:ascii="Calibri" w:cs="Calibri" w:eastAsia="Calibri" w:hAnsi="Calibri"/>
                  <w:sz w:val="18"/>
                  <w:szCs w:val="18"/>
                  <w:color w:val="7A04DD"/>
                </w:rPr>
                <w:t>3.</w:t>
              </w:r>
              <w:r>
                <w:rPr>
                  <w:rFonts w:ascii="Calibri" w:cs="Calibri" w:eastAsia="Calibri" w:hAnsi="Calibri"/>
                  <w:sz w:val="18"/>
                  <w:szCs w:val="18"/>
                  <w:u w:val="single" w:color="auto"/>
                  <w:color w:val="7A04DD"/>
                </w:rPr>
                <w:t>1.1</w:t>
              </w:r>
            </w:hyperlink>
          </w:p>
        </w:tc>
        <w:tc>
          <w:tcPr>
            <w:tcW w:w="650" w:type="dxa"/>
            <w:vAlign w:val="bottom"/>
            <w:tcBorders>
              <w:bottom w:val="single" w:sz="8" w:color="EBFBFF"/>
            </w:tcBorders>
            <w:shd w:val="clear" w:color="auto" w:fill="EBFBFF"/>
          </w:tcPr>
          <w:p>
            <w:pPr>
              <w:spacing w:after="0"/>
              <w:rPr>
                <w:sz w:val="16"/>
                <w:szCs w:val="16"/>
                <w:color w:val="auto"/>
              </w:rPr>
            </w:pPr>
          </w:p>
        </w:tc>
        <w:tc>
          <w:tcPr>
            <w:tcW w:w="4020" w:type="dxa"/>
            <w:vAlign w:val="bottom"/>
            <w:tcBorders>
              <w:bottom w:val="single" w:sz="8" w:color="7A04DD"/>
            </w:tcBorders>
            <w:gridSpan w:val="10"/>
            <w:shd w:val="clear" w:color="auto" w:fill="EBFBFF"/>
          </w:tcPr>
          <w:p>
            <w:pPr>
              <w:spacing w:after="0" w:line="189" w:lineRule="exact"/>
              <w:rPr>
                <w:rFonts w:ascii="Calibri" w:cs="Calibri" w:eastAsia="Calibri" w:hAnsi="Calibri"/>
                <w:sz w:val="18"/>
                <w:szCs w:val="18"/>
                <w:color w:val="7A04DD"/>
                <w:w w:val="98"/>
              </w:rPr>
            </w:pPr>
            <w:hyperlink r:id="rId490">
              <w:r>
                <w:rPr>
                  <w:rFonts w:ascii="Calibri" w:cs="Calibri" w:eastAsia="Calibri" w:hAnsi="Calibri"/>
                  <w:sz w:val="18"/>
                  <w:szCs w:val="18"/>
                  <w:color w:val="7A04DD"/>
                  <w:w w:val="98"/>
                </w:rPr>
                <w:t>Amendment to the Amended and Restated Certfcate of</w:t>
              </w:r>
            </w:hyperlink>
          </w:p>
        </w:tc>
        <w:tc>
          <w:tcPr>
            <w:tcW w:w="780" w:type="dxa"/>
            <w:vAlign w:val="bottom"/>
            <w:tcBorders>
              <w:bottom w:val="single" w:sz="8" w:color="EBFBFF"/>
            </w:tcBorders>
            <w:gridSpan w:val="11"/>
            <w:shd w:val="clear" w:color="auto" w:fill="EBFBFF"/>
          </w:tcPr>
          <w:p>
            <w:pPr>
              <w:spacing w:after="0"/>
              <w:rPr>
                <w:sz w:val="16"/>
                <w:szCs w:val="16"/>
                <w:color w:val="auto"/>
              </w:rPr>
            </w:pPr>
          </w:p>
        </w:tc>
        <w:tc>
          <w:tcPr>
            <w:tcW w:w="1200" w:type="dxa"/>
            <w:vAlign w:val="bottom"/>
            <w:tcBorders>
              <w:bottom w:val="single" w:sz="8" w:color="EBFBFF"/>
            </w:tcBorders>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Borders>
              <w:bottom w:val="single" w:sz="8" w:color="EBFBFF"/>
            </w:tcBorders>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7/31/2024</w:t>
            </w:r>
          </w:p>
        </w:tc>
        <w:tc>
          <w:tcPr>
            <w:tcW w:w="1113" w:type="dxa"/>
            <w:vAlign w:val="bottom"/>
            <w:tcBorders>
              <w:bottom w:val="single" w:sz="8" w:color="EBFBFF"/>
            </w:tcBorders>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3.1.1</w:t>
            </w:r>
          </w:p>
        </w:tc>
        <w:tc>
          <w:tcPr>
            <w:tcW w:w="928"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70" w:type="dxa"/>
            <w:vAlign w:val="bottom"/>
            <w:gridSpan w:val="4"/>
            <w:vMerge w:val="continue"/>
            <w:shd w:val="clear" w:color="auto" w:fill="EBFBFF"/>
          </w:tcPr>
          <w:p>
            <w:pPr>
              <w:spacing w:after="0"/>
              <w:rPr>
                <w:sz w:val="2"/>
                <w:szCs w:val="2"/>
                <w:color w:val="auto"/>
              </w:rPr>
            </w:pPr>
          </w:p>
        </w:tc>
        <w:tc>
          <w:tcPr>
            <w:tcW w:w="650" w:type="dxa"/>
            <w:vAlign w:val="bottom"/>
            <w:shd w:val="clear" w:color="auto" w:fill="EBFBFF"/>
          </w:tcPr>
          <w:p>
            <w:pPr>
              <w:spacing w:after="0"/>
              <w:rPr>
                <w:sz w:val="2"/>
                <w:szCs w:val="2"/>
                <w:color w:val="auto"/>
              </w:rPr>
            </w:pPr>
          </w:p>
        </w:tc>
        <w:tc>
          <w:tcPr>
            <w:tcW w:w="4800" w:type="dxa"/>
            <w:vAlign w:val="bottom"/>
            <w:gridSpan w:val="21"/>
            <w:vMerge w:val="restart"/>
            <w:shd w:val="clear" w:color="auto" w:fill="EBFBFF"/>
          </w:tcPr>
          <w:p>
            <w:pPr>
              <w:spacing w:after="0" w:line="196" w:lineRule="exact"/>
              <w:rPr>
                <w:rFonts w:ascii="Calibri" w:cs="Calibri" w:eastAsia="Calibri" w:hAnsi="Calibri"/>
                <w:sz w:val="18"/>
                <w:szCs w:val="18"/>
                <w:color w:val="7A04DD"/>
              </w:rPr>
            </w:pPr>
            <w:hyperlink r:id="rId490">
              <w:r>
                <w:rPr>
                  <w:rFonts w:ascii="Calibri" w:cs="Calibri" w:eastAsia="Calibri" w:hAnsi="Calibri"/>
                  <w:sz w:val="18"/>
                  <w:szCs w:val="18"/>
                  <w:color w:val="7A04DD"/>
                </w:rPr>
                <w:t>Incorporaton of Blackbaud, Inc.</w:t>
              </w:r>
            </w:hyperlink>
          </w:p>
        </w:tc>
        <w:tc>
          <w:tcPr>
            <w:tcW w:w="1200" w:type="dxa"/>
            <w:vAlign w:val="bottom"/>
            <w:shd w:val="clear" w:color="auto" w:fill="EBFBFF"/>
          </w:tcPr>
          <w:p>
            <w:pPr>
              <w:spacing w:after="0"/>
              <w:rPr>
                <w:sz w:val="2"/>
                <w:szCs w:val="2"/>
                <w:color w:val="auto"/>
              </w:rPr>
            </w:pPr>
          </w:p>
        </w:tc>
        <w:tc>
          <w:tcPr>
            <w:tcW w:w="1580" w:type="dxa"/>
            <w:vAlign w:val="bottom"/>
            <w:shd w:val="clear" w:color="auto" w:fill="EBFBFF"/>
          </w:tcPr>
          <w:p>
            <w:pPr>
              <w:spacing w:after="0"/>
              <w:rPr>
                <w:sz w:val="2"/>
                <w:szCs w:val="2"/>
                <w:color w:val="auto"/>
              </w:rPr>
            </w:pPr>
          </w:p>
        </w:tc>
        <w:tc>
          <w:tcPr>
            <w:tcW w:w="1113" w:type="dxa"/>
            <w:vAlign w:val="bottom"/>
            <w:shd w:val="clear" w:color="auto" w:fill="EBFBFF"/>
          </w:tcPr>
          <w:p>
            <w:pPr>
              <w:spacing w:after="0"/>
              <w:rPr>
                <w:sz w:val="2"/>
                <w:szCs w:val="2"/>
                <w:color w:val="auto"/>
              </w:rPr>
            </w:pPr>
          </w:p>
        </w:tc>
        <w:tc>
          <w:tcPr>
            <w:tcW w:w="928"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tcBorders>
              <w:top w:val="single" w:sz="8" w:color="EBFBFF"/>
            </w:tcBorders>
            <w:shd w:val="clear" w:color="auto" w:fill="EBFBFF"/>
          </w:tcPr>
          <w:p>
            <w:pPr>
              <w:spacing w:after="0"/>
              <w:rPr>
                <w:sz w:val="12"/>
                <w:szCs w:val="12"/>
                <w:color w:val="auto"/>
              </w:rPr>
            </w:pPr>
          </w:p>
        </w:tc>
        <w:tc>
          <w:tcPr>
            <w:tcW w:w="120" w:type="dxa"/>
            <w:vAlign w:val="bottom"/>
            <w:tcBorders>
              <w:top w:val="single" w:sz="8" w:color="7A04DD"/>
            </w:tcBorders>
            <w:shd w:val="clear" w:color="auto" w:fill="EBFBFF"/>
          </w:tcPr>
          <w:p>
            <w:pPr>
              <w:spacing w:after="0"/>
              <w:rPr>
                <w:sz w:val="12"/>
                <w:szCs w:val="12"/>
                <w:color w:val="auto"/>
              </w:rPr>
            </w:pPr>
          </w:p>
        </w:tc>
        <w:tc>
          <w:tcPr>
            <w:tcW w:w="220" w:type="dxa"/>
            <w:vAlign w:val="bottom"/>
            <w:tcBorders>
              <w:top w:val="single" w:sz="8" w:color="7A04DD"/>
            </w:tcBorders>
            <w:shd w:val="clear" w:color="auto" w:fill="EBFBFF"/>
          </w:tcPr>
          <w:p>
            <w:pPr>
              <w:spacing w:after="0"/>
              <w:rPr>
                <w:sz w:val="12"/>
                <w:szCs w:val="12"/>
                <w:color w:val="auto"/>
              </w:rPr>
            </w:pPr>
          </w:p>
        </w:tc>
        <w:tc>
          <w:tcPr>
            <w:tcW w:w="30" w:type="dxa"/>
            <w:vAlign w:val="bottom"/>
            <w:tcBorders>
              <w:top w:val="single" w:sz="8" w:color="EBFBFF"/>
            </w:tcBorders>
            <w:shd w:val="clear" w:color="auto" w:fill="EBFBFF"/>
          </w:tcPr>
          <w:p>
            <w:pPr>
              <w:spacing w:after="0"/>
              <w:rPr>
                <w:sz w:val="12"/>
                <w:szCs w:val="12"/>
                <w:color w:val="auto"/>
              </w:rPr>
            </w:pPr>
          </w:p>
        </w:tc>
        <w:tc>
          <w:tcPr>
            <w:tcW w:w="650" w:type="dxa"/>
            <w:vAlign w:val="bottom"/>
            <w:tcBorders>
              <w:top w:val="single" w:sz="8" w:color="EBFBFF"/>
            </w:tcBorders>
            <w:shd w:val="clear" w:color="auto" w:fill="EBFBFF"/>
          </w:tcPr>
          <w:p>
            <w:pPr>
              <w:spacing w:after="0"/>
              <w:rPr>
                <w:sz w:val="12"/>
                <w:szCs w:val="12"/>
                <w:color w:val="auto"/>
              </w:rPr>
            </w:pPr>
          </w:p>
        </w:tc>
        <w:tc>
          <w:tcPr>
            <w:tcW w:w="4800" w:type="dxa"/>
            <w:vAlign w:val="bottom"/>
            <w:tcBorders>
              <w:top w:val="single" w:sz="8" w:color="EBFBFF"/>
            </w:tcBorders>
            <w:gridSpan w:val="21"/>
            <w:vMerge w:val="continue"/>
            <w:shd w:val="clear" w:color="auto" w:fill="EBFBFF"/>
          </w:tcPr>
          <w:p>
            <w:pPr>
              <w:spacing w:after="0"/>
              <w:rPr>
                <w:sz w:val="12"/>
                <w:szCs w:val="12"/>
                <w:color w:val="auto"/>
              </w:rPr>
            </w:pPr>
          </w:p>
        </w:tc>
        <w:tc>
          <w:tcPr>
            <w:tcW w:w="1200" w:type="dxa"/>
            <w:vAlign w:val="bottom"/>
            <w:tcBorders>
              <w:top w:val="single" w:sz="8" w:color="EBFBFF"/>
            </w:tcBorders>
            <w:shd w:val="clear" w:color="auto" w:fill="EBFBFF"/>
          </w:tcPr>
          <w:p>
            <w:pPr>
              <w:spacing w:after="0"/>
              <w:rPr>
                <w:sz w:val="12"/>
                <w:szCs w:val="12"/>
                <w:color w:val="auto"/>
              </w:rPr>
            </w:pPr>
          </w:p>
        </w:tc>
        <w:tc>
          <w:tcPr>
            <w:tcW w:w="1580" w:type="dxa"/>
            <w:vAlign w:val="bottom"/>
            <w:tcBorders>
              <w:top w:val="single" w:sz="8" w:color="EBFBFF"/>
            </w:tcBorders>
            <w:shd w:val="clear" w:color="auto" w:fill="EBFBFF"/>
          </w:tcPr>
          <w:p>
            <w:pPr>
              <w:spacing w:after="0"/>
              <w:rPr>
                <w:sz w:val="12"/>
                <w:szCs w:val="12"/>
                <w:color w:val="auto"/>
              </w:rPr>
            </w:pPr>
          </w:p>
        </w:tc>
        <w:tc>
          <w:tcPr>
            <w:tcW w:w="1113" w:type="dxa"/>
            <w:vAlign w:val="bottom"/>
            <w:tcBorders>
              <w:top w:val="single" w:sz="8" w:color="EBFBFF"/>
            </w:tcBorders>
            <w:shd w:val="clear" w:color="auto" w:fill="EBFBFF"/>
          </w:tcPr>
          <w:p>
            <w:pPr>
              <w:spacing w:after="0"/>
              <w:rPr>
                <w:sz w:val="12"/>
                <w:szCs w:val="12"/>
                <w:color w:val="auto"/>
              </w:rPr>
            </w:pPr>
          </w:p>
        </w:tc>
        <w:tc>
          <w:tcPr>
            <w:tcW w:w="928"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70" w:type="dxa"/>
            <w:vAlign w:val="bottom"/>
            <w:gridSpan w:val="4"/>
            <w:vMerge w:val="restart"/>
          </w:tcPr>
          <w:p>
            <w:pPr>
              <w:jc w:val="right"/>
              <w:ind w:right="10"/>
              <w:spacing w:after="0"/>
              <w:rPr>
                <w:rFonts w:ascii="Calibri" w:cs="Calibri" w:eastAsia="Calibri" w:hAnsi="Calibri"/>
                <w:sz w:val="18"/>
                <w:szCs w:val="18"/>
                <w:color w:val="7A04DD"/>
              </w:rPr>
            </w:pPr>
            <w:hyperlink r:id="rId491">
              <w:r>
                <w:rPr>
                  <w:rFonts w:ascii="Calibri" w:cs="Calibri" w:eastAsia="Calibri" w:hAnsi="Calibri"/>
                  <w:sz w:val="18"/>
                  <w:szCs w:val="18"/>
                  <w:color w:val="7A04DD"/>
                </w:rPr>
                <w:t>3.</w:t>
              </w:r>
              <w:r>
                <w:rPr>
                  <w:rFonts w:ascii="Calibri" w:cs="Calibri" w:eastAsia="Calibri" w:hAnsi="Calibri"/>
                  <w:sz w:val="18"/>
                  <w:szCs w:val="18"/>
                  <w:u w:val="single" w:color="auto"/>
                  <w:color w:val="7A04DD"/>
                </w:rPr>
                <w:t>2</w:t>
              </w:r>
            </w:hyperlink>
          </w:p>
        </w:tc>
        <w:tc>
          <w:tcPr>
            <w:tcW w:w="650" w:type="dxa"/>
            <w:vAlign w:val="bottom"/>
          </w:tcPr>
          <w:p>
            <w:pPr>
              <w:spacing w:after="0"/>
              <w:rPr>
                <w:sz w:val="16"/>
                <w:szCs w:val="16"/>
                <w:color w:val="auto"/>
              </w:rPr>
            </w:pPr>
          </w:p>
        </w:tc>
        <w:tc>
          <w:tcPr>
            <w:tcW w:w="4000" w:type="dxa"/>
            <w:vAlign w:val="bottom"/>
            <w:tcBorders>
              <w:bottom w:val="single" w:sz="8" w:color="7A04DD"/>
            </w:tcBorders>
            <w:gridSpan w:val="9"/>
          </w:tcPr>
          <w:p>
            <w:pPr>
              <w:spacing w:after="0" w:line="189" w:lineRule="exact"/>
              <w:rPr>
                <w:rFonts w:ascii="Calibri" w:cs="Calibri" w:eastAsia="Calibri" w:hAnsi="Calibri"/>
                <w:sz w:val="18"/>
                <w:szCs w:val="18"/>
                <w:color w:val="7A04DD"/>
              </w:rPr>
            </w:pPr>
            <w:hyperlink r:id="rId491">
              <w:r>
                <w:rPr>
                  <w:rFonts w:ascii="Calibri" w:cs="Calibri" w:eastAsia="Calibri" w:hAnsi="Calibri"/>
                  <w:sz w:val="18"/>
                  <w:szCs w:val="18"/>
                  <w:color w:val="7A04DD"/>
                </w:rPr>
                <w:t>Certfcate of Designaton of Series A Junior Partcipatng</w:t>
              </w:r>
            </w:hyperlink>
          </w:p>
        </w:tc>
        <w:tc>
          <w:tcPr>
            <w:tcW w:w="800" w:type="dxa"/>
            <w:vAlign w:val="bottom"/>
            <w:gridSpan w:val="12"/>
          </w:tcPr>
          <w:p>
            <w:pPr>
              <w:spacing w:after="0"/>
              <w:rPr>
                <w:sz w:val="16"/>
                <w:szCs w:val="16"/>
                <w:color w:val="auto"/>
              </w:rPr>
            </w:pPr>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10/11/2022</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3.1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70" w:type="dxa"/>
            <w:vAlign w:val="bottom"/>
            <w:gridSpan w:val="4"/>
            <w:vMerge w:val="continue"/>
          </w:tcPr>
          <w:p>
            <w:pPr>
              <w:spacing w:after="0"/>
              <w:rPr>
                <w:sz w:val="2"/>
                <w:szCs w:val="2"/>
                <w:color w:val="auto"/>
              </w:rPr>
            </w:pPr>
          </w:p>
        </w:tc>
        <w:tc>
          <w:tcPr>
            <w:tcW w:w="650" w:type="dxa"/>
            <w:vAlign w:val="bottom"/>
          </w:tcPr>
          <w:p>
            <w:pPr>
              <w:spacing w:after="0"/>
              <w:rPr>
                <w:sz w:val="2"/>
                <w:szCs w:val="2"/>
                <w:color w:val="auto"/>
              </w:rPr>
            </w:pPr>
          </w:p>
        </w:tc>
        <w:tc>
          <w:tcPr>
            <w:tcW w:w="4800" w:type="dxa"/>
            <w:vAlign w:val="bottom"/>
            <w:gridSpan w:val="21"/>
            <w:vMerge w:val="restart"/>
          </w:tcPr>
          <w:p>
            <w:pPr>
              <w:spacing w:after="0" w:line="196" w:lineRule="exact"/>
              <w:rPr>
                <w:rFonts w:ascii="Calibri" w:cs="Calibri" w:eastAsia="Calibri" w:hAnsi="Calibri"/>
                <w:sz w:val="18"/>
                <w:szCs w:val="18"/>
                <w:color w:val="7A04DD"/>
              </w:rPr>
            </w:pPr>
            <w:hyperlink r:id="rId491">
              <w:r>
                <w:rPr>
                  <w:rFonts w:ascii="Calibri" w:cs="Calibri" w:eastAsia="Calibri" w:hAnsi="Calibri"/>
                  <w:sz w:val="18"/>
                  <w:szCs w:val="18"/>
                  <w:color w:val="7A04DD"/>
                </w:rPr>
                <w:t>Preferred Stock of Blackbaud, Inc.</w:t>
              </w:r>
            </w:hyperlink>
          </w:p>
        </w:tc>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7A04DD"/>
            </w:tcBorders>
          </w:tcPr>
          <w:p>
            <w:pPr>
              <w:spacing w:after="0"/>
              <w:rPr>
                <w:sz w:val="12"/>
                <w:szCs w:val="12"/>
                <w:color w:val="auto"/>
              </w:rPr>
            </w:pPr>
          </w:p>
        </w:tc>
        <w:tc>
          <w:tcPr>
            <w:tcW w:w="3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4800" w:type="dxa"/>
            <w:vAlign w:val="bottom"/>
            <w:gridSpan w:val="21"/>
            <w:vMerge w:val="continue"/>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13" w:type="dxa"/>
            <w:vAlign w:val="bottom"/>
          </w:tcPr>
          <w:p>
            <w:pPr>
              <w:spacing w:after="0"/>
              <w:rPr>
                <w:sz w:val="12"/>
                <w:szCs w:val="12"/>
                <w:color w:val="auto"/>
              </w:rPr>
            </w:pPr>
          </w:p>
        </w:tc>
        <w:tc>
          <w:tcPr>
            <w:tcW w:w="928"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66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20" w:type="dxa"/>
            <w:vAlign w:val="bottom"/>
            <w:gridSpan w:val="2"/>
            <w:shd w:val="clear" w:color="auto" w:fill="EBFBFF"/>
          </w:tcPr>
          <w:p>
            <w:pPr>
              <w:spacing w:after="0"/>
              <w:rPr>
                <w:sz w:val="18"/>
                <w:szCs w:val="18"/>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92">
              <w:r>
                <w:rPr>
                  <w:rFonts w:ascii="Calibri" w:cs="Calibri" w:eastAsia="Calibri" w:hAnsi="Calibri"/>
                  <w:sz w:val="18"/>
                  <w:szCs w:val="18"/>
                  <w:color w:val="7A04DD"/>
                  <w:w w:val="96"/>
                </w:rPr>
                <w:t>3.</w:t>
              </w:r>
              <w:r>
                <w:rPr>
                  <w:rFonts w:ascii="Calibri" w:cs="Calibri" w:eastAsia="Calibri" w:hAnsi="Calibri"/>
                  <w:sz w:val="18"/>
                  <w:szCs w:val="18"/>
                  <w:u w:val="single" w:color="auto"/>
                  <w:color w:val="7A04DD"/>
                  <w:w w:val="96"/>
                </w:rPr>
                <w:t>3</w:t>
              </w:r>
            </w:hyperlink>
          </w:p>
        </w:tc>
        <w:tc>
          <w:tcPr>
            <w:tcW w:w="650" w:type="dxa"/>
            <w:vAlign w:val="bottom"/>
            <w:shd w:val="clear" w:color="auto" w:fill="EBFBFF"/>
          </w:tcPr>
          <w:p>
            <w:pPr>
              <w:spacing w:after="0"/>
              <w:rPr>
                <w:sz w:val="18"/>
                <w:szCs w:val="18"/>
                <w:color w:val="auto"/>
              </w:rPr>
            </w:pPr>
          </w:p>
        </w:tc>
        <w:tc>
          <w:tcPr>
            <w:tcW w:w="4800" w:type="dxa"/>
            <w:vAlign w:val="bottom"/>
            <w:gridSpan w:val="21"/>
            <w:shd w:val="clear" w:color="auto" w:fill="EBFBFF"/>
          </w:tcPr>
          <w:p>
            <w:pPr>
              <w:spacing w:after="0" w:line="189" w:lineRule="exact"/>
              <w:rPr>
                <w:rFonts w:ascii="Calibri" w:cs="Calibri" w:eastAsia="Calibri" w:hAnsi="Calibri"/>
                <w:sz w:val="18"/>
                <w:szCs w:val="18"/>
                <w:color w:val="7A04DD"/>
              </w:rPr>
            </w:pPr>
            <w:hyperlink r:id="rId492">
              <w:r>
                <w:rPr>
                  <w:rFonts w:ascii="Calibri" w:cs="Calibri" w:eastAsia="Calibri" w:hAnsi="Calibri"/>
                  <w:sz w:val="18"/>
                  <w:szCs w:val="18"/>
                  <w:color w:val="7A04DD"/>
                </w:rPr>
                <w:t>Amended and Restated Bylaws of Blackbaud, Inc. dated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12/11/2023</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3.1</w:t>
            </w:r>
          </w:p>
        </w:tc>
        <w:tc>
          <w:tcPr>
            <w:tcW w:w="928"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 w:type="dxa"/>
            <w:vAlign w:val="bottom"/>
            <w:tcBorders>
              <w:top w:val="single" w:sz="8" w:color="EBFBFF"/>
            </w:tcBorders>
            <w:shd w:val="clear" w:color="auto" w:fill="EBFBFF"/>
          </w:tcPr>
          <w:p>
            <w:pPr>
              <w:spacing w:after="0"/>
              <w:rPr>
                <w:sz w:val="15"/>
                <w:szCs w:val="15"/>
                <w:color w:val="auto"/>
              </w:rPr>
            </w:pPr>
          </w:p>
        </w:tc>
        <w:tc>
          <w:tcPr>
            <w:tcW w:w="120" w:type="dxa"/>
            <w:vAlign w:val="bottom"/>
            <w:tcBorders>
              <w:top w:val="single" w:sz="8" w:color="EBFBFF"/>
            </w:tcBorders>
            <w:shd w:val="clear" w:color="auto" w:fill="EBFBFF"/>
          </w:tcPr>
          <w:p>
            <w:pPr>
              <w:spacing w:after="0"/>
              <w:rPr>
                <w:sz w:val="15"/>
                <w:szCs w:val="15"/>
                <w:color w:val="auto"/>
              </w:rPr>
            </w:pPr>
          </w:p>
        </w:tc>
        <w:tc>
          <w:tcPr>
            <w:tcW w:w="220" w:type="dxa"/>
            <w:vAlign w:val="bottom"/>
            <w:tcBorders>
              <w:top w:val="single" w:sz="8" w:color="7A04DD"/>
            </w:tcBorders>
            <w:shd w:val="clear" w:color="auto" w:fill="EBFBFF"/>
          </w:tcPr>
          <w:p>
            <w:pPr>
              <w:spacing w:after="0"/>
              <w:rPr>
                <w:sz w:val="15"/>
                <w:szCs w:val="15"/>
                <w:color w:val="auto"/>
              </w:rPr>
            </w:pPr>
          </w:p>
        </w:tc>
        <w:tc>
          <w:tcPr>
            <w:tcW w:w="30" w:type="dxa"/>
            <w:vAlign w:val="bottom"/>
            <w:tcBorders>
              <w:top w:val="single" w:sz="8" w:color="EBFBFF"/>
            </w:tcBorders>
            <w:shd w:val="clear" w:color="auto" w:fill="EBFBFF"/>
          </w:tcPr>
          <w:p>
            <w:pPr>
              <w:spacing w:after="0"/>
              <w:rPr>
                <w:sz w:val="15"/>
                <w:szCs w:val="15"/>
                <w:color w:val="auto"/>
              </w:rPr>
            </w:pPr>
          </w:p>
        </w:tc>
        <w:tc>
          <w:tcPr>
            <w:tcW w:w="650" w:type="dxa"/>
            <w:vAlign w:val="bottom"/>
            <w:tcBorders>
              <w:top w:val="single" w:sz="8" w:color="EBFBFF"/>
            </w:tcBorders>
            <w:shd w:val="clear" w:color="auto" w:fill="EBFBFF"/>
          </w:tcPr>
          <w:p>
            <w:pPr>
              <w:spacing w:after="0"/>
              <w:rPr>
                <w:sz w:val="15"/>
                <w:szCs w:val="15"/>
                <w:color w:val="auto"/>
              </w:rPr>
            </w:pPr>
          </w:p>
        </w:tc>
        <w:tc>
          <w:tcPr>
            <w:tcW w:w="3940" w:type="dxa"/>
            <w:vAlign w:val="bottom"/>
            <w:tcBorders>
              <w:top w:val="single" w:sz="8" w:color="7A04DD"/>
            </w:tcBorders>
            <w:gridSpan w:val="8"/>
            <w:shd w:val="clear" w:color="auto" w:fill="EBFBFF"/>
          </w:tcPr>
          <w:p>
            <w:pPr>
              <w:spacing w:after="0" w:line="176" w:lineRule="exact"/>
              <w:rPr>
                <w:rFonts w:ascii="Calibri" w:cs="Calibri" w:eastAsia="Calibri" w:hAnsi="Calibri"/>
                <w:sz w:val="18"/>
                <w:szCs w:val="18"/>
                <w:color w:val="7A04DD"/>
              </w:rPr>
            </w:pPr>
            <w:hyperlink r:id="rId492">
              <w:r>
                <w:rPr>
                  <w:rFonts w:ascii="Calibri" w:cs="Calibri" w:eastAsia="Calibri" w:hAnsi="Calibri"/>
                  <w:sz w:val="18"/>
                  <w:szCs w:val="18"/>
                  <w:color w:val="7A04DD"/>
                </w:rPr>
                <w:t>December 7, 2023</w:t>
              </w:r>
            </w:hyperlink>
          </w:p>
        </w:tc>
        <w:tc>
          <w:tcPr>
            <w:tcW w:w="860" w:type="dxa"/>
            <w:vAlign w:val="bottom"/>
            <w:tcBorders>
              <w:top w:val="single" w:sz="8" w:color="EBFBFF"/>
            </w:tcBorders>
            <w:gridSpan w:val="13"/>
            <w:shd w:val="clear" w:color="auto" w:fill="EBFBFF"/>
          </w:tcPr>
          <w:p>
            <w:pPr>
              <w:spacing w:after="0"/>
              <w:rPr>
                <w:sz w:val="15"/>
                <w:szCs w:val="15"/>
                <w:color w:val="auto"/>
              </w:rPr>
            </w:pPr>
          </w:p>
        </w:tc>
        <w:tc>
          <w:tcPr>
            <w:tcW w:w="1200" w:type="dxa"/>
            <w:vAlign w:val="bottom"/>
            <w:tcBorders>
              <w:top w:val="single" w:sz="8" w:color="EBFBFF"/>
            </w:tcBorders>
            <w:shd w:val="clear" w:color="auto" w:fill="EBFBFF"/>
          </w:tcPr>
          <w:p>
            <w:pPr>
              <w:spacing w:after="0"/>
              <w:rPr>
                <w:sz w:val="15"/>
                <w:szCs w:val="15"/>
                <w:color w:val="auto"/>
              </w:rPr>
            </w:pPr>
          </w:p>
        </w:tc>
        <w:tc>
          <w:tcPr>
            <w:tcW w:w="1580" w:type="dxa"/>
            <w:vAlign w:val="bottom"/>
            <w:tcBorders>
              <w:top w:val="single" w:sz="8" w:color="EBFBFF"/>
            </w:tcBorders>
            <w:shd w:val="clear" w:color="auto" w:fill="EBFBFF"/>
          </w:tcPr>
          <w:p>
            <w:pPr>
              <w:spacing w:after="0"/>
              <w:rPr>
                <w:sz w:val="15"/>
                <w:szCs w:val="15"/>
                <w:color w:val="auto"/>
              </w:rPr>
            </w:pPr>
          </w:p>
        </w:tc>
        <w:tc>
          <w:tcPr>
            <w:tcW w:w="1113" w:type="dxa"/>
            <w:vAlign w:val="bottom"/>
            <w:tcBorders>
              <w:top w:val="single" w:sz="8" w:color="EBFBFF"/>
            </w:tcBorders>
            <w:shd w:val="clear" w:color="auto" w:fill="EBFBFF"/>
          </w:tcPr>
          <w:p>
            <w:pPr>
              <w:spacing w:after="0"/>
              <w:rPr>
                <w:sz w:val="15"/>
                <w:szCs w:val="15"/>
                <w:color w:val="auto"/>
              </w:rPr>
            </w:pPr>
          </w:p>
        </w:tc>
        <w:tc>
          <w:tcPr>
            <w:tcW w:w="928" w:type="dxa"/>
            <w:vAlign w:val="bottom"/>
            <w:tcBorders>
              <w:top w:val="single" w:sz="8" w:color="EBFBFF"/>
            </w:tcBorders>
            <w:shd w:val="clear" w:color="auto" w:fill="EBFB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2"/>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3">
              <w:r>
                <w:rPr>
                  <w:rFonts w:ascii="Calibri" w:cs="Calibri" w:eastAsia="Calibri" w:hAnsi="Calibri"/>
                  <w:sz w:val="18"/>
                  <w:szCs w:val="18"/>
                  <w:color w:val="7A04DD"/>
                  <w:w w:val="96"/>
                </w:rPr>
                <w:t>3.</w:t>
              </w:r>
              <w:r>
                <w:rPr>
                  <w:rFonts w:ascii="Calibri" w:cs="Calibri" w:eastAsia="Calibri" w:hAnsi="Calibri"/>
                  <w:sz w:val="18"/>
                  <w:szCs w:val="18"/>
                  <w:u w:val="single" w:color="auto"/>
                  <w:color w:val="7A04DD"/>
                  <w:w w:val="96"/>
                </w:rPr>
                <w:t>4</w:t>
              </w:r>
            </w:hyperlink>
          </w:p>
        </w:tc>
        <w:tc>
          <w:tcPr>
            <w:tcW w:w="650" w:type="dxa"/>
            <w:vAlign w:val="bottom"/>
          </w:tcPr>
          <w:p>
            <w:pPr>
              <w:spacing w:after="0"/>
              <w:rPr>
                <w:sz w:val="16"/>
                <w:szCs w:val="16"/>
                <w:color w:val="auto"/>
              </w:rPr>
            </w:pPr>
          </w:p>
        </w:tc>
        <w:tc>
          <w:tcPr>
            <w:tcW w:w="4800" w:type="dxa"/>
            <w:vAlign w:val="bottom"/>
            <w:gridSpan w:val="21"/>
          </w:tcPr>
          <w:p>
            <w:pPr>
              <w:spacing w:after="0" w:line="189" w:lineRule="exact"/>
              <w:rPr>
                <w:rFonts w:ascii="Calibri" w:cs="Calibri" w:eastAsia="Calibri" w:hAnsi="Calibri"/>
                <w:sz w:val="18"/>
                <w:szCs w:val="18"/>
                <w:color w:val="7A04DD"/>
              </w:rPr>
            </w:pPr>
            <w:hyperlink r:id="rId493">
              <w:r>
                <w:rPr>
                  <w:rFonts w:ascii="Calibri" w:cs="Calibri" w:eastAsia="Calibri" w:hAnsi="Calibri"/>
                  <w:sz w:val="18"/>
                  <w:szCs w:val="18"/>
                  <w:color w:val="7A04DD"/>
                </w:rPr>
                <w:t>Certfcate of Eliminaton of the Series A Junior Partcipatng</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6"/>
              </w:rPr>
              <w:t>8-A12B/A</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3/18/2024</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3.1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40" w:type="dxa"/>
            <w:vAlign w:val="bottom"/>
            <w:tcBorders>
              <w:top w:val="single" w:sz="8" w:color="7A04DD"/>
            </w:tcBorders>
            <w:gridSpan w:val="13"/>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Preferred Stock of Blackbaud, Inc.</w:t>
              </w:r>
            </w:hyperlink>
          </w:p>
        </w:tc>
        <w:tc>
          <w:tcPr>
            <w:tcW w:w="5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66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70" w:type="dxa"/>
            <w:vAlign w:val="bottom"/>
            <w:gridSpan w:val="4"/>
            <w:shd w:val="clear" w:color="auto" w:fill="EBFBFF"/>
          </w:tcPr>
          <w:p>
            <w:pPr>
              <w:jc w:val="right"/>
              <w:ind w:right="10"/>
              <w:spacing w:after="0" w:line="189" w:lineRule="exact"/>
              <w:rPr>
                <w:sz w:val="20"/>
                <w:szCs w:val="20"/>
                <w:color w:val="auto"/>
              </w:rPr>
            </w:pPr>
            <w:r>
              <w:rPr>
                <w:rFonts w:ascii="Calibri" w:cs="Calibri" w:eastAsia="Calibri" w:hAnsi="Calibri"/>
                <w:sz w:val="18"/>
                <w:szCs w:val="18"/>
                <w:color w:val="7A04DD"/>
              </w:rPr>
              <w:t>4.</w:t>
            </w:r>
            <w:r>
              <w:rPr>
                <w:rFonts w:ascii="Calibri" w:cs="Calibri" w:eastAsia="Calibri" w:hAnsi="Calibri"/>
                <w:sz w:val="18"/>
                <w:szCs w:val="18"/>
                <w:u w:val="single" w:color="auto"/>
                <w:color w:val="7A04DD"/>
              </w:rPr>
              <w:t>1</w:t>
            </w:r>
          </w:p>
        </w:tc>
        <w:tc>
          <w:tcPr>
            <w:tcW w:w="650" w:type="dxa"/>
            <w:vAlign w:val="bottom"/>
            <w:shd w:val="clear" w:color="auto" w:fill="EBFBFF"/>
          </w:tcPr>
          <w:p>
            <w:pPr>
              <w:spacing w:after="0"/>
              <w:rPr>
                <w:sz w:val="16"/>
                <w:szCs w:val="16"/>
                <w:color w:val="auto"/>
              </w:rPr>
            </w:pPr>
          </w:p>
        </w:tc>
        <w:tc>
          <w:tcPr>
            <w:tcW w:w="4800" w:type="dxa"/>
            <w:vAlign w:val="bottom"/>
            <w:gridSpan w:val="21"/>
            <w:shd w:val="clear" w:color="auto" w:fill="EBFBFF"/>
          </w:tcPr>
          <w:p>
            <w:pPr>
              <w:spacing w:after="0" w:line="189" w:lineRule="exact"/>
              <w:rPr>
                <w:sz w:val="20"/>
                <w:szCs w:val="20"/>
                <w:color w:val="auto"/>
              </w:rPr>
            </w:pPr>
            <w:r>
              <w:rPr>
                <w:rFonts w:ascii="Calibri" w:cs="Calibri" w:eastAsia="Calibri" w:hAnsi="Calibri"/>
                <w:sz w:val="18"/>
                <w:szCs w:val="18"/>
                <w:color w:val="7A04DD"/>
              </w:rPr>
              <w:t>Descripton of Capital Stock</w:t>
            </w:r>
          </w:p>
        </w:tc>
        <w:tc>
          <w:tcPr>
            <w:tcW w:w="1200" w:type="dxa"/>
            <w:vAlign w:val="bottom"/>
            <w:shd w:val="clear" w:color="auto" w:fill="EBFBFF"/>
          </w:tcPr>
          <w:p>
            <w:pPr>
              <w:spacing w:after="0"/>
              <w:rPr>
                <w:sz w:val="16"/>
                <w:szCs w:val="16"/>
                <w:color w:val="auto"/>
              </w:rPr>
            </w:pPr>
          </w:p>
        </w:tc>
        <w:tc>
          <w:tcPr>
            <w:tcW w:w="1580" w:type="dxa"/>
            <w:vAlign w:val="bottom"/>
            <w:shd w:val="clear" w:color="auto" w:fill="EBFBFF"/>
          </w:tcPr>
          <w:p>
            <w:pPr>
              <w:spacing w:after="0"/>
              <w:rPr>
                <w:sz w:val="16"/>
                <w:szCs w:val="16"/>
                <w:color w:val="auto"/>
              </w:rPr>
            </w:pPr>
          </w:p>
        </w:tc>
        <w:tc>
          <w:tcPr>
            <w:tcW w:w="1113" w:type="dxa"/>
            <w:vAlign w:val="bottom"/>
            <w:shd w:val="clear" w:color="auto" w:fill="EBFBFF"/>
          </w:tcPr>
          <w:p>
            <w:pPr>
              <w:spacing w:after="0"/>
              <w:rPr>
                <w:sz w:val="16"/>
                <w:szCs w:val="16"/>
                <w:color w:val="auto"/>
              </w:rPr>
            </w:pPr>
          </w:p>
        </w:tc>
        <w:tc>
          <w:tcPr>
            <w:tcW w:w="928"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600" w:type="dxa"/>
            <w:vAlign w:val="bottom"/>
            <w:tcBorders>
              <w:top w:val="single" w:sz="8" w:color="EBFBFF"/>
              <w:bottom w:val="single" w:sz="8" w:color="0CD973"/>
            </w:tcBorders>
            <w:shd w:val="clear" w:color="auto" w:fill="EBFBFF"/>
          </w:tcPr>
          <w:p>
            <w:pPr>
              <w:spacing w:after="0"/>
              <w:rPr>
                <w:sz w:val="5"/>
                <w:szCs w:val="5"/>
                <w:color w:val="auto"/>
              </w:rPr>
            </w:pPr>
          </w:p>
        </w:tc>
        <w:tc>
          <w:tcPr>
            <w:tcW w:w="120" w:type="dxa"/>
            <w:vAlign w:val="bottom"/>
            <w:tcBorders>
              <w:top w:val="single" w:sz="8" w:color="EBFBFF"/>
              <w:bottom w:val="single" w:sz="8" w:color="0CD973"/>
            </w:tcBorders>
            <w:shd w:val="clear" w:color="auto" w:fill="EBFBFF"/>
          </w:tcPr>
          <w:p>
            <w:pPr>
              <w:spacing w:after="0"/>
              <w:rPr>
                <w:sz w:val="5"/>
                <w:szCs w:val="5"/>
                <w:color w:val="auto"/>
              </w:rPr>
            </w:pPr>
          </w:p>
        </w:tc>
        <w:tc>
          <w:tcPr>
            <w:tcW w:w="220" w:type="dxa"/>
            <w:vAlign w:val="bottom"/>
            <w:tcBorders>
              <w:top w:val="single" w:sz="8" w:color="7A04DD"/>
              <w:bottom w:val="single" w:sz="8" w:color="0CD973"/>
            </w:tcBorders>
            <w:shd w:val="clear" w:color="auto" w:fill="EBFBFF"/>
          </w:tcPr>
          <w:p>
            <w:pPr>
              <w:spacing w:after="0"/>
              <w:rPr>
                <w:sz w:val="5"/>
                <w:szCs w:val="5"/>
                <w:color w:val="auto"/>
              </w:rPr>
            </w:pPr>
          </w:p>
        </w:tc>
        <w:tc>
          <w:tcPr>
            <w:tcW w:w="30" w:type="dxa"/>
            <w:vAlign w:val="bottom"/>
            <w:tcBorders>
              <w:top w:val="single" w:sz="8" w:color="EBFBFF"/>
              <w:bottom w:val="single" w:sz="8" w:color="0CD973"/>
            </w:tcBorders>
            <w:shd w:val="clear" w:color="auto" w:fill="EBFBFF"/>
          </w:tcPr>
          <w:p>
            <w:pPr>
              <w:spacing w:after="0"/>
              <w:rPr>
                <w:sz w:val="5"/>
                <w:szCs w:val="5"/>
                <w:color w:val="auto"/>
              </w:rPr>
            </w:pPr>
          </w:p>
        </w:tc>
        <w:tc>
          <w:tcPr>
            <w:tcW w:w="650" w:type="dxa"/>
            <w:vAlign w:val="bottom"/>
            <w:tcBorders>
              <w:top w:val="single" w:sz="8" w:color="EBFBFF"/>
              <w:bottom w:val="single" w:sz="8" w:color="0CD973"/>
            </w:tcBorders>
            <w:shd w:val="clear" w:color="auto" w:fill="EBFBFF"/>
          </w:tcPr>
          <w:p>
            <w:pPr>
              <w:spacing w:after="0"/>
              <w:rPr>
                <w:sz w:val="5"/>
                <w:szCs w:val="5"/>
                <w:color w:val="auto"/>
              </w:rPr>
            </w:pPr>
          </w:p>
        </w:tc>
        <w:tc>
          <w:tcPr>
            <w:tcW w:w="260" w:type="dxa"/>
            <w:vAlign w:val="bottom"/>
            <w:tcBorders>
              <w:top w:val="single" w:sz="8" w:color="7A04DD"/>
              <w:bottom w:val="single" w:sz="8" w:color="0CD973"/>
            </w:tcBorders>
            <w:shd w:val="clear" w:color="auto" w:fill="EBFBFF"/>
          </w:tcPr>
          <w:p>
            <w:pPr>
              <w:spacing w:after="0"/>
              <w:rPr>
                <w:sz w:val="5"/>
                <w:szCs w:val="5"/>
                <w:color w:val="auto"/>
              </w:rPr>
            </w:pPr>
          </w:p>
        </w:tc>
        <w:tc>
          <w:tcPr>
            <w:tcW w:w="640" w:type="dxa"/>
            <w:vAlign w:val="bottom"/>
            <w:tcBorders>
              <w:top w:val="single" w:sz="8" w:color="7A04DD"/>
              <w:bottom w:val="single" w:sz="8" w:color="0CD973"/>
            </w:tcBorders>
            <w:shd w:val="clear" w:color="auto" w:fill="EBFBFF"/>
          </w:tcPr>
          <w:p>
            <w:pPr>
              <w:spacing w:after="0"/>
              <w:rPr>
                <w:sz w:val="5"/>
                <w:szCs w:val="5"/>
                <w:color w:val="auto"/>
              </w:rPr>
            </w:pPr>
          </w:p>
        </w:tc>
        <w:tc>
          <w:tcPr>
            <w:tcW w:w="180" w:type="dxa"/>
            <w:vAlign w:val="bottom"/>
            <w:tcBorders>
              <w:top w:val="single" w:sz="8" w:color="7A04DD"/>
              <w:bottom w:val="single" w:sz="8" w:color="0CD973"/>
            </w:tcBorders>
            <w:shd w:val="clear" w:color="auto" w:fill="EBFBFF"/>
          </w:tcPr>
          <w:p>
            <w:pPr>
              <w:spacing w:after="0"/>
              <w:rPr>
                <w:sz w:val="5"/>
                <w:szCs w:val="5"/>
                <w:color w:val="auto"/>
              </w:rPr>
            </w:pPr>
          </w:p>
        </w:tc>
        <w:tc>
          <w:tcPr>
            <w:tcW w:w="220" w:type="dxa"/>
            <w:vAlign w:val="bottom"/>
            <w:tcBorders>
              <w:top w:val="single" w:sz="8" w:color="7A04DD"/>
              <w:bottom w:val="single" w:sz="8" w:color="0CD973"/>
            </w:tcBorders>
            <w:shd w:val="clear" w:color="auto" w:fill="EBFBFF"/>
          </w:tcPr>
          <w:p>
            <w:pPr>
              <w:spacing w:after="0"/>
              <w:rPr>
                <w:sz w:val="5"/>
                <w:szCs w:val="5"/>
                <w:color w:val="auto"/>
              </w:rPr>
            </w:pPr>
          </w:p>
        </w:tc>
        <w:tc>
          <w:tcPr>
            <w:tcW w:w="660" w:type="dxa"/>
            <w:vAlign w:val="bottom"/>
            <w:tcBorders>
              <w:top w:val="single" w:sz="8" w:color="7A04DD"/>
              <w:bottom w:val="single" w:sz="8" w:color="0CD973"/>
            </w:tcBorders>
            <w:shd w:val="clear" w:color="auto" w:fill="EBFBFF"/>
          </w:tcPr>
          <w:p>
            <w:pPr>
              <w:spacing w:after="0"/>
              <w:rPr>
                <w:sz w:val="5"/>
                <w:szCs w:val="5"/>
                <w:color w:val="auto"/>
              </w:rPr>
            </w:pPr>
          </w:p>
        </w:tc>
        <w:tc>
          <w:tcPr>
            <w:tcW w:w="30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1540" w:type="dxa"/>
            <w:vAlign w:val="bottom"/>
            <w:tcBorders>
              <w:top w:val="single" w:sz="8" w:color="EBFBFF"/>
              <w:bottom w:val="single" w:sz="8" w:color="0CD973"/>
            </w:tcBorders>
            <w:shd w:val="clear" w:color="auto" w:fill="EBFBFF"/>
          </w:tcPr>
          <w:p>
            <w:pPr>
              <w:spacing w:after="0"/>
              <w:rPr>
                <w:sz w:val="5"/>
                <w:szCs w:val="5"/>
                <w:color w:val="auto"/>
              </w:rPr>
            </w:pPr>
          </w:p>
        </w:tc>
        <w:tc>
          <w:tcPr>
            <w:tcW w:w="6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4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1200" w:type="dxa"/>
            <w:vAlign w:val="bottom"/>
            <w:tcBorders>
              <w:top w:val="single" w:sz="8" w:color="EBFBFF"/>
              <w:bottom w:val="single" w:sz="8" w:color="0CD973"/>
            </w:tcBorders>
            <w:shd w:val="clear" w:color="auto" w:fill="EBFBFF"/>
          </w:tcPr>
          <w:p>
            <w:pPr>
              <w:spacing w:after="0"/>
              <w:rPr>
                <w:sz w:val="5"/>
                <w:szCs w:val="5"/>
                <w:color w:val="auto"/>
              </w:rPr>
            </w:pPr>
          </w:p>
        </w:tc>
        <w:tc>
          <w:tcPr>
            <w:tcW w:w="1580" w:type="dxa"/>
            <w:vAlign w:val="bottom"/>
            <w:tcBorders>
              <w:top w:val="single" w:sz="8" w:color="EBFBFF"/>
              <w:bottom w:val="single" w:sz="8" w:color="0CD973"/>
            </w:tcBorders>
            <w:shd w:val="clear" w:color="auto" w:fill="EBFBFF"/>
          </w:tcPr>
          <w:p>
            <w:pPr>
              <w:spacing w:after="0"/>
              <w:rPr>
                <w:sz w:val="5"/>
                <w:szCs w:val="5"/>
                <w:color w:val="auto"/>
              </w:rPr>
            </w:pPr>
          </w:p>
        </w:tc>
        <w:tc>
          <w:tcPr>
            <w:tcW w:w="1113" w:type="dxa"/>
            <w:vAlign w:val="bottom"/>
            <w:tcBorders>
              <w:top w:val="single" w:sz="8" w:color="EBFBFF"/>
              <w:bottom w:val="single" w:sz="8" w:color="0CD973"/>
            </w:tcBorders>
            <w:shd w:val="clear" w:color="auto" w:fill="EBFBFF"/>
          </w:tcPr>
          <w:p>
            <w:pPr>
              <w:spacing w:after="0"/>
              <w:rPr>
                <w:sz w:val="5"/>
                <w:szCs w:val="5"/>
                <w:color w:val="auto"/>
              </w:rPr>
            </w:pPr>
          </w:p>
        </w:tc>
        <w:tc>
          <w:tcPr>
            <w:tcW w:w="928"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1"/>
        </w:trPr>
        <w:tc>
          <w:tcPr>
            <w:tcW w:w="600" w:type="dxa"/>
            <w:vAlign w:val="bottom"/>
          </w:tcPr>
          <w:p>
            <w:pPr>
              <w:jc w:val="right"/>
              <w:ind w:right="279"/>
              <w:spacing w:after="0"/>
              <w:rPr>
                <w:sz w:val="20"/>
                <w:szCs w:val="20"/>
                <w:color w:val="auto"/>
              </w:rPr>
            </w:pPr>
            <w:r>
              <w:rPr>
                <w:rFonts w:ascii="Calibri" w:cs="Calibri" w:eastAsia="Calibri" w:hAnsi="Calibri"/>
                <w:sz w:val="14"/>
                <w:szCs w:val="14"/>
                <w:color w:val="51555C"/>
              </w:rPr>
              <w:t>112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4800" w:type="dxa"/>
            <w:vAlign w:val="bottom"/>
            <w:gridSpan w:val="21"/>
          </w:tcPr>
          <w:p>
            <w:pPr>
              <w:ind w:left="140"/>
              <w:spacing w:after="0"/>
              <w:rPr>
                <w:sz w:val="20"/>
                <w:szCs w:val="20"/>
                <w:color w:val="auto"/>
              </w:rPr>
            </w:pPr>
            <w:r>
              <w:rPr>
                <w:rFonts w:ascii="Calibri" w:cs="Calibri" w:eastAsia="Calibri" w:hAnsi="Calibri"/>
                <w:sz w:val="14"/>
                <w:szCs w:val="14"/>
                <w:color w:val="51555C"/>
              </w:rPr>
              <w:t>2024 Form 10-K</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13" w:type="dxa"/>
            <w:vAlign w:val="bottom"/>
          </w:tcPr>
          <w:p>
            <w:pPr>
              <w:spacing w:after="0"/>
              <w:rPr>
                <w:sz w:val="24"/>
                <w:szCs w:val="24"/>
                <w:color w:val="auto"/>
              </w:rPr>
            </w:pPr>
          </w:p>
        </w:tc>
        <w:tc>
          <w:tcPr>
            <w:tcW w:w="928"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 w:type="dxa"/>
            <w:vAlign w:val="bottom"/>
            <w:tcBorders>
              <w:bottom w:val="single" w:sz="8" w:color="9A9A9A"/>
            </w:tcBorders>
          </w:tcPr>
          <w:p>
            <w:pPr>
              <w:spacing w:after="0"/>
              <w:rPr>
                <w:sz w:val="24"/>
                <w:szCs w:val="24"/>
                <w:color w:val="auto"/>
              </w:rPr>
            </w:pPr>
          </w:p>
        </w:tc>
        <w:tc>
          <w:tcPr>
            <w:tcW w:w="65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13" w:type="dxa"/>
            <w:vAlign w:val="bottom"/>
            <w:tcBorders>
              <w:bottom w:val="single" w:sz="8" w:color="9A9A9A"/>
            </w:tcBorders>
          </w:tcPr>
          <w:p>
            <w:pPr>
              <w:spacing w:after="0"/>
              <w:rPr>
                <w:sz w:val="24"/>
                <w:szCs w:val="24"/>
                <w:color w:val="auto"/>
              </w:rPr>
            </w:pPr>
          </w:p>
        </w:tc>
        <w:tc>
          <w:tcPr>
            <w:tcW w:w="928"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-4868545</wp:posOffset>
            </wp:positionV>
            <wp:extent cx="30772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700" w:type="dxa"/>
            <w:vAlign w:val="bottom"/>
            <w:tcBorders>
              <w:left w:val="single" w:sz="8" w:color="004054"/>
            </w:tcBorders>
            <w:shd w:val="clear" w:color="auto" w:fill="004054"/>
          </w:tcPr>
          <w:p>
            <w:pPr>
              <w:spacing w:after="0"/>
              <w:rPr>
                <w:sz w:val="16"/>
                <w:szCs w:val="16"/>
                <w:color w:val="auto"/>
              </w:rPr>
            </w:pPr>
          </w:p>
        </w:tc>
        <w:tc>
          <w:tcPr>
            <w:tcW w:w="7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68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740" w:type="dxa"/>
            <w:vAlign w:val="bottom"/>
            <w:shd w:val="clear" w:color="auto" w:fill="004054"/>
          </w:tcPr>
          <w:p>
            <w:pPr>
              <w:spacing w:after="0"/>
              <w:rPr>
                <w:sz w:val="16"/>
                <w:szCs w:val="16"/>
                <w:color w:val="auto"/>
              </w:rPr>
            </w:pPr>
          </w:p>
        </w:tc>
        <w:tc>
          <w:tcPr>
            <w:tcW w:w="100" w:type="dxa"/>
            <w:vAlign w:val="bottom"/>
            <w:tcBorders>
              <w:right w:val="single" w:sz="8" w:color="004054"/>
            </w:tcBorders>
            <w:shd w:val="clear" w:color="auto" w:fill="004054"/>
          </w:tcPr>
          <w:p>
            <w:pPr>
              <w:spacing w:after="0"/>
              <w:rPr>
                <w:sz w:val="16"/>
                <w:szCs w:val="16"/>
                <w:color w:val="auto"/>
              </w:rPr>
            </w:pPr>
          </w:p>
        </w:tc>
        <w:tc>
          <w:tcPr>
            <w:tcW w:w="100" w:type="dxa"/>
            <w:vAlign w:val="bottom"/>
            <w:tcBorders>
              <w:lef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00" w:type="dxa"/>
            <w:vAlign w:val="bottom"/>
            <w:tcBorders>
              <w:righ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2"/>
              <w:spacing w:after="0"/>
              <w:rPr>
                <w:sz w:val="20"/>
                <w:szCs w:val="20"/>
                <w:color w:val="auto"/>
              </w:rPr>
            </w:pPr>
            <w:r>
              <w:rPr>
                <w:rFonts w:ascii="Calibri" w:cs="Calibri" w:eastAsia="Calibri" w:hAnsi="Calibri"/>
                <w:sz w:val="14"/>
                <w:szCs w:val="14"/>
                <w:b w:val="1"/>
                <w:bCs w:val="1"/>
                <w:color w:val="FFFFFF"/>
              </w:rPr>
              <w:t>Filed In</w:t>
            </w:r>
          </w:p>
        </w:tc>
        <w:tc>
          <w:tcPr>
            <w:tcW w:w="111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40" w:type="dxa"/>
            <w:vAlign w:val="bottom"/>
            <w:gridSpan w:val="4"/>
            <w:shd w:val="clear" w:color="auto" w:fill="004054"/>
          </w:tcPr>
          <w:p>
            <w:pPr>
              <w:jc w:val="center"/>
              <w:ind w:left="393"/>
              <w:spacing w:after="0"/>
              <w:rPr>
                <w:sz w:val="20"/>
                <w:szCs w:val="20"/>
                <w:color w:val="auto"/>
              </w:rPr>
            </w:pPr>
            <w:r>
              <w:rPr>
                <w:rFonts w:ascii="Calibri" w:cs="Calibri" w:eastAsia="Calibri" w:hAnsi="Calibri"/>
                <w:sz w:val="14"/>
                <w:szCs w:val="14"/>
                <w:b w:val="1"/>
                <w:bCs w:val="1"/>
                <w:color w:val="FFFFFF"/>
              </w:rPr>
              <w:t>Exhibit</w:t>
            </w:r>
          </w:p>
        </w:tc>
        <w:tc>
          <w:tcPr>
            <w:tcW w:w="700" w:type="dxa"/>
            <w:vAlign w:val="bottom"/>
            <w:tcBorders>
              <w:left w:val="single" w:sz="8" w:color="004054"/>
            </w:tcBorders>
            <w:shd w:val="clear" w:color="auto" w:fill="004054"/>
          </w:tcPr>
          <w:p>
            <w:pPr>
              <w:spacing w:after="0"/>
              <w:rPr>
                <w:sz w:val="20"/>
                <w:szCs w:val="20"/>
                <w:color w:val="auto"/>
              </w:rPr>
            </w:pPr>
          </w:p>
        </w:tc>
        <w:tc>
          <w:tcPr>
            <w:tcW w:w="76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380" w:type="dxa"/>
            <w:vAlign w:val="bottom"/>
            <w:shd w:val="clear" w:color="auto" w:fill="004054"/>
          </w:tcPr>
          <w:p>
            <w:pPr>
              <w:spacing w:after="0"/>
              <w:rPr>
                <w:sz w:val="20"/>
                <w:szCs w:val="20"/>
                <w:color w:val="auto"/>
              </w:rPr>
            </w:pPr>
          </w:p>
        </w:tc>
        <w:tc>
          <w:tcPr>
            <w:tcW w:w="68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98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740" w:type="dxa"/>
            <w:vAlign w:val="bottom"/>
            <w:shd w:val="clear" w:color="auto" w:fill="004054"/>
          </w:tcPr>
          <w:p>
            <w:pPr>
              <w:spacing w:after="0"/>
              <w:rPr>
                <w:sz w:val="20"/>
                <w:szCs w:val="20"/>
                <w:color w:val="auto"/>
              </w:rPr>
            </w:pPr>
          </w:p>
        </w:tc>
        <w:tc>
          <w:tcPr>
            <w:tcW w:w="100" w:type="dxa"/>
            <w:vAlign w:val="bottom"/>
            <w:tcBorders>
              <w:right w:val="single" w:sz="8" w:color="004054"/>
            </w:tcBorders>
            <w:shd w:val="clear" w:color="auto" w:fill="004054"/>
          </w:tcPr>
          <w:p>
            <w:pPr>
              <w:spacing w:after="0"/>
              <w:rPr>
                <w:sz w:val="20"/>
                <w:szCs w:val="20"/>
                <w:color w:val="auto"/>
              </w:rPr>
            </w:pPr>
          </w:p>
        </w:tc>
        <w:tc>
          <w:tcPr>
            <w:tcW w:w="100" w:type="dxa"/>
            <w:vAlign w:val="bottom"/>
            <w:tcBorders>
              <w:lef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00" w:type="dxa"/>
            <w:vAlign w:val="bottom"/>
            <w:tcBorders>
              <w:righ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2"/>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1113" w:type="dxa"/>
            <w:vAlign w:val="bottom"/>
            <w:shd w:val="clear" w:color="auto" w:fill="004054"/>
          </w:tcPr>
          <w:p>
            <w:pPr>
              <w:jc w:val="right"/>
              <w:ind w:right="405"/>
              <w:spacing w:after="0"/>
              <w:rPr>
                <w:sz w:val="20"/>
                <w:szCs w:val="20"/>
                <w:color w:val="auto"/>
              </w:rPr>
            </w:pPr>
            <w:r>
              <w:rPr>
                <w:rFonts w:ascii="Calibri" w:cs="Calibri" w:eastAsia="Calibri" w:hAnsi="Calibri"/>
                <w:sz w:val="14"/>
                <w:szCs w:val="14"/>
                <w:b w:val="1"/>
                <w:bCs w:val="1"/>
                <w:color w:val="FFFFFF"/>
              </w:rPr>
              <w:t>Exhibit</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40" w:type="dxa"/>
            <w:vAlign w:val="bottom"/>
            <w:gridSpan w:val="4"/>
            <w:shd w:val="clear" w:color="auto" w:fill="004054"/>
          </w:tcPr>
          <w:p>
            <w:pPr>
              <w:jc w:val="center"/>
              <w:ind w:left="373"/>
              <w:spacing w:after="0"/>
              <w:rPr>
                <w:sz w:val="20"/>
                <w:szCs w:val="20"/>
                <w:color w:val="auto"/>
              </w:rPr>
            </w:pPr>
            <w:r>
              <w:rPr>
                <w:rFonts w:ascii="Calibri" w:cs="Calibri" w:eastAsia="Calibri" w:hAnsi="Calibri"/>
                <w:sz w:val="14"/>
                <w:szCs w:val="14"/>
                <w:b w:val="1"/>
                <w:bCs w:val="1"/>
                <w:color w:val="FFFFFF"/>
              </w:rPr>
              <w:t>Number</w:t>
            </w:r>
          </w:p>
        </w:tc>
        <w:tc>
          <w:tcPr>
            <w:tcW w:w="700" w:type="dxa"/>
            <w:vAlign w:val="bottom"/>
            <w:tcBorders>
              <w:left w:val="single" w:sz="8" w:color="004054"/>
            </w:tcBorders>
            <w:shd w:val="clear" w:color="auto" w:fill="004054"/>
          </w:tcPr>
          <w:p>
            <w:pPr>
              <w:spacing w:after="0"/>
              <w:rPr>
                <w:sz w:val="15"/>
                <w:szCs w:val="15"/>
                <w:color w:val="auto"/>
              </w:rPr>
            </w:pPr>
          </w:p>
        </w:tc>
        <w:tc>
          <w:tcPr>
            <w:tcW w:w="7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3280" w:type="dxa"/>
            <w:vAlign w:val="bottom"/>
            <w:gridSpan w:val="18"/>
            <w:shd w:val="clear" w:color="auto" w:fill="004054"/>
          </w:tcPr>
          <w:p>
            <w:pPr>
              <w:ind w:left="8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2"/>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2"/>
              <w:spacing w:after="0"/>
              <w:rPr>
                <w:sz w:val="20"/>
                <w:szCs w:val="20"/>
                <w:color w:val="auto"/>
              </w:rPr>
            </w:pPr>
            <w:r>
              <w:rPr>
                <w:rFonts w:ascii="Calibri" w:cs="Calibri" w:eastAsia="Calibri" w:hAnsi="Calibri"/>
                <w:sz w:val="14"/>
                <w:szCs w:val="14"/>
                <w:b w:val="1"/>
                <w:bCs w:val="1"/>
                <w:color w:val="FFFFFF"/>
              </w:rPr>
              <w:t>Dated</w:t>
            </w:r>
          </w:p>
        </w:tc>
        <w:tc>
          <w:tcPr>
            <w:tcW w:w="1113" w:type="dxa"/>
            <w:vAlign w:val="bottom"/>
            <w:shd w:val="clear" w:color="auto" w:fill="004054"/>
          </w:tcPr>
          <w:p>
            <w:pPr>
              <w:jc w:val="right"/>
              <w:ind w:right="365"/>
              <w:spacing w:after="0"/>
              <w:rPr>
                <w:sz w:val="20"/>
                <w:szCs w:val="20"/>
                <w:color w:val="auto"/>
              </w:rPr>
            </w:pPr>
            <w:r>
              <w:rPr>
                <w:rFonts w:ascii="Calibri" w:cs="Calibri" w:eastAsia="Calibri" w:hAnsi="Calibri"/>
                <w:sz w:val="14"/>
                <w:szCs w:val="14"/>
                <w:b w:val="1"/>
                <w:bCs w:val="1"/>
                <w:color w:val="FFFFFF"/>
              </w:rPr>
              <w:t>Number</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700" w:type="dxa"/>
            <w:vAlign w:val="bottom"/>
            <w:tcBorders>
              <w:left w:val="single" w:sz="8" w:color="004054"/>
            </w:tcBorders>
            <w:shd w:val="clear" w:color="auto" w:fill="004054"/>
          </w:tcPr>
          <w:p>
            <w:pPr>
              <w:spacing w:after="0"/>
              <w:rPr>
                <w:sz w:val="6"/>
                <w:szCs w:val="6"/>
                <w:color w:val="auto"/>
              </w:rPr>
            </w:pPr>
          </w:p>
        </w:tc>
        <w:tc>
          <w:tcPr>
            <w:tcW w:w="76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740" w:type="dxa"/>
            <w:vAlign w:val="bottom"/>
            <w:shd w:val="clear" w:color="auto" w:fill="004054"/>
          </w:tcPr>
          <w:p>
            <w:pPr>
              <w:spacing w:after="0"/>
              <w:rPr>
                <w:sz w:val="6"/>
                <w:szCs w:val="6"/>
                <w:color w:val="auto"/>
              </w:rPr>
            </w:pPr>
          </w:p>
        </w:tc>
        <w:tc>
          <w:tcPr>
            <w:tcW w:w="100" w:type="dxa"/>
            <w:vAlign w:val="bottom"/>
            <w:tcBorders>
              <w:right w:val="single" w:sz="8" w:color="004054"/>
            </w:tcBorders>
            <w:shd w:val="clear" w:color="auto" w:fill="004054"/>
          </w:tcPr>
          <w:p>
            <w:pPr>
              <w:spacing w:after="0"/>
              <w:rPr>
                <w:sz w:val="6"/>
                <w:szCs w:val="6"/>
                <w:color w:val="auto"/>
              </w:rPr>
            </w:pPr>
          </w:p>
        </w:tc>
        <w:tc>
          <w:tcPr>
            <w:tcW w:w="100" w:type="dxa"/>
            <w:vAlign w:val="bottom"/>
            <w:tcBorders>
              <w:lef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00" w:type="dxa"/>
            <w:vAlign w:val="bottom"/>
            <w:tcBorders>
              <w:righ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11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20" w:type="dxa"/>
            <w:vAlign w:val="bottom"/>
            <w:gridSpan w:val="3"/>
            <w:shd w:val="clear" w:color="auto" w:fill="EBFBFF"/>
          </w:tcPr>
          <w:p>
            <w:pPr>
              <w:spacing w:after="0"/>
              <w:rPr>
                <w:sz w:val="16"/>
                <w:szCs w:val="16"/>
                <w:color w:val="auto"/>
              </w:rPr>
            </w:pPr>
          </w:p>
        </w:tc>
        <w:tc>
          <w:tcPr>
            <w:tcW w:w="220" w:type="dxa"/>
            <w:vAlign w:val="bottom"/>
            <w:shd w:val="clear" w:color="auto" w:fill="EBFBFF"/>
          </w:tcPr>
          <w:p>
            <w:pPr>
              <w:jc w:val="right"/>
              <w:spacing w:after="0" w:line="189" w:lineRule="exact"/>
              <w:rPr>
                <w:rFonts w:ascii="Calibri" w:cs="Calibri" w:eastAsia="Calibri" w:hAnsi="Calibri"/>
                <w:sz w:val="18"/>
                <w:szCs w:val="18"/>
                <w:color w:val="7A04DD"/>
                <w:w w:val="96"/>
              </w:rPr>
            </w:pPr>
            <w:hyperlink r:id="rId498">
              <w:r>
                <w:rPr>
                  <w:rFonts w:ascii="Calibri" w:cs="Calibri" w:eastAsia="Calibri" w:hAnsi="Calibri"/>
                  <w:sz w:val="18"/>
                  <w:szCs w:val="18"/>
                  <w:color w:val="7A04DD"/>
                  <w:w w:val="96"/>
                </w:rPr>
                <w:t>4.2</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498">
              <w:r>
                <w:rPr>
                  <w:rFonts w:ascii="Calibri" w:cs="Calibri" w:eastAsia="Calibri" w:hAnsi="Calibri"/>
                  <w:sz w:val="18"/>
                  <w:szCs w:val="18"/>
                  <w:color w:val="7A04DD"/>
                </w:rPr>
                <w:t>Stockholder Rights Agreement, dated as of October 7, 2022,</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10/11/2022</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4.1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Borders>
              <w:left w:val="single" w:sz="8" w:color="EBFBFF"/>
            </w:tcBorders>
            <w:shd w:val="clear" w:color="auto" w:fill="EBFBFF"/>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68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9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100" w:type="dxa"/>
            <w:vAlign w:val="bottom"/>
            <w:tcBorders>
              <w:right w:val="single" w:sz="8" w:color="7A04DD"/>
            </w:tcBorders>
            <w:shd w:val="clear" w:color="auto" w:fill="7A04DD"/>
          </w:tcPr>
          <w:p>
            <w:pPr>
              <w:spacing w:after="0" w:line="20" w:lineRule="exact"/>
              <w:rPr>
                <w:sz w:val="1"/>
                <w:szCs w:val="1"/>
                <w:color w:val="auto"/>
              </w:rPr>
            </w:pPr>
          </w:p>
        </w:tc>
        <w:tc>
          <w:tcPr>
            <w:tcW w:w="100" w:type="dxa"/>
            <w:vAlign w:val="bottom"/>
            <w:tcBorders>
              <w:left w:val="single" w:sz="8" w:color="7A04DD"/>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0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80" w:type="dxa"/>
            <w:vAlign w:val="bottom"/>
            <w:tcBorders>
              <w:bottom w:val="single" w:sz="8" w:color="EBFBFF"/>
            </w:tcBorders>
            <w:shd w:val="clear" w:color="auto" w:fill="EBFBFF"/>
          </w:tcPr>
          <w:p>
            <w:pPr>
              <w:spacing w:after="0"/>
              <w:rPr>
                <w:sz w:val="17"/>
                <w:szCs w:val="17"/>
                <w:color w:val="auto"/>
              </w:rPr>
            </w:pPr>
          </w:p>
        </w:tc>
        <w:tc>
          <w:tcPr>
            <w:tcW w:w="220" w:type="dxa"/>
            <w:vAlign w:val="bottom"/>
            <w:tcBorders>
              <w:bottom w:val="single" w:sz="8" w:color="EBFBFF"/>
            </w:tcBorders>
            <w:shd w:val="clear" w:color="auto" w:fill="EBFBFF"/>
          </w:tcPr>
          <w:p>
            <w:pPr>
              <w:spacing w:after="0"/>
              <w:rPr>
                <w:sz w:val="17"/>
                <w:szCs w:val="17"/>
                <w:color w:val="auto"/>
              </w:rPr>
            </w:pPr>
          </w:p>
        </w:tc>
        <w:tc>
          <w:tcPr>
            <w:tcW w:w="700" w:type="dxa"/>
            <w:vAlign w:val="bottom"/>
            <w:tcBorders>
              <w:left w:val="single" w:sz="8" w:color="EBFBFF"/>
              <w:bottom w:val="single" w:sz="8" w:color="EBFBFF"/>
            </w:tcBorders>
            <w:shd w:val="clear" w:color="auto" w:fill="EBFBFF"/>
          </w:tcPr>
          <w:p>
            <w:pPr>
              <w:spacing w:after="0"/>
              <w:rPr>
                <w:sz w:val="17"/>
                <w:szCs w:val="17"/>
                <w:color w:val="auto"/>
              </w:rPr>
            </w:pPr>
          </w:p>
        </w:tc>
        <w:tc>
          <w:tcPr>
            <w:tcW w:w="4360" w:type="dxa"/>
            <w:vAlign w:val="bottom"/>
            <w:tcBorders>
              <w:bottom w:val="single" w:sz="8" w:color="7A04DD"/>
            </w:tcBorders>
            <w:gridSpan w:val="13"/>
            <w:shd w:val="clear" w:color="auto" w:fill="EBFBFF"/>
          </w:tcPr>
          <w:p>
            <w:pPr>
              <w:spacing w:after="0" w:line="196" w:lineRule="exact"/>
              <w:rPr>
                <w:rFonts w:ascii="Calibri" w:cs="Calibri" w:eastAsia="Calibri" w:hAnsi="Calibri"/>
                <w:sz w:val="18"/>
                <w:szCs w:val="18"/>
                <w:color w:val="7A04DD"/>
                <w:w w:val="96"/>
              </w:rPr>
            </w:pPr>
            <w:hyperlink r:id="rId498">
              <w:r>
                <w:rPr>
                  <w:rFonts w:ascii="Calibri" w:cs="Calibri" w:eastAsia="Calibri" w:hAnsi="Calibri"/>
                  <w:sz w:val="18"/>
                  <w:szCs w:val="18"/>
                  <w:color w:val="7A04DD"/>
                  <w:w w:val="96"/>
                </w:rPr>
                <w:t>between Blackbaud, Inc. and American Stock Transfer &amp; Trust</w:t>
              </w:r>
            </w:hyperlink>
          </w:p>
        </w:tc>
        <w:tc>
          <w:tcPr>
            <w:tcW w:w="420" w:type="dxa"/>
            <w:vAlign w:val="bottom"/>
            <w:tcBorders>
              <w:bottom w:val="single" w:sz="8" w:color="EBFBFF"/>
            </w:tcBorders>
            <w:gridSpan w:val="9"/>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1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0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Calibri" w:cs="Calibri" w:eastAsia="Calibri" w:hAnsi="Calibri"/>
                <w:sz w:val="18"/>
                <w:szCs w:val="18"/>
                <w:color w:val="7A04DD"/>
              </w:rPr>
            </w:pPr>
            <w:hyperlink r:id="rId498">
              <w:r>
                <w:rPr>
                  <w:rFonts w:ascii="Calibri" w:cs="Calibri" w:eastAsia="Calibri" w:hAnsi="Calibri"/>
                  <w:sz w:val="18"/>
                  <w:szCs w:val="18"/>
                  <w:color w:val="7A04DD"/>
                </w:rPr>
                <w:t>Company, LLC, as Rights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9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vMerge w:val="restart"/>
          </w:tcPr>
          <w:p>
            <w:pPr>
              <w:jc w:val="right"/>
              <w:spacing w:after="0"/>
              <w:rPr>
                <w:rFonts w:ascii="Calibri" w:cs="Calibri" w:eastAsia="Calibri" w:hAnsi="Calibri"/>
                <w:sz w:val="18"/>
                <w:szCs w:val="18"/>
                <w:color w:val="7A04DD"/>
              </w:rPr>
            </w:pPr>
            <w:hyperlink r:id="rId499">
              <w:r>
                <w:rPr>
                  <w:rFonts w:ascii="Calibri" w:cs="Calibri" w:eastAsia="Calibri" w:hAnsi="Calibri"/>
                  <w:sz w:val="18"/>
                  <w:szCs w:val="18"/>
                  <w:color w:val="7A04DD"/>
                </w:rPr>
                <w:t>4.</w:t>
              </w:r>
              <w:r>
                <w:rPr>
                  <w:rFonts w:ascii="Calibri" w:cs="Calibri" w:eastAsia="Calibri" w:hAnsi="Calibri"/>
                  <w:sz w:val="18"/>
                  <w:szCs w:val="18"/>
                  <w:u w:val="single" w:color="auto"/>
                  <w:color w:val="7A04DD"/>
                </w:rPr>
                <w:t>3</w:t>
              </w:r>
            </w:hyperlink>
          </w:p>
        </w:tc>
        <w:tc>
          <w:tcPr>
            <w:tcW w:w="70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499">
              <w:r>
                <w:rPr>
                  <w:rFonts w:ascii="Calibri" w:cs="Calibri" w:eastAsia="Calibri" w:hAnsi="Calibri"/>
                  <w:sz w:val="18"/>
                  <w:szCs w:val="18"/>
                  <w:color w:val="7A04DD"/>
                </w:rPr>
                <w:t>Amendment to Stockholder Rights Agreement, dated as of</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10/2/2023</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4.2</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4"/>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68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9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4780" w:type="dxa"/>
            <w:vAlign w:val="bottom"/>
            <w:gridSpan w:val="22"/>
            <w:vMerge w:val="restart"/>
          </w:tcPr>
          <w:p>
            <w:pPr>
              <w:spacing w:after="0" w:line="196" w:lineRule="exact"/>
              <w:rPr>
                <w:rFonts w:ascii="Calibri" w:cs="Calibri" w:eastAsia="Calibri" w:hAnsi="Calibri"/>
                <w:sz w:val="18"/>
                <w:szCs w:val="18"/>
                <w:color w:val="7A04DD"/>
              </w:rPr>
            </w:pPr>
            <w:hyperlink r:id="rId499">
              <w:r>
                <w:rPr>
                  <w:rFonts w:ascii="Calibri" w:cs="Calibri" w:eastAsia="Calibri" w:hAnsi="Calibri"/>
                  <w:sz w:val="18"/>
                  <w:szCs w:val="18"/>
                  <w:color w:val="7A04DD"/>
                </w:rPr>
                <w:t>October 2, 2023, between Blackbaud, Inc. and Equinit Trust</w:t>
              </w:r>
            </w:hyperlink>
          </w:p>
        </w:tc>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7A04DD"/>
            </w:tcBorders>
          </w:tcPr>
          <w:p>
            <w:pPr>
              <w:spacing w:after="0"/>
              <w:rPr>
                <w:sz w:val="12"/>
                <w:szCs w:val="12"/>
                <w:color w:val="auto"/>
              </w:rPr>
            </w:pPr>
          </w:p>
        </w:tc>
        <w:tc>
          <w:tcPr>
            <w:tcW w:w="700" w:type="dxa"/>
            <w:vAlign w:val="bottom"/>
          </w:tcPr>
          <w:p>
            <w:pPr>
              <w:spacing w:after="0"/>
              <w:rPr>
                <w:sz w:val="12"/>
                <w:szCs w:val="12"/>
                <w:color w:val="auto"/>
              </w:rPr>
            </w:pPr>
          </w:p>
        </w:tc>
        <w:tc>
          <w:tcPr>
            <w:tcW w:w="4780" w:type="dxa"/>
            <w:vAlign w:val="bottom"/>
            <w:gridSpan w:val="22"/>
            <w:vMerge w:val="continue"/>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13" w:type="dxa"/>
            <w:vAlign w:val="bottom"/>
          </w:tcPr>
          <w:p>
            <w:pPr>
              <w:spacing w:after="0"/>
              <w:rPr>
                <w:sz w:val="12"/>
                <w:szCs w:val="12"/>
                <w:color w:val="auto"/>
              </w:rPr>
            </w:pPr>
          </w:p>
        </w:tc>
        <w:tc>
          <w:tcPr>
            <w:tcW w:w="928"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740" w:type="dxa"/>
            <w:vAlign w:val="bottom"/>
            <w:gridSpan w:val="2"/>
            <w:shd w:val="clear" w:color="auto" w:fill="7A04DD"/>
          </w:tcPr>
          <w:p>
            <w:pPr>
              <w:spacing w:after="0" w:line="20" w:lineRule="exact"/>
              <w:rPr>
                <w:sz w:val="1"/>
                <w:szCs w:val="1"/>
                <w:color w:val="auto"/>
              </w:rPr>
            </w:pPr>
          </w:p>
        </w:tc>
        <w:tc>
          <w:tcPr>
            <w:tcW w:w="9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840" w:type="dxa"/>
            <w:vAlign w:val="bottom"/>
            <w:tcBorders>
              <w:right w:val="single" w:sz="8" w:color="7A04DD"/>
            </w:tcBorders>
            <w:gridSpan w:val="2"/>
            <w:shd w:val="clear" w:color="auto" w:fill="7A04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gridSpan w:val="22"/>
          </w:tcPr>
          <w:p>
            <w:pPr>
              <w:spacing w:after="0" w:line="196" w:lineRule="exact"/>
              <w:rPr>
                <w:rFonts w:ascii="Calibri" w:cs="Calibri" w:eastAsia="Calibri" w:hAnsi="Calibri"/>
                <w:sz w:val="18"/>
                <w:szCs w:val="18"/>
                <w:color w:val="7A04DD"/>
              </w:rPr>
            </w:pPr>
            <w:hyperlink r:id="rId499">
              <w:r>
                <w:rPr>
                  <w:rFonts w:ascii="Calibri" w:cs="Calibri" w:eastAsia="Calibri" w:hAnsi="Calibri"/>
                  <w:sz w:val="18"/>
                  <w:szCs w:val="18"/>
                  <w:color w:val="7A04DD"/>
                </w:rPr>
                <w:t>Company, LLC (f/k/a American Stock Transfer &amp; Trust Company,</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499">
              <w:r>
                <w:rPr>
                  <w:rFonts w:ascii="Calibri" w:cs="Calibri" w:eastAsia="Calibri" w:hAnsi="Calibri"/>
                  <w:sz w:val="18"/>
                  <w:szCs w:val="18"/>
                  <w:color w:val="7A04DD"/>
                </w:rPr>
                <w:t>LLC), as Rights Agent.</w:t>
              </w:r>
            </w:hyperlink>
          </w:p>
        </w:tc>
        <w:tc>
          <w:tcPr>
            <w:tcW w:w="32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Borders>
              <w:top w:val="single" w:sz="8" w:color="7A04DD"/>
            </w:tcBorders>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tcBorders>
              <w:bottom w:val="single" w:sz="8" w:color="EBFBFF"/>
            </w:tcBorders>
            <w:gridSpan w:val="4"/>
            <w:vMerge w:val="restart"/>
            <w:shd w:val="clear" w:color="auto" w:fill="EBFBFF"/>
          </w:tcPr>
          <w:p>
            <w:pPr>
              <w:jc w:val="right"/>
              <w:spacing w:after="0"/>
              <w:rPr>
                <w:rFonts w:ascii="Calibri" w:cs="Calibri" w:eastAsia="Calibri" w:hAnsi="Calibri"/>
                <w:sz w:val="18"/>
                <w:szCs w:val="18"/>
                <w:color w:val="7A04DD"/>
              </w:rPr>
            </w:pPr>
            <w:hyperlink r:id="rId500">
              <w:r>
                <w:rPr>
                  <w:rFonts w:ascii="Calibri" w:cs="Calibri" w:eastAsia="Calibri" w:hAnsi="Calibri"/>
                  <w:sz w:val="18"/>
                  <w:szCs w:val="18"/>
                  <w:color w:val="7A04DD"/>
                </w:rPr>
                <w:t>4.</w:t>
              </w:r>
              <w:r>
                <w:rPr>
                  <w:rFonts w:ascii="Calibri" w:cs="Calibri" w:eastAsia="Calibri" w:hAnsi="Calibri"/>
                  <w:sz w:val="18"/>
                  <w:szCs w:val="18"/>
                  <w:u w:val="single" w:color="auto"/>
                  <w:color w:val="7A04DD"/>
                </w:rPr>
                <w:t>4</w:t>
              </w:r>
            </w:hyperlink>
          </w:p>
        </w:tc>
        <w:tc>
          <w:tcPr>
            <w:tcW w:w="700" w:type="dxa"/>
            <w:vAlign w:val="bottom"/>
            <w:tcBorders>
              <w:left w:val="single" w:sz="8" w:color="EBFBFF"/>
              <w:bottom w:val="single" w:sz="8" w:color="EBFBFF"/>
            </w:tcBorders>
            <w:shd w:val="clear" w:color="auto" w:fill="EBFBFF"/>
          </w:tcPr>
          <w:p>
            <w:pPr>
              <w:spacing w:after="0"/>
              <w:rPr>
                <w:sz w:val="16"/>
                <w:szCs w:val="16"/>
                <w:color w:val="auto"/>
              </w:rPr>
            </w:pPr>
          </w:p>
        </w:tc>
        <w:tc>
          <w:tcPr>
            <w:tcW w:w="4560" w:type="dxa"/>
            <w:vAlign w:val="bottom"/>
            <w:tcBorders>
              <w:bottom w:val="single" w:sz="8" w:color="7A04DD"/>
              <w:right w:val="single" w:sz="8" w:color="EBFBFF"/>
            </w:tcBorders>
            <w:gridSpan w:val="19"/>
            <w:shd w:val="clear" w:color="auto" w:fill="EBFBFF"/>
          </w:tcPr>
          <w:p>
            <w:pPr>
              <w:spacing w:after="0" w:line="189" w:lineRule="exact"/>
              <w:rPr>
                <w:rFonts w:ascii="Calibri" w:cs="Calibri" w:eastAsia="Calibri" w:hAnsi="Calibri"/>
                <w:sz w:val="18"/>
                <w:szCs w:val="18"/>
                <w:color w:val="7A04DD"/>
                <w:w w:val="97"/>
              </w:rPr>
            </w:pPr>
            <w:hyperlink r:id="rId500">
              <w:r>
                <w:rPr>
                  <w:rFonts w:ascii="Calibri" w:cs="Calibri" w:eastAsia="Calibri" w:hAnsi="Calibri"/>
                  <w:sz w:val="18"/>
                  <w:szCs w:val="18"/>
                  <w:color w:val="7A04DD"/>
                  <w:w w:val="97"/>
                </w:rPr>
                <w:t>Second Amendment to Stockholder Rights Agreement, dated as</w:t>
              </w:r>
            </w:hyperlink>
          </w:p>
        </w:tc>
        <w:tc>
          <w:tcPr>
            <w:tcW w:w="220" w:type="dxa"/>
            <w:vAlign w:val="bottom"/>
            <w:tcBorders>
              <w:bottom w:val="single" w:sz="8" w:color="EBFBFF"/>
            </w:tcBorders>
            <w:gridSpan w:val="3"/>
            <w:shd w:val="clear" w:color="auto" w:fill="EBFBFF"/>
          </w:tcPr>
          <w:p>
            <w:pPr>
              <w:spacing w:after="0"/>
              <w:rPr>
                <w:sz w:val="16"/>
                <w:szCs w:val="16"/>
                <w:color w:val="auto"/>
              </w:rPr>
            </w:pPr>
          </w:p>
        </w:tc>
        <w:tc>
          <w:tcPr>
            <w:tcW w:w="1200" w:type="dxa"/>
            <w:vAlign w:val="bottom"/>
            <w:tcBorders>
              <w:bottom w:val="single" w:sz="8" w:color="EBFBFF"/>
            </w:tcBorders>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Borders>
              <w:bottom w:val="single" w:sz="8" w:color="EBFBFF"/>
            </w:tcBorders>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1/26/2024</w:t>
            </w:r>
          </w:p>
        </w:tc>
        <w:tc>
          <w:tcPr>
            <w:tcW w:w="1113" w:type="dxa"/>
            <w:vAlign w:val="bottom"/>
            <w:tcBorders>
              <w:bottom w:val="single" w:sz="8" w:color="EBFBFF"/>
            </w:tcBorders>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4.3</w:t>
            </w:r>
          </w:p>
        </w:tc>
        <w:tc>
          <w:tcPr>
            <w:tcW w:w="928"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40" w:type="dxa"/>
            <w:vAlign w:val="bottom"/>
            <w:gridSpan w:val="4"/>
            <w:vMerge w:val="continue"/>
            <w:shd w:val="clear" w:color="auto" w:fill="EBFBFF"/>
          </w:tcPr>
          <w:p>
            <w:pPr>
              <w:spacing w:after="0"/>
              <w:rPr>
                <w:sz w:val="2"/>
                <w:szCs w:val="2"/>
                <w:color w:val="auto"/>
              </w:rPr>
            </w:pPr>
          </w:p>
        </w:tc>
        <w:tc>
          <w:tcPr>
            <w:tcW w:w="700" w:type="dxa"/>
            <w:vAlign w:val="bottom"/>
            <w:tcBorders>
              <w:left w:val="single" w:sz="8" w:color="EBFBFF"/>
            </w:tcBorders>
            <w:shd w:val="clear" w:color="auto" w:fill="EBFBFF"/>
          </w:tcPr>
          <w:p>
            <w:pPr>
              <w:spacing w:after="0"/>
              <w:rPr>
                <w:sz w:val="2"/>
                <w:szCs w:val="2"/>
                <w:color w:val="auto"/>
              </w:rPr>
            </w:pPr>
          </w:p>
        </w:tc>
        <w:tc>
          <w:tcPr>
            <w:tcW w:w="4780" w:type="dxa"/>
            <w:vAlign w:val="bottom"/>
            <w:gridSpan w:val="22"/>
            <w:vMerge w:val="restart"/>
            <w:shd w:val="clear" w:color="auto" w:fill="EBFBFF"/>
          </w:tcPr>
          <w:p>
            <w:pPr>
              <w:spacing w:after="0" w:line="196" w:lineRule="exact"/>
              <w:rPr>
                <w:rFonts w:ascii="Calibri" w:cs="Calibri" w:eastAsia="Calibri" w:hAnsi="Calibri"/>
                <w:sz w:val="18"/>
                <w:szCs w:val="18"/>
                <w:color w:val="7A04DD"/>
              </w:rPr>
            </w:pPr>
            <w:hyperlink r:id="rId500">
              <w:r>
                <w:rPr>
                  <w:rFonts w:ascii="Calibri" w:cs="Calibri" w:eastAsia="Calibri" w:hAnsi="Calibri"/>
                  <w:sz w:val="18"/>
                  <w:szCs w:val="18"/>
                  <w:color w:val="7A04DD"/>
                </w:rPr>
                <w:t>of January 26, 2024, between Blackbaud, Inc. and Broadridge</w:t>
              </w:r>
            </w:hyperlink>
          </w:p>
        </w:tc>
        <w:tc>
          <w:tcPr>
            <w:tcW w:w="1200" w:type="dxa"/>
            <w:vAlign w:val="bottom"/>
            <w:shd w:val="clear" w:color="auto" w:fill="EBFBFF"/>
          </w:tcPr>
          <w:p>
            <w:pPr>
              <w:spacing w:after="0"/>
              <w:rPr>
                <w:sz w:val="2"/>
                <w:szCs w:val="2"/>
                <w:color w:val="auto"/>
              </w:rPr>
            </w:pPr>
          </w:p>
        </w:tc>
        <w:tc>
          <w:tcPr>
            <w:tcW w:w="1580" w:type="dxa"/>
            <w:vAlign w:val="bottom"/>
            <w:shd w:val="clear" w:color="auto" w:fill="EBFBFF"/>
          </w:tcPr>
          <w:p>
            <w:pPr>
              <w:spacing w:after="0"/>
              <w:rPr>
                <w:sz w:val="2"/>
                <w:szCs w:val="2"/>
                <w:color w:val="auto"/>
              </w:rPr>
            </w:pPr>
          </w:p>
        </w:tc>
        <w:tc>
          <w:tcPr>
            <w:tcW w:w="1113" w:type="dxa"/>
            <w:vAlign w:val="bottom"/>
            <w:shd w:val="clear" w:color="auto" w:fill="EBFBFF"/>
          </w:tcPr>
          <w:p>
            <w:pPr>
              <w:spacing w:after="0"/>
              <w:rPr>
                <w:sz w:val="2"/>
                <w:szCs w:val="2"/>
                <w:color w:val="auto"/>
              </w:rPr>
            </w:pPr>
          </w:p>
        </w:tc>
        <w:tc>
          <w:tcPr>
            <w:tcW w:w="928"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Borders>
              <w:top w:val="single" w:sz="8" w:color="EBFBFF"/>
            </w:tcBorders>
            <w:shd w:val="clear" w:color="auto" w:fill="EBFBFF"/>
          </w:tcPr>
          <w:p>
            <w:pPr>
              <w:spacing w:after="0"/>
              <w:rPr>
                <w:sz w:val="12"/>
                <w:szCs w:val="12"/>
                <w:color w:val="auto"/>
              </w:rPr>
            </w:pPr>
          </w:p>
        </w:tc>
        <w:tc>
          <w:tcPr>
            <w:tcW w:w="100" w:type="dxa"/>
            <w:vAlign w:val="bottom"/>
            <w:tcBorders>
              <w:top w:val="single" w:sz="8" w:color="EBFBFF"/>
            </w:tcBorders>
            <w:shd w:val="clear" w:color="auto" w:fill="EBFBFF"/>
          </w:tcPr>
          <w:p>
            <w:pPr>
              <w:spacing w:after="0"/>
              <w:rPr>
                <w:sz w:val="12"/>
                <w:szCs w:val="12"/>
                <w:color w:val="auto"/>
              </w:rPr>
            </w:pPr>
          </w:p>
        </w:tc>
        <w:tc>
          <w:tcPr>
            <w:tcW w:w="80" w:type="dxa"/>
            <w:vAlign w:val="bottom"/>
            <w:tcBorders>
              <w:top w:val="single" w:sz="8" w:color="EBFBFF"/>
            </w:tcBorders>
            <w:shd w:val="clear" w:color="auto" w:fill="EBFBFF"/>
          </w:tcPr>
          <w:p>
            <w:pPr>
              <w:spacing w:after="0"/>
              <w:rPr>
                <w:sz w:val="12"/>
                <w:szCs w:val="12"/>
                <w:color w:val="auto"/>
              </w:rPr>
            </w:pPr>
          </w:p>
        </w:tc>
        <w:tc>
          <w:tcPr>
            <w:tcW w:w="220" w:type="dxa"/>
            <w:vAlign w:val="bottom"/>
            <w:tcBorders>
              <w:top w:val="single" w:sz="8" w:color="7A04DD"/>
            </w:tcBorders>
            <w:shd w:val="clear" w:color="auto" w:fill="EBFBFF"/>
          </w:tcPr>
          <w:p>
            <w:pPr>
              <w:spacing w:after="0"/>
              <w:rPr>
                <w:sz w:val="12"/>
                <w:szCs w:val="12"/>
                <w:color w:val="auto"/>
              </w:rPr>
            </w:pPr>
          </w:p>
        </w:tc>
        <w:tc>
          <w:tcPr>
            <w:tcW w:w="700" w:type="dxa"/>
            <w:vAlign w:val="bottom"/>
            <w:tcBorders>
              <w:top w:val="single" w:sz="8" w:color="EBFBFF"/>
              <w:left w:val="single" w:sz="8" w:color="EBFBFF"/>
            </w:tcBorders>
            <w:shd w:val="clear" w:color="auto" w:fill="EBFBFF"/>
          </w:tcPr>
          <w:p>
            <w:pPr>
              <w:spacing w:after="0"/>
              <w:rPr>
                <w:sz w:val="12"/>
                <w:szCs w:val="12"/>
                <w:color w:val="auto"/>
              </w:rPr>
            </w:pPr>
          </w:p>
        </w:tc>
        <w:tc>
          <w:tcPr>
            <w:tcW w:w="4780" w:type="dxa"/>
            <w:vAlign w:val="bottom"/>
            <w:tcBorders>
              <w:top w:val="single" w:sz="8" w:color="EBFBFF"/>
            </w:tcBorders>
            <w:gridSpan w:val="22"/>
            <w:vMerge w:val="continue"/>
            <w:shd w:val="clear" w:color="auto" w:fill="EBFBFF"/>
          </w:tcPr>
          <w:p>
            <w:pPr>
              <w:spacing w:after="0"/>
              <w:rPr>
                <w:sz w:val="12"/>
                <w:szCs w:val="12"/>
                <w:color w:val="auto"/>
              </w:rPr>
            </w:pPr>
          </w:p>
        </w:tc>
        <w:tc>
          <w:tcPr>
            <w:tcW w:w="1200" w:type="dxa"/>
            <w:vAlign w:val="bottom"/>
            <w:tcBorders>
              <w:top w:val="single" w:sz="8" w:color="EBFBFF"/>
            </w:tcBorders>
            <w:shd w:val="clear" w:color="auto" w:fill="EBFBFF"/>
          </w:tcPr>
          <w:p>
            <w:pPr>
              <w:spacing w:after="0"/>
              <w:rPr>
                <w:sz w:val="12"/>
                <w:szCs w:val="12"/>
                <w:color w:val="auto"/>
              </w:rPr>
            </w:pPr>
          </w:p>
        </w:tc>
        <w:tc>
          <w:tcPr>
            <w:tcW w:w="1580" w:type="dxa"/>
            <w:vAlign w:val="bottom"/>
            <w:tcBorders>
              <w:top w:val="single" w:sz="8" w:color="EBFBFF"/>
            </w:tcBorders>
            <w:shd w:val="clear" w:color="auto" w:fill="EBFBFF"/>
          </w:tcPr>
          <w:p>
            <w:pPr>
              <w:spacing w:after="0"/>
              <w:rPr>
                <w:sz w:val="12"/>
                <w:szCs w:val="12"/>
                <w:color w:val="auto"/>
              </w:rPr>
            </w:pPr>
          </w:p>
        </w:tc>
        <w:tc>
          <w:tcPr>
            <w:tcW w:w="1113" w:type="dxa"/>
            <w:vAlign w:val="bottom"/>
            <w:tcBorders>
              <w:top w:val="single" w:sz="8" w:color="EBFBFF"/>
            </w:tcBorders>
            <w:shd w:val="clear" w:color="auto" w:fill="EBFBFF"/>
          </w:tcPr>
          <w:p>
            <w:pPr>
              <w:spacing w:after="0"/>
              <w:rPr>
                <w:sz w:val="12"/>
                <w:szCs w:val="12"/>
                <w:color w:val="auto"/>
              </w:rPr>
            </w:pPr>
          </w:p>
        </w:tc>
        <w:tc>
          <w:tcPr>
            <w:tcW w:w="928"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340" w:type="dxa"/>
            <w:vAlign w:val="bottom"/>
            <w:tcBorders>
              <w:top w:val="single" w:sz="8" w:color="7A04DD"/>
            </w:tcBorders>
            <w:gridSpan w:val="12"/>
            <w:shd w:val="clear" w:color="auto" w:fill="EBFBFF"/>
          </w:tcPr>
          <w:p>
            <w:pPr>
              <w:spacing w:after="0" w:line="196" w:lineRule="exact"/>
              <w:rPr>
                <w:rFonts w:ascii="Calibri" w:cs="Calibri" w:eastAsia="Calibri" w:hAnsi="Calibri"/>
                <w:sz w:val="18"/>
                <w:szCs w:val="18"/>
                <w:color w:val="7A04DD"/>
              </w:rPr>
            </w:pPr>
            <w:hyperlink r:id="rId500">
              <w:r>
                <w:rPr>
                  <w:rFonts w:ascii="Calibri" w:cs="Calibri" w:eastAsia="Calibri" w:hAnsi="Calibri"/>
                  <w:sz w:val="18"/>
                  <w:szCs w:val="18"/>
                  <w:color w:val="7A04DD"/>
                </w:rPr>
                <w:t>Corporate Issuer Solutons, LLC, as Rights Agent.</w:t>
              </w:r>
            </w:hyperlink>
          </w:p>
        </w:tc>
        <w:tc>
          <w:tcPr>
            <w:tcW w:w="440" w:type="dxa"/>
            <w:vAlign w:val="bottom"/>
            <w:tcBorders>
              <w:top w:val="single" w:sz="8" w:color="EBFBFF"/>
            </w:tcBorders>
            <w:gridSpan w:val="10"/>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98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40" w:type="dxa"/>
            <w:vAlign w:val="bottom"/>
            <w:tcBorders>
              <w:top w:val="single" w:sz="8" w:color="7A04DD"/>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gridSpan w:val="3"/>
          </w:tcPr>
          <w:p>
            <w:pPr>
              <w:spacing w:after="0"/>
              <w:rPr>
                <w:sz w:val="16"/>
                <w:szCs w:val="16"/>
                <w:color w:val="auto"/>
              </w:rPr>
            </w:pPr>
          </w:p>
        </w:tc>
        <w:tc>
          <w:tcPr>
            <w:tcW w:w="220" w:type="dxa"/>
            <w:vAlign w:val="bottom"/>
          </w:tcPr>
          <w:p>
            <w:pPr>
              <w:jc w:val="right"/>
              <w:spacing w:after="0" w:line="189" w:lineRule="exact"/>
              <w:rPr>
                <w:rFonts w:ascii="Calibri" w:cs="Calibri" w:eastAsia="Calibri" w:hAnsi="Calibri"/>
                <w:sz w:val="18"/>
                <w:szCs w:val="18"/>
                <w:color w:val="7A04DD"/>
                <w:w w:val="96"/>
              </w:rPr>
            </w:pPr>
            <w:hyperlink r:id="rId493">
              <w:r>
                <w:rPr>
                  <w:rFonts w:ascii="Calibri" w:cs="Calibri" w:eastAsia="Calibri" w:hAnsi="Calibri"/>
                  <w:sz w:val="18"/>
                  <w:szCs w:val="18"/>
                  <w:color w:val="7A04DD"/>
                  <w:w w:val="96"/>
                </w:rPr>
                <w:t>4.</w:t>
              </w:r>
              <w:r>
                <w:rPr>
                  <w:rFonts w:ascii="Calibri" w:cs="Calibri" w:eastAsia="Calibri" w:hAnsi="Calibri"/>
                  <w:sz w:val="18"/>
                  <w:szCs w:val="18"/>
                  <w:u w:val="single" w:color="auto"/>
                  <w:color w:val="7A04DD"/>
                  <w:w w:val="96"/>
                </w:rPr>
                <w:t>5</w:t>
              </w:r>
            </w:hyperlink>
          </w:p>
        </w:tc>
        <w:tc>
          <w:tcPr>
            <w:tcW w:w="70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493">
              <w:r>
                <w:rPr>
                  <w:rFonts w:ascii="Calibri" w:cs="Calibri" w:eastAsia="Calibri" w:hAnsi="Calibri"/>
                  <w:sz w:val="18"/>
                  <w:szCs w:val="18"/>
                  <w:color w:val="7A04DD"/>
                </w:rPr>
                <w:t>Third Amendment to Stockholder Rights Agreement, dated as of</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3/18/2024</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4.4</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1120" w:type="dxa"/>
            <w:vAlign w:val="bottom"/>
            <w:gridSpan w:val="3"/>
            <w:shd w:val="clear" w:color="auto" w:fill="7A04DD"/>
          </w:tcPr>
          <w:p>
            <w:pPr>
              <w:spacing w:after="0" w:line="20" w:lineRule="exact"/>
              <w:rPr>
                <w:sz w:val="1"/>
                <w:szCs w:val="1"/>
                <w:color w:val="auto"/>
              </w:rPr>
            </w:pPr>
          </w:p>
        </w:tc>
        <w:tc>
          <w:tcPr>
            <w:tcW w:w="9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880" w:type="dxa"/>
            <w:vAlign w:val="bottom"/>
            <w:tcBorders>
              <w:right w:val="single" w:sz="8" w:color="7A04DD"/>
            </w:tcBorders>
            <w:gridSpan w:val="3"/>
            <w:shd w:val="clear" w:color="auto" w:fill="7A04DD"/>
          </w:tcPr>
          <w:p>
            <w:pPr>
              <w:spacing w:after="0" w:line="20" w:lineRule="exact"/>
              <w:rPr>
                <w:sz w:val="1"/>
                <w:szCs w:val="1"/>
                <w:color w:val="auto"/>
              </w:rPr>
            </w:pPr>
          </w:p>
        </w:tc>
        <w:tc>
          <w:tcPr>
            <w:tcW w:w="120" w:type="dxa"/>
            <w:vAlign w:val="bottom"/>
            <w:tcBorders>
              <w:left w:val="single" w:sz="8" w:color="7A04DD"/>
            </w:tcBorders>
            <w:gridSpan w:val="2"/>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10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gridSpan w:val="22"/>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March 18, 2024, by and between Blackbaud, Inc. and Broadridge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80" w:type="dxa"/>
            <w:vAlign w:val="bottom"/>
            <w:tcBorders>
              <w:top w:val="single" w:sz="8" w:color="7A04DD"/>
            </w:tcBorders>
            <w:gridSpan w:val="20"/>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Corporate Issuer Solutons, LLC.</w:t>
              </w:r>
            </w:hyperlink>
          </w:p>
        </w:tc>
        <w:tc>
          <w:tcPr>
            <w:tcW w:w="2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1">
              <w:r>
                <w:rPr>
                  <w:rFonts w:ascii="Calibri" w:cs="Calibri" w:eastAsia="Calibri" w:hAnsi="Calibri"/>
                  <w:sz w:val="18"/>
                  <w:szCs w:val="18"/>
                  <w:color w:val="7A04DD"/>
                </w:rPr>
                <w:t>10.</w:t>
              </w:r>
              <w:r>
                <w:rPr>
                  <w:rFonts w:ascii="Calibri" w:cs="Calibri" w:eastAsia="Calibri" w:hAnsi="Calibri"/>
                  <w:sz w:val="18"/>
                  <w:szCs w:val="18"/>
                  <w:u w:val="single" w:color="auto"/>
                  <w:color w:val="7A04DD"/>
                </w:rPr>
                <w:t>1</w:t>
              </w:r>
            </w:hyperlink>
          </w:p>
        </w:tc>
        <w:tc>
          <w:tcPr>
            <w:tcW w:w="700" w:type="dxa"/>
            <w:vAlign w:val="bottom"/>
            <w:tcBorders>
              <w:left w:val="single" w:sz="8" w:color="EBFBFF"/>
            </w:tcBorders>
            <w:shd w:val="clear" w:color="auto" w:fill="EBFBFF"/>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01">
              <w:r>
                <w:rPr>
                  <w:rFonts w:ascii="Calibri" w:cs="Calibri" w:eastAsia="Calibri" w:hAnsi="Calibri"/>
                  <w:sz w:val="18"/>
                  <w:szCs w:val="18"/>
                  <w:color w:val="7A04DD"/>
                </w:rPr>
                <w:t>Form of Employment Agreement between Blackbaud, Inc. and</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2/27/2013</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10.65</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40" w:type="dxa"/>
            <w:vAlign w:val="bottom"/>
            <w:tcBorders>
              <w:top w:val="single" w:sz="8" w:color="7A04DD"/>
            </w:tcBorders>
            <w:gridSpan w:val="17"/>
            <w:shd w:val="clear" w:color="auto" w:fill="EBFBFF"/>
          </w:tcPr>
          <w:p>
            <w:pPr>
              <w:spacing w:after="0" w:line="196" w:lineRule="exact"/>
              <w:rPr>
                <w:rFonts w:ascii="Calibri" w:cs="Calibri" w:eastAsia="Calibri" w:hAnsi="Calibri"/>
                <w:sz w:val="18"/>
                <w:szCs w:val="18"/>
                <w:color w:val="7A04DD"/>
              </w:rPr>
            </w:pPr>
            <w:hyperlink r:id="rId501">
              <w:r>
                <w:rPr>
                  <w:rFonts w:ascii="Calibri" w:cs="Calibri" w:eastAsia="Calibri" w:hAnsi="Calibri"/>
                  <w:sz w:val="18"/>
                  <w:szCs w:val="18"/>
                  <w:color w:val="7A04DD"/>
                </w:rPr>
                <w:t>each of Anthony W. Boor and Kevin W. Mooney</w:t>
              </w:r>
            </w:hyperlink>
          </w:p>
        </w:tc>
        <w:tc>
          <w:tcPr>
            <w:tcW w:w="340" w:type="dxa"/>
            <w:vAlign w:val="bottom"/>
            <w:tcBorders>
              <w:top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98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1">
              <w:r>
                <w:rPr>
                  <w:rFonts w:ascii="Calibri" w:cs="Calibri" w:eastAsia="Calibri" w:hAnsi="Calibri"/>
                  <w:sz w:val="18"/>
                  <w:szCs w:val="18"/>
                  <w:color w:val="7A04DD"/>
                </w:rPr>
                <w:t>10.</w:t>
              </w:r>
              <w:r>
                <w:rPr>
                  <w:rFonts w:ascii="Calibri" w:cs="Calibri" w:eastAsia="Calibri" w:hAnsi="Calibri"/>
                  <w:sz w:val="18"/>
                  <w:szCs w:val="18"/>
                  <w:u w:val="single" w:color="auto"/>
                  <w:color w:val="7A04DD"/>
                </w:rPr>
                <w:t>2</w:t>
              </w:r>
            </w:hyperlink>
          </w:p>
        </w:tc>
        <w:tc>
          <w:tcPr>
            <w:tcW w:w="700" w:type="dxa"/>
            <w:vAlign w:val="bottom"/>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2"/>
          </w:tcPr>
          <w:p>
            <w:pPr>
              <w:spacing w:after="0" w:line="189" w:lineRule="exact"/>
              <w:rPr>
                <w:rFonts w:ascii="Calibri" w:cs="Calibri" w:eastAsia="Calibri" w:hAnsi="Calibri"/>
                <w:sz w:val="18"/>
                <w:szCs w:val="18"/>
                <w:color w:val="7A04DD"/>
              </w:rPr>
            </w:pPr>
            <w:hyperlink r:id="rId501">
              <w:r>
                <w:rPr>
                  <w:rFonts w:ascii="Calibri" w:cs="Calibri" w:eastAsia="Calibri" w:hAnsi="Calibri"/>
                  <w:sz w:val="18"/>
                  <w:szCs w:val="18"/>
                  <w:color w:val="7A04DD"/>
                </w:rPr>
                <w:t>Form of Employment Agreement between Blackbaud, Inc. and</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2/27/2013</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10.65</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440" w:type="dxa"/>
            <w:vAlign w:val="bottom"/>
            <w:tcBorders>
              <w:top w:val="single" w:sz="8" w:color="7A04DD"/>
            </w:tcBorders>
            <w:gridSpan w:val="17"/>
          </w:tcPr>
          <w:p>
            <w:pPr>
              <w:spacing w:after="0" w:line="196" w:lineRule="exact"/>
              <w:rPr>
                <w:rFonts w:ascii="Calibri" w:cs="Calibri" w:eastAsia="Calibri" w:hAnsi="Calibri"/>
                <w:sz w:val="18"/>
                <w:szCs w:val="18"/>
                <w:color w:val="7A04DD"/>
              </w:rPr>
            </w:pPr>
            <w:hyperlink r:id="rId501">
              <w:r>
                <w:rPr>
                  <w:rFonts w:ascii="Calibri" w:cs="Calibri" w:eastAsia="Calibri" w:hAnsi="Calibri"/>
                  <w:sz w:val="18"/>
                  <w:szCs w:val="18"/>
                  <w:color w:val="7A04DD"/>
                </w:rPr>
                <w:t>Jon W. Olson</w:t>
              </w:r>
            </w:hyperlink>
          </w:p>
        </w:tc>
        <w:tc>
          <w:tcPr>
            <w:tcW w:w="34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2">
              <w:r>
                <w:rPr>
                  <w:rFonts w:ascii="Calibri" w:cs="Calibri" w:eastAsia="Calibri" w:hAnsi="Calibri"/>
                  <w:sz w:val="18"/>
                  <w:szCs w:val="18"/>
                  <w:color w:val="7A04DD"/>
                </w:rPr>
                <w:t>10.</w:t>
              </w:r>
              <w:r>
                <w:rPr>
                  <w:rFonts w:ascii="Calibri" w:cs="Calibri" w:eastAsia="Calibri" w:hAnsi="Calibri"/>
                  <w:sz w:val="18"/>
                  <w:szCs w:val="18"/>
                  <w:u w:val="single" w:color="auto"/>
                  <w:color w:val="7A04DD"/>
                </w:rPr>
                <w:t>3</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02">
              <w:r>
                <w:rPr>
                  <w:rFonts w:ascii="Calibri" w:cs="Calibri" w:eastAsia="Calibri" w:hAnsi="Calibri"/>
                  <w:sz w:val="18"/>
                  <w:szCs w:val="18"/>
                  <w:color w:val="7A04DD"/>
                </w:rPr>
                <w:t>Lease Agreement dated May 16, 2016 between BBHQ1, LLC (a</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8/4/2016</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10.84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00" w:type="dxa"/>
            <w:vAlign w:val="bottom"/>
            <w:tcBorders>
              <w:top w:val="single" w:sz="8" w:color="7A04DD"/>
            </w:tcBorders>
            <w:gridSpan w:val="15"/>
            <w:shd w:val="clear" w:color="auto" w:fill="EBFBFF"/>
          </w:tcPr>
          <w:p>
            <w:pPr>
              <w:spacing w:after="0" w:line="196" w:lineRule="exact"/>
              <w:rPr>
                <w:rFonts w:ascii="Calibri" w:cs="Calibri" w:eastAsia="Calibri" w:hAnsi="Calibri"/>
                <w:sz w:val="18"/>
                <w:szCs w:val="18"/>
                <w:color w:val="7A04DD"/>
              </w:rPr>
            </w:pPr>
            <w:hyperlink r:id="rId502">
              <w:r>
                <w:rPr>
                  <w:rFonts w:ascii="Calibri" w:cs="Calibri" w:eastAsia="Calibri" w:hAnsi="Calibri"/>
                  <w:sz w:val="18"/>
                  <w:szCs w:val="18"/>
                  <w:color w:val="7A04DD"/>
                </w:rPr>
                <w:t>subsidiary of Blackbaud, Inc.) and HPBB1, LLC</w:t>
              </w:r>
            </w:hyperlink>
          </w:p>
        </w:tc>
        <w:tc>
          <w:tcPr>
            <w:tcW w:w="380" w:type="dxa"/>
            <w:vAlign w:val="bottom"/>
            <w:tcBorders>
              <w:top w:val="single" w:sz="8" w:color="EBFBFF"/>
            </w:tcBorders>
            <w:gridSpan w:val="7"/>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98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3">
              <w:r>
                <w:rPr>
                  <w:rFonts w:ascii="Calibri" w:cs="Calibri" w:eastAsia="Calibri" w:hAnsi="Calibri"/>
                  <w:sz w:val="18"/>
                  <w:szCs w:val="18"/>
                  <w:color w:val="7A04DD"/>
                </w:rPr>
                <w:t>10.</w:t>
              </w:r>
              <w:r>
                <w:rPr>
                  <w:rFonts w:ascii="Calibri" w:cs="Calibri" w:eastAsia="Calibri" w:hAnsi="Calibri"/>
                  <w:sz w:val="18"/>
                  <w:szCs w:val="18"/>
                  <w:u w:val="single" w:color="auto"/>
                  <w:color w:val="7A04DD"/>
                </w:rPr>
                <w:t>4</w:t>
              </w:r>
            </w:hyperlink>
          </w:p>
        </w:tc>
        <w:tc>
          <w:tcPr>
            <w:tcW w:w="70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503">
              <w:r>
                <w:rPr>
                  <w:rFonts w:ascii="Calibri" w:cs="Calibri" w:eastAsia="Calibri" w:hAnsi="Calibri"/>
                  <w:sz w:val="18"/>
                  <w:szCs w:val="18"/>
                  <w:color w:val="7A04DD"/>
                </w:rPr>
                <w:t>First Amendment to Lease Agreement, dated as of August 22,</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11/4/2016</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10.87</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360" w:type="dxa"/>
            <w:vAlign w:val="bottom"/>
            <w:tcBorders>
              <w:top w:val="single" w:sz="8" w:color="7A04DD"/>
            </w:tcBorders>
            <w:gridSpan w:val="13"/>
          </w:tcPr>
          <w:p>
            <w:pPr>
              <w:spacing w:after="0" w:line="196" w:lineRule="exact"/>
              <w:rPr>
                <w:rFonts w:ascii="Calibri" w:cs="Calibri" w:eastAsia="Calibri" w:hAnsi="Calibri"/>
                <w:sz w:val="18"/>
                <w:szCs w:val="18"/>
                <w:color w:val="7A04DD"/>
              </w:rPr>
            </w:pPr>
            <w:hyperlink r:id="rId503">
              <w:r>
                <w:rPr>
                  <w:rFonts w:ascii="Calibri" w:cs="Calibri" w:eastAsia="Calibri" w:hAnsi="Calibri"/>
                  <w:sz w:val="18"/>
                  <w:szCs w:val="18"/>
                  <w:color w:val="7A04DD"/>
                </w:rPr>
                <w:t>2016, between HPBB1, LLC and BBHQ1, LLC (a subsidiary of</w:t>
              </w:r>
            </w:hyperlink>
          </w:p>
        </w:tc>
        <w:tc>
          <w:tcPr>
            <w:tcW w:w="42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40" w:type="dxa"/>
            <w:vAlign w:val="bottom"/>
            <w:tcBorders>
              <w:top w:val="single" w:sz="8" w:color="7A04DD"/>
            </w:tcBorders>
            <w:gridSpan w:val="11"/>
          </w:tcPr>
          <w:p>
            <w:pPr>
              <w:spacing w:after="0" w:line="196" w:lineRule="exact"/>
              <w:rPr>
                <w:rFonts w:ascii="Calibri" w:cs="Calibri" w:eastAsia="Calibri" w:hAnsi="Calibri"/>
                <w:sz w:val="18"/>
                <w:szCs w:val="18"/>
                <w:color w:val="7A04DD"/>
              </w:rPr>
            </w:pPr>
            <w:hyperlink r:id="rId503">
              <w:r>
                <w:rPr>
                  <w:rFonts w:ascii="Calibri" w:cs="Calibri" w:eastAsia="Calibri" w:hAnsi="Calibri"/>
                  <w:sz w:val="18"/>
                  <w:szCs w:val="18"/>
                  <w:color w:val="7A04DD"/>
                </w:rPr>
                <w:t>Blackbaud, Inc.)</w:t>
              </w:r>
            </w:hyperlink>
          </w:p>
        </w:tc>
        <w:tc>
          <w:tcPr>
            <w:tcW w:w="54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4">
              <w:r>
                <w:rPr>
                  <w:rFonts w:ascii="Calibri" w:cs="Calibri" w:eastAsia="Calibri" w:hAnsi="Calibri"/>
                  <w:sz w:val="18"/>
                  <w:szCs w:val="18"/>
                  <w:color w:val="7A04DD"/>
                </w:rPr>
                <w:t>10.</w:t>
              </w:r>
              <w:r>
                <w:rPr>
                  <w:rFonts w:ascii="Calibri" w:cs="Calibri" w:eastAsia="Calibri" w:hAnsi="Calibri"/>
                  <w:sz w:val="18"/>
                  <w:szCs w:val="18"/>
                  <w:u w:val="single" w:color="auto"/>
                  <w:color w:val="7A04DD"/>
                </w:rPr>
                <w:t>5</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04">
              <w:r>
                <w:rPr>
                  <w:rFonts w:ascii="Calibri" w:cs="Calibri" w:eastAsia="Calibri" w:hAnsi="Calibri"/>
                  <w:sz w:val="18"/>
                  <w:szCs w:val="18"/>
                  <w:color w:val="7A04DD"/>
                </w:rPr>
                <w:t>Second Amendment to Lease Agreement, dated as of May 18,</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2/20/2018</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10.93</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380" w:type="dxa"/>
            <w:vAlign w:val="bottom"/>
            <w:tcBorders>
              <w:top w:val="single" w:sz="8" w:color="7A04DD"/>
            </w:tcBorders>
            <w:gridSpan w:val="14"/>
            <w:shd w:val="clear" w:color="auto" w:fill="EBFBFF"/>
          </w:tcPr>
          <w:p>
            <w:pPr>
              <w:spacing w:after="0" w:line="196" w:lineRule="exact"/>
              <w:rPr>
                <w:rFonts w:ascii="Calibri" w:cs="Calibri" w:eastAsia="Calibri" w:hAnsi="Calibri"/>
                <w:sz w:val="18"/>
                <w:szCs w:val="18"/>
                <w:color w:val="7A04DD"/>
              </w:rPr>
            </w:pPr>
            <w:hyperlink r:id="rId504">
              <w:r>
                <w:rPr>
                  <w:rFonts w:ascii="Calibri" w:cs="Calibri" w:eastAsia="Calibri" w:hAnsi="Calibri"/>
                  <w:sz w:val="18"/>
                  <w:szCs w:val="18"/>
                  <w:color w:val="7A04DD"/>
                </w:rPr>
                <w:t>2017, between HPBB1, LLC and BBHQ1, LLC (a subsidiary of</w:t>
              </w:r>
            </w:hyperlink>
          </w:p>
        </w:tc>
        <w:tc>
          <w:tcPr>
            <w:tcW w:w="400" w:type="dxa"/>
            <w:vAlign w:val="bottom"/>
            <w:tcBorders>
              <w:top w:val="single" w:sz="8" w:color="EBFBFF"/>
            </w:tcBorders>
            <w:gridSpan w:val="8"/>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240" w:type="dxa"/>
            <w:vAlign w:val="bottom"/>
            <w:tcBorders>
              <w:top w:val="single" w:sz="8" w:color="7A04DD"/>
              <w:right w:val="single" w:sz="8" w:color="EBFBFF"/>
            </w:tcBorders>
            <w:gridSpan w:val="11"/>
            <w:shd w:val="clear" w:color="auto" w:fill="EBFBFF"/>
          </w:tcPr>
          <w:p>
            <w:pPr>
              <w:spacing w:after="0" w:line="196" w:lineRule="exact"/>
              <w:rPr>
                <w:rFonts w:ascii="Calibri" w:cs="Calibri" w:eastAsia="Calibri" w:hAnsi="Calibri"/>
                <w:sz w:val="18"/>
                <w:szCs w:val="18"/>
                <w:color w:val="7A04DD"/>
              </w:rPr>
            </w:pPr>
            <w:hyperlink r:id="rId504">
              <w:r>
                <w:rPr>
                  <w:rFonts w:ascii="Calibri" w:cs="Calibri" w:eastAsia="Calibri" w:hAnsi="Calibri"/>
                  <w:sz w:val="18"/>
                  <w:szCs w:val="18"/>
                  <w:color w:val="7A04DD"/>
                </w:rPr>
                <w:t>Blackbaud, Inc.)</w:t>
              </w:r>
            </w:hyperlink>
          </w:p>
        </w:tc>
        <w:tc>
          <w:tcPr>
            <w:tcW w:w="540" w:type="dxa"/>
            <w:vAlign w:val="bottom"/>
            <w:tcBorders>
              <w:top w:val="single" w:sz="8" w:color="EBFBFF"/>
              <w:left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9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10.</w:t>
              </w:r>
              <w:r>
                <w:rPr>
                  <w:rFonts w:ascii="Calibri" w:cs="Calibri" w:eastAsia="Calibri" w:hAnsi="Calibri"/>
                  <w:sz w:val="18"/>
                  <w:szCs w:val="18"/>
                  <w:u w:val="single" w:color="auto"/>
                  <w:color w:val="7A04DD"/>
                </w:rPr>
                <w:t>6</w:t>
              </w:r>
            </w:hyperlink>
          </w:p>
        </w:tc>
        <w:tc>
          <w:tcPr>
            <w:tcW w:w="70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Third Amendment to Lease Agreement, dated as of December</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2/20/2018</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10.94</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3600" w:type="dxa"/>
            <w:vAlign w:val="bottom"/>
            <w:gridSpan w:val="12"/>
            <w:shd w:val="clear" w:color="auto" w:fill="7A04DD"/>
          </w:tcPr>
          <w:p>
            <w:pPr>
              <w:spacing w:after="0" w:line="20" w:lineRule="exact"/>
              <w:rPr>
                <w:sz w:val="1"/>
                <w:szCs w:val="1"/>
                <w:color w:val="auto"/>
              </w:rPr>
            </w:pPr>
          </w:p>
        </w:tc>
        <w:tc>
          <w:tcPr>
            <w:tcW w:w="40" w:type="dxa"/>
            <w:vAlign w:val="bottom"/>
            <w:gridSpan w:val="2"/>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gridSpan w:val="22"/>
          </w:tcPr>
          <w:p>
            <w:pPr>
              <w:spacing w:after="0" w:line="196" w:lineRule="exact"/>
              <w:rPr>
                <w:rFonts w:ascii="Calibri" w:cs="Calibri" w:eastAsia="Calibri" w:hAnsi="Calibri"/>
                <w:sz w:val="18"/>
                <w:szCs w:val="18"/>
                <w:color w:val="7A04DD"/>
              </w:rPr>
            </w:pPr>
            <w:hyperlink r:id="rId505">
              <w:r>
                <w:rPr>
                  <w:rFonts w:ascii="Calibri" w:cs="Calibri" w:eastAsia="Calibri" w:hAnsi="Calibri"/>
                  <w:sz w:val="18"/>
                  <w:szCs w:val="18"/>
                  <w:color w:val="7A04DD"/>
                </w:rPr>
                <w:t>11, 2017, between HPBB1, LLC and BBHQ1, LLC (a subsidiary of</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505">
              <w:r>
                <w:rPr>
                  <w:rFonts w:ascii="Calibri" w:cs="Calibri" w:eastAsia="Calibri" w:hAnsi="Calibri"/>
                  <w:sz w:val="18"/>
                  <w:szCs w:val="18"/>
                  <w:color w:val="7A04DD"/>
                </w:rPr>
                <w:t>Blackbaud, Inc.)</w:t>
              </w:r>
            </w:hyperlink>
          </w:p>
        </w:tc>
        <w:tc>
          <w:tcPr>
            <w:tcW w:w="32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6">
              <w:r>
                <w:rPr>
                  <w:rFonts w:ascii="Calibri" w:cs="Calibri" w:eastAsia="Calibri" w:hAnsi="Calibri"/>
                  <w:sz w:val="18"/>
                  <w:szCs w:val="18"/>
                  <w:color w:val="7A04DD"/>
                </w:rPr>
                <w:t>10.</w:t>
              </w:r>
              <w:r>
                <w:rPr>
                  <w:rFonts w:ascii="Calibri" w:cs="Calibri" w:eastAsia="Calibri" w:hAnsi="Calibri"/>
                  <w:sz w:val="18"/>
                  <w:szCs w:val="18"/>
                  <w:u w:val="single" w:color="auto"/>
                  <w:color w:val="7A04DD"/>
                </w:rPr>
                <w:t>7</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06">
              <w:r>
                <w:rPr>
                  <w:rFonts w:ascii="Calibri" w:cs="Calibri" w:eastAsia="Calibri" w:hAnsi="Calibri"/>
                  <w:sz w:val="18"/>
                  <w:szCs w:val="18"/>
                  <w:color w:val="7A04DD"/>
                </w:rPr>
                <w:t>Fourth Amendment to Lease Agreement, dated as of February</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5/4/2018</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10.95</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Borders>
              <w:left w:val="single" w:sz="8" w:color="EBFBFF"/>
            </w:tcBorders>
            <w:shd w:val="clear" w:color="auto" w:fill="EBFBFF"/>
          </w:tcPr>
          <w:p>
            <w:pPr>
              <w:spacing w:after="0" w:line="20" w:lineRule="exact"/>
              <w:rPr>
                <w:sz w:val="1"/>
                <w:szCs w:val="1"/>
                <w:color w:val="auto"/>
              </w:rPr>
            </w:pPr>
          </w:p>
        </w:tc>
        <w:tc>
          <w:tcPr>
            <w:tcW w:w="760" w:type="dxa"/>
            <w:vAlign w:val="bottom"/>
            <w:shd w:val="clear" w:color="auto" w:fill="7A04DD"/>
          </w:tcPr>
          <w:p>
            <w:pPr>
              <w:spacing w:after="0" w:line="20" w:lineRule="exact"/>
              <w:rPr>
                <w:sz w:val="1"/>
                <w:szCs w:val="1"/>
                <w:color w:val="auto"/>
              </w:rPr>
            </w:pPr>
          </w:p>
        </w:tc>
        <w:tc>
          <w:tcPr>
            <w:tcW w:w="3600" w:type="dxa"/>
            <w:vAlign w:val="bottom"/>
            <w:gridSpan w:val="12"/>
            <w:shd w:val="clear" w:color="auto" w:fill="7A04DD"/>
          </w:tcPr>
          <w:p>
            <w:pPr>
              <w:spacing w:after="0" w:line="20" w:lineRule="exact"/>
              <w:rPr>
                <w:sz w:val="1"/>
                <w:szCs w:val="1"/>
                <w:color w:val="auto"/>
              </w:rPr>
            </w:pPr>
          </w:p>
        </w:tc>
        <w:tc>
          <w:tcPr>
            <w:tcW w:w="60" w:type="dxa"/>
            <w:vAlign w:val="bottom"/>
            <w:gridSpan w:val="3"/>
            <w:shd w:val="clear" w:color="auto" w:fill="7A04DD"/>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100" w:type="dxa"/>
            <w:vAlign w:val="bottom"/>
            <w:tcBorders>
              <w:right w:val="single" w:sz="8" w:color="EBFBFF"/>
            </w:tcBorders>
            <w:shd w:val="clear" w:color="auto" w:fill="EBFBFF"/>
          </w:tcPr>
          <w:p>
            <w:pPr>
              <w:spacing w:after="0" w:line="20" w:lineRule="exact"/>
              <w:rPr>
                <w:sz w:val="1"/>
                <w:szCs w:val="1"/>
                <w:color w:val="auto"/>
              </w:rPr>
            </w:pPr>
          </w:p>
        </w:tc>
        <w:tc>
          <w:tcPr>
            <w:tcW w:w="80" w:type="dxa"/>
            <w:vAlign w:val="bottom"/>
            <w:gridSpan w:val="2"/>
            <w:shd w:val="clear" w:color="auto" w:fill="EBFBFF"/>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0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Calibri" w:cs="Calibri" w:eastAsia="Calibri" w:hAnsi="Calibri"/>
                <w:sz w:val="18"/>
                <w:szCs w:val="18"/>
                <w:color w:val="7A04DD"/>
              </w:rPr>
            </w:pPr>
            <w:hyperlink r:id="rId506">
              <w:r>
                <w:rPr>
                  <w:rFonts w:ascii="Calibri" w:cs="Calibri" w:eastAsia="Calibri" w:hAnsi="Calibri"/>
                  <w:sz w:val="18"/>
                  <w:szCs w:val="18"/>
                  <w:color w:val="7A04DD"/>
                </w:rPr>
                <w:t>28, 2018, between HPBB1, LLC and BBHQ1, LLC (a subsidiary of</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506">
              <w:r>
                <w:rPr>
                  <w:rFonts w:ascii="Calibri" w:cs="Calibri" w:eastAsia="Calibri" w:hAnsi="Calibri"/>
                  <w:sz w:val="18"/>
                  <w:szCs w:val="18"/>
                  <w:color w:val="7A04DD"/>
                </w:rPr>
                <w:t>Blackbaud, Inc.)</w:t>
              </w:r>
            </w:hyperlink>
          </w:p>
        </w:tc>
        <w:tc>
          <w:tcPr>
            <w:tcW w:w="320" w:type="dxa"/>
            <w:vAlign w:val="bottom"/>
            <w:tcBorders>
              <w:top w:val="single" w:sz="8" w:color="EBFBFF"/>
            </w:tcBorders>
            <w:gridSpan w:val="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9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7">
              <w:r>
                <w:rPr>
                  <w:rFonts w:ascii="Calibri" w:cs="Calibri" w:eastAsia="Calibri" w:hAnsi="Calibri"/>
                  <w:sz w:val="18"/>
                  <w:szCs w:val="18"/>
                  <w:color w:val="7A04DD"/>
                </w:rPr>
                <w:t>10.</w:t>
              </w:r>
              <w:r>
                <w:rPr>
                  <w:rFonts w:ascii="Calibri" w:cs="Calibri" w:eastAsia="Calibri" w:hAnsi="Calibri"/>
                  <w:sz w:val="18"/>
                  <w:szCs w:val="18"/>
                  <w:u w:val="single" w:color="auto"/>
                  <w:color w:val="7A04DD"/>
                </w:rPr>
                <w:t>8</w:t>
              </w:r>
            </w:hyperlink>
          </w:p>
        </w:tc>
        <w:tc>
          <w:tcPr>
            <w:tcW w:w="700" w:type="dxa"/>
            <w:vAlign w:val="bottom"/>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2"/>
          </w:tcPr>
          <w:p>
            <w:pPr>
              <w:spacing w:after="0" w:line="189" w:lineRule="exact"/>
              <w:rPr>
                <w:rFonts w:ascii="Calibri" w:cs="Calibri" w:eastAsia="Calibri" w:hAnsi="Calibri"/>
                <w:sz w:val="18"/>
                <w:szCs w:val="18"/>
                <w:color w:val="7A04DD"/>
                <w:w w:val="99"/>
              </w:rPr>
            </w:pPr>
            <w:hyperlink r:id="rId507">
              <w:r>
                <w:rPr>
                  <w:rFonts w:ascii="Calibri" w:cs="Calibri" w:eastAsia="Calibri" w:hAnsi="Calibri"/>
                  <w:sz w:val="18"/>
                  <w:szCs w:val="18"/>
                  <w:color w:val="7A04DD"/>
                  <w:w w:val="99"/>
                </w:rPr>
                <w:t>Form of Employee Agreement between Blackbaud, Inc. and Kevin</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5/3/2019</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10.97</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tcBorders>
              <w:top w:val="single" w:sz="8" w:color="7A04DD"/>
            </w:tcBorders>
            <w:gridSpan w:val="21"/>
          </w:tcPr>
          <w:p>
            <w:pPr>
              <w:spacing w:after="0" w:line="196" w:lineRule="exact"/>
              <w:rPr>
                <w:rFonts w:ascii="Calibri" w:cs="Calibri" w:eastAsia="Calibri" w:hAnsi="Calibri"/>
                <w:sz w:val="18"/>
                <w:szCs w:val="18"/>
                <w:color w:val="7A04DD"/>
              </w:rPr>
            </w:pPr>
            <w:hyperlink r:id="rId507">
              <w:r>
                <w:rPr>
                  <w:rFonts w:ascii="Calibri" w:cs="Calibri" w:eastAsia="Calibri" w:hAnsi="Calibri"/>
                  <w:sz w:val="18"/>
                  <w:szCs w:val="18"/>
                  <w:color w:val="7A04DD"/>
                </w:rPr>
                <w:t>P. Gregoire</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8">
              <w:r>
                <w:rPr>
                  <w:rFonts w:ascii="Calibri" w:cs="Calibri" w:eastAsia="Calibri" w:hAnsi="Calibri"/>
                  <w:sz w:val="18"/>
                  <w:szCs w:val="18"/>
                  <w:color w:val="7A04DD"/>
                </w:rPr>
                <w:t>10.</w:t>
              </w:r>
              <w:r>
                <w:rPr>
                  <w:rFonts w:ascii="Calibri" w:cs="Calibri" w:eastAsia="Calibri" w:hAnsi="Calibri"/>
                  <w:sz w:val="18"/>
                  <w:szCs w:val="18"/>
                  <w:u w:val="single" w:color="auto"/>
                  <w:color w:val="7A04DD"/>
                </w:rPr>
                <w:t>9</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08">
              <w:r>
                <w:rPr>
                  <w:rFonts w:ascii="Calibri" w:cs="Calibri" w:eastAsia="Calibri" w:hAnsi="Calibri"/>
                  <w:sz w:val="18"/>
                  <w:szCs w:val="18"/>
                  <w:color w:val="7A04DD"/>
                </w:rPr>
                <w:t>Fifh Amendment to Lease Agreement, dated as of February 18,</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560" w:type="dxa"/>
            <w:vAlign w:val="bottom"/>
            <w:tcBorders>
              <w:top w:val="single" w:sz="8" w:color="7A04DD"/>
              <w:right w:val="single" w:sz="8" w:color="EBFBFF"/>
            </w:tcBorders>
            <w:gridSpan w:val="19"/>
            <w:shd w:val="clear" w:color="auto" w:fill="EBFBFF"/>
          </w:tcPr>
          <w:p>
            <w:pPr>
              <w:spacing w:after="0" w:line="196" w:lineRule="exact"/>
              <w:rPr>
                <w:rFonts w:ascii="Calibri" w:cs="Calibri" w:eastAsia="Calibri" w:hAnsi="Calibri"/>
                <w:sz w:val="18"/>
                <w:szCs w:val="18"/>
                <w:color w:val="7A04DD"/>
              </w:rPr>
            </w:pPr>
            <w:hyperlink r:id="rId508">
              <w:r>
                <w:rPr>
                  <w:rFonts w:ascii="Calibri" w:cs="Calibri" w:eastAsia="Calibri" w:hAnsi="Calibri"/>
                  <w:sz w:val="18"/>
                  <w:szCs w:val="18"/>
                  <w:color w:val="7A04DD"/>
                </w:rPr>
                <w:t>2020, between HPBB1, LLC and BBHQ1, LLC (a subsidiary of</w:t>
              </w:r>
            </w:hyperlink>
          </w:p>
        </w:tc>
        <w:tc>
          <w:tcPr>
            <w:tcW w:w="220" w:type="dxa"/>
            <w:vAlign w:val="bottom"/>
            <w:tcBorders>
              <w:top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240" w:type="dxa"/>
            <w:vAlign w:val="bottom"/>
            <w:tcBorders>
              <w:top w:val="single" w:sz="8" w:color="7A04DD"/>
              <w:right w:val="single" w:sz="8" w:color="EBFBFF"/>
            </w:tcBorders>
            <w:gridSpan w:val="11"/>
            <w:shd w:val="clear" w:color="auto" w:fill="EBFBFF"/>
          </w:tcPr>
          <w:p>
            <w:pPr>
              <w:spacing w:after="0" w:line="196" w:lineRule="exact"/>
              <w:rPr>
                <w:rFonts w:ascii="Calibri" w:cs="Calibri" w:eastAsia="Calibri" w:hAnsi="Calibri"/>
                <w:sz w:val="18"/>
                <w:szCs w:val="18"/>
                <w:color w:val="7A04DD"/>
              </w:rPr>
            </w:pPr>
            <w:hyperlink r:id="rId508">
              <w:r>
                <w:rPr>
                  <w:rFonts w:ascii="Calibri" w:cs="Calibri" w:eastAsia="Calibri" w:hAnsi="Calibri"/>
                  <w:sz w:val="18"/>
                  <w:szCs w:val="18"/>
                  <w:color w:val="7A04DD"/>
                </w:rPr>
                <w:t>Blackbaud, Inc.)</w:t>
              </w:r>
            </w:hyperlink>
          </w:p>
        </w:tc>
        <w:tc>
          <w:tcPr>
            <w:tcW w:w="540" w:type="dxa"/>
            <w:vAlign w:val="bottom"/>
            <w:tcBorders>
              <w:top w:val="single" w:sz="8" w:color="EBFBFF"/>
              <w:left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7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9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00" w:type="dxa"/>
            <w:vAlign w:val="bottom"/>
            <w:gridSpan w:val="3"/>
          </w:tcPr>
          <w:p>
            <w:pPr>
              <w:jc w:val="right"/>
              <w:spacing w:after="0" w:line="189" w:lineRule="exact"/>
              <w:rPr>
                <w:rFonts w:ascii="Calibri" w:cs="Calibri" w:eastAsia="Calibri" w:hAnsi="Calibri"/>
                <w:sz w:val="18"/>
                <w:szCs w:val="18"/>
                <w:color w:val="7A04DD"/>
                <w:w w:val="97"/>
              </w:rPr>
            </w:pPr>
            <w:hyperlink r:id="rId509">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10</w:t>
            </w:r>
          </w:p>
        </w:tc>
        <w:tc>
          <w:tcPr>
            <w:tcW w:w="70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509">
              <w:r>
                <w:rPr>
                  <w:rFonts w:ascii="Calibri" w:cs="Calibri" w:eastAsia="Calibri" w:hAnsi="Calibri"/>
                  <w:sz w:val="18"/>
                  <w:szCs w:val="18"/>
                  <w:color w:val="7A04DD"/>
                </w:rPr>
                <w:t>Sixth Amendment to Lease Agreement, dated as of March 17,</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10.2</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360" w:type="dxa"/>
            <w:vAlign w:val="bottom"/>
            <w:tcBorders>
              <w:top w:val="single" w:sz="8" w:color="7A04DD"/>
            </w:tcBorders>
            <w:gridSpan w:val="13"/>
          </w:tcPr>
          <w:p>
            <w:pPr>
              <w:spacing w:after="0" w:line="196" w:lineRule="exact"/>
              <w:rPr>
                <w:rFonts w:ascii="Calibri" w:cs="Calibri" w:eastAsia="Calibri" w:hAnsi="Calibri"/>
                <w:sz w:val="18"/>
                <w:szCs w:val="18"/>
                <w:color w:val="7A04DD"/>
              </w:rPr>
            </w:pPr>
            <w:hyperlink r:id="rId509">
              <w:r>
                <w:rPr>
                  <w:rFonts w:ascii="Calibri" w:cs="Calibri" w:eastAsia="Calibri" w:hAnsi="Calibri"/>
                  <w:sz w:val="18"/>
                  <w:szCs w:val="18"/>
                  <w:color w:val="7A04DD"/>
                </w:rPr>
                <w:t>2020, between HPBB1, LLC and BBHQ1, LLC (a subsidiary of</w:t>
              </w:r>
            </w:hyperlink>
          </w:p>
        </w:tc>
        <w:tc>
          <w:tcPr>
            <w:tcW w:w="42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40" w:type="dxa"/>
            <w:vAlign w:val="bottom"/>
            <w:tcBorders>
              <w:top w:val="single" w:sz="8" w:color="7A04DD"/>
            </w:tcBorders>
            <w:gridSpan w:val="11"/>
          </w:tcPr>
          <w:p>
            <w:pPr>
              <w:spacing w:after="0" w:line="196" w:lineRule="exact"/>
              <w:rPr>
                <w:rFonts w:ascii="Calibri" w:cs="Calibri" w:eastAsia="Calibri" w:hAnsi="Calibri"/>
                <w:sz w:val="18"/>
                <w:szCs w:val="18"/>
                <w:color w:val="7A04DD"/>
              </w:rPr>
            </w:pPr>
            <w:hyperlink r:id="rId509">
              <w:r>
                <w:rPr>
                  <w:rFonts w:ascii="Calibri" w:cs="Calibri" w:eastAsia="Calibri" w:hAnsi="Calibri"/>
                  <w:sz w:val="18"/>
                  <w:szCs w:val="18"/>
                  <w:color w:val="7A04DD"/>
                </w:rPr>
                <w:t>Blackbaud, Inc.)</w:t>
              </w:r>
            </w:hyperlink>
          </w:p>
        </w:tc>
        <w:tc>
          <w:tcPr>
            <w:tcW w:w="54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3"/>
            <w:shd w:val="clear" w:color="auto" w:fill="EBFBFF"/>
          </w:tcPr>
          <w:p>
            <w:pPr>
              <w:jc w:val="right"/>
              <w:spacing w:after="0" w:line="189" w:lineRule="exact"/>
              <w:rPr>
                <w:rFonts w:ascii="Calibri" w:cs="Calibri" w:eastAsia="Calibri" w:hAnsi="Calibri"/>
                <w:sz w:val="18"/>
                <w:szCs w:val="18"/>
                <w:color w:val="7A04DD"/>
                <w:w w:val="97"/>
              </w:rPr>
            </w:pPr>
            <w:hyperlink r:id="rId510">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11</w:t>
            </w:r>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10">
              <w:r>
                <w:rPr>
                  <w:rFonts w:ascii="Calibri" w:cs="Calibri" w:eastAsia="Calibri" w:hAnsi="Calibri"/>
                  <w:sz w:val="18"/>
                  <w:szCs w:val="18"/>
                  <w:color w:val="7A04DD"/>
                </w:rPr>
                <w:t>Seventh Amendment to Lease Agreement, dated as of April 14,</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10.3</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510">
              <w:r>
                <w:rPr>
                  <w:rFonts w:ascii="Calibri" w:cs="Calibri" w:eastAsia="Calibri" w:hAnsi="Calibri"/>
                  <w:sz w:val="18"/>
                  <w:szCs w:val="18"/>
                  <w:color w:val="7A04DD"/>
                </w:rPr>
                <w:t>2020, between HPBB1, LLC and BBHQ1, LLC (a subsidiary of</w:t>
              </w:r>
            </w:hyperlink>
          </w:p>
        </w:tc>
        <w:tc>
          <w:tcPr>
            <w:tcW w:w="320" w:type="dxa"/>
            <w:vAlign w:val="bottom"/>
            <w:tcBorders>
              <w:top w:val="single" w:sz="8" w:color="EBFBFF"/>
            </w:tcBorders>
            <w:gridSpan w:val="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240" w:type="dxa"/>
            <w:vAlign w:val="bottom"/>
            <w:tcBorders>
              <w:top w:val="single" w:sz="8" w:color="7A04DD"/>
              <w:right w:val="single" w:sz="8" w:color="EBFBFF"/>
            </w:tcBorders>
            <w:gridSpan w:val="11"/>
            <w:shd w:val="clear" w:color="auto" w:fill="EBFBFF"/>
          </w:tcPr>
          <w:p>
            <w:pPr>
              <w:spacing w:after="0" w:line="196" w:lineRule="exact"/>
              <w:rPr>
                <w:rFonts w:ascii="Calibri" w:cs="Calibri" w:eastAsia="Calibri" w:hAnsi="Calibri"/>
                <w:sz w:val="18"/>
                <w:szCs w:val="18"/>
                <w:color w:val="7A04DD"/>
              </w:rPr>
            </w:pPr>
            <w:hyperlink r:id="rId510">
              <w:r>
                <w:rPr>
                  <w:rFonts w:ascii="Calibri" w:cs="Calibri" w:eastAsia="Calibri" w:hAnsi="Calibri"/>
                  <w:sz w:val="18"/>
                  <w:szCs w:val="18"/>
                  <w:color w:val="7A04DD"/>
                </w:rPr>
                <w:t>Blackbaud, Inc.)</w:t>
              </w:r>
            </w:hyperlink>
          </w:p>
        </w:tc>
        <w:tc>
          <w:tcPr>
            <w:tcW w:w="540" w:type="dxa"/>
            <w:vAlign w:val="bottom"/>
            <w:tcBorders>
              <w:top w:val="single" w:sz="8" w:color="EBFBFF"/>
              <w:left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220" w:type="dxa"/>
            <w:vAlign w:val="bottom"/>
            <w:tcBorders>
              <w:top w:val="single" w:sz="8" w:color="EBFBFF"/>
              <w:bottom w:val="single" w:sz="8" w:color="0CD973"/>
            </w:tcBorders>
            <w:shd w:val="clear" w:color="auto" w:fill="EBFBFF"/>
          </w:tcPr>
          <w:p>
            <w:pPr>
              <w:spacing w:after="0"/>
              <w:rPr>
                <w:sz w:val="5"/>
                <w:szCs w:val="5"/>
                <w:color w:val="auto"/>
              </w:rPr>
            </w:pPr>
          </w:p>
        </w:tc>
        <w:tc>
          <w:tcPr>
            <w:tcW w:w="700" w:type="dxa"/>
            <w:vAlign w:val="bottom"/>
            <w:tcBorders>
              <w:top w:val="single" w:sz="8" w:color="EBFBFF"/>
              <w:left w:val="single" w:sz="8" w:color="EBFBFF"/>
              <w:bottom w:val="single" w:sz="8" w:color="0CD973"/>
            </w:tcBorders>
            <w:shd w:val="clear" w:color="auto" w:fill="EBFBFF"/>
          </w:tcPr>
          <w:p>
            <w:pPr>
              <w:spacing w:after="0"/>
              <w:rPr>
                <w:sz w:val="5"/>
                <w:szCs w:val="5"/>
                <w:color w:val="auto"/>
              </w:rPr>
            </w:pPr>
          </w:p>
        </w:tc>
        <w:tc>
          <w:tcPr>
            <w:tcW w:w="760" w:type="dxa"/>
            <w:vAlign w:val="bottom"/>
            <w:tcBorders>
              <w:top w:val="single" w:sz="8" w:color="7A04DD"/>
              <w:bottom w:val="single" w:sz="8" w:color="0CD973"/>
            </w:tcBorders>
            <w:shd w:val="clear" w:color="auto" w:fill="EBFBFF"/>
          </w:tcPr>
          <w:p>
            <w:pPr>
              <w:spacing w:after="0"/>
              <w:rPr>
                <w:sz w:val="5"/>
                <w:szCs w:val="5"/>
                <w:color w:val="auto"/>
              </w:rPr>
            </w:pPr>
          </w:p>
        </w:tc>
        <w:tc>
          <w:tcPr>
            <w:tcW w:w="140" w:type="dxa"/>
            <w:vAlign w:val="bottom"/>
            <w:tcBorders>
              <w:top w:val="single" w:sz="8" w:color="7A04DD"/>
              <w:bottom w:val="single" w:sz="8" w:color="0CD973"/>
            </w:tcBorders>
            <w:shd w:val="clear" w:color="auto" w:fill="EBFBFF"/>
          </w:tcPr>
          <w:p>
            <w:pPr>
              <w:spacing w:after="0"/>
              <w:rPr>
                <w:sz w:val="5"/>
                <w:szCs w:val="5"/>
                <w:color w:val="auto"/>
              </w:rPr>
            </w:pPr>
          </w:p>
        </w:tc>
        <w:tc>
          <w:tcPr>
            <w:tcW w:w="220" w:type="dxa"/>
            <w:vAlign w:val="bottom"/>
            <w:tcBorders>
              <w:top w:val="single" w:sz="8" w:color="7A04DD"/>
              <w:bottom w:val="single" w:sz="8" w:color="0CD973"/>
            </w:tcBorders>
            <w:shd w:val="clear" w:color="auto" w:fill="EBFBFF"/>
          </w:tcPr>
          <w:p>
            <w:pPr>
              <w:spacing w:after="0"/>
              <w:rPr>
                <w:sz w:val="5"/>
                <w:szCs w:val="5"/>
                <w:color w:val="auto"/>
              </w:rPr>
            </w:pPr>
          </w:p>
        </w:tc>
        <w:tc>
          <w:tcPr>
            <w:tcW w:w="380" w:type="dxa"/>
            <w:vAlign w:val="bottom"/>
            <w:tcBorders>
              <w:top w:val="single" w:sz="8" w:color="EBFBFF"/>
              <w:bottom w:val="single" w:sz="8" w:color="0CD973"/>
            </w:tcBorders>
            <w:shd w:val="clear" w:color="auto" w:fill="EBFBFF"/>
          </w:tcPr>
          <w:p>
            <w:pPr>
              <w:spacing w:after="0"/>
              <w:rPr>
                <w:sz w:val="5"/>
                <w:szCs w:val="5"/>
                <w:color w:val="auto"/>
              </w:rPr>
            </w:pPr>
          </w:p>
        </w:tc>
        <w:tc>
          <w:tcPr>
            <w:tcW w:w="680" w:type="dxa"/>
            <w:vAlign w:val="bottom"/>
            <w:tcBorders>
              <w:top w:val="single" w:sz="8" w:color="EBFBFF"/>
              <w:bottom w:val="single" w:sz="8" w:color="0CD973"/>
            </w:tcBorders>
            <w:shd w:val="clear" w:color="auto" w:fill="EBFBFF"/>
          </w:tcPr>
          <w:p>
            <w:pPr>
              <w:spacing w:after="0"/>
              <w:rPr>
                <w:sz w:val="5"/>
                <w:szCs w:val="5"/>
                <w:color w:val="auto"/>
              </w:rPr>
            </w:pPr>
          </w:p>
        </w:tc>
        <w:tc>
          <w:tcPr>
            <w:tcW w:w="60" w:type="dxa"/>
            <w:vAlign w:val="bottom"/>
            <w:tcBorders>
              <w:top w:val="single" w:sz="8" w:color="EBFBFF"/>
              <w:bottom w:val="single" w:sz="8" w:color="0CD973"/>
            </w:tcBorders>
            <w:shd w:val="clear" w:color="auto" w:fill="EBFBFF"/>
          </w:tcPr>
          <w:p>
            <w:pPr>
              <w:spacing w:after="0"/>
              <w:rPr>
                <w:sz w:val="5"/>
                <w:szCs w:val="5"/>
                <w:color w:val="auto"/>
              </w:rPr>
            </w:pPr>
          </w:p>
        </w:tc>
        <w:tc>
          <w:tcPr>
            <w:tcW w:w="98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tcBorders>
            <w:shd w:val="clear" w:color="auto" w:fill="EBFBFF"/>
          </w:tcPr>
          <w:p>
            <w:pPr>
              <w:spacing w:after="0"/>
              <w:rPr>
                <w:sz w:val="5"/>
                <w:szCs w:val="5"/>
                <w:color w:val="auto"/>
              </w:rPr>
            </w:pPr>
          </w:p>
        </w:tc>
        <w:tc>
          <w:tcPr>
            <w:tcW w:w="74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6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1200" w:type="dxa"/>
            <w:vAlign w:val="bottom"/>
            <w:tcBorders>
              <w:top w:val="single" w:sz="8" w:color="EBFBFF"/>
              <w:bottom w:val="single" w:sz="8" w:color="0CD973"/>
            </w:tcBorders>
            <w:shd w:val="clear" w:color="auto" w:fill="EBFBFF"/>
          </w:tcPr>
          <w:p>
            <w:pPr>
              <w:spacing w:after="0"/>
              <w:rPr>
                <w:sz w:val="5"/>
                <w:szCs w:val="5"/>
                <w:color w:val="auto"/>
              </w:rPr>
            </w:pPr>
          </w:p>
        </w:tc>
        <w:tc>
          <w:tcPr>
            <w:tcW w:w="1580" w:type="dxa"/>
            <w:vAlign w:val="bottom"/>
            <w:tcBorders>
              <w:top w:val="single" w:sz="8" w:color="EBFBFF"/>
              <w:bottom w:val="single" w:sz="8" w:color="0CD973"/>
            </w:tcBorders>
            <w:shd w:val="clear" w:color="auto" w:fill="EBFBFF"/>
          </w:tcPr>
          <w:p>
            <w:pPr>
              <w:spacing w:after="0"/>
              <w:rPr>
                <w:sz w:val="5"/>
                <w:szCs w:val="5"/>
                <w:color w:val="auto"/>
              </w:rPr>
            </w:pPr>
          </w:p>
        </w:tc>
        <w:tc>
          <w:tcPr>
            <w:tcW w:w="1113" w:type="dxa"/>
            <w:vAlign w:val="bottom"/>
            <w:tcBorders>
              <w:top w:val="single" w:sz="8" w:color="EBFBFF"/>
              <w:bottom w:val="single" w:sz="8" w:color="0CD973"/>
            </w:tcBorders>
            <w:shd w:val="clear" w:color="auto" w:fill="EBFBFF"/>
          </w:tcPr>
          <w:p>
            <w:pPr>
              <w:spacing w:after="0"/>
              <w:rPr>
                <w:sz w:val="5"/>
                <w:szCs w:val="5"/>
                <w:color w:val="auto"/>
              </w:rPr>
            </w:pPr>
          </w:p>
        </w:tc>
        <w:tc>
          <w:tcPr>
            <w:tcW w:w="928"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-6557645</wp:posOffset>
            </wp:positionV>
            <wp:extent cx="307721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565785</wp:posOffset>
            </wp:positionV>
            <wp:extent cx="728980" cy="1885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113</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6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8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08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340" w:type="dxa"/>
            <w:vAlign w:val="bottom"/>
            <w:tcBorders>
              <w:right w:val="single" w:sz="8" w:color="004054"/>
            </w:tcBorders>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40" w:type="dxa"/>
            <w:vAlign w:val="bottom"/>
            <w:tcBorders>
              <w:righ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40" w:type="dxa"/>
            <w:vAlign w:val="bottom"/>
            <w:tcBorders>
              <w:right w:val="single" w:sz="8" w:color="004054"/>
            </w:tcBorders>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3"/>
              <w:spacing w:after="0"/>
              <w:rPr>
                <w:sz w:val="20"/>
                <w:szCs w:val="20"/>
                <w:color w:val="auto"/>
              </w:rPr>
            </w:pPr>
            <w:r>
              <w:rPr>
                <w:rFonts w:ascii="Calibri" w:cs="Calibri" w:eastAsia="Calibri" w:hAnsi="Calibri"/>
                <w:sz w:val="14"/>
                <w:szCs w:val="14"/>
                <w:b w:val="1"/>
                <w:bCs w:val="1"/>
                <w:color w:val="FFFFFF"/>
              </w:rPr>
              <w:t>Filed In</w:t>
            </w:r>
          </w:p>
        </w:tc>
        <w:tc>
          <w:tcPr>
            <w:tcW w:w="680" w:type="dxa"/>
            <w:vAlign w:val="bottom"/>
            <w:shd w:val="clear" w:color="auto" w:fill="004054"/>
          </w:tcPr>
          <w:p>
            <w:pPr>
              <w:spacing w:after="0"/>
              <w:rPr>
                <w:sz w:val="16"/>
                <w:szCs w:val="16"/>
                <w:color w:val="auto"/>
              </w:rPr>
            </w:pPr>
          </w:p>
        </w:tc>
        <w:tc>
          <w:tcPr>
            <w:tcW w:w="43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1620" w:type="dxa"/>
            <w:vAlign w:val="bottom"/>
            <w:gridSpan w:val="3"/>
            <w:shd w:val="clear" w:color="auto" w:fill="004054"/>
          </w:tcPr>
          <w:p>
            <w:pPr>
              <w:jc w:val="right"/>
              <w:ind w:right="680"/>
              <w:spacing w:after="0"/>
              <w:rPr>
                <w:sz w:val="20"/>
                <w:szCs w:val="20"/>
                <w:color w:val="auto"/>
              </w:rPr>
            </w:pPr>
            <w:r>
              <w:rPr>
                <w:rFonts w:ascii="Calibri" w:cs="Calibri" w:eastAsia="Calibri" w:hAnsi="Calibri"/>
                <w:sz w:val="14"/>
                <w:szCs w:val="14"/>
                <w:b w:val="1"/>
                <w:bCs w:val="1"/>
                <w:color w:val="FFFFFF"/>
              </w:rPr>
              <w:t>Exhibit</w:t>
            </w:r>
          </w:p>
        </w:tc>
        <w:tc>
          <w:tcPr>
            <w:tcW w:w="300" w:type="dxa"/>
            <w:vAlign w:val="bottom"/>
            <w:shd w:val="clear" w:color="auto" w:fill="004054"/>
          </w:tcPr>
          <w:p>
            <w:pPr>
              <w:spacing w:after="0"/>
              <w:rPr>
                <w:sz w:val="20"/>
                <w:szCs w:val="20"/>
                <w:color w:val="auto"/>
              </w:rPr>
            </w:pPr>
          </w:p>
        </w:tc>
        <w:tc>
          <w:tcPr>
            <w:tcW w:w="8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60" w:type="dxa"/>
            <w:vAlign w:val="bottom"/>
            <w:shd w:val="clear" w:color="auto" w:fill="004054"/>
          </w:tcPr>
          <w:p>
            <w:pPr>
              <w:spacing w:after="0"/>
              <w:rPr>
                <w:sz w:val="20"/>
                <w:szCs w:val="20"/>
                <w:color w:val="auto"/>
              </w:rPr>
            </w:pPr>
          </w:p>
        </w:tc>
        <w:tc>
          <w:tcPr>
            <w:tcW w:w="1080" w:type="dxa"/>
            <w:vAlign w:val="bottom"/>
            <w:shd w:val="clear" w:color="auto" w:fill="004054"/>
          </w:tcPr>
          <w:p>
            <w:pPr>
              <w:spacing w:after="0"/>
              <w:rPr>
                <w:sz w:val="20"/>
                <w:szCs w:val="20"/>
                <w:color w:val="auto"/>
              </w:rPr>
            </w:pPr>
          </w:p>
        </w:tc>
        <w:tc>
          <w:tcPr>
            <w:tcW w:w="620" w:type="dxa"/>
            <w:vAlign w:val="bottom"/>
            <w:shd w:val="clear" w:color="auto" w:fill="004054"/>
          </w:tcPr>
          <w:p>
            <w:pPr>
              <w:spacing w:after="0"/>
              <w:rPr>
                <w:sz w:val="20"/>
                <w:szCs w:val="20"/>
                <w:color w:val="auto"/>
              </w:rPr>
            </w:pPr>
          </w:p>
        </w:tc>
        <w:tc>
          <w:tcPr>
            <w:tcW w:w="48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340" w:type="dxa"/>
            <w:vAlign w:val="bottom"/>
            <w:tcBorders>
              <w:right w:val="single" w:sz="8" w:color="004054"/>
            </w:tcBorders>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40" w:type="dxa"/>
            <w:vAlign w:val="bottom"/>
            <w:tcBorders>
              <w:righ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40" w:type="dxa"/>
            <w:vAlign w:val="bottom"/>
            <w:tcBorders>
              <w:right w:val="single" w:sz="8" w:color="004054"/>
            </w:tcBorders>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6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680" w:type="dxa"/>
            <w:vAlign w:val="bottom"/>
            <w:shd w:val="clear" w:color="auto" w:fill="004054"/>
          </w:tcPr>
          <w:p>
            <w:pPr>
              <w:jc w:val="center"/>
              <w:ind w:left="68"/>
              <w:spacing w:after="0"/>
              <w:rPr>
                <w:sz w:val="20"/>
                <w:szCs w:val="20"/>
                <w:color w:val="auto"/>
              </w:rPr>
            </w:pPr>
            <w:r>
              <w:rPr>
                <w:rFonts w:ascii="Calibri" w:cs="Calibri" w:eastAsia="Calibri" w:hAnsi="Calibri"/>
                <w:sz w:val="14"/>
                <w:szCs w:val="14"/>
                <w:b w:val="1"/>
                <w:bCs w:val="1"/>
                <w:color w:val="FFFFFF"/>
              </w:rPr>
              <w:t>Exhibit</w:t>
            </w:r>
          </w:p>
        </w:tc>
        <w:tc>
          <w:tcPr>
            <w:tcW w:w="433" w:type="dxa"/>
            <w:vAlign w:val="bottom"/>
            <w:shd w:val="clear" w:color="auto" w:fill="004054"/>
          </w:tcPr>
          <w:p>
            <w:pPr>
              <w:spacing w:after="0"/>
              <w:rPr>
                <w:sz w:val="20"/>
                <w:szCs w:val="20"/>
                <w:color w:val="auto"/>
              </w:rPr>
            </w:pP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r>
      <w:tr>
        <w:trPr>
          <w:trHeight w:val="176"/>
        </w:trPr>
        <w:tc>
          <w:tcPr>
            <w:tcW w:w="1620" w:type="dxa"/>
            <w:vAlign w:val="bottom"/>
            <w:gridSpan w:val="3"/>
            <w:shd w:val="clear" w:color="auto" w:fill="004054"/>
          </w:tcPr>
          <w:p>
            <w:pPr>
              <w:jc w:val="right"/>
              <w:ind w:right="680"/>
              <w:spacing w:after="0"/>
              <w:rPr>
                <w:sz w:val="20"/>
                <w:szCs w:val="20"/>
                <w:color w:val="auto"/>
              </w:rPr>
            </w:pPr>
            <w:r>
              <w:rPr>
                <w:rFonts w:ascii="Calibri" w:cs="Calibri" w:eastAsia="Calibri" w:hAnsi="Calibri"/>
                <w:sz w:val="14"/>
                <w:szCs w:val="14"/>
                <w:b w:val="1"/>
                <w:bCs w:val="1"/>
                <w:color w:val="FFFFFF"/>
              </w:rPr>
              <w:t>Number</w:t>
            </w:r>
          </w:p>
        </w:tc>
        <w:tc>
          <w:tcPr>
            <w:tcW w:w="30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3420" w:type="dxa"/>
            <w:vAlign w:val="bottom"/>
            <w:gridSpan w:val="21"/>
            <w:shd w:val="clear" w:color="auto" w:fill="004054"/>
          </w:tcPr>
          <w:p>
            <w:pPr>
              <w:ind w:left="22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3"/>
              <w:spacing w:after="0"/>
              <w:rPr>
                <w:sz w:val="20"/>
                <w:szCs w:val="20"/>
                <w:color w:val="auto"/>
              </w:rPr>
            </w:pPr>
            <w:r>
              <w:rPr>
                <w:rFonts w:ascii="Calibri" w:cs="Calibri" w:eastAsia="Calibri" w:hAnsi="Calibri"/>
                <w:sz w:val="14"/>
                <w:szCs w:val="14"/>
                <w:b w:val="1"/>
                <w:bCs w:val="1"/>
                <w:color w:val="FFFFFF"/>
              </w:rPr>
              <w:t>Dated</w:t>
            </w:r>
          </w:p>
        </w:tc>
        <w:tc>
          <w:tcPr>
            <w:tcW w:w="680" w:type="dxa"/>
            <w:vAlign w:val="bottom"/>
            <w:shd w:val="clear" w:color="auto" w:fill="004054"/>
          </w:tcPr>
          <w:p>
            <w:pPr>
              <w:jc w:val="center"/>
              <w:ind w:left="68"/>
              <w:spacing w:after="0"/>
              <w:rPr>
                <w:sz w:val="20"/>
                <w:szCs w:val="20"/>
                <w:color w:val="auto"/>
              </w:rPr>
            </w:pPr>
            <w:r>
              <w:rPr>
                <w:rFonts w:ascii="Calibri" w:cs="Calibri" w:eastAsia="Calibri" w:hAnsi="Calibri"/>
                <w:sz w:val="14"/>
                <w:szCs w:val="14"/>
                <w:b w:val="1"/>
                <w:bCs w:val="1"/>
                <w:color w:val="FFFFFF"/>
              </w:rPr>
              <w:t>Number</w:t>
            </w:r>
          </w:p>
        </w:tc>
        <w:tc>
          <w:tcPr>
            <w:tcW w:w="433" w:type="dxa"/>
            <w:vAlign w:val="bottom"/>
            <w:shd w:val="clear" w:color="auto" w:fill="004054"/>
          </w:tcPr>
          <w:p>
            <w:pPr>
              <w:spacing w:after="0"/>
              <w:rPr>
                <w:sz w:val="15"/>
                <w:szCs w:val="15"/>
                <w:color w:val="auto"/>
              </w:rPr>
            </w:pP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r>
      <w:tr>
        <w:trPr>
          <w:trHeight w:val="74"/>
        </w:trPr>
        <w:tc>
          <w:tcPr>
            <w:tcW w:w="54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8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62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340" w:type="dxa"/>
            <w:vAlign w:val="bottom"/>
            <w:tcBorders>
              <w:right w:val="single" w:sz="8" w:color="004054"/>
            </w:tcBorders>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40" w:type="dxa"/>
            <w:vAlign w:val="bottom"/>
            <w:tcBorders>
              <w:righ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40" w:type="dxa"/>
            <w:vAlign w:val="bottom"/>
            <w:tcBorders>
              <w:right w:val="single" w:sz="8" w:color="004054"/>
            </w:tcBorders>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43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15">
              <w:r>
                <w:rPr>
                  <w:rFonts w:ascii="Calibri" w:cs="Calibri" w:eastAsia="Calibri" w:hAnsi="Calibri"/>
                  <w:sz w:val="18"/>
                  <w:szCs w:val="18"/>
                  <w:color w:val="7A04DD"/>
                </w:rPr>
                <w:t>10.12</w:t>
              </w:r>
            </w:hyperlink>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15">
              <w:r>
                <w:rPr>
                  <w:rFonts w:ascii="Calibri" w:cs="Calibri" w:eastAsia="Calibri" w:hAnsi="Calibri"/>
                  <w:sz w:val="18"/>
                  <w:szCs w:val="18"/>
                  <w:color w:val="7A04DD"/>
                </w:rPr>
                <w:t>Eighth Amendment to Lease Agreement, dated as of May 26,</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8/4/2020</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20" w:type="dxa"/>
            <w:vAlign w:val="bottom"/>
            <w:tcBorders>
              <w:top w:val="single" w:sz="8" w:color="7A04DD"/>
            </w:tcBorders>
            <w:gridSpan w:val="13"/>
            <w:shd w:val="clear" w:color="auto" w:fill="EBFBFF"/>
          </w:tcPr>
          <w:p>
            <w:pPr>
              <w:spacing w:after="0" w:line="196" w:lineRule="exact"/>
              <w:rPr>
                <w:rFonts w:ascii="Calibri" w:cs="Calibri" w:eastAsia="Calibri" w:hAnsi="Calibri"/>
                <w:sz w:val="18"/>
                <w:szCs w:val="18"/>
                <w:color w:val="7A04DD"/>
                <w:w w:val="99"/>
              </w:rPr>
            </w:pPr>
            <w:hyperlink r:id="rId515">
              <w:r>
                <w:rPr>
                  <w:rFonts w:ascii="Calibri" w:cs="Calibri" w:eastAsia="Calibri" w:hAnsi="Calibri"/>
                  <w:sz w:val="18"/>
                  <w:szCs w:val="18"/>
                  <w:color w:val="7A04DD"/>
                  <w:w w:val="99"/>
                </w:rPr>
                <w:t>2020, between HPBB1, LLC and BBHQ1, LLC (a subsidiary of</w:t>
              </w:r>
            </w:hyperlink>
          </w:p>
        </w:tc>
        <w:tc>
          <w:tcPr>
            <w:tcW w:w="480" w:type="dxa"/>
            <w:vAlign w:val="bottom"/>
            <w:tcBorders>
              <w:top w:val="single" w:sz="8" w:color="EBFBFF"/>
            </w:tcBorders>
            <w:gridSpan w:val="12"/>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200" w:type="dxa"/>
            <w:vAlign w:val="bottom"/>
            <w:tcBorders>
              <w:top w:val="single" w:sz="8" w:color="7A04DD"/>
            </w:tcBorders>
            <w:gridSpan w:val="11"/>
            <w:shd w:val="clear" w:color="auto" w:fill="EBFBFF"/>
          </w:tcPr>
          <w:p>
            <w:pPr>
              <w:spacing w:after="0" w:line="196" w:lineRule="exact"/>
              <w:rPr>
                <w:rFonts w:ascii="Calibri" w:cs="Calibri" w:eastAsia="Calibri" w:hAnsi="Calibri"/>
                <w:sz w:val="18"/>
                <w:szCs w:val="18"/>
                <w:color w:val="7A04DD"/>
              </w:rPr>
            </w:pPr>
            <w:hyperlink r:id="rId515">
              <w:r>
                <w:rPr>
                  <w:rFonts w:ascii="Calibri" w:cs="Calibri" w:eastAsia="Calibri" w:hAnsi="Calibri"/>
                  <w:sz w:val="18"/>
                  <w:szCs w:val="18"/>
                  <w:color w:val="7A04DD"/>
                </w:rPr>
                <w:t>Blackbaud, Inc.)</w:t>
              </w:r>
            </w:hyperlink>
          </w:p>
        </w:tc>
        <w:tc>
          <w:tcPr>
            <w:tcW w:w="600" w:type="dxa"/>
            <w:vAlign w:val="bottom"/>
            <w:tcBorders>
              <w:top w:val="single" w:sz="8" w:color="EBFBFF"/>
            </w:tcBorders>
            <w:gridSpan w:val="1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8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1080" w:type="dxa"/>
            <w:vAlign w:val="bottom"/>
            <w:tcBorders>
              <w:top w:val="single" w:sz="8" w:color="EBFBFF"/>
            </w:tcBorders>
            <w:shd w:val="clear" w:color="auto" w:fill="EBFBFF"/>
          </w:tcPr>
          <w:p>
            <w:pPr>
              <w:spacing w:after="0"/>
              <w:rPr>
                <w:sz w:val="5"/>
                <w:szCs w:val="5"/>
                <w:color w:val="auto"/>
              </w:rPr>
            </w:pPr>
          </w:p>
        </w:tc>
        <w:tc>
          <w:tcPr>
            <w:tcW w:w="620" w:type="dxa"/>
            <w:vAlign w:val="bottom"/>
            <w:tcBorders>
              <w:top w:val="single" w:sz="8" w:color="EBFBFF"/>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340" w:type="dxa"/>
            <w:vAlign w:val="bottom"/>
            <w:tcBorders>
              <w:top w:val="single" w:sz="8" w:color="EBFBFF"/>
              <w:righ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6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16">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13</w:t>
            </w:r>
          </w:p>
        </w:tc>
        <w:tc>
          <w:tcPr>
            <w:tcW w:w="4800" w:type="dxa"/>
            <w:vAlign w:val="bottom"/>
            <w:gridSpan w:val="25"/>
          </w:tcPr>
          <w:p>
            <w:pPr>
              <w:spacing w:after="0" w:line="189" w:lineRule="exact"/>
              <w:rPr>
                <w:rFonts w:ascii="Calibri" w:cs="Calibri" w:eastAsia="Calibri" w:hAnsi="Calibri"/>
                <w:sz w:val="18"/>
                <w:szCs w:val="18"/>
                <w:color w:val="7A04DD"/>
              </w:rPr>
            </w:pPr>
            <w:hyperlink r:id="rId516">
              <w:r>
                <w:rPr>
                  <w:rFonts w:ascii="Calibri" w:cs="Calibri" w:eastAsia="Calibri" w:hAnsi="Calibri"/>
                  <w:sz w:val="18"/>
                  <w:szCs w:val="18"/>
                  <w:color w:val="7A04DD"/>
                </w:rPr>
                <w:t>Ninth Amendment to Lease Agreement, dated as of June 8, 2020,</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8/4/2020</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10.5</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top w:val="single" w:sz="8" w:color="7A04DD"/>
              <w:bottom w:val="single" w:sz="8" w:color="7A04DD"/>
            </w:tcBorders>
            <w:gridSpan w:val="23"/>
          </w:tcPr>
          <w:p>
            <w:pPr>
              <w:spacing w:after="0" w:line="196" w:lineRule="exact"/>
              <w:rPr>
                <w:rFonts w:ascii="Calibri" w:cs="Calibri" w:eastAsia="Calibri" w:hAnsi="Calibri"/>
                <w:sz w:val="18"/>
                <w:szCs w:val="18"/>
                <w:color w:val="7A04DD"/>
                <w:w w:val="97"/>
              </w:rPr>
            </w:pPr>
            <w:hyperlink r:id="rId516">
              <w:r>
                <w:rPr>
                  <w:rFonts w:ascii="Calibri" w:cs="Calibri" w:eastAsia="Calibri" w:hAnsi="Calibri"/>
                  <w:sz w:val="18"/>
                  <w:szCs w:val="18"/>
                  <w:color w:val="7A04DD"/>
                  <w:w w:val="97"/>
                </w:rPr>
                <w:t>between HPBB1, LLC and BBHQ1, LLC (a subsidiary of Blackbaud,</w:t>
              </w:r>
            </w:hyperlink>
          </w:p>
        </w:tc>
        <w:tc>
          <w:tcPr>
            <w:tcW w:w="20" w:type="dxa"/>
            <w:vAlign w:val="bottom"/>
            <w:tcBorders>
              <w:top w:val="single" w:sz="8" w:color="7A04DD"/>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gridSpan w:val="25"/>
          </w:tcPr>
          <w:p>
            <w:pPr>
              <w:spacing w:after="0" w:line="196" w:lineRule="exact"/>
              <w:rPr>
                <w:rFonts w:ascii="Calibri" w:cs="Calibri" w:eastAsia="Calibri" w:hAnsi="Calibri"/>
                <w:sz w:val="18"/>
                <w:szCs w:val="18"/>
                <w:color w:val="7A04DD"/>
              </w:rPr>
            </w:pPr>
            <w:hyperlink r:id="rId516">
              <w:r>
                <w:rPr>
                  <w:rFonts w:ascii="Calibri" w:cs="Calibri" w:eastAsia="Calibri" w:hAnsi="Calibri"/>
                  <w:sz w:val="18"/>
                  <w:szCs w:val="18"/>
                  <w:color w:val="7A04DD"/>
                </w:rPr>
                <w:t>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17">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14</w:t>
            </w:r>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17">
              <w:r>
                <w:rPr>
                  <w:rFonts w:ascii="Calibri" w:cs="Calibri" w:eastAsia="Calibri" w:hAnsi="Calibri"/>
                  <w:sz w:val="18"/>
                  <w:szCs w:val="18"/>
                  <w:color w:val="7A04DD"/>
                </w:rPr>
                <w:t>Tenth Amendment to Lease Agreement, dated as of June 26,</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8/4/2020</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10.7</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00" w:type="dxa"/>
            <w:vAlign w:val="bottom"/>
            <w:tcBorders>
              <w:top w:val="single" w:sz="8" w:color="7A04DD"/>
            </w:tcBorders>
            <w:gridSpan w:val="12"/>
            <w:shd w:val="clear" w:color="auto" w:fill="EBFBFF"/>
          </w:tcPr>
          <w:p>
            <w:pPr>
              <w:spacing w:after="0" w:line="196" w:lineRule="exact"/>
              <w:rPr>
                <w:rFonts w:ascii="Calibri" w:cs="Calibri" w:eastAsia="Calibri" w:hAnsi="Calibri"/>
                <w:sz w:val="18"/>
                <w:szCs w:val="18"/>
                <w:color w:val="7A04DD"/>
                <w:w w:val="98"/>
              </w:rPr>
            </w:pPr>
            <w:hyperlink r:id="rId517">
              <w:r>
                <w:rPr>
                  <w:rFonts w:ascii="Calibri" w:cs="Calibri" w:eastAsia="Calibri" w:hAnsi="Calibri"/>
                  <w:sz w:val="18"/>
                  <w:szCs w:val="18"/>
                  <w:color w:val="7A04DD"/>
                  <w:w w:val="98"/>
                </w:rPr>
                <w:t>2020, between HPBB1, LLC and BBHQ1, LLC (a subsidiary of</w:t>
              </w:r>
            </w:hyperlink>
          </w:p>
        </w:tc>
        <w:tc>
          <w:tcPr>
            <w:tcW w:w="500" w:type="dxa"/>
            <w:vAlign w:val="bottom"/>
            <w:tcBorders>
              <w:top w:val="single" w:sz="8" w:color="EBFBFF"/>
            </w:tcBorders>
            <w:gridSpan w:val="1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200" w:type="dxa"/>
            <w:vAlign w:val="bottom"/>
            <w:tcBorders>
              <w:top w:val="single" w:sz="8" w:color="7A04DD"/>
            </w:tcBorders>
            <w:gridSpan w:val="11"/>
            <w:shd w:val="clear" w:color="auto" w:fill="EBFBFF"/>
          </w:tcPr>
          <w:p>
            <w:pPr>
              <w:spacing w:after="0" w:line="196" w:lineRule="exact"/>
              <w:rPr>
                <w:rFonts w:ascii="Calibri" w:cs="Calibri" w:eastAsia="Calibri" w:hAnsi="Calibri"/>
                <w:sz w:val="18"/>
                <w:szCs w:val="18"/>
                <w:color w:val="7A04DD"/>
              </w:rPr>
            </w:pPr>
            <w:hyperlink r:id="rId517">
              <w:r>
                <w:rPr>
                  <w:rFonts w:ascii="Calibri" w:cs="Calibri" w:eastAsia="Calibri" w:hAnsi="Calibri"/>
                  <w:sz w:val="18"/>
                  <w:szCs w:val="18"/>
                  <w:color w:val="7A04DD"/>
                </w:rPr>
                <w:t>Blackbaud, Inc.)</w:t>
              </w:r>
            </w:hyperlink>
          </w:p>
        </w:tc>
        <w:tc>
          <w:tcPr>
            <w:tcW w:w="600" w:type="dxa"/>
            <w:vAlign w:val="bottom"/>
            <w:tcBorders>
              <w:top w:val="single" w:sz="8" w:color="EBFBFF"/>
            </w:tcBorders>
            <w:gridSpan w:val="1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8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1080" w:type="dxa"/>
            <w:vAlign w:val="bottom"/>
            <w:tcBorders>
              <w:top w:val="single" w:sz="8" w:color="EBFBFF"/>
            </w:tcBorders>
            <w:shd w:val="clear" w:color="auto" w:fill="EBFBFF"/>
          </w:tcPr>
          <w:p>
            <w:pPr>
              <w:spacing w:after="0"/>
              <w:rPr>
                <w:sz w:val="5"/>
                <w:szCs w:val="5"/>
                <w:color w:val="auto"/>
              </w:rPr>
            </w:pPr>
          </w:p>
        </w:tc>
        <w:tc>
          <w:tcPr>
            <w:tcW w:w="620" w:type="dxa"/>
            <w:vAlign w:val="bottom"/>
            <w:tcBorders>
              <w:top w:val="single" w:sz="8" w:color="EBFBFF"/>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340" w:type="dxa"/>
            <w:vAlign w:val="bottom"/>
            <w:tcBorders>
              <w:top w:val="single" w:sz="8" w:color="EBFBFF"/>
              <w:righ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6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18">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15</w:t>
            </w:r>
          </w:p>
        </w:tc>
        <w:tc>
          <w:tcPr>
            <w:tcW w:w="4800" w:type="dxa"/>
            <w:vAlign w:val="bottom"/>
            <w:gridSpan w:val="25"/>
          </w:tcPr>
          <w:p>
            <w:pPr>
              <w:spacing w:after="0" w:line="189" w:lineRule="exact"/>
              <w:rPr>
                <w:rFonts w:ascii="Calibri" w:cs="Calibri" w:eastAsia="Calibri" w:hAnsi="Calibri"/>
                <w:sz w:val="18"/>
                <w:szCs w:val="18"/>
                <w:color w:val="7A04DD"/>
              </w:rPr>
            </w:pPr>
            <w:hyperlink r:id="rId518">
              <w:r>
                <w:rPr>
                  <w:rFonts w:ascii="Calibri" w:cs="Calibri" w:eastAsia="Calibri" w:hAnsi="Calibri"/>
                  <w:sz w:val="18"/>
                  <w:szCs w:val="18"/>
                  <w:color w:val="7A04DD"/>
                </w:rPr>
                <w:t>Eleventh Amendment to Lease Agreement, dated as of August</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10.3</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108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340" w:type="dxa"/>
            <w:vAlign w:val="bottom"/>
            <w:tcBorders>
              <w:right w:val="single" w:sz="8" w:color="7A04DD"/>
            </w:tcBorders>
            <w:shd w:val="clear" w:color="auto" w:fill="7A04DD"/>
          </w:tcPr>
          <w:p>
            <w:pPr>
              <w:spacing w:after="0" w:line="20" w:lineRule="exact"/>
              <w:rPr>
                <w:sz w:val="1"/>
                <w:szCs w:val="1"/>
                <w:color w:val="auto"/>
              </w:rPr>
            </w:pPr>
          </w:p>
        </w:tc>
        <w:tc>
          <w:tcPr>
            <w:tcW w:w="180" w:type="dxa"/>
            <w:vAlign w:val="bottom"/>
            <w:gridSpan w:val="2"/>
            <w:shd w:val="clear" w:color="auto" w:fill="7A04DD"/>
          </w:tcPr>
          <w:p>
            <w:pPr>
              <w:spacing w:after="0" w:line="20" w:lineRule="exact"/>
              <w:rPr>
                <w:sz w:val="1"/>
                <w:szCs w:val="1"/>
                <w:color w:val="auto"/>
              </w:rPr>
            </w:pPr>
          </w:p>
        </w:tc>
        <w:tc>
          <w:tcPr>
            <w:tcW w:w="80" w:type="dxa"/>
            <w:vAlign w:val="bottom"/>
            <w:gridSpan w:val="2"/>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bottom w:val="single" w:sz="8" w:color="7A04DD"/>
            </w:tcBorders>
            <w:gridSpan w:val="18"/>
          </w:tcPr>
          <w:p>
            <w:pPr>
              <w:spacing w:after="0" w:line="196" w:lineRule="exact"/>
              <w:rPr>
                <w:rFonts w:ascii="Calibri" w:cs="Calibri" w:eastAsia="Calibri" w:hAnsi="Calibri"/>
                <w:sz w:val="18"/>
                <w:szCs w:val="18"/>
                <w:color w:val="7A04DD"/>
                <w:w w:val="96"/>
              </w:rPr>
            </w:pPr>
            <w:hyperlink r:id="rId518">
              <w:r>
                <w:rPr>
                  <w:rFonts w:ascii="Calibri" w:cs="Calibri" w:eastAsia="Calibri" w:hAnsi="Calibri"/>
                  <w:sz w:val="18"/>
                  <w:szCs w:val="18"/>
                  <w:color w:val="7A04DD"/>
                  <w:w w:val="96"/>
                </w:rPr>
                <w:t>13, 2020, between BBHQ1, LLC and BBHQ1, LLC (a subsidiary of</w:t>
              </w:r>
            </w:hyperlink>
          </w:p>
        </w:tc>
        <w:tc>
          <w:tcPr>
            <w:tcW w:w="30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gridSpan w:val="25"/>
          </w:tcPr>
          <w:p>
            <w:pPr>
              <w:spacing w:after="0" w:line="196" w:lineRule="exact"/>
              <w:rPr>
                <w:rFonts w:ascii="Calibri" w:cs="Calibri" w:eastAsia="Calibri" w:hAnsi="Calibri"/>
                <w:sz w:val="18"/>
                <w:szCs w:val="18"/>
                <w:color w:val="7A04DD"/>
              </w:rPr>
            </w:pPr>
            <w:hyperlink r:id="rId518">
              <w:r>
                <w:rPr>
                  <w:rFonts w:ascii="Calibri" w:cs="Calibri" w:eastAsia="Calibri" w:hAnsi="Calibri"/>
                  <w:sz w:val="18"/>
                  <w:szCs w:val="18"/>
                  <w:color w:val="7A04DD"/>
                </w:rPr>
                <w:t>Blackbaud, 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8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19">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16</w:t>
            </w:r>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19">
              <w:r>
                <w:rPr>
                  <w:rFonts w:ascii="Calibri" w:cs="Calibri" w:eastAsia="Calibri" w:hAnsi="Calibri"/>
                  <w:sz w:val="18"/>
                  <w:szCs w:val="18"/>
                  <w:color w:val="7A04DD"/>
                </w:rPr>
                <w:t>Amended and Restated Credit Agreement, dated as of October</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500" w:type="dxa"/>
            <w:vAlign w:val="bottom"/>
            <w:tcBorders>
              <w:top w:val="single" w:sz="8" w:color="7A04DD"/>
              <w:right w:val="single" w:sz="8" w:color="EBFBFF"/>
            </w:tcBorders>
            <w:gridSpan w:val="18"/>
            <w:shd w:val="clear" w:color="auto" w:fill="EBFBFF"/>
          </w:tcPr>
          <w:p>
            <w:pPr>
              <w:spacing w:after="0" w:line="196" w:lineRule="exact"/>
              <w:rPr>
                <w:rFonts w:ascii="Calibri" w:cs="Calibri" w:eastAsia="Calibri" w:hAnsi="Calibri"/>
                <w:sz w:val="18"/>
                <w:szCs w:val="18"/>
                <w:color w:val="7A04DD"/>
              </w:rPr>
            </w:pPr>
            <w:hyperlink r:id="rId519">
              <w:r>
                <w:rPr>
                  <w:rFonts w:ascii="Calibri" w:cs="Calibri" w:eastAsia="Calibri" w:hAnsi="Calibri"/>
                  <w:sz w:val="18"/>
                  <w:szCs w:val="18"/>
                  <w:color w:val="7A04DD"/>
                </w:rPr>
                <w:t>30, 2020, by and among Blackbaud, Inc., and certain of its</w:t>
              </w:r>
            </w:hyperlink>
          </w:p>
        </w:tc>
        <w:tc>
          <w:tcPr>
            <w:tcW w:w="300" w:type="dxa"/>
            <w:vAlign w:val="bottom"/>
            <w:tcBorders>
              <w:top w:val="single" w:sz="8" w:color="EBFBFF"/>
            </w:tcBorders>
            <w:gridSpan w:val="7"/>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108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340" w:type="dxa"/>
            <w:vAlign w:val="bottom"/>
            <w:tcBorders>
              <w:right w:val="single" w:sz="8" w:color="7A04DD"/>
            </w:tcBorders>
            <w:shd w:val="clear" w:color="auto" w:fill="7A04DD"/>
          </w:tcPr>
          <w:p>
            <w:pPr>
              <w:spacing w:after="0" w:line="20" w:lineRule="exact"/>
              <w:rPr>
                <w:sz w:val="1"/>
                <w:szCs w:val="1"/>
                <w:color w:val="auto"/>
              </w:rPr>
            </w:pPr>
          </w:p>
        </w:tc>
        <w:tc>
          <w:tcPr>
            <w:tcW w:w="180" w:type="dxa"/>
            <w:vAlign w:val="bottom"/>
            <w:gridSpan w:val="2"/>
            <w:shd w:val="clear" w:color="auto" w:fill="EBFBFF"/>
          </w:tcPr>
          <w:p>
            <w:pPr>
              <w:spacing w:after="0" w:line="20" w:lineRule="exact"/>
              <w:rPr>
                <w:sz w:val="1"/>
                <w:szCs w:val="1"/>
                <w:color w:val="auto"/>
              </w:rPr>
            </w:pPr>
          </w:p>
        </w:tc>
        <w:tc>
          <w:tcPr>
            <w:tcW w:w="80" w:type="dxa"/>
            <w:vAlign w:val="bottom"/>
            <w:gridSpan w:val="2"/>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0" w:type="dxa"/>
            <w:vAlign w:val="bottom"/>
            <w:gridSpan w:val="3"/>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560" w:type="dxa"/>
            <w:vAlign w:val="bottom"/>
            <w:tcBorders>
              <w:bottom w:val="single" w:sz="8" w:color="7A04DD"/>
            </w:tcBorders>
            <w:gridSpan w:val="20"/>
            <w:shd w:val="clear" w:color="auto" w:fill="EBFBFF"/>
          </w:tcPr>
          <w:p>
            <w:pPr>
              <w:spacing w:after="0" w:line="196" w:lineRule="exact"/>
              <w:rPr>
                <w:rFonts w:ascii="Calibri" w:cs="Calibri" w:eastAsia="Calibri" w:hAnsi="Calibri"/>
                <w:sz w:val="18"/>
                <w:szCs w:val="18"/>
                <w:color w:val="7A04DD"/>
                <w:w w:val="96"/>
              </w:rPr>
            </w:pPr>
            <w:hyperlink r:id="rId519">
              <w:r>
                <w:rPr>
                  <w:rFonts w:ascii="Calibri" w:cs="Calibri" w:eastAsia="Calibri" w:hAnsi="Calibri"/>
                  <w:sz w:val="18"/>
                  <w:szCs w:val="18"/>
                  <w:color w:val="7A04DD"/>
                  <w:w w:val="96"/>
                </w:rPr>
                <w:t>subsidiaries, as Borrowers, the lenders referred to therein, Bank</w:t>
              </w:r>
            </w:hyperlink>
          </w:p>
        </w:tc>
        <w:tc>
          <w:tcPr>
            <w:tcW w:w="240" w:type="dxa"/>
            <w:vAlign w:val="bottom"/>
            <w:tcBorders>
              <w:bottom w:val="single" w:sz="8" w:color="EBFBFF"/>
            </w:tcBorders>
            <w:gridSpan w:val="5"/>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540" w:type="dxa"/>
            <w:vAlign w:val="bottom"/>
            <w:tcBorders>
              <w:bottom w:val="single" w:sz="8" w:color="7A04DD"/>
            </w:tcBorders>
            <w:gridSpan w:val="19"/>
            <w:shd w:val="clear" w:color="auto" w:fill="EBFBFF"/>
          </w:tcPr>
          <w:p>
            <w:pPr>
              <w:spacing w:after="0" w:line="196" w:lineRule="exact"/>
              <w:rPr>
                <w:rFonts w:ascii="Calibri" w:cs="Calibri" w:eastAsia="Calibri" w:hAnsi="Calibri"/>
                <w:sz w:val="18"/>
                <w:szCs w:val="18"/>
                <w:color w:val="7A04DD"/>
                <w:w w:val="97"/>
              </w:rPr>
            </w:pPr>
            <w:hyperlink r:id="rId519">
              <w:r>
                <w:rPr>
                  <w:rFonts w:ascii="Calibri" w:cs="Calibri" w:eastAsia="Calibri" w:hAnsi="Calibri"/>
                  <w:sz w:val="18"/>
                  <w:szCs w:val="18"/>
                  <w:color w:val="7A04DD"/>
                  <w:w w:val="97"/>
                </w:rPr>
                <w:t>of America, N.A., as Administratve Agent, Swingline Lender and</w:t>
              </w:r>
            </w:hyperlink>
          </w:p>
        </w:tc>
        <w:tc>
          <w:tcPr>
            <w:tcW w:w="260" w:type="dxa"/>
            <w:vAlign w:val="bottom"/>
            <w:tcBorders>
              <w:bottom w:val="single" w:sz="8" w:color="EBFBFF"/>
            </w:tcBorders>
            <w:gridSpan w:val="6"/>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420" w:type="dxa"/>
            <w:vAlign w:val="bottom"/>
            <w:tcBorders>
              <w:bottom w:val="single" w:sz="8" w:color="7A04DD"/>
              <w:right w:val="single" w:sz="8" w:color="EBFBFF"/>
            </w:tcBorders>
            <w:gridSpan w:val="15"/>
            <w:shd w:val="clear" w:color="auto" w:fill="EBFBFF"/>
          </w:tcPr>
          <w:p>
            <w:pPr>
              <w:spacing w:after="0" w:line="196" w:lineRule="exact"/>
              <w:rPr>
                <w:rFonts w:ascii="Calibri" w:cs="Calibri" w:eastAsia="Calibri" w:hAnsi="Calibri"/>
                <w:sz w:val="18"/>
                <w:szCs w:val="18"/>
                <w:color w:val="7A04DD"/>
                <w:w w:val="98"/>
              </w:rPr>
            </w:pPr>
            <w:hyperlink r:id="rId519">
              <w:r>
                <w:rPr>
                  <w:rFonts w:ascii="Calibri" w:cs="Calibri" w:eastAsia="Calibri" w:hAnsi="Calibri"/>
                  <w:sz w:val="18"/>
                  <w:szCs w:val="18"/>
                  <w:color w:val="7A04DD"/>
                  <w:w w:val="98"/>
                </w:rPr>
                <w:t>Issuing Lender, PNC Bank, Natonal Associaton, as Syndicaton</w:t>
              </w:r>
            </w:hyperlink>
          </w:p>
        </w:tc>
        <w:tc>
          <w:tcPr>
            <w:tcW w:w="380" w:type="dxa"/>
            <w:vAlign w:val="bottom"/>
            <w:tcBorders>
              <w:bottom w:val="single" w:sz="8" w:color="EBFBFF"/>
            </w:tcBorders>
            <w:gridSpan w:val="10"/>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Calibri" w:cs="Calibri" w:eastAsia="Calibri" w:hAnsi="Calibri"/>
                <w:sz w:val="18"/>
                <w:szCs w:val="18"/>
                <w:color w:val="7A04DD"/>
              </w:rPr>
            </w:pPr>
            <w:hyperlink r:id="rId519">
              <w:r>
                <w:rPr>
                  <w:rFonts w:ascii="Calibri" w:cs="Calibri" w:eastAsia="Calibri" w:hAnsi="Calibri"/>
                  <w:sz w:val="18"/>
                  <w:szCs w:val="18"/>
                  <w:color w:val="7A04DD"/>
                </w:rPr>
                <w:t>Agent, and Regions Bank, BBVA USA and Fifh Third Bank,</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108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340" w:type="dxa"/>
            <w:vAlign w:val="bottom"/>
            <w:tcBorders>
              <w:right w:val="single" w:sz="8" w:color="EBFBFF"/>
            </w:tcBorders>
            <w:shd w:val="clear" w:color="auto" w:fill="7A04DD"/>
          </w:tcPr>
          <w:p>
            <w:pPr>
              <w:spacing w:after="0" w:line="20" w:lineRule="exact"/>
              <w:rPr>
                <w:sz w:val="1"/>
                <w:szCs w:val="1"/>
                <w:color w:val="auto"/>
              </w:rPr>
            </w:pPr>
          </w:p>
        </w:tc>
        <w:tc>
          <w:tcPr>
            <w:tcW w:w="180" w:type="dxa"/>
            <w:vAlign w:val="bottom"/>
            <w:gridSpan w:val="2"/>
            <w:shd w:val="clear" w:color="auto" w:fill="EBFBFF"/>
          </w:tcPr>
          <w:p>
            <w:pPr>
              <w:spacing w:after="0" w:line="20" w:lineRule="exact"/>
              <w:rPr>
                <w:sz w:val="1"/>
                <w:szCs w:val="1"/>
                <w:color w:val="auto"/>
              </w:rPr>
            </w:pPr>
          </w:p>
        </w:tc>
        <w:tc>
          <w:tcPr>
            <w:tcW w:w="80" w:type="dxa"/>
            <w:vAlign w:val="bottom"/>
            <w:gridSpan w:val="2"/>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80" w:type="dxa"/>
            <w:vAlign w:val="bottom"/>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0" w:type="dxa"/>
            <w:vAlign w:val="bottom"/>
            <w:gridSpan w:val="3"/>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420" w:type="dxa"/>
            <w:vAlign w:val="bottom"/>
            <w:tcBorders>
              <w:bottom w:val="single" w:sz="8" w:color="7A04DD"/>
              <w:right w:val="single" w:sz="8" w:color="EBFBFF"/>
            </w:tcBorders>
            <w:gridSpan w:val="15"/>
            <w:shd w:val="clear" w:color="auto" w:fill="EBFBFF"/>
          </w:tcPr>
          <w:p>
            <w:pPr>
              <w:spacing w:after="0" w:line="196" w:lineRule="exact"/>
              <w:rPr>
                <w:rFonts w:ascii="Calibri" w:cs="Calibri" w:eastAsia="Calibri" w:hAnsi="Calibri"/>
                <w:sz w:val="18"/>
                <w:szCs w:val="18"/>
                <w:color w:val="7A04DD"/>
                <w:w w:val="99"/>
              </w:rPr>
            </w:pPr>
            <w:hyperlink r:id="rId519">
              <w:r>
                <w:rPr>
                  <w:rFonts w:ascii="Calibri" w:cs="Calibri" w:eastAsia="Calibri" w:hAnsi="Calibri"/>
                  <w:sz w:val="18"/>
                  <w:szCs w:val="18"/>
                  <w:color w:val="7A04DD"/>
                  <w:w w:val="99"/>
                </w:rPr>
                <w:t>Natonal Associaton, as Co-Documentaton Agents, with BofA</w:t>
              </w:r>
            </w:hyperlink>
          </w:p>
        </w:tc>
        <w:tc>
          <w:tcPr>
            <w:tcW w:w="380" w:type="dxa"/>
            <w:vAlign w:val="bottom"/>
            <w:tcBorders>
              <w:bottom w:val="single" w:sz="8" w:color="EBFBFF"/>
            </w:tcBorders>
            <w:gridSpan w:val="10"/>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Calibri" w:cs="Calibri" w:eastAsia="Calibri" w:hAnsi="Calibri"/>
                <w:sz w:val="18"/>
                <w:szCs w:val="18"/>
                <w:color w:val="7A04DD"/>
              </w:rPr>
            </w:pPr>
            <w:hyperlink r:id="rId519">
              <w:r>
                <w:rPr>
                  <w:rFonts w:ascii="Calibri" w:cs="Calibri" w:eastAsia="Calibri" w:hAnsi="Calibri"/>
                  <w:sz w:val="18"/>
                  <w:szCs w:val="18"/>
                  <w:color w:val="7A04DD"/>
                </w:rPr>
                <w:t>Securites, Inc., PNC Bank, Natonal Associaton, Regions Capital</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108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340" w:type="dxa"/>
            <w:vAlign w:val="bottom"/>
            <w:tcBorders>
              <w:right w:val="single" w:sz="8" w:color="7A04DD"/>
            </w:tcBorders>
            <w:shd w:val="clear" w:color="auto" w:fill="7A04DD"/>
          </w:tcPr>
          <w:p>
            <w:pPr>
              <w:spacing w:after="0" w:line="20" w:lineRule="exact"/>
              <w:rPr>
                <w:sz w:val="1"/>
                <w:szCs w:val="1"/>
                <w:color w:val="auto"/>
              </w:rPr>
            </w:pPr>
          </w:p>
        </w:tc>
        <w:tc>
          <w:tcPr>
            <w:tcW w:w="180" w:type="dxa"/>
            <w:vAlign w:val="bottom"/>
            <w:gridSpan w:val="2"/>
            <w:shd w:val="clear" w:color="auto" w:fill="7A04DD"/>
          </w:tcPr>
          <w:p>
            <w:pPr>
              <w:spacing w:after="0" w:line="20" w:lineRule="exact"/>
              <w:rPr>
                <w:sz w:val="1"/>
                <w:szCs w:val="1"/>
                <w:color w:val="auto"/>
              </w:rPr>
            </w:pPr>
          </w:p>
        </w:tc>
        <w:tc>
          <w:tcPr>
            <w:tcW w:w="80" w:type="dxa"/>
            <w:vAlign w:val="bottom"/>
            <w:gridSpan w:val="2"/>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80" w:type="dxa"/>
            <w:vAlign w:val="bottom"/>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0" w:type="dxa"/>
            <w:vAlign w:val="bottom"/>
            <w:gridSpan w:val="3"/>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600" w:type="dxa"/>
            <w:vAlign w:val="bottom"/>
            <w:tcBorders>
              <w:bottom w:val="single" w:sz="8" w:color="7A04DD"/>
            </w:tcBorders>
            <w:gridSpan w:val="22"/>
            <w:shd w:val="clear" w:color="auto" w:fill="EBFBFF"/>
          </w:tcPr>
          <w:p>
            <w:pPr>
              <w:spacing w:after="0" w:line="196" w:lineRule="exact"/>
              <w:rPr>
                <w:rFonts w:ascii="Calibri" w:cs="Calibri" w:eastAsia="Calibri" w:hAnsi="Calibri"/>
                <w:sz w:val="18"/>
                <w:szCs w:val="18"/>
                <w:color w:val="7A04DD"/>
                <w:w w:val="99"/>
              </w:rPr>
            </w:pPr>
            <w:hyperlink r:id="rId519">
              <w:r>
                <w:rPr>
                  <w:rFonts w:ascii="Calibri" w:cs="Calibri" w:eastAsia="Calibri" w:hAnsi="Calibri"/>
                  <w:sz w:val="18"/>
                  <w:szCs w:val="18"/>
                  <w:color w:val="7A04DD"/>
                  <w:w w:val="99"/>
                </w:rPr>
                <w:t>Markets, BBVA USA and Fifh Third Bank, Natonal Associaton as</w:t>
              </w:r>
            </w:hyperlink>
          </w:p>
        </w:tc>
        <w:tc>
          <w:tcPr>
            <w:tcW w:w="200" w:type="dxa"/>
            <w:vAlign w:val="bottom"/>
            <w:tcBorders>
              <w:bottom w:val="single" w:sz="8" w:color="EBFBFF"/>
            </w:tcBorders>
            <w:gridSpan w:val="3"/>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Calibri" w:cs="Calibri" w:eastAsia="Calibri" w:hAnsi="Calibri"/>
                <w:sz w:val="18"/>
                <w:szCs w:val="18"/>
                <w:color w:val="7A04DD"/>
              </w:rPr>
            </w:pPr>
            <w:hyperlink r:id="rId519">
              <w:r>
                <w:rPr>
                  <w:rFonts w:ascii="Calibri" w:cs="Calibri" w:eastAsia="Calibri" w:hAnsi="Calibri"/>
                  <w:sz w:val="18"/>
                  <w:szCs w:val="18"/>
                  <w:color w:val="7A04DD"/>
                </w:rPr>
                <w:t>Joint Lead Arrangers and Joint Bookrunners</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8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1080" w:type="dxa"/>
            <w:vAlign w:val="bottom"/>
            <w:tcBorders>
              <w:top w:val="single" w:sz="8" w:color="7A04DD"/>
            </w:tcBorders>
            <w:shd w:val="clear" w:color="auto" w:fill="EBFBFF"/>
          </w:tcPr>
          <w:p>
            <w:pPr>
              <w:spacing w:after="0"/>
              <w:rPr>
                <w:sz w:val="5"/>
                <w:szCs w:val="5"/>
                <w:color w:val="auto"/>
              </w:rPr>
            </w:pPr>
          </w:p>
        </w:tc>
        <w:tc>
          <w:tcPr>
            <w:tcW w:w="620" w:type="dxa"/>
            <w:vAlign w:val="bottom"/>
            <w:tcBorders>
              <w:top w:val="single" w:sz="8" w:color="7A04DD"/>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340" w:type="dxa"/>
            <w:vAlign w:val="bottom"/>
            <w:tcBorders>
              <w:top w:val="single" w:sz="8" w:color="EBFBFF"/>
              <w:righ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6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0">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17</w:t>
            </w:r>
          </w:p>
        </w:tc>
        <w:tc>
          <w:tcPr>
            <w:tcW w:w="4800" w:type="dxa"/>
            <w:vAlign w:val="bottom"/>
            <w:gridSpan w:val="25"/>
          </w:tcPr>
          <w:p>
            <w:pPr>
              <w:spacing w:after="0" w:line="189" w:lineRule="exact"/>
              <w:rPr>
                <w:rFonts w:ascii="Calibri" w:cs="Calibri" w:eastAsia="Calibri" w:hAnsi="Calibri"/>
                <w:sz w:val="18"/>
                <w:szCs w:val="18"/>
                <w:color w:val="7A04DD"/>
              </w:rPr>
            </w:pPr>
            <w:hyperlink r:id="rId520">
              <w:r>
                <w:rPr>
                  <w:rFonts w:ascii="Calibri" w:cs="Calibri" w:eastAsia="Calibri" w:hAnsi="Calibri"/>
                  <w:sz w:val="18"/>
                  <w:szCs w:val="18"/>
                  <w:color w:val="7A04DD"/>
                </w:rPr>
                <w:t>Amended and Restated Pledge Agreement, dated as of October</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10.5</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1080" w:type="dxa"/>
            <w:vAlign w:val="bottom"/>
            <w:shd w:val="clear" w:color="auto" w:fill="7A04DD"/>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340" w:type="dxa"/>
            <w:vAlign w:val="bottom"/>
            <w:tcBorders>
              <w:right w:val="single" w:sz="8" w:color="7A04DD"/>
            </w:tcBorders>
            <w:shd w:val="clear" w:color="auto" w:fill="7A04DD"/>
          </w:tcPr>
          <w:p>
            <w:pPr>
              <w:spacing w:after="0" w:line="20" w:lineRule="exact"/>
              <w:rPr>
                <w:sz w:val="1"/>
                <w:szCs w:val="1"/>
                <w:color w:val="auto"/>
              </w:rPr>
            </w:pPr>
          </w:p>
        </w:tc>
        <w:tc>
          <w:tcPr>
            <w:tcW w:w="180" w:type="dxa"/>
            <w:vAlign w:val="bottom"/>
            <w:gridSpan w:val="2"/>
            <w:shd w:val="clear" w:color="auto" w:fill="7A04DD"/>
          </w:tcPr>
          <w:p>
            <w:pPr>
              <w:spacing w:after="0" w:line="20" w:lineRule="exact"/>
              <w:rPr>
                <w:sz w:val="1"/>
                <w:szCs w:val="1"/>
                <w:color w:val="auto"/>
              </w:rPr>
            </w:pPr>
          </w:p>
        </w:tc>
        <w:tc>
          <w:tcPr>
            <w:tcW w:w="80" w:type="dxa"/>
            <w:vAlign w:val="bottom"/>
            <w:gridSpan w:val="2"/>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tcBorders>
              <w:bottom w:val="single" w:sz="8" w:color="7A04DD"/>
            </w:tcBorders>
            <w:gridSpan w:val="21"/>
          </w:tcPr>
          <w:p>
            <w:pPr>
              <w:spacing w:after="0" w:line="196" w:lineRule="exact"/>
              <w:rPr>
                <w:rFonts w:ascii="Calibri" w:cs="Calibri" w:eastAsia="Calibri" w:hAnsi="Calibri"/>
                <w:sz w:val="18"/>
                <w:szCs w:val="18"/>
                <w:color w:val="7A04DD"/>
                <w:w w:val="97"/>
              </w:rPr>
            </w:pPr>
            <w:hyperlink r:id="rId520">
              <w:r>
                <w:rPr>
                  <w:rFonts w:ascii="Calibri" w:cs="Calibri" w:eastAsia="Calibri" w:hAnsi="Calibri"/>
                  <w:sz w:val="18"/>
                  <w:szCs w:val="18"/>
                  <w:color w:val="7A04DD"/>
                  <w:w w:val="97"/>
                </w:rPr>
                <w:t>30, 2020, by Blackbaud, Inc. in favor of Bank of America, N.A., as</w:t>
              </w:r>
            </w:hyperlink>
          </w:p>
        </w:tc>
        <w:tc>
          <w:tcPr>
            <w:tcW w:w="22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gridSpan w:val="25"/>
          </w:tcPr>
          <w:p>
            <w:pPr>
              <w:spacing w:after="0" w:line="196" w:lineRule="exact"/>
              <w:rPr>
                <w:rFonts w:ascii="Calibri" w:cs="Calibri" w:eastAsia="Calibri" w:hAnsi="Calibri"/>
                <w:sz w:val="18"/>
                <w:szCs w:val="18"/>
                <w:color w:val="7A04DD"/>
              </w:rPr>
            </w:pPr>
            <w:hyperlink r:id="rId520">
              <w:r>
                <w:rPr>
                  <w:rFonts w:ascii="Calibri" w:cs="Calibri" w:eastAsia="Calibri" w:hAnsi="Calibri"/>
                  <w:sz w:val="18"/>
                  <w:szCs w:val="18"/>
                  <w:color w:val="7A04DD"/>
                </w:rPr>
                <w:t>Administratve Agent, for the ratable beneft of itself and the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top w:val="single" w:sz="8" w:color="7A04DD"/>
            </w:tcBorders>
            <w:gridSpan w:val="12"/>
          </w:tcPr>
          <w:p>
            <w:pPr>
              <w:spacing w:after="0" w:line="196" w:lineRule="exact"/>
              <w:rPr>
                <w:rFonts w:ascii="Calibri" w:cs="Calibri" w:eastAsia="Calibri" w:hAnsi="Calibri"/>
                <w:sz w:val="18"/>
                <w:szCs w:val="18"/>
                <w:color w:val="7A04DD"/>
              </w:rPr>
            </w:pPr>
            <w:hyperlink r:id="rId520">
              <w:r>
                <w:rPr>
                  <w:rFonts w:ascii="Calibri" w:cs="Calibri" w:eastAsia="Calibri" w:hAnsi="Calibri"/>
                  <w:sz w:val="18"/>
                  <w:szCs w:val="18"/>
                  <w:color w:val="7A04DD"/>
                </w:rPr>
                <w:t>secured partes referred to therein</w:t>
              </w:r>
            </w:hyperlink>
          </w:p>
        </w:tc>
        <w:tc>
          <w:tcPr>
            <w:tcW w:w="50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8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1080" w:type="dxa"/>
            <w:vAlign w:val="bottom"/>
            <w:tcBorders>
              <w:top w:val="single" w:sz="8" w:color="7A04DD"/>
            </w:tcBorders>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1">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18</w:t>
            </w:r>
            <w:r>
              <w:rPr>
                <w:rFonts w:ascii="Calibri" w:cs="Calibri" w:eastAsia="Calibri" w:hAnsi="Calibri"/>
                <w:sz w:val="18"/>
                <w:szCs w:val="18"/>
                <w:color w:val="7A04DD"/>
              </w:rPr>
              <w:t xml:space="preserve"> </w:t>
            </w:r>
            <w:r>
              <w:rPr>
                <w:rFonts w:ascii="Calibri" w:cs="Calibri" w:eastAsia="Calibri" w:hAnsi="Calibri"/>
                <w:sz w:val="18"/>
                <w:szCs w:val="18"/>
                <w:color w:val="51555C"/>
              </w:rPr>
              <w:t>†</w:t>
            </w:r>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21">
              <w:r>
                <w:rPr>
                  <w:rFonts w:ascii="Calibri" w:cs="Calibri" w:eastAsia="Calibri" w:hAnsi="Calibri"/>
                  <w:sz w:val="18"/>
                  <w:szCs w:val="18"/>
                  <w:color w:val="7A04DD"/>
                </w:rPr>
                <w:t>Form of Employment Agreement between Blackbaud, Inc. and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5/4/2021</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420" w:type="dxa"/>
            <w:vAlign w:val="bottom"/>
            <w:tcBorders>
              <w:top w:val="single" w:sz="8" w:color="7A04DD"/>
              <w:right w:val="single" w:sz="8" w:color="EBFBFF"/>
            </w:tcBorders>
            <w:gridSpan w:val="15"/>
            <w:shd w:val="clear" w:color="auto" w:fill="EBFBFF"/>
          </w:tcPr>
          <w:p>
            <w:pPr>
              <w:spacing w:after="0" w:line="196" w:lineRule="exact"/>
              <w:rPr>
                <w:rFonts w:ascii="Calibri" w:cs="Calibri" w:eastAsia="Calibri" w:hAnsi="Calibri"/>
                <w:sz w:val="18"/>
                <w:szCs w:val="18"/>
                <w:color w:val="7A04DD"/>
              </w:rPr>
            </w:pPr>
            <w:hyperlink r:id="rId521">
              <w:r>
                <w:rPr>
                  <w:rFonts w:ascii="Calibri" w:cs="Calibri" w:eastAsia="Calibri" w:hAnsi="Calibri"/>
                  <w:sz w:val="18"/>
                  <w:szCs w:val="18"/>
                  <w:color w:val="7A04DD"/>
                </w:rPr>
                <w:t>Kevin McDearis</w:t>
              </w:r>
            </w:hyperlink>
          </w:p>
        </w:tc>
        <w:tc>
          <w:tcPr>
            <w:tcW w:w="380" w:type="dxa"/>
            <w:vAlign w:val="bottom"/>
            <w:tcBorders>
              <w:top w:val="single" w:sz="8" w:color="EBFBFF"/>
            </w:tcBorders>
            <w:gridSpan w:val="10"/>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8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1080" w:type="dxa"/>
            <w:vAlign w:val="bottom"/>
            <w:tcBorders>
              <w:top w:val="single" w:sz="8" w:color="EBFBFF"/>
            </w:tcBorders>
            <w:shd w:val="clear" w:color="auto" w:fill="EBFBFF"/>
          </w:tcPr>
          <w:p>
            <w:pPr>
              <w:spacing w:after="0"/>
              <w:rPr>
                <w:sz w:val="5"/>
                <w:szCs w:val="5"/>
                <w:color w:val="auto"/>
              </w:rPr>
            </w:pPr>
          </w:p>
        </w:tc>
        <w:tc>
          <w:tcPr>
            <w:tcW w:w="620" w:type="dxa"/>
            <w:vAlign w:val="bottom"/>
            <w:tcBorders>
              <w:top w:val="single" w:sz="8" w:color="EBFBFF"/>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340" w:type="dxa"/>
            <w:vAlign w:val="bottom"/>
            <w:tcBorders>
              <w:top w:val="single" w:sz="8" w:color="EBFBFF"/>
              <w:righ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6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2">
              <w:r>
                <w:rPr>
                  <w:rFonts w:ascii="Calibri" w:cs="Calibri" w:eastAsia="Calibri" w:hAnsi="Calibri"/>
                  <w:sz w:val="18"/>
                  <w:szCs w:val="18"/>
                  <w:color w:val="7A04DD"/>
                </w:rPr>
                <w:t>10.</w:t>
              </w:r>
              <w:r>
                <w:rPr>
                  <w:rFonts w:ascii="Calibri" w:cs="Calibri" w:eastAsia="Calibri" w:hAnsi="Calibri"/>
                  <w:sz w:val="18"/>
                  <w:szCs w:val="18"/>
                  <w:u w:val="single" w:color="auto"/>
                  <w:color w:val="7A04DD"/>
                </w:rPr>
                <w:t>19</w:t>
              </w:r>
            </w:hyperlink>
          </w:p>
        </w:tc>
        <w:tc>
          <w:tcPr>
            <w:tcW w:w="4800" w:type="dxa"/>
            <w:vAlign w:val="bottom"/>
            <w:gridSpan w:val="25"/>
          </w:tcPr>
          <w:p>
            <w:pPr>
              <w:spacing w:after="0" w:line="189" w:lineRule="exact"/>
              <w:rPr>
                <w:rFonts w:ascii="Calibri" w:cs="Calibri" w:eastAsia="Calibri" w:hAnsi="Calibri"/>
                <w:sz w:val="18"/>
                <w:szCs w:val="18"/>
                <w:color w:val="7A04DD"/>
              </w:rPr>
            </w:pPr>
            <w:hyperlink r:id="rId522">
              <w:r>
                <w:rPr>
                  <w:rFonts w:ascii="Calibri" w:cs="Calibri" w:eastAsia="Calibri" w:hAnsi="Calibri"/>
                  <w:sz w:val="18"/>
                  <w:szCs w:val="18"/>
                  <w:color w:val="7A04DD"/>
                </w:rPr>
                <w:t>LIBOR Transiton Amendment, dated as of September 20, 2021,</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11/4/2021</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522">
              <w:r>
                <w:rPr>
                  <w:rFonts w:ascii="Calibri" w:cs="Calibri" w:eastAsia="Calibri" w:hAnsi="Calibri"/>
                  <w:sz w:val="18"/>
                  <w:szCs w:val="18"/>
                  <w:color w:val="7A04DD"/>
                </w:rPr>
                <w:t>between Blackbaud, Inc. and Bank of America, N.A.</w:t>
              </w:r>
            </w:hyperlink>
          </w:p>
        </w:tc>
        <w:tc>
          <w:tcPr>
            <w:tcW w:w="30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8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1080" w:type="dxa"/>
            <w:vAlign w:val="bottom"/>
            <w:tcBorders>
              <w:top w:val="single" w:sz="8" w:color="7A04DD"/>
            </w:tcBorders>
          </w:tcPr>
          <w:p>
            <w:pPr>
              <w:spacing w:after="0"/>
              <w:rPr>
                <w:sz w:val="5"/>
                <w:szCs w:val="5"/>
                <w:color w:val="auto"/>
              </w:rPr>
            </w:pPr>
          </w:p>
        </w:tc>
        <w:tc>
          <w:tcPr>
            <w:tcW w:w="620" w:type="dxa"/>
            <w:vAlign w:val="bottom"/>
            <w:tcBorders>
              <w:top w:val="single" w:sz="8" w:color="7A04DD"/>
            </w:tcBorders>
          </w:tcPr>
          <w:p>
            <w:pPr>
              <w:spacing w:after="0"/>
              <w:rPr>
                <w:sz w:val="5"/>
                <w:szCs w:val="5"/>
                <w:color w:val="auto"/>
              </w:rPr>
            </w:pPr>
          </w:p>
        </w:tc>
        <w:tc>
          <w:tcPr>
            <w:tcW w:w="48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3">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20</w:t>
            </w:r>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23">
              <w:r>
                <w:rPr>
                  <w:rFonts w:ascii="Calibri" w:cs="Calibri" w:eastAsia="Calibri" w:hAnsi="Calibri"/>
                  <w:sz w:val="18"/>
                  <w:szCs w:val="18"/>
                  <w:color w:val="7A04DD"/>
                </w:rPr>
                <w:t>First Incremental Term Loan Agreement, dated as of December</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500" w:type="dxa"/>
            <w:vAlign w:val="bottom"/>
            <w:tcBorders>
              <w:top w:val="single" w:sz="8" w:color="7A04DD"/>
              <w:right w:val="single" w:sz="8" w:color="EBFBFF"/>
            </w:tcBorders>
            <w:gridSpan w:val="18"/>
            <w:shd w:val="clear" w:color="auto" w:fill="EBFBFF"/>
          </w:tcPr>
          <w:p>
            <w:pPr>
              <w:spacing w:after="0" w:line="196" w:lineRule="exact"/>
              <w:rPr>
                <w:rFonts w:ascii="Calibri" w:cs="Calibri" w:eastAsia="Calibri" w:hAnsi="Calibri"/>
                <w:sz w:val="18"/>
                <w:szCs w:val="18"/>
                <w:color w:val="7A04DD"/>
              </w:rPr>
            </w:pPr>
            <w:hyperlink r:id="rId523">
              <w:r>
                <w:rPr>
                  <w:rFonts w:ascii="Calibri" w:cs="Calibri" w:eastAsia="Calibri" w:hAnsi="Calibri"/>
                  <w:sz w:val="18"/>
                  <w:szCs w:val="18"/>
                  <w:color w:val="7A04DD"/>
                </w:rPr>
                <w:t>31, 2021, by and among Blackbaud, Inc., the lenders party</w:t>
              </w:r>
            </w:hyperlink>
          </w:p>
        </w:tc>
        <w:tc>
          <w:tcPr>
            <w:tcW w:w="300" w:type="dxa"/>
            <w:vAlign w:val="bottom"/>
            <w:tcBorders>
              <w:top w:val="single" w:sz="8" w:color="EBFBFF"/>
            </w:tcBorders>
            <w:gridSpan w:val="7"/>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380" w:type="dxa"/>
            <w:vAlign w:val="bottom"/>
            <w:gridSpan w:val="4"/>
            <w:shd w:val="clear" w:color="auto" w:fill="7A04DD"/>
          </w:tcPr>
          <w:p>
            <w:pPr>
              <w:spacing w:after="0" w:line="20" w:lineRule="exact"/>
              <w:rPr>
                <w:sz w:val="1"/>
                <w:szCs w:val="1"/>
                <w:color w:val="auto"/>
              </w:rPr>
            </w:pPr>
          </w:p>
        </w:tc>
        <w:tc>
          <w:tcPr>
            <w:tcW w:w="2180" w:type="dxa"/>
            <w:vAlign w:val="bottom"/>
            <w:gridSpan w:val="3"/>
            <w:shd w:val="clear" w:color="auto" w:fill="7A04DD"/>
          </w:tcPr>
          <w:p>
            <w:pPr>
              <w:spacing w:after="0" w:line="20" w:lineRule="exact"/>
              <w:rPr>
                <w:sz w:val="1"/>
                <w:szCs w:val="1"/>
                <w:color w:val="auto"/>
              </w:rPr>
            </w:pPr>
          </w:p>
        </w:tc>
        <w:tc>
          <w:tcPr>
            <w:tcW w:w="220" w:type="dxa"/>
            <w:vAlign w:val="bottom"/>
            <w:gridSpan w:val="2"/>
            <w:shd w:val="clear" w:color="auto" w:fill="7A04DD"/>
          </w:tcPr>
          <w:p>
            <w:pPr>
              <w:spacing w:after="0" w:line="20" w:lineRule="exact"/>
              <w:rPr>
                <w:sz w:val="1"/>
                <w:szCs w:val="1"/>
                <w:color w:val="auto"/>
              </w:rPr>
            </w:pPr>
          </w:p>
        </w:tc>
        <w:tc>
          <w:tcPr>
            <w:tcW w:w="340" w:type="dxa"/>
            <w:vAlign w:val="bottom"/>
            <w:tcBorders>
              <w:right w:val="single" w:sz="8" w:color="7A04DD"/>
            </w:tcBorders>
            <w:shd w:val="clear" w:color="auto" w:fill="7A04DD"/>
          </w:tcPr>
          <w:p>
            <w:pPr>
              <w:spacing w:after="0" w:line="20" w:lineRule="exact"/>
              <w:rPr>
                <w:sz w:val="1"/>
                <w:szCs w:val="1"/>
                <w:color w:val="auto"/>
              </w:rPr>
            </w:pPr>
          </w:p>
        </w:tc>
        <w:tc>
          <w:tcPr>
            <w:tcW w:w="260" w:type="dxa"/>
            <w:vAlign w:val="bottom"/>
            <w:gridSpan w:val="4"/>
            <w:shd w:val="clear" w:color="auto" w:fill="EBFBFF"/>
          </w:tcPr>
          <w:p>
            <w:pPr>
              <w:spacing w:after="0" w:line="20" w:lineRule="exact"/>
              <w:rPr>
                <w:sz w:val="1"/>
                <w:szCs w:val="1"/>
                <w:color w:val="auto"/>
              </w:rPr>
            </w:pPr>
          </w:p>
        </w:tc>
        <w:tc>
          <w:tcPr>
            <w:tcW w:w="6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300" w:type="dxa"/>
            <w:vAlign w:val="bottom"/>
            <w:gridSpan w:val="7"/>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Calibri" w:cs="Calibri" w:eastAsia="Calibri" w:hAnsi="Calibri"/>
                <w:sz w:val="18"/>
                <w:szCs w:val="18"/>
                <w:color w:val="7A04DD"/>
              </w:rPr>
            </w:pPr>
            <w:hyperlink r:id="rId523">
              <w:r>
                <w:rPr>
                  <w:rFonts w:ascii="Calibri" w:cs="Calibri" w:eastAsia="Calibri" w:hAnsi="Calibri"/>
                  <w:sz w:val="18"/>
                  <w:szCs w:val="18"/>
                  <w:color w:val="7A04DD"/>
                </w:rPr>
                <w:t>thereto and Bank of America N.A., as administratve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8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1080" w:type="dxa"/>
            <w:vAlign w:val="bottom"/>
            <w:tcBorders>
              <w:top w:val="single" w:sz="8" w:color="7A04DD"/>
            </w:tcBorders>
            <w:shd w:val="clear" w:color="auto" w:fill="EBFBFF"/>
          </w:tcPr>
          <w:p>
            <w:pPr>
              <w:spacing w:after="0"/>
              <w:rPr>
                <w:sz w:val="5"/>
                <w:szCs w:val="5"/>
                <w:color w:val="auto"/>
              </w:rPr>
            </w:pPr>
          </w:p>
        </w:tc>
        <w:tc>
          <w:tcPr>
            <w:tcW w:w="620" w:type="dxa"/>
            <w:vAlign w:val="bottom"/>
            <w:tcBorders>
              <w:top w:val="single" w:sz="8" w:color="7A04DD"/>
            </w:tcBorders>
            <w:shd w:val="clear" w:color="auto" w:fill="EBFBFF"/>
          </w:tcPr>
          <w:p>
            <w:pPr>
              <w:spacing w:after="0"/>
              <w:rPr>
                <w:sz w:val="5"/>
                <w:szCs w:val="5"/>
                <w:color w:val="auto"/>
              </w:rPr>
            </w:pPr>
          </w:p>
        </w:tc>
        <w:tc>
          <w:tcPr>
            <w:tcW w:w="48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340" w:type="dxa"/>
            <w:vAlign w:val="bottom"/>
            <w:tcBorders>
              <w:top w:val="single" w:sz="8" w:color="7A04DD"/>
              <w:righ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6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4">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21</w:t>
            </w:r>
          </w:p>
        </w:tc>
        <w:tc>
          <w:tcPr>
            <w:tcW w:w="4800" w:type="dxa"/>
            <w:vAlign w:val="bottom"/>
            <w:gridSpan w:val="25"/>
          </w:tcPr>
          <w:p>
            <w:pPr>
              <w:spacing w:after="0" w:line="189" w:lineRule="exact"/>
              <w:rPr>
                <w:rFonts w:ascii="Calibri" w:cs="Calibri" w:eastAsia="Calibri" w:hAnsi="Calibri"/>
                <w:sz w:val="18"/>
                <w:szCs w:val="18"/>
                <w:color w:val="7A04DD"/>
              </w:rPr>
            </w:pPr>
            <w:hyperlink r:id="rId524">
              <w:r>
                <w:rPr>
                  <w:rFonts w:ascii="Calibri" w:cs="Calibri" w:eastAsia="Calibri" w:hAnsi="Calibri"/>
                  <w:sz w:val="18"/>
                  <w:szCs w:val="18"/>
                  <w:color w:val="7A04DD"/>
                </w:rPr>
                <w:t>Registraton Rights Agreement, dated as of December 31, 2021,</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10.2</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top w:val="single" w:sz="8" w:color="7A04DD"/>
            </w:tcBorders>
            <w:gridSpan w:val="18"/>
          </w:tcPr>
          <w:p>
            <w:pPr>
              <w:spacing w:after="0" w:line="196" w:lineRule="exact"/>
              <w:rPr>
                <w:rFonts w:ascii="Calibri" w:cs="Calibri" w:eastAsia="Calibri" w:hAnsi="Calibri"/>
                <w:sz w:val="18"/>
                <w:szCs w:val="18"/>
                <w:color w:val="7A04DD"/>
                <w:w w:val="98"/>
              </w:rPr>
            </w:pPr>
            <w:hyperlink r:id="rId524">
              <w:r>
                <w:rPr>
                  <w:rFonts w:ascii="Calibri" w:cs="Calibri" w:eastAsia="Calibri" w:hAnsi="Calibri"/>
                  <w:sz w:val="18"/>
                  <w:szCs w:val="18"/>
                  <w:color w:val="7A04DD"/>
                  <w:w w:val="98"/>
                </w:rPr>
                <w:t>by and among Blackbaud, Inc., EverFi, Inc., TPG Eon, L.P., each</w:t>
              </w:r>
            </w:hyperlink>
          </w:p>
        </w:tc>
        <w:tc>
          <w:tcPr>
            <w:tcW w:w="30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Borders>
              <w:top w:val="single" w:sz="8" w:color="7A04DD"/>
            </w:tcBorders>
            <w:gridSpan w:val="14"/>
          </w:tcPr>
          <w:p>
            <w:pPr>
              <w:spacing w:after="0" w:line="196" w:lineRule="exact"/>
              <w:rPr>
                <w:rFonts w:ascii="Calibri" w:cs="Calibri" w:eastAsia="Calibri" w:hAnsi="Calibri"/>
                <w:sz w:val="18"/>
                <w:szCs w:val="18"/>
                <w:color w:val="7A04DD"/>
              </w:rPr>
            </w:pPr>
            <w:hyperlink r:id="rId524">
              <w:r>
                <w:rPr>
                  <w:rFonts w:ascii="Calibri" w:cs="Calibri" w:eastAsia="Calibri" w:hAnsi="Calibri"/>
                  <w:sz w:val="18"/>
                  <w:szCs w:val="18"/>
                  <w:color w:val="7A04DD"/>
                </w:rPr>
                <w:t>other shareholder party thereto and Eon Stockholder</w:t>
              </w:r>
            </w:hyperlink>
          </w:p>
        </w:tc>
        <w:tc>
          <w:tcPr>
            <w:tcW w:w="42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Borders>
              <w:top w:val="single" w:sz="8" w:color="7A04DD"/>
            </w:tcBorders>
            <w:gridSpan w:val="9"/>
          </w:tcPr>
          <w:p>
            <w:pPr>
              <w:spacing w:after="0" w:line="196" w:lineRule="exact"/>
              <w:rPr>
                <w:rFonts w:ascii="Calibri" w:cs="Calibri" w:eastAsia="Calibri" w:hAnsi="Calibri"/>
                <w:sz w:val="18"/>
                <w:szCs w:val="18"/>
                <w:color w:val="7A04DD"/>
              </w:rPr>
            </w:pPr>
            <w:hyperlink r:id="rId524">
              <w:r>
                <w:rPr>
                  <w:rFonts w:ascii="Calibri" w:cs="Calibri" w:eastAsia="Calibri" w:hAnsi="Calibri"/>
                  <w:sz w:val="18"/>
                  <w:szCs w:val="18"/>
                  <w:color w:val="7A04DD"/>
                </w:rPr>
                <w:t>Representatve, LLC</w:t>
              </w:r>
            </w:hyperlink>
          </w:p>
        </w:tc>
        <w:tc>
          <w:tcPr>
            <w:tcW w:w="1020" w:type="dxa"/>
            <w:vAlign w:val="bottom"/>
            <w:gridSpan w:val="16"/>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8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5">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22</w:t>
            </w:r>
          </w:p>
        </w:tc>
        <w:tc>
          <w:tcPr>
            <w:tcW w:w="4800" w:type="dxa"/>
            <w:vAlign w:val="bottom"/>
            <w:gridSpan w:val="25"/>
            <w:shd w:val="clear" w:color="auto" w:fill="EBFBFF"/>
          </w:tcPr>
          <w:p>
            <w:pPr>
              <w:spacing w:after="0" w:line="189" w:lineRule="exact"/>
              <w:rPr>
                <w:rFonts w:ascii="Calibri" w:cs="Calibri" w:eastAsia="Calibri" w:hAnsi="Calibri"/>
                <w:sz w:val="18"/>
                <w:szCs w:val="18"/>
                <w:color w:val="7A04DD"/>
              </w:rPr>
            </w:pPr>
            <w:hyperlink r:id="rId525">
              <w:r>
                <w:rPr>
                  <w:rFonts w:ascii="Calibri" w:cs="Calibri" w:eastAsia="Calibri" w:hAnsi="Calibri"/>
                  <w:sz w:val="18"/>
                  <w:szCs w:val="18"/>
                  <w:color w:val="7A04DD"/>
                </w:rPr>
                <w:t>First Amendment to Credit Agreement, dated as of January 31,</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2/3/2022</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bottom w:val="single" w:sz="8" w:color="EBFBFF"/>
            </w:tcBorders>
            <w:shd w:val="clear" w:color="auto" w:fill="EBFBFF"/>
          </w:tcPr>
          <w:p>
            <w:pPr>
              <w:spacing w:after="0"/>
              <w:rPr>
                <w:sz w:val="17"/>
                <w:szCs w:val="17"/>
                <w:color w:val="auto"/>
              </w:rPr>
            </w:pPr>
          </w:p>
        </w:tc>
        <w:tc>
          <w:tcPr>
            <w:tcW w:w="40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440" w:type="dxa"/>
            <w:vAlign w:val="bottom"/>
            <w:tcBorders>
              <w:top w:val="single" w:sz="8" w:color="7A04DD"/>
              <w:bottom w:val="single" w:sz="8" w:color="7A04DD"/>
            </w:tcBorders>
            <w:gridSpan w:val="16"/>
            <w:shd w:val="clear" w:color="auto" w:fill="EBFBFF"/>
          </w:tcPr>
          <w:p>
            <w:pPr>
              <w:spacing w:after="0" w:line="196" w:lineRule="exact"/>
              <w:rPr>
                <w:rFonts w:ascii="Calibri" w:cs="Calibri" w:eastAsia="Calibri" w:hAnsi="Calibri"/>
                <w:sz w:val="18"/>
                <w:szCs w:val="18"/>
                <w:color w:val="7A04DD"/>
                <w:w w:val="96"/>
              </w:rPr>
            </w:pPr>
            <w:hyperlink r:id="rId525">
              <w:r>
                <w:rPr>
                  <w:rFonts w:ascii="Calibri" w:cs="Calibri" w:eastAsia="Calibri" w:hAnsi="Calibri"/>
                  <w:sz w:val="18"/>
                  <w:szCs w:val="18"/>
                  <w:color w:val="7A04DD"/>
                  <w:w w:val="96"/>
                </w:rPr>
                <w:t>2022, by and among Blackbaud, Inc., the lenders party thereto</w:t>
              </w:r>
            </w:hyperlink>
          </w:p>
        </w:tc>
        <w:tc>
          <w:tcPr>
            <w:tcW w:w="20" w:type="dxa"/>
            <w:vAlign w:val="bottom"/>
            <w:tcBorders>
              <w:top w:val="single" w:sz="8" w:color="7A04DD"/>
              <w:bottom w:val="single" w:sz="8" w:color="EBFBFF"/>
            </w:tcBorders>
            <w:shd w:val="clear" w:color="auto" w:fill="EBFBFF"/>
          </w:tcPr>
          <w:p>
            <w:pPr>
              <w:spacing w:after="0"/>
              <w:rPr>
                <w:sz w:val="17"/>
                <w:szCs w:val="17"/>
                <w:color w:val="auto"/>
              </w:rPr>
            </w:pPr>
          </w:p>
        </w:tc>
        <w:tc>
          <w:tcPr>
            <w:tcW w:w="340" w:type="dxa"/>
            <w:vAlign w:val="bottom"/>
            <w:tcBorders>
              <w:top w:val="single" w:sz="8" w:color="EBFBFF"/>
              <w:bottom w:val="single" w:sz="8" w:color="EBFBFF"/>
            </w:tcBorders>
            <w:gridSpan w:val="8"/>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3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Calibri" w:cs="Calibri" w:eastAsia="Calibri" w:hAnsi="Calibri"/>
                <w:sz w:val="18"/>
                <w:szCs w:val="18"/>
                <w:color w:val="7A04DD"/>
              </w:rPr>
            </w:pPr>
            <w:hyperlink r:id="rId525">
              <w:r>
                <w:rPr>
                  <w:rFonts w:ascii="Calibri" w:cs="Calibri" w:eastAsia="Calibri" w:hAnsi="Calibri"/>
                  <w:sz w:val="18"/>
                  <w:szCs w:val="18"/>
                  <w:color w:val="7A04DD"/>
                </w:rPr>
                <w:t>and Bank of America N.A., as administratve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bottom w:val="single" w:sz="8" w:color="0CD973"/>
            </w:tcBorders>
            <w:shd w:val="clear" w:color="auto" w:fill="EBFBFF"/>
          </w:tcPr>
          <w:p>
            <w:pPr>
              <w:spacing w:after="0"/>
              <w:rPr>
                <w:sz w:val="5"/>
                <w:szCs w:val="5"/>
                <w:color w:val="auto"/>
              </w:rPr>
            </w:pPr>
          </w:p>
        </w:tc>
        <w:tc>
          <w:tcPr>
            <w:tcW w:w="400" w:type="dxa"/>
            <w:vAlign w:val="bottom"/>
            <w:tcBorders>
              <w:top w:val="single" w:sz="8" w:color="EBFBFF"/>
              <w:bottom w:val="single" w:sz="8" w:color="0CD973"/>
            </w:tcBorders>
            <w:shd w:val="clear" w:color="auto" w:fill="EBFBFF"/>
          </w:tcPr>
          <w:p>
            <w:pPr>
              <w:spacing w:after="0"/>
              <w:rPr>
                <w:sz w:val="5"/>
                <w:szCs w:val="5"/>
                <w:color w:val="auto"/>
              </w:rPr>
            </w:pPr>
          </w:p>
        </w:tc>
        <w:tc>
          <w:tcPr>
            <w:tcW w:w="680" w:type="dxa"/>
            <w:vAlign w:val="bottom"/>
            <w:tcBorders>
              <w:top w:val="single" w:sz="8" w:color="EBFBFF"/>
              <w:bottom w:val="single" w:sz="8" w:color="0CD973"/>
            </w:tcBorders>
            <w:shd w:val="clear" w:color="auto" w:fill="EBFBFF"/>
          </w:tcPr>
          <w:p>
            <w:pPr>
              <w:spacing w:after="0"/>
              <w:rPr>
                <w:sz w:val="5"/>
                <w:szCs w:val="5"/>
                <w:color w:val="auto"/>
              </w:rPr>
            </w:pPr>
          </w:p>
        </w:tc>
        <w:tc>
          <w:tcPr>
            <w:tcW w:w="300" w:type="dxa"/>
            <w:vAlign w:val="bottom"/>
            <w:tcBorders>
              <w:top w:val="single" w:sz="8" w:color="7A04DD"/>
              <w:bottom w:val="single" w:sz="8" w:color="0CD973"/>
            </w:tcBorders>
            <w:shd w:val="clear" w:color="auto" w:fill="EBFBFF"/>
          </w:tcPr>
          <w:p>
            <w:pPr>
              <w:spacing w:after="0"/>
              <w:rPr>
                <w:sz w:val="5"/>
                <w:szCs w:val="5"/>
                <w:color w:val="auto"/>
              </w:rPr>
            </w:pPr>
          </w:p>
        </w:tc>
        <w:tc>
          <w:tcPr>
            <w:tcW w:w="800" w:type="dxa"/>
            <w:vAlign w:val="bottom"/>
            <w:tcBorders>
              <w:top w:val="single" w:sz="8" w:color="7A04DD"/>
              <w:bottom w:val="single" w:sz="8" w:color="0CD973"/>
            </w:tcBorders>
            <w:shd w:val="clear" w:color="auto" w:fill="EBFBFF"/>
          </w:tcPr>
          <w:p>
            <w:pPr>
              <w:spacing w:after="0"/>
              <w:rPr>
                <w:sz w:val="5"/>
                <w:szCs w:val="5"/>
                <w:color w:val="auto"/>
              </w:rPr>
            </w:pPr>
          </w:p>
        </w:tc>
        <w:tc>
          <w:tcPr>
            <w:tcW w:w="20" w:type="dxa"/>
            <w:vAlign w:val="bottom"/>
            <w:tcBorders>
              <w:top w:val="single" w:sz="8" w:color="7A04DD"/>
              <w:bottom w:val="single" w:sz="8" w:color="0CD973"/>
            </w:tcBorders>
            <w:shd w:val="clear" w:color="auto" w:fill="EBFBFF"/>
          </w:tcPr>
          <w:p>
            <w:pPr>
              <w:spacing w:after="0"/>
              <w:rPr>
                <w:sz w:val="5"/>
                <w:szCs w:val="5"/>
                <w:color w:val="auto"/>
              </w:rPr>
            </w:pPr>
          </w:p>
        </w:tc>
        <w:tc>
          <w:tcPr>
            <w:tcW w:w="260" w:type="dxa"/>
            <w:vAlign w:val="bottom"/>
            <w:tcBorders>
              <w:top w:val="single" w:sz="8" w:color="7A04DD"/>
              <w:bottom w:val="single" w:sz="8" w:color="0CD973"/>
            </w:tcBorders>
            <w:shd w:val="clear" w:color="auto" w:fill="EBFBFF"/>
          </w:tcPr>
          <w:p>
            <w:pPr>
              <w:spacing w:after="0"/>
              <w:rPr>
                <w:sz w:val="5"/>
                <w:szCs w:val="5"/>
                <w:color w:val="auto"/>
              </w:rPr>
            </w:pPr>
          </w:p>
        </w:tc>
        <w:tc>
          <w:tcPr>
            <w:tcW w:w="1080" w:type="dxa"/>
            <w:vAlign w:val="bottom"/>
            <w:tcBorders>
              <w:top w:val="single" w:sz="8" w:color="7A04DD"/>
              <w:bottom w:val="single" w:sz="8" w:color="0CD973"/>
            </w:tcBorders>
            <w:shd w:val="clear" w:color="auto" w:fill="EBFBFF"/>
          </w:tcPr>
          <w:p>
            <w:pPr>
              <w:spacing w:after="0"/>
              <w:rPr>
                <w:sz w:val="5"/>
                <w:szCs w:val="5"/>
                <w:color w:val="auto"/>
              </w:rPr>
            </w:pPr>
          </w:p>
        </w:tc>
        <w:tc>
          <w:tcPr>
            <w:tcW w:w="620" w:type="dxa"/>
            <w:vAlign w:val="bottom"/>
            <w:tcBorders>
              <w:top w:val="single" w:sz="8" w:color="7A04DD"/>
              <w:bottom w:val="single" w:sz="8" w:color="0CD973"/>
            </w:tcBorders>
            <w:shd w:val="clear" w:color="auto" w:fill="EBFBFF"/>
          </w:tcPr>
          <w:p>
            <w:pPr>
              <w:spacing w:after="0"/>
              <w:rPr>
                <w:sz w:val="5"/>
                <w:szCs w:val="5"/>
                <w:color w:val="auto"/>
              </w:rPr>
            </w:pPr>
          </w:p>
        </w:tc>
        <w:tc>
          <w:tcPr>
            <w:tcW w:w="480" w:type="dxa"/>
            <w:vAlign w:val="bottom"/>
            <w:tcBorders>
              <w:top w:val="single" w:sz="8" w:color="7A04DD"/>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34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10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6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4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160" w:type="dxa"/>
            <w:vAlign w:val="bottom"/>
            <w:tcBorders>
              <w:top w:val="single" w:sz="8" w:color="EBFBFF"/>
              <w:bottom w:val="single" w:sz="8" w:color="0CD973"/>
            </w:tcBorders>
            <w:shd w:val="clear" w:color="auto" w:fill="EBFBFF"/>
          </w:tcPr>
          <w:p>
            <w:pPr>
              <w:spacing w:after="0"/>
              <w:rPr>
                <w:sz w:val="5"/>
                <w:szCs w:val="5"/>
                <w:color w:val="auto"/>
              </w:rPr>
            </w:pPr>
          </w:p>
        </w:tc>
        <w:tc>
          <w:tcPr>
            <w:tcW w:w="1200" w:type="dxa"/>
            <w:vAlign w:val="bottom"/>
            <w:tcBorders>
              <w:top w:val="single" w:sz="8" w:color="EBFBFF"/>
              <w:bottom w:val="single" w:sz="8" w:color="0CD973"/>
            </w:tcBorders>
            <w:shd w:val="clear" w:color="auto" w:fill="EBFBFF"/>
          </w:tcPr>
          <w:p>
            <w:pPr>
              <w:spacing w:after="0"/>
              <w:rPr>
                <w:sz w:val="5"/>
                <w:szCs w:val="5"/>
                <w:color w:val="auto"/>
              </w:rPr>
            </w:pPr>
          </w:p>
        </w:tc>
        <w:tc>
          <w:tcPr>
            <w:tcW w:w="1580" w:type="dxa"/>
            <w:vAlign w:val="bottom"/>
            <w:tcBorders>
              <w:top w:val="single" w:sz="8" w:color="EBFBFF"/>
              <w:bottom w:val="single" w:sz="8" w:color="0CD973"/>
            </w:tcBorders>
            <w:shd w:val="clear" w:color="auto" w:fill="EBFBFF"/>
          </w:tcPr>
          <w:p>
            <w:pPr>
              <w:spacing w:after="0"/>
              <w:rPr>
                <w:sz w:val="5"/>
                <w:szCs w:val="5"/>
                <w:color w:val="auto"/>
              </w:rPr>
            </w:pPr>
          </w:p>
        </w:tc>
        <w:tc>
          <w:tcPr>
            <w:tcW w:w="680" w:type="dxa"/>
            <w:vAlign w:val="bottom"/>
            <w:tcBorders>
              <w:top w:val="single" w:sz="8" w:color="EBFBFF"/>
              <w:bottom w:val="single" w:sz="8" w:color="0CD973"/>
            </w:tcBorders>
            <w:shd w:val="clear" w:color="auto" w:fill="EBFBFF"/>
          </w:tcPr>
          <w:p>
            <w:pPr>
              <w:spacing w:after="0"/>
              <w:rPr>
                <w:sz w:val="5"/>
                <w:szCs w:val="5"/>
                <w:color w:val="auto"/>
              </w:rPr>
            </w:pPr>
          </w:p>
        </w:tc>
        <w:tc>
          <w:tcPr>
            <w:tcW w:w="433" w:type="dxa"/>
            <w:vAlign w:val="bottom"/>
            <w:tcBorders>
              <w:top w:val="single" w:sz="8" w:color="EBFBFF"/>
              <w:bottom w:val="single" w:sz="8" w:color="0CD973"/>
            </w:tcBorders>
            <w:shd w:val="clear" w:color="auto" w:fill="EBFBFF"/>
          </w:tcPr>
          <w:p>
            <w:pPr>
              <w:spacing w:after="0"/>
              <w:rPr>
                <w:sz w:val="5"/>
                <w:szCs w:val="5"/>
                <w:color w:val="auto"/>
              </w:rPr>
            </w:pPr>
          </w:p>
        </w:tc>
        <w:tc>
          <w:tcPr>
            <w:tcW w:w="928"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-6145530</wp:posOffset>
            </wp:positionV>
            <wp:extent cx="30772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114</w:t>
      </w:r>
      <w:r>
        <w:rPr>
          <w:sz w:val="20"/>
          <w:szCs w:val="20"/>
          <w:color w:val="auto"/>
        </w:rPr>
        <w:tab/>
      </w:r>
      <w:r>
        <w:rPr>
          <w:sz w:val="1"/>
          <w:szCs w:val="1"/>
          <w:color w:val="auto"/>
        </w:rPr>
        <w:drawing>
          <wp:inline distT="0" distB="0" distL="0" distR="0">
            <wp:extent cx="728345" cy="18859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680" w:type="dxa"/>
            <w:vAlign w:val="bottom"/>
            <w:tcBorders>
              <w:left w:val="single" w:sz="8" w:color="004054"/>
            </w:tcBorders>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120" w:type="dxa"/>
            <w:vAlign w:val="bottom"/>
            <w:tcBorders>
              <w:right w:val="single" w:sz="8" w:color="004054"/>
            </w:tcBorders>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60" w:type="dxa"/>
            <w:vAlign w:val="bottom"/>
            <w:tcBorders>
              <w:right w:val="single" w:sz="8" w:color="004054"/>
            </w:tcBorders>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600" w:type="dxa"/>
            <w:vAlign w:val="bottom"/>
            <w:shd w:val="clear" w:color="auto" w:fill="004054"/>
          </w:tcPr>
          <w:p>
            <w:pPr>
              <w:jc w:val="right"/>
              <w:ind w:right="73"/>
              <w:spacing w:after="0"/>
              <w:rPr>
                <w:sz w:val="20"/>
                <w:szCs w:val="20"/>
                <w:color w:val="auto"/>
              </w:rPr>
            </w:pPr>
            <w:r>
              <w:rPr>
                <w:rFonts w:ascii="Calibri" w:cs="Calibri" w:eastAsia="Calibri" w:hAnsi="Calibri"/>
                <w:sz w:val="14"/>
                <w:szCs w:val="14"/>
                <w:b w:val="1"/>
                <w:bCs w:val="1"/>
                <w:color w:val="FFFFFF"/>
              </w:rPr>
              <w:t>Filed In</w:t>
            </w:r>
          </w:p>
        </w:tc>
        <w:tc>
          <w:tcPr>
            <w:tcW w:w="114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9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Exhibit</w:t>
            </w:r>
          </w:p>
        </w:tc>
        <w:tc>
          <w:tcPr>
            <w:tcW w:w="680" w:type="dxa"/>
            <w:vAlign w:val="bottom"/>
            <w:tcBorders>
              <w:left w:val="single" w:sz="8" w:color="004054"/>
            </w:tcBorders>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400" w:type="dxa"/>
            <w:vAlign w:val="bottom"/>
            <w:shd w:val="clear" w:color="auto" w:fill="004054"/>
          </w:tcPr>
          <w:p>
            <w:pPr>
              <w:spacing w:after="0"/>
              <w:rPr>
                <w:sz w:val="20"/>
                <w:szCs w:val="20"/>
                <w:color w:val="auto"/>
              </w:rPr>
            </w:pPr>
          </w:p>
        </w:tc>
        <w:tc>
          <w:tcPr>
            <w:tcW w:w="400" w:type="dxa"/>
            <w:vAlign w:val="bottom"/>
            <w:shd w:val="clear" w:color="auto" w:fill="004054"/>
          </w:tcPr>
          <w:p>
            <w:pPr>
              <w:spacing w:after="0"/>
              <w:rPr>
                <w:sz w:val="20"/>
                <w:szCs w:val="20"/>
                <w:color w:val="auto"/>
              </w:rPr>
            </w:pPr>
          </w:p>
        </w:tc>
        <w:tc>
          <w:tcPr>
            <w:tcW w:w="400" w:type="dxa"/>
            <w:vAlign w:val="bottom"/>
            <w:shd w:val="clear" w:color="auto" w:fill="004054"/>
          </w:tcPr>
          <w:p>
            <w:pPr>
              <w:spacing w:after="0"/>
              <w:rPr>
                <w:sz w:val="20"/>
                <w:szCs w:val="20"/>
                <w:color w:val="auto"/>
              </w:rPr>
            </w:pPr>
          </w:p>
        </w:tc>
        <w:tc>
          <w:tcPr>
            <w:tcW w:w="28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840" w:type="dxa"/>
            <w:vAlign w:val="bottom"/>
            <w:shd w:val="clear" w:color="auto" w:fill="004054"/>
          </w:tcPr>
          <w:p>
            <w:pPr>
              <w:spacing w:after="0"/>
              <w:rPr>
                <w:sz w:val="20"/>
                <w:szCs w:val="20"/>
                <w:color w:val="auto"/>
              </w:rPr>
            </w:pPr>
          </w:p>
        </w:tc>
        <w:tc>
          <w:tcPr>
            <w:tcW w:w="300" w:type="dxa"/>
            <w:vAlign w:val="bottom"/>
            <w:shd w:val="clear" w:color="auto" w:fill="004054"/>
          </w:tcPr>
          <w:p>
            <w:pPr>
              <w:spacing w:after="0"/>
              <w:rPr>
                <w:sz w:val="20"/>
                <w:szCs w:val="20"/>
                <w:color w:val="auto"/>
              </w:rPr>
            </w:pPr>
          </w:p>
        </w:tc>
        <w:tc>
          <w:tcPr>
            <w:tcW w:w="32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18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120" w:type="dxa"/>
            <w:vAlign w:val="bottom"/>
            <w:tcBorders>
              <w:right w:val="single" w:sz="8" w:color="004054"/>
            </w:tcBorders>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60" w:type="dxa"/>
            <w:vAlign w:val="bottom"/>
            <w:tcBorders>
              <w:right w:val="single" w:sz="8" w:color="004054"/>
            </w:tcBorders>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1600" w:type="dxa"/>
            <w:vAlign w:val="bottom"/>
            <w:shd w:val="clear" w:color="auto" w:fill="004054"/>
          </w:tcPr>
          <w:p>
            <w:pPr>
              <w:spacing w:after="0"/>
              <w:rPr>
                <w:sz w:val="20"/>
                <w:szCs w:val="20"/>
                <w:color w:val="auto"/>
              </w:rPr>
            </w:pPr>
          </w:p>
        </w:tc>
        <w:tc>
          <w:tcPr>
            <w:tcW w:w="1140" w:type="dxa"/>
            <w:vAlign w:val="bottom"/>
            <w:shd w:val="clear" w:color="auto" w:fill="004054"/>
          </w:tcPr>
          <w:p>
            <w:pPr>
              <w:ind w:left="200"/>
              <w:spacing w:after="0"/>
              <w:rPr>
                <w:sz w:val="20"/>
                <w:szCs w:val="20"/>
                <w:color w:val="auto"/>
              </w:rPr>
            </w:pPr>
            <w:r>
              <w:rPr>
                <w:rFonts w:ascii="Calibri" w:cs="Calibri" w:eastAsia="Calibri" w:hAnsi="Calibri"/>
                <w:sz w:val="14"/>
                <w:szCs w:val="14"/>
                <w:b w:val="1"/>
                <w:bCs w:val="1"/>
                <w:color w:val="FFFFFF"/>
              </w:rPr>
              <w:t>Exhibit</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r>
      <w:tr>
        <w:trPr>
          <w:trHeight w:val="175"/>
        </w:trPr>
        <w:tc>
          <w:tcPr>
            <w:tcW w:w="9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w:t>
            </w:r>
          </w:p>
        </w:tc>
        <w:tc>
          <w:tcPr>
            <w:tcW w:w="680" w:type="dxa"/>
            <w:vAlign w:val="bottom"/>
            <w:tcBorders>
              <w:left w:val="single" w:sz="8" w:color="004054"/>
            </w:tcBorders>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3560" w:type="dxa"/>
            <w:vAlign w:val="bottom"/>
            <w:gridSpan w:val="25"/>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1600" w:type="dxa"/>
            <w:vAlign w:val="bottom"/>
            <w:shd w:val="clear" w:color="auto" w:fill="004054"/>
          </w:tcPr>
          <w:p>
            <w:pPr>
              <w:jc w:val="right"/>
              <w:ind w:right="693"/>
              <w:spacing w:after="0"/>
              <w:rPr>
                <w:sz w:val="20"/>
                <w:szCs w:val="20"/>
                <w:color w:val="auto"/>
              </w:rPr>
            </w:pPr>
            <w:r>
              <w:rPr>
                <w:rFonts w:ascii="Calibri" w:cs="Calibri" w:eastAsia="Calibri" w:hAnsi="Calibri"/>
                <w:sz w:val="14"/>
                <w:szCs w:val="14"/>
                <w:b w:val="1"/>
                <w:bCs w:val="1"/>
                <w:color w:val="FFFFFF"/>
              </w:rPr>
              <w:t>Dated</w:t>
            </w:r>
          </w:p>
        </w:tc>
        <w:tc>
          <w:tcPr>
            <w:tcW w:w="1140" w:type="dxa"/>
            <w:vAlign w:val="bottom"/>
            <w:shd w:val="clear" w:color="auto" w:fill="004054"/>
          </w:tcPr>
          <w:p>
            <w:pPr>
              <w:jc w:val="right"/>
              <w:ind w:right="393"/>
              <w:spacing w:after="0"/>
              <w:rPr>
                <w:sz w:val="20"/>
                <w:szCs w:val="20"/>
                <w:color w:val="auto"/>
              </w:rPr>
            </w:pPr>
            <w:r>
              <w:rPr>
                <w:rFonts w:ascii="Calibri" w:cs="Calibri" w:eastAsia="Calibri" w:hAnsi="Calibri"/>
                <w:sz w:val="14"/>
                <w:szCs w:val="14"/>
                <w:b w:val="1"/>
                <w:bCs w:val="1"/>
                <w:color w:val="FFFFFF"/>
              </w:rPr>
              <w:t>Number</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r>
      <w:tr>
        <w:trPr>
          <w:trHeight w:val="74"/>
        </w:trPr>
        <w:tc>
          <w:tcPr>
            <w:tcW w:w="5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680" w:type="dxa"/>
            <w:vAlign w:val="bottom"/>
            <w:tcBorders>
              <w:left w:val="single" w:sz="8" w:color="004054"/>
            </w:tcBorders>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120" w:type="dxa"/>
            <w:vAlign w:val="bottom"/>
            <w:tcBorders>
              <w:right w:val="single" w:sz="8" w:color="004054"/>
            </w:tcBorders>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60" w:type="dxa"/>
            <w:vAlign w:val="bottom"/>
            <w:tcBorders>
              <w:right w:val="single" w:sz="8" w:color="004054"/>
            </w:tcBorders>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rFonts w:ascii="Calibri" w:cs="Calibri" w:eastAsia="Calibri" w:hAnsi="Calibri"/>
                <w:sz w:val="18"/>
                <w:szCs w:val="18"/>
                <w:color w:val="7A04DD"/>
                <w:w w:val="97"/>
              </w:rPr>
            </w:pPr>
            <w:hyperlink r:id="rId529">
              <w:r>
                <w:rPr>
                  <w:rFonts w:ascii="Calibri" w:cs="Calibri" w:eastAsia="Calibri" w:hAnsi="Calibri"/>
                  <w:sz w:val="18"/>
                  <w:szCs w:val="18"/>
                  <w:color w:val="7A04DD"/>
                  <w:w w:val="97"/>
                </w:rPr>
                <w:t>10.23</w:t>
              </w:r>
            </w:hyperlink>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rFonts w:ascii="Calibri" w:cs="Calibri" w:eastAsia="Calibri" w:hAnsi="Calibri"/>
                <w:sz w:val="18"/>
                <w:szCs w:val="18"/>
                <w:color w:val="7A04DD"/>
              </w:rPr>
            </w:pPr>
            <w:hyperlink r:id="rId529">
              <w:r>
                <w:rPr>
                  <w:rFonts w:ascii="Calibri" w:cs="Calibri" w:eastAsia="Calibri" w:hAnsi="Calibri"/>
                  <w:sz w:val="18"/>
                  <w:szCs w:val="18"/>
                  <w:color w:val="7A04DD"/>
                </w:rPr>
                <w:t>LIBOR Transiton Amendment, dated as of August 26, 2022,</w:t>
              </w:r>
            </w:hyperlink>
          </w:p>
        </w:tc>
        <w:tc>
          <w:tcPr>
            <w:tcW w:w="1200" w:type="dxa"/>
            <w:vAlign w:val="bottom"/>
            <w:shd w:val="clear" w:color="auto" w:fill="EBFBFF"/>
          </w:tcPr>
          <w:p>
            <w:pPr>
              <w:jc w:val="center"/>
              <w:ind w:right="13"/>
              <w:spacing w:after="0" w:line="189" w:lineRule="exact"/>
              <w:rPr>
                <w:sz w:val="20"/>
                <w:szCs w:val="20"/>
                <w:color w:val="auto"/>
              </w:rPr>
            </w:pPr>
            <w:r>
              <w:rPr>
                <w:rFonts w:ascii="Calibri" w:cs="Calibri" w:eastAsia="Calibri" w:hAnsi="Calibri"/>
                <w:sz w:val="18"/>
                <w:szCs w:val="18"/>
                <w:color w:val="51555C"/>
                <w:w w:val="94"/>
              </w:rPr>
              <w:t>10-Q</w:t>
            </w:r>
          </w:p>
        </w:tc>
        <w:tc>
          <w:tcPr>
            <w:tcW w:w="1600" w:type="dxa"/>
            <w:vAlign w:val="bottom"/>
            <w:shd w:val="clear" w:color="auto" w:fill="EBFBFF"/>
          </w:tcPr>
          <w:p>
            <w:pPr>
              <w:jc w:val="right"/>
              <w:ind w:right="273"/>
              <w:spacing w:after="0" w:line="189" w:lineRule="exact"/>
              <w:rPr>
                <w:sz w:val="20"/>
                <w:szCs w:val="20"/>
                <w:color w:val="auto"/>
              </w:rPr>
            </w:pPr>
            <w:r>
              <w:rPr>
                <w:rFonts w:ascii="Calibri" w:cs="Calibri" w:eastAsia="Calibri" w:hAnsi="Calibri"/>
                <w:sz w:val="18"/>
                <w:szCs w:val="18"/>
                <w:color w:val="51555C"/>
              </w:rPr>
              <w:t>3/1/2022</w:t>
            </w:r>
          </w:p>
        </w:tc>
        <w:tc>
          <w:tcPr>
            <w:tcW w:w="1140" w:type="dxa"/>
            <w:vAlign w:val="bottom"/>
            <w:shd w:val="clear" w:color="auto" w:fill="EBFBFF"/>
          </w:tcPr>
          <w:p>
            <w:pPr>
              <w:jc w:val="right"/>
              <w:ind w:right="33"/>
              <w:spacing w:after="0" w:line="189" w:lineRule="exact"/>
              <w:rPr>
                <w:sz w:val="20"/>
                <w:szCs w:val="20"/>
                <w:color w:val="auto"/>
              </w:rPr>
            </w:pPr>
            <w:r>
              <w:rPr>
                <w:rFonts w:ascii="Calibri" w:cs="Calibri" w:eastAsia="Calibri" w:hAnsi="Calibri"/>
                <w:sz w:val="18"/>
                <w:szCs w:val="18"/>
                <w:color w:val="51555C"/>
              </w:rPr>
              <w:t>10.2</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20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529">
              <w:r>
                <w:rPr>
                  <w:rFonts w:ascii="Calibri" w:cs="Calibri" w:eastAsia="Calibri" w:hAnsi="Calibri"/>
                  <w:sz w:val="18"/>
                  <w:szCs w:val="18"/>
                  <w:color w:val="7A04DD"/>
                </w:rPr>
                <w:t>between Blackbaud, Inc. and Bank of America, N.A.</w:t>
              </w:r>
            </w:hyperlink>
          </w:p>
        </w:tc>
        <w:tc>
          <w:tcPr>
            <w:tcW w:w="580" w:type="dxa"/>
            <w:vAlign w:val="bottom"/>
            <w:tcBorders>
              <w:top w:val="single" w:sz="8" w:color="EBFBFF"/>
            </w:tcBorders>
            <w:gridSpan w:val="10"/>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20" w:type="dxa"/>
            <w:vAlign w:val="bottom"/>
            <w:tcBorders>
              <w:top w:val="single" w:sz="8" w:color="7A04DD"/>
            </w:tcBorders>
            <w:shd w:val="clear" w:color="auto" w:fill="EBFBFF"/>
          </w:tcPr>
          <w:p>
            <w:pPr>
              <w:spacing w:after="0"/>
              <w:rPr>
                <w:sz w:val="5"/>
                <w:szCs w:val="5"/>
                <w:color w:val="auto"/>
              </w:rPr>
            </w:pPr>
          </w:p>
        </w:tc>
        <w:tc>
          <w:tcPr>
            <w:tcW w:w="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400" w:type="dxa"/>
            <w:vAlign w:val="bottom"/>
            <w:gridSpan w:val="2"/>
          </w:tcPr>
          <w:p>
            <w:pPr>
              <w:jc w:val="right"/>
              <w:spacing w:after="0" w:line="189" w:lineRule="exact"/>
              <w:rPr>
                <w:rFonts w:ascii="Calibri" w:cs="Calibri" w:eastAsia="Calibri" w:hAnsi="Calibri"/>
                <w:sz w:val="18"/>
                <w:szCs w:val="18"/>
                <w:color w:val="7A04DD"/>
                <w:w w:val="97"/>
              </w:rPr>
            </w:pPr>
            <w:hyperlink r:id="rId530">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24</w:t>
              </w:r>
            </w:hyperlink>
          </w:p>
        </w:tc>
        <w:tc>
          <w:tcPr>
            <w:tcW w:w="680" w:type="dxa"/>
            <w:vAlign w:val="bottom"/>
          </w:tcPr>
          <w:p>
            <w:pPr>
              <w:ind w:left="40"/>
              <w:spacing w:after="0" w:line="189" w:lineRule="exact"/>
              <w:rPr>
                <w:sz w:val="20"/>
                <w:szCs w:val="20"/>
                <w:color w:val="auto"/>
              </w:rPr>
            </w:pPr>
            <w:r>
              <w:rPr>
                <w:rFonts w:ascii="Calibri" w:cs="Calibri" w:eastAsia="Calibri" w:hAnsi="Calibri"/>
                <w:sz w:val="18"/>
                <w:szCs w:val="18"/>
                <w:color w:val="7A04DD"/>
              </w:rPr>
              <w:t>†</w:t>
            </w:r>
          </w:p>
        </w:tc>
        <w:tc>
          <w:tcPr>
            <w:tcW w:w="4780" w:type="dxa"/>
            <w:vAlign w:val="bottom"/>
            <w:gridSpan w:val="28"/>
          </w:tcPr>
          <w:p>
            <w:pPr>
              <w:spacing w:after="0" w:line="189" w:lineRule="exact"/>
              <w:rPr>
                <w:rFonts w:ascii="Calibri" w:cs="Calibri" w:eastAsia="Calibri" w:hAnsi="Calibri"/>
                <w:sz w:val="18"/>
                <w:szCs w:val="18"/>
                <w:color w:val="7A04DD"/>
              </w:rPr>
            </w:pPr>
            <w:hyperlink r:id="rId530">
              <w:r>
                <w:rPr>
                  <w:rFonts w:ascii="Calibri" w:cs="Calibri" w:eastAsia="Calibri" w:hAnsi="Calibri"/>
                  <w:sz w:val="18"/>
                  <w:szCs w:val="18"/>
                  <w:color w:val="7A04DD"/>
                </w:rPr>
                <w:t>Amended and Restated Employment and Noncompetton</w:t>
              </w:r>
            </w:hyperlink>
          </w:p>
        </w:tc>
        <w:tc>
          <w:tcPr>
            <w:tcW w:w="1200" w:type="dxa"/>
            <w:vAlign w:val="bottom"/>
          </w:tcPr>
          <w:p>
            <w:pPr>
              <w:jc w:val="center"/>
              <w:ind w:right="13"/>
              <w:spacing w:after="0" w:line="189" w:lineRule="exact"/>
              <w:rPr>
                <w:sz w:val="20"/>
                <w:szCs w:val="20"/>
                <w:color w:val="auto"/>
              </w:rPr>
            </w:pPr>
            <w:r>
              <w:rPr>
                <w:rFonts w:ascii="Calibri" w:cs="Calibri" w:eastAsia="Calibri" w:hAnsi="Calibri"/>
                <w:sz w:val="18"/>
                <w:szCs w:val="18"/>
                <w:color w:val="51555C"/>
                <w:w w:val="91"/>
              </w:rPr>
              <w:t>8-K</w:t>
            </w:r>
          </w:p>
        </w:tc>
        <w:tc>
          <w:tcPr>
            <w:tcW w:w="1600" w:type="dxa"/>
            <w:vAlign w:val="bottom"/>
          </w:tcPr>
          <w:p>
            <w:pPr>
              <w:jc w:val="right"/>
              <w:ind w:right="273"/>
              <w:spacing w:after="0" w:line="189" w:lineRule="exact"/>
              <w:rPr>
                <w:sz w:val="20"/>
                <w:szCs w:val="20"/>
                <w:color w:val="auto"/>
              </w:rPr>
            </w:pPr>
            <w:r>
              <w:rPr>
                <w:rFonts w:ascii="Calibri" w:cs="Calibri" w:eastAsia="Calibri" w:hAnsi="Calibri"/>
                <w:sz w:val="18"/>
                <w:szCs w:val="18"/>
                <w:color w:val="51555C"/>
              </w:rPr>
              <w:t>9/21/2022</w:t>
            </w:r>
          </w:p>
        </w:tc>
        <w:tc>
          <w:tcPr>
            <w:tcW w:w="1140" w:type="dxa"/>
            <w:vAlign w:val="bottom"/>
          </w:tcPr>
          <w:p>
            <w:pPr>
              <w:jc w:val="right"/>
              <w:ind w:right="33"/>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28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84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20" w:type="dxa"/>
            <w:vAlign w:val="bottom"/>
            <w:gridSpan w:val="2"/>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20" w:type="dxa"/>
            <w:vAlign w:val="bottom"/>
            <w:tcBorders>
              <w:right w:val="single" w:sz="8" w:color="7A04DD"/>
            </w:tcBorders>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8"/>
          </w:tcPr>
          <w:p>
            <w:pPr>
              <w:spacing w:after="0" w:line="196" w:lineRule="exact"/>
              <w:rPr>
                <w:rFonts w:ascii="Calibri" w:cs="Calibri" w:eastAsia="Calibri" w:hAnsi="Calibri"/>
                <w:sz w:val="18"/>
                <w:szCs w:val="18"/>
                <w:color w:val="7A04DD"/>
              </w:rPr>
            </w:pPr>
            <w:hyperlink r:id="rId530">
              <w:r>
                <w:rPr>
                  <w:rFonts w:ascii="Calibri" w:cs="Calibri" w:eastAsia="Calibri" w:hAnsi="Calibri"/>
                  <w:sz w:val="18"/>
                  <w:szCs w:val="18"/>
                  <w:color w:val="7A04DD"/>
                </w:rPr>
                <w:t>Agreement dated September 20, 2022 between Blackbaud, Inc.</w:t>
              </w:r>
            </w:hyperlink>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top w:val="single" w:sz="8" w:color="7A04DD"/>
            </w:tcBorders>
            <w:gridSpan w:val="24"/>
          </w:tcPr>
          <w:p>
            <w:pPr>
              <w:spacing w:after="0" w:line="196" w:lineRule="exact"/>
              <w:rPr>
                <w:rFonts w:ascii="Calibri" w:cs="Calibri" w:eastAsia="Calibri" w:hAnsi="Calibri"/>
                <w:sz w:val="18"/>
                <w:szCs w:val="18"/>
                <w:color w:val="7A04DD"/>
              </w:rPr>
            </w:pPr>
            <w:hyperlink r:id="rId530">
              <w:r>
                <w:rPr>
                  <w:rFonts w:ascii="Calibri" w:cs="Calibri" w:eastAsia="Calibri" w:hAnsi="Calibri"/>
                  <w:sz w:val="18"/>
                  <w:szCs w:val="18"/>
                  <w:color w:val="7A04DD"/>
                </w:rPr>
                <w:t>and Michael P. Gianoni</w:t>
              </w:r>
            </w:hyperlink>
          </w:p>
        </w:tc>
        <w:tc>
          <w:tcPr>
            <w:tcW w:w="28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rFonts w:ascii="Calibri" w:cs="Calibri" w:eastAsia="Calibri" w:hAnsi="Calibri"/>
                <w:sz w:val="18"/>
                <w:szCs w:val="18"/>
                <w:color w:val="7A04DD"/>
                <w:w w:val="97"/>
              </w:rPr>
            </w:pPr>
            <w:hyperlink r:id="rId531">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25</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rFonts w:ascii="Calibri" w:cs="Calibri" w:eastAsia="Calibri" w:hAnsi="Calibri"/>
                <w:sz w:val="18"/>
                <w:szCs w:val="18"/>
                <w:color w:val="7A04DD"/>
              </w:rPr>
            </w:pPr>
            <w:hyperlink r:id="rId531">
              <w:r>
                <w:rPr>
                  <w:rFonts w:ascii="Calibri" w:cs="Calibri" w:eastAsia="Calibri" w:hAnsi="Calibri"/>
                  <w:sz w:val="18"/>
                  <w:szCs w:val="18"/>
                  <w:color w:val="7A04DD"/>
                </w:rPr>
                <w:t>Consent Agreement, dated as of January 23, 2023, between</w:t>
              </w:r>
            </w:hyperlink>
          </w:p>
        </w:tc>
        <w:tc>
          <w:tcPr>
            <w:tcW w:w="1200" w:type="dxa"/>
            <w:vAlign w:val="bottom"/>
            <w:shd w:val="clear" w:color="auto" w:fill="EBFBFF"/>
          </w:tcPr>
          <w:p>
            <w:pPr>
              <w:jc w:val="center"/>
              <w:ind w:right="13"/>
              <w:spacing w:after="0" w:line="189" w:lineRule="exact"/>
              <w:rPr>
                <w:sz w:val="20"/>
                <w:szCs w:val="20"/>
                <w:color w:val="auto"/>
              </w:rPr>
            </w:pPr>
            <w:r>
              <w:rPr>
                <w:rFonts w:ascii="Calibri" w:cs="Calibri" w:eastAsia="Calibri" w:hAnsi="Calibri"/>
                <w:sz w:val="18"/>
                <w:szCs w:val="18"/>
                <w:color w:val="51555C"/>
              </w:rPr>
              <w:t>10-K</w:t>
            </w:r>
          </w:p>
        </w:tc>
        <w:tc>
          <w:tcPr>
            <w:tcW w:w="1600" w:type="dxa"/>
            <w:vAlign w:val="bottom"/>
            <w:shd w:val="clear" w:color="auto" w:fill="EBFBFF"/>
          </w:tcPr>
          <w:p>
            <w:pPr>
              <w:jc w:val="right"/>
              <w:ind w:right="273"/>
              <w:spacing w:after="0" w:line="189" w:lineRule="exact"/>
              <w:rPr>
                <w:sz w:val="20"/>
                <w:szCs w:val="20"/>
                <w:color w:val="auto"/>
              </w:rPr>
            </w:pPr>
            <w:r>
              <w:rPr>
                <w:rFonts w:ascii="Calibri" w:cs="Calibri" w:eastAsia="Calibri" w:hAnsi="Calibri"/>
                <w:sz w:val="18"/>
                <w:szCs w:val="18"/>
                <w:color w:val="51555C"/>
              </w:rPr>
              <w:t>2/24/2023</w:t>
            </w:r>
          </w:p>
        </w:tc>
        <w:tc>
          <w:tcPr>
            <w:tcW w:w="1140" w:type="dxa"/>
            <w:vAlign w:val="bottom"/>
            <w:shd w:val="clear" w:color="auto" w:fill="EBFBFF"/>
          </w:tcPr>
          <w:p>
            <w:pPr>
              <w:jc w:val="right"/>
              <w:ind w:right="33"/>
              <w:spacing w:after="0" w:line="189" w:lineRule="exact"/>
              <w:rPr>
                <w:sz w:val="20"/>
                <w:szCs w:val="20"/>
                <w:color w:val="auto"/>
              </w:rPr>
            </w:pPr>
            <w:r>
              <w:rPr>
                <w:rFonts w:ascii="Calibri" w:cs="Calibri" w:eastAsia="Calibri" w:hAnsi="Calibri"/>
                <w:sz w:val="18"/>
                <w:szCs w:val="18"/>
                <w:color w:val="51555C"/>
              </w:rPr>
              <w:t>10.30</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240" w:type="dxa"/>
            <w:vAlign w:val="bottom"/>
            <w:tcBorders>
              <w:top w:val="single" w:sz="8" w:color="7A04DD"/>
            </w:tcBorders>
            <w:gridSpan w:val="19"/>
            <w:shd w:val="clear" w:color="auto" w:fill="EBFBFF"/>
          </w:tcPr>
          <w:p>
            <w:pPr>
              <w:spacing w:after="0" w:line="196" w:lineRule="exact"/>
              <w:rPr>
                <w:rFonts w:ascii="Calibri" w:cs="Calibri" w:eastAsia="Calibri" w:hAnsi="Calibri"/>
                <w:sz w:val="18"/>
                <w:szCs w:val="18"/>
                <w:color w:val="7A04DD"/>
              </w:rPr>
            </w:pPr>
            <w:hyperlink r:id="rId531">
              <w:r>
                <w:rPr>
                  <w:rFonts w:ascii="Calibri" w:cs="Calibri" w:eastAsia="Calibri" w:hAnsi="Calibri"/>
                  <w:sz w:val="18"/>
                  <w:szCs w:val="18"/>
                  <w:color w:val="7A04DD"/>
                </w:rPr>
                <w:t>Blackbaud, Inc. and Bank of America, N.A.</w:t>
              </w:r>
            </w:hyperlink>
          </w:p>
        </w:tc>
        <w:tc>
          <w:tcPr>
            <w:tcW w:w="540" w:type="dxa"/>
            <w:vAlign w:val="bottom"/>
            <w:tcBorders>
              <w:top w:val="single" w:sz="8" w:color="EBFBFF"/>
            </w:tcBorders>
            <w:gridSpan w:val="9"/>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400" w:type="dxa"/>
            <w:vAlign w:val="bottom"/>
            <w:gridSpan w:val="2"/>
          </w:tcPr>
          <w:p>
            <w:pPr>
              <w:jc w:val="right"/>
              <w:spacing w:after="0" w:line="189" w:lineRule="exact"/>
              <w:rPr>
                <w:rFonts w:ascii="Calibri" w:cs="Calibri" w:eastAsia="Calibri" w:hAnsi="Calibri"/>
                <w:sz w:val="18"/>
                <w:szCs w:val="18"/>
                <w:color w:val="7A04DD"/>
                <w:w w:val="97"/>
              </w:rPr>
            </w:pPr>
            <w:hyperlink r:id="rId532">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26</w:t>
              </w:r>
            </w:hyperlink>
          </w:p>
        </w:tc>
        <w:tc>
          <w:tcPr>
            <w:tcW w:w="680" w:type="dxa"/>
            <w:vAlign w:val="bottom"/>
          </w:tcPr>
          <w:p>
            <w:pPr>
              <w:spacing w:after="0"/>
              <w:rPr>
                <w:sz w:val="16"/>
                <w:szCs w:val="16"/>
                <w:color w:val="auto"/>
              </w:rPr>
            </w:pPr>
          </w:p>
        </w:tc>
        <w:tc>
          <w:tcPr>
            <w:tcW w:w="4780" w:type="dxa"/>
            <w:vAlign w:val="bottom"/>
            <w:gridSpan w:val="28"/>
          </w:tcPr>
          <w:p>
            <w:pPr>
              <w:spacing w:after="0" w:line="189" w:lineRule="exact"/>
              <w:rPr>
                <w:rFonts w:ascii="Calibri" w:cs="Calibri" w:eastAsia="Calibri" w:hAnsi="Calibri"/>
                <w:sz w:val="18"/>
                <w:szCs w:val="18"/>
                <w:color w:val="7A04DD"/>
              </w:rPr>
            </w:pPr>
            <w:hyperlink r:id="rId532">
              <w:r>
                <w:rPr>
                  <w:rFonts w:ascii="Calibri" w:cs="Calibri" w:eastAsia="Calibri" w:hAnsi="Calibri"/>
                  <w:sz w:val="18"/>
                  <w:szCs w:val="18"/>
                  <w:color w:val="7A04DD"/>
                </w:rPr>
                <w:t>Form of Retenton Agreement dated as of April 24, 2023</w:t>
              </w:r>
            </w:hyperlink>
          </w:p>
        </w:tc>
        <w:tc>
          <w:tcPr>
            <w:tcW w:w="1200" w:type="dxa"/>
            <w:vAlign w:val="bottom"/>
          </w:tcPr>
          <w:p>
            <w:pPr>
              <w:jc w:val="center"/>
              <w:ind w:right="13"/>
              <w:spacing w:after="0" w:line="189" w:lineRule="exact"/>
              <w:rPr>
                <w:sz w:val="20"/>
                <w:szCs w:val="20"/>
                <w:color w:val="auto"/>
              </w:rPr>
            </w:pPr>
            <w:r>
              <w:rPr>
                <w:rFonts w:ascii="Calibri" w:cs="Calibri" w:eastAsia="Calibri" w:hAnsi="Calibri"/>
                <w:sz w:val="18"/>
                <w:szCs w:val="18"/>
                <w:color w:val="51555C"/>
                <w:w w:val="94"/>
              </w:rPr>
              <w:t>10-Q</w:t>
            </w:r>
          </w:p>
        </w:tc>
        <w:tc>
          <w:tcPr>
            <w:tcW w:w="1600" w:type="dxa"/>
            <w:vAlign w:val="bottom"/>
          </w:tcPr>
          <w:p>
            <w:pPr>
              <w:jc w:val="right"/>
              <w:ind w:right="273"/>
              <w:spacing w:after="0" w:line="189" w:lineRule="exact"/>
              <w:rPr>
                <w:sz w:val="20"/>
                <w:szCs w:val="20"/>
                <w:color w:val="auto"/>
              </w:rPr>
            </w:pPr>
            <w:r>
              <w:rPr>
                <w:rFonts w:ascii="Calibri" w:cs="Calibri" w:eastAsia="Calibri" w:hAnsi="Calibri"/>
                <w:sz w:val="18"/>
                <w:szCs w:val="18"/>
                <w:color w:val="51555C"/>
              </w:rPr>
              <w:t>5/4/2023</w:t>
            </w:r>
          </w:p>
        </w:tc>
        <w:tc>
          <w:tcPr>
            <w:tcW w:w="1140" w:type="dxa"/>
            <w:vAlign w:val="bottom"/>
          </w:tcPr>
          <w:p>
            <w:pPr>
              <w:jc w:val="right"/>
              <w:ind w:right="33"/>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28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140" w:type="dxa"/>
            <w:vAlign w:val="bottom"/>
            <w:gridSpan w:val="2"/>
            <w:shd w:val="clear" w:color="auto" w:fill="7A04DD"/>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20" w:type="dxa"/>
            <w:vAlign w:val="bottom"/>
            <w:gridSpan w:val="2"/>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20" w:type="dxa"/>
            <w:vAlign w:val="bottom"/>
            <w:tcBorders>
              <w:right w:val="single" w:sz="8" w:color="7A04DD"/>
            </w:tcBorders>
            <w:shd w:val="clear" w:color="auto" w:fill="7A04DD"/>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Borders>
              <w:bottom w:val="single" w:sz="8" w:color="7A04DD"/>
            </w:tcBorders>
            <w:gridSpan w:val="23"/>
          </w:tcPr>
          <w:p>
            <w:pPr>
              <w:spacing w:after="0" w:line="196" w:lineRule="exact"/>
              <w:rPr>
                <w:rFonts w:ascii="Calibri" w:cs="Calibri" w:eastAsia="Calibri" w:hAnsi="Calibri"/>
                <w:sz w:val="18"/>
                <w:szCs w:val="18"/>
                <w:color w:val="7A04DD"/>
                <w:w w:val="96"/>
              </w:rPr>
            </w:pPr>
            <w:hyperlink r:id="rId532">
              <w:r>
                <w:rPr>
                  <w:rFonts w:ascii="Calibri" w:cs="Calibri" w:eastAsia="Calibri" w:hAnsi="Calibri"/>
                  <w:sz w:val="18"/>
                  <w:szCs w:val="18"/>
                  <w:color w:val="7A04DD"/>
                  <w:w w:val="96"/>
                </w:rPr>
                <w:t>between Blackbaud, Inc. and each of Anthony W. Boor, David J.</w:t>
              </w:r>
            </w:hyperlink>
          </w:p>
        </w:tc>
        <w:tc>
          <w:tcPr>
            <w:tcW w:w="30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8"/>
          </w:tcPr>
          <w:p>
            <w:pPr>
              <w:spacing w:after="0" w:line="196" w:lineRule="exact"/>
              <w:rPr>
                <w:rFonts w:ascii="Calibri" w:cs="Calibri" w:eastAsia="Calibri" w:hAnsi="Calibri"/>
                <w:sz w:val="18"/>
                <w:szCs w:val="18"/>
                <w:color w:val="7A04DD"/>
                <w:w w:val="98"/>
              </w:rPr>
            </w:pPr>
            <w:hyperlink r:id="rId532">
              <w:r>
                <w:rPr>
                  <w:rFonts w:ascii="Calibri" w:cs="Calibri" w:eastAsia="Calibri" w:hAnsi="Calibri"/>
                  <w:sz w:val="18"/>
                  <w:szCs w:val="18"/>
                  <w:color w:val="7A04DD"/>
                  <w:w w:val="98"/>
                </w:rPr>
                <w:t>Benjamin, Kevin P. Gregoire, Kevin R. McDearis, Kevin W. Mooney</w:t>
              </w:r>
            </w:hyperlink>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40" w:type="dxa"/>
            <w:vAlign w:val="bottom"/>
            <w:tcBorders>
              <w:top w:val="single" w:sz="8" w:color="7A04DD"/>
            </w:tcBorders>
            <w:gridSpan w:val="27"/>
          </w:tcPr>
          <w:p>
            <w:pPr>
              <w:spacing w:after="0" w:line="196" w:lineRule="exact"/>
              <w:rPr>
                <w:rFonts w:ascii="Calibri" w:cs="Calibri" w:eastAsia="Calibri" w:hAnsi="Calibri"/>
                <w:sz w:val="18"/>
                <w:szCs w:val="18"/>
                <w:color w:val="7A04DD"/>
              </w:rPr>
            </w:pPr>
            <w:hyperlink r:id="rId532">
              <w:r>
                <w:rPr>
                  <w:rFonts w:ascii="Calibri" w:cs="Calibri" w:eastAsia="Calibri" w:hAnsi="Calibri"/>
                  <w:sz w:val="18"/>
                  <w:szCs w:val="18"/>
                  <w:color w:val="7A04DD"/>
                </w:rPr>
                <w:t>and Jon W. Olson</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rFonts w:ascii="Calibri" w:cs="Calibri" w:eastAsia="Calibri" w:hAnsi="Calibri"/>
                <w:sz w:val="18"/>
                <w:szCs w:val="18"/>
                <w:color w:val="7A04DD"/>
                <w:w w:val="97"/>
              </w:rPr>
            </w:pPr>
            <w:hyperlink r:id="rId533">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27</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rFonts w:ascii="Calibri" w:cs="Calibri" w:eastAsia="Calibri" w:hAnsi="Calibri"/>
                <w:sz w:val="18"/>
                <w:szCs w:val="18"/>
                <w:color w:val="7A04DD"/>
              </w:rPr>
            </w:pPr>
            <w:hyperlink r:id="rId533">
              <w:r>
                <w:rPr>
                  <w:rFonts w:ascii="Calibri" w:cs="Calibri" w:eastAsia="Calibri" w:hAnsi="Calibri"/>
                  <w:sz w:val="18"/>
                  <w:szCs w:val="18"/>
                  <w:color w:val="7A04DD"/>
                </w:rPr>
                <w:t>Relocaton Agreement dated June 8, 2023 between Blackbaud,</w:t>
              </w:r>
            </w:hyperlink>
          </w:p>
        </w:tc>
        <w:tc>
          <w:tcPr>
            <w:tcW w:w="1200" w:type="dxa"/>
            <w:vAlign w:val="bottom"/>
            <w:shd w:val="clear" w:color="auto" w:fill="EBFBFF"/>
          </w:tcPr>
          <w:p>
            <w:pPr>
              <w:jc w:val="center"/>
              <w:ind w:right="13"/>
              <w:spacing w:after="0" w:line="189" w:lineRule="exact"/>
              <w:rPr>
                <w:sz w:val="20"/>
                <w:szCs w:val="20"/>
                <w:color w:val="auto"/>
              </w:rPr>
            </w:pPr>
            <w:r>
              <w:rPr>
                <w:rFonts w:ascii="Calibri" w:cs="Calibri" w:eastAsia="Calibri" w:hAnsi="Calibri"/>
                <w:sz w:val="18"/>
                <w:szCs w:val="18"/>
                <w:color w:val="51555C"/>
                <w:w w:val="91"/>
              </w:rPr>
              <w:t>8-K</w:t>
            </w:r>
          </w:p>
        </w:tc>
        <w:tc>
          <w:tcPr>
            <w:tcW w:w="1600" w:type="dxa"/>
            <w:vAlign w:val="bottom"/>
            <w:shd w:val="clear" w:color="auto" w:fill="EBFBFF"/>
          </w:tcPr>
          <w:p>
            <w:pPr>
              <w:jc w:val="right"/>
              <w:ind w:right="273"/>
              <w:spacing w:after="0" w:line="189" w:lineRule="exact"/>
              <w:rPr>
                <w:sz w:val="20"/>
                <w:szCs w:val="20"/>
                <w:color w:val="auto"/>
              </w:rPr>
            </w:pPr>
            <w:r>
              <w:rPr>
                <w:rFonts w:ascii="Calibri" w:cs="Calibri" w:eastAsia="Calibri" w:hAnsi="Calibri"/>
                <w:sz w:val="18"/>
                <w:szCs w:val="18"/>
                <w:color w:val="51555C"/>
              </w:rPr>
              <w:t>6/12/2023</w:t>
            </w:r>
          </w:p>
        </w:tc>
        <w:tc>
          <w:tcPr>
            <w:tcW w:w="1140" w:type="dxa"/>
            <w:vAlign w:val="bottom"/>
            <w:shd w:val="clear" w:color="auto" w:fill="EBFBFF"/>
          </w:tcPr>
          <w:p>
            <w:pPr>
              <w:jc w:val="right"/>
              <w:ind w:right="33"/>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22"/>
            <w:shd w:val="clear" w:color="auto" w:fill="EBFBFF"/>
          </w:tcPr>
          <w:p>
            <w:pPr>
              <w:spacing w:after="0" w:line="196" w:lineRule="exact"/>
              <w:rPr>
                <w:rFonts w:ascii="Calibri" w:cs="Calibri" w:eastAsia="Calibri" w:hAnsi="Calibri"/>
                <w:sz w:val="18"/>
                <w:szCs w:val="18"/>
                <w:color w:val="7A04DD"/>
              </w:rPr>
            </w:pPr>
            <w:hyperlink r:id="rId533">
              <w:r>
                <w:rPr>
                  <w:rFonts w:ascii="Calibri" w:cs="Calibri" w:eastAsia="Calibri" w:hAnsi="Calibri"/>
                  <w:sz w:val="18"/>
                  <w:szCs w:val="18"/>
                  <w:color w:val="7A04DD"/>
                </w:rPr>
                <w:t>Inc. and David J. Benjamin.</w:t>
              </w:r>
            </w:hyperlink>
          </w:p>
        </w:tc>
        <w:tc>
          <w:tcPr>
            <w:tcW w:w="320" w:type="dxa"/>
            <w:vAlign w:val="bottom"/>
            <w:tcBorders>
              <w:top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400" w:type="dxa"/>
            <w:vAlign w:val="bottom"/>
            <w:gridSpan w:val="2"/>
          </w:tcPr>
          <w:p>
            <w:pPr>
              <w:jc w:val="right"/>
              <w:spacing w:after="0" w:line="189" w:lineRule="exact"/>
              <w:rPr>
                <w:rFonts w:ascii="Calibri" w:cs="Calibri" w:eastAsia="Calibri" w:hAnsi="Calibri"/>
                <w:sz w:val="18"/>
                <w:szCs w:val="18"/>
                <w:color w:val="7A04DD"/>
                <w:w w:val="97"/>
              </w:rPr>
            </w:pPr>
            <w:hyperlink r:id="rId493">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28</w:t>
            </w:r>
          </w:p>
        </w:tc>
        <w:tc>
          <w:tcPr>
            <w:tcW w:w="680" w:type="dxa"/>
            <w:vAlign w:val="bottom"/>
          </w:tcPr>
          <w:p>
            <w:pPr>
              <w:spacing w:after="0"/>
              <w:rPr>
                <w:sz w:val="16"/>
                <w:szCs w:val="16"/>
                <w:color w:val="auto"/>
              </w:rPr>
            </w:pPr>
          </w:p>
        </w:tc>
        <w:tc>
          <w:tcPr>
            <w:tcW w:w="4780" w:type="dxa"/>
            <w:vAlign w:val="bottom"/>
            <w:gridSpan w:val="28"/>
          </w:tcPr>
          <w:p>
            <w:pPr>
              <w:spacing w:after="0" w:line="189" w:lineRule="exact"/>
              <w:rPr>
                <w:rFonts w:ascii="Calibri" w:cs="Calibri" w:eastAsia="Calibri" w:hAnsi="Calibri"/>
                <w:sz w:val="18"/>
                <w:szCs w:val="18"/>
                <w:color w:val="7A04DD"/>
              </w:rPr>
            </w:pPr>
            <w:hyperlink r:id="rId493">
              <w:r>
                <w:rPr>
                  <w:rFonts w:ascii="Calibri" w:cs="Calibri" w:eastAsia="Calibri" w:hAnsi="Calibri"/>
                  <w:sz w:val="18"/>
                  <w:szCs w:val="18"/>
                  <w:color w:val="7A04DD"/>
                </w:rPr>
                <w:t>Third Amendment to Credit Agreement, dated as of April 30,</w:t>
              </w:r>
            </w:hyperlink>
          </w:p>
        </w:tc>
        <w:tc>
          <w:tcPr>
            <w:tcW w:w="1200" w:type="dxa"/>
            <w:vAlign w:val="bottom"/>
          </w:tcPr>
          <w:p>
            <w:pPr>
              <w:jc w:val="center"/>
              <w:ind w:right="13"/>
              <w:spacing w:after="0" w:line="189" w:lineRule="exact"/>
              <w:rPr>
                <w:sz w:val="20"/>
                <w:szCs w:val="20"/>
                <w:color w:val="auto"/>
              </w:rPr>
            </w:pPr>
            <w:r>
              <w:rPr>
                <w:rFonts w:ascii="Calibri" w:cs="Calibri" w:eastAsia="Calibri" w:hAnsi="Calibri"/>
                <w:sz w:val="18"/>
                <w:szCs w:val="18"/>
                <w:color w:val="51555C"/>
                <w:w w:val="94"/>
              </w:rPr>
              <w:t>10-Q</w:t>
            </w:r>
          </w:p>
        </w:tc>
        <w:tc>
          <w:tcPr>
            <w:tcW w:w="1600" w:type="dxa"/>
            <w:vAlign w:val="bottom"/>
          </w:tcPr>
          <w:p>
            <w:pPr>
              <w:jc w:val="right"/>
              <w:ind w:right="273"/>
              <w:spacing w:after="0" w:line="189" w:lineRule="exact"/>
              <w:rPr>
                <w:sz w:val="20"/>
                <w:szCs w:val="20"/>
                <w:color w:val="auto"/>
              </w:rPr>
            </w:pPr>
            <w:r>
              <w:rPr>
                <w:rFonts w:ascii="Calibri" w:cs="Calibri" w:eastAsia="Calibri" w:hAnsi="Calibri"/>
                <w:sz w:val="18"/>
                <w:szCs w:val="18"/>
                <w:color w:val="51555C"/>
              </w:rPr>
              <w:t>5/1/2024</w:t>
            </w:r>
          </w:p>
        </w:tc>
        <w:tc>
          <w:tcPr>
            <w:tcW w:w="1140" w:type="dxa"/>
            <w:vAlign w:val="bottom"/>
          </w:tcPr>
          <w:p>
            <w:pPr>
              <w:jc w:val="right"/>
              <w:ind w:right="33"/>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800" w:type="dxa"/>
            <w:vAlign w:val="bottom"/>
            <w:gridSpan w:val="2"/>
            <w:shd w:val="clear" w:color="auto" w:fill="7A04DD"/>
          </w:tcPr>
          <w:p>
            <w:pPr>
              <w:spacing w:after="0" w:line="20" w:lineRule="exact"/>
              <w:rPr>
                <w:sz w:val="1"/>
                <w:szCs w:val="1"/>
                <w:color w:val="auto"/>
              </w:rPr>
            </w:pPr>
          </w:p>
        </w:tc>
        <w:tc>
          <w:tcPr>
            <w:tcW w:w="380" w:type="dxa"/>
            <w:vAlign w:val="bottom"/>
            <w:gridSpan w:val="2"/>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140" w:type="dxa"/>
            <w:vAlign w:val="bottom"/>
            <w:gridSpan w:val="2"/>
            <w:shd w:val="clear" w:color="auto" w:fill="7A04DD"/>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20" w:type="dxa"/>
            <w:vAlign w:val="bottom"/>
            <w:gridSpan w:val="2"/>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20" w:type="dxa"/>
            <w:vAlign w:val="bottom"/>
            <w:tcBorders>
              <w:right w:val="single" w:sz="8" w:color="7A04DD"/>
            </w:tcBorders>
            <w:shd w:val="clear" w:color="auto" w:fill="7A04DD"/>
          </w:tcPr>
          <w:p>
            <w:pPr>
              <w:spacing w:after="0" w:line="20" w:lineRule="exact"/>
              <w:rPr>
                <w:sz w:val="1"/>
                <w:szCs w:val="1"/>
                <w:color w:val="auto"/>
              </w:rPr>
            </w:pPr>
          </w:p>
        </w:tc>
        <w:tc>
          <w:tcPr>
            <w:tcW w:w="200" w:type="dxa"/>
            <w:vAlign w:val="bottom"/>
            <w:gridSpan w:val="2"/>
            <w:shd w:val="clear" w:color="auto" w:fill="7A04DD"/>
          </w:tcPr>
          <w:p>
            <w:pPr>
              <w:spacing w:after="0" w:line="20" w:lineRule="exact"/>
              <w:rPr>
                <w:sz w:val="1"/>
                <w:szCs w:val="1"/>
                <w:color w:val="auto"/>
              </w:rPr>
            </w:pPr>
          </w:p>
        </w:tc>
        <w:tc>
          <w:tcPr>
            <w:tcW w:w="120" w:type="dxa"/>
            <w:vAlign w:val="bottom"/>
            <w:tcBorders>
              <w:right w:val="single" w:sz="8" w:color="7A04DD"/>
            </w:tcBorders>
            <w:gridSpan w:val="3"/>
            <w:shd w:val="clear" w:color="auto" w:fill="7A04D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40" w:type="dxa"/>
            <w:vAlign w:val="bottom"/>
            <w:tcBorders>
              <w:bottom w:val="single" w:sz="8" w:color="7A04DD"/>
            </w:tcBorders>
            <w:gridSpan w:val="21"/>
          </w:tcPr>
          <w:p>
            <w:pPr>
              <w:spacing w:after="0" w:line="196" w:lineRule="exact"/>
              <w:rPr>
                <w:rFonts w:ascii="Calibri" w:cs="Calibri" w:eastAsia="Calibri" w:hAnsi="Calibri"/>
                <w:sz w:val="18"/>
                <w:szCs w:val="18"/>
                <w:color w:val="7A04DD"/>
                <w:w w:val="96"/>
              </w:rPr>
            </w:pPr>
            <w:hyperlink r:id="rId493">
              <w:r>
                <w:rPr>
                  <w:rFonts w:ascii="Calibri" w:cs="Calibri" w:eastAsia="Calibri" w:hAnsi="Calibri"/>
                  <w:sz w:val="18"/>
                  <w:szCs w:val="18"/>
                  <w:color w:val="7A04DD"/>
                  <w:w w:val="96"/>
                </w:rPr>
                <w:t>2024, by and among Blackbaud, Inc., the lenders party thereto</w:t>
              </w:r>
            </w:hyperlink>
          </w:p>
        </w:tc>
        <w:tc>
          <w:tcPr>
            <w:tcW w:w="34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8"/>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and Bank of America N.A., as administratve agent.</w:t>
              </w:r>
            </w:hyperlink>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2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20" w:type="dxa"/>
            <w:vAlign w:val="bottom"/>
            <w:tcBorders>
              <w:top w:val="single" w:sz="8" w:color="7A04DD"/>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rFonts w:ascii="Calibri" w:cs="Calibri" w:eastAsia="Calibri" w:hAnsi="Calibri"/>
                <w:sz w:val="18"/>
                <w:szCs w:val="18"/>
                <w:color w:val="7A04DD"/>
                <w:w w:val="97"/>
              </w:rPr>
            </w:pPr>
            <w:hyperlink r:id="rId490">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29</w:t>
              </w:r>
            </w:hyperlink>
          </w:p>
        </w:tc>
        <w:tc>
          <w:tcPr>
            <w:tcW w:w="680" w:type="dxa"/>
            <w:vAlign w:val="bottom"/>
            <w:tcBorders>
              <w:left w:val="single" w:sz="8" w:color="EBFBFF"/>
            </w:tcBorders>
            <w:shd w:val="clear" w:color="auto" w:fill="EBFBFF"/>
          </w:tcPr>
          <w:p>
            <w:pPr>
              <w:ind w:left="40"/>
              <w:spacing w:after="0" w:line="189" w:lineRule="exact"/>
              <w:rPr>
                <w:sz w:val="20"/>
                <w:szCs w:val="20"/>
                <w:color w:val="auto"/>
              </w:rPr>
            </w:pPr>
            <w:r>
              <w:rPr>
                <w:rFonts w:ascii="Calibri" w:cs="Calibri" w:eastAsia="Calibri" w:hAnsi="Calibri"/>
                <w:sz w:val="18"/>
                <w:szCs w:val="18"/>
                <w:color w:val="7A04DD"/>
              </w:rPr>
              <w:t>†</w:t>
            </w:r>
          </w:p>
        </w:tc>
        <w:tc>
          <w:tcPr>
            <w:tcW w:w="4780" w:type="dxa"/>
            <w:vAlign w:val="bottom"/>
            <w:gridSpan w:val="28"/>
            <w:shd w:val="clear" w:color="auto" w:fill="EBFBFF"/>
          </w:tcPr>
          <w:p>
            <w:pPr>
              <w:spacing w:after="0" w:line="189" w:lineRule="exact"/>
              <w:rPr>
                <w:rFonts w:ascii="Calibri" w:cs="Calibri" w:eastAsia="Calibri" w:hAnsi="Calibri"/>
                <w:sz w:val="18"/>
                <w:szCs w:val="18"/>
                <w:color w:val="7A04DD"/>
              </w:rPr>
            </w:pPr>
            <w:hyperlink r:id="rId490">
              <w:r>
                <w:rPr>
                  <w:rFonts w:ascii="Calibri" w:cs="Calibri" w:eastAsia="Calibri" w:hAnsi="Calibri"/>
                  <w:sz w:val="18"/>
                  <w:szCs w:val="18"/>
                  <w:color w:val="7A04DD"/>
                </w:rPr>
                <w:t>Amended and Restated Blackbaud, Inc. 2016 Equity and</w:t>
              </w:r>
            </w:hyperlink>
          </w:p>
        </w:tc>
        <w:tc>
          <w:tcPr>
            <w:tcW w:w="1200" w:type="dxa"/>
            <w:vAlign w:val="bottom"/>
            <w:shd w:val="clear" w:color="auto" w:fill="EBFBFF"/>
          </w:tcPr>
          <w:p>
            <w:pPr>
              <w:jc w:val="center"/>
              <w:ind w:right="13"/>
              <w:spacing w:after="0" w:line="189" w:lineRule="exact"/>
              <w:rPr>
                <w:sz w:val="20"/>
                <w:szCs w:val="20"/>
                <w:color w:val="auto"/>
              </w:rPr>
            </w:pPr>
            <w:r>
              <w:rPr>
                <w:rFonts w:ascii="Calibri" w:cs="Calibri" w:eastAsia="Calibri" w:hAnsi="Calibri"/>
                <w:sz w:val="18"/>
                <w:szCs w:val="18"/>
                <w:color w:val="51555C"/>
                <w:w w:val="95"/>
              </w:rPr>
              <w:t>DEF 14A</w:t>
            </w:r>
          </w:p>
        </w:tc>
        <w:tc>
          <w:tcPr>
            <w:tcW w:w="1600" w:type="dxa"/>
            <w:vAlign w:val="bottom"/>
            <w:shd w:val="clear" w:color="auto" w:fill="EBFBFF"/>
          </w:tcPr>
          <w:p>
            <w:pPr>
              <w:jc w:val="right"/>
              <w:ind w:right="273"/>
              <w:spacing w:after="0" w:line="189" w:lineRule="exact"/>
              <w:rPr>
                <w:sz w:val="20"/>
                <w:szCs w:val="20"/>
                <w:color w:val="auto"/>
              </w:rPr>
            </w:pPr>
            <w:r>
              <w:rPr>
                <w:rFonts w:ascii="Calibri" w:cs="Calibri" w:eastAsia="Calibri" w:hAnsi="Calibri"/>
                <w:sz w:val="18"/>
                <w:szCs w:val="18"/>
                <w:color w:val="51555C"/>
              </w:rPr>
              <w:t>4/23/2024</w:t>
            </w:r>
          </w:p>
        </w:tc>
        <w:tc>
          <w:tcPr>
            <w:tcW w:w="1140" w:type="dxa"/>
            <w:vAlign w:val="bottom"/>
            <w:shd w:val="clear" w:color="auto" w:fill="EBFBFF"/>
          </w:tcPr>
          <w:p>
            <w:pPr>
              <w:ind w:left="200"/>
              <w:spacing w:after="0" w:line="189" w:lineRule="exact"/>
              <w:rPr>
                <w:sz w:val="20"/>
                <w:szCs w:val="20"/>
                <w:color w:val="auto"/>
              </w:rPr>
            </w:pPr>
            <w:r>
              <w:rPr>
                <w:rFonts w:ascii="Calibri" w:cs="Calibri" w:eastAsia="Calibri" w:hAnsi="Calibri"/>
                <w:sz w:val="18"/>
                <w:szCs w:val="18"/>
                <w:color w:val="51555C"/>
              </w:rPr>
              <w:t>Appendix B</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3980" w:type="dxa"/>
            <w:vAlign w:val="bottom"/>
            <w:tcBorders>
              <w:top w:val="single" w:sz="8" w:color="7A04DD"/>
              <w:right w:val="single" w:sz="8" w:color="EBFBFF"/>
            </w:tcBorders>
            <w:gridSpan w:val="15"/>
            <w:shd w:val="clear" w:color="auto" w:fill="EBFBFF"/>
          </w:tcPr>
          <w:p>
            <w:pPr>
              <w:spacing w:after="0" w:line="196" w:lineRule="exact"/>
              <w:rPr>
                <w:rFonts w:ascii="Calibri" w:cs="Calibri" w:eastAsia="Calibri" w:hAnsi="Calibri"/>
                <w:sz w:val="18"/>
                <w:szCs w:val="18"/>
                <w:color w:val="7A04DD"/>
              </w:rPr>
            </w:pPr>
            <w:hyperlink r:id="rId490">
              <w:r>
                <w:rPr>
                  <w:rFonts w:ascii="Calibri" w:cs="Calibri" w:eastAsia="Calibri" w:hAnsi="Calibri"/>
                  <w:sz w:val="18"/>
                  <w:szCs w:val="18"/>
                  <w:color w:val="7A04DD"/>
                </w:rPr>
                <w:t>Incentve Compensaton Plan</w:t>
              </w:r>
            </w:hyperlink>
          </w:p>
        </w:tc>
        <w:tc>
          <w:tcPr>
            <w:tcW w:w="800" w:type="dxa"/>
            <w:vAlign w:val="bottom"/>
            <w:tcBorders>
              <w:top w:val="single" w:sz="8" w:color="EBFBFF"/>
            </w:tcBorders>
            <w:gridSpan w:val="1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19.</w:t>
            </w:r>
            <w:r>
              <w:rPr>
                <w:rFonts w:ascii="Calibri" w:cs="Calibri" w:eastAsia="Calibri" w:hAnsi="Calibri"/>
                <w:sz w:val="18"/>
                <w:szCs w:val="18"/>
                <w:u w:val="single" w:color="auto"/>
                <w:color w:val="7A04DD"/>
              </w:rPr>
              <w:t>1</w:t>
            </w:r>
          </w:p>
        </w:tc>
        <w:tc>
          <w:tcPr>
            <w:tcW w:w="680" w:type="dxa"/>
            <w:vAlign w:val="bottom"/>
          </w:tcPr>
          <w:p>
            <w:pPr>
              <w:spacing w:after="0"/>
              <w:rPr>
                <w:sz w:val="16"/>
                <w:szCs w:val="16"/>
                <w:color w:val="auto"/>
              </w:rPr>
            </w:pPr>
          </w:p>
        </w:tc>
        <w:tc>
          <w:tcPr>
            <w:tcW w:w="4780" w:type="dxa"/>
            <w:vAlign w:val="bottom"/>
            <w:gridSpan w:val="28"/>
          </w:tcPr>
          <w:p>
            <w:pPr>
              <w:spacing w:after="0" w:line="189" w:lineRule="exact"/>
              <w:rPr>
                <w:sz w:val="20"/>
                <w:szCs w:val="20"/>
                <w:color w:val="auto"/>
              </w:rPr>
            </w:pPr>
            <w:r>
              <w:rPr>
                <w:rFonts w:ascii="Calibri" w:cs="Calibri" w:eastAsia="Calibri" w:hAnsi="Calibri"/>
                <w:sz w:val="18"/>
                <w:szCs w:val="18"/>
                <w:color w:val="7A04DD"/>
              </w:rPr>
              <w:t>Blackbaud, Inc. Insider Trading Policy and Guidelines for Certain</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25"/>
          </w:tcPr>
          <w:p>
            <w:pPr>
              <w:spacing w:after="0" w:line="196" w:lineRule="exact"/>
              <w:rPr>
                <w:sz w:val="20"/>
                <w:szCs w:val="20"/>
                <w:color w:val="auto"/>
              </w:rPr>
            </w:pPr>
            <w:r>
              <w:rPr>
                <w:rFonts w:ascii="Calibri" w:cs="Calibri" w:eastAsia="Calibri" w:hAnsi="Calibri"/>
                <w:sz w:val="18"/>
                <w:szCs w:val="18"/>
                <w:color w:val="7A04DD"/>
              </w:rPr>
              <w:t>Securites Transactons</w:t>
            </w:r>
          </w:p>
        </w:tc>
        <w:tc>
          <w:tcPr>
            <w:tcW w:w="26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21.</w:t>
            </w:r>
            <w:r>
              <w:rPr>
                <w:rFonts w:ascii="Calibri" w:cs="Calibri" w:eastAsia="Calibri" w:hAnsi="Calibri"/>
                <w:sz w:val="18"/>
                <w:szCs w:val="18"/>
                <w:u w:val="single" w:color="auto"/>
                <w:color w:val="7A04DD"/>
              </w:rPr>
              <w:t>1</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sz w:val="20"/>
                <w:szCs w:val="20"/>
                <w:color w:val="auto"/>
              </w:rPr>
            </w:pPr>
            <w:r>
              <w:rPr>
                <w:rFonts w:ascii="Calibri" w:cs="Calibri" w:eastAsia="Calibri" w:hAnsi="Calibri"/>
                <w:sz w:val="18"/>
                <w:szCs w:val="18"/>
                <w:color w:val="7A04DD"/>
              </w:rPr>
              <w:t>Subsidiaries of Blackbaud, Inc.</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23.</w:t>
            </w:r>
            <w:r>
              <w:rPr>
                <w:rFonts w:ascii="Calibri" w:cs="Calibri" w:eastAsia="Calibri" w:hAnsi="Calibri"/>
                <w:sz w:val="18"/>
                <w:szCs w:val="18"/>
                <w:u w:val="single" w:color="auto"/>
                <w:color w:val="7A04DD"/>
              </w:rPr>
              <w:t>1</w:t>
            </w:r>
          </w:p>
        </w:tc>
        <w:tc>
          <w:tcPr>
            <w:tcW w:w="680" w:type="dxa"/>
            <w:vAlign w:val="bottom"/>
          </w:tcPr>
          <w:p>
            <w:pPr>
              <w:spacing w:after="0"/>
              <w:rPr>
                <w:sz w:val="16"/>
                <w:szCs w:val="16"/>
                <w:color w:val="auto"/>
              </w:rPr>
            </w:pPr>
          </w:p>
        </w:tc>
        <w:tc>
          <w:tcPr>
            <w:tcW w:w="4780" w:type="dxa"/>
            <w:vAlign w:val="bottom"/>
            <w:gridSpan w:val="28"/>
          </w:tcPr>
          <w:p>
            <w:pPr>
              <w:spacing w:after="0" w:line="189" w:lineRule="exact"/>
              <w:rPr>
                <w:sz w:val="20"/>
                <w:szCs w:val="20"/>
                <w:color w:val="auto"/>
              </w:rPr>
            </w:pPr>
            <w:r>
              <w:rPr>
                <w:rFonts w:ascii="Calibri" w:cs="Calibri" w:eastAsia="Calibri" w:hAnsi="Calibri"/>
                <w:sz w:val="18"/>
                <w:szCs w:val="18"/>
                <w:color w:val="7A04DD"/>
              </w:rPr>
              <w:t>Consent of Independent Registered Public Accountng Firm</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2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2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12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rFonts w:ascii="Calibri" w:cs="Calibri" w:eastAsia="Calibri" w:hAnsi="Calibri"/>
                <w:sz w:val="18"/>
                <w:szCs w:val="18"/>
                <w:color w:val="7A04DD"/>
              </w:rPr>
            </w:pPr>
            <w:hyperlink r:id="rId534">
              <w:r>
                <w:rPr>
                  <w:rFonts w:ascii="Calibri" w:cs="Calibri" w:eastAsia="Calibri" w:hAnsi="Calibri"/>
                  <w:sz w:val="18"/>
                  <w:szCs w:val="18"/>
                  <w:color w:val="7A04DD"/>
                </w:rPr>
                <w:t>23.</w:t>
              </w:r>
              <w:r>
                <w:rPr>
                  <w:rFonts w:ascii="Calibri" w:cs="Calibri" w:eastAsia="Calibri" w:hAnsi="Calibri"/>
                  <w:sz w:val="18"/>
                  <w:szCs w:val="18"/>
                  <w:u w:val="single" w:color="auto"/>
                  <w:color w:val="7A04DD"/>
                </w:rPr>
                <w:t>3</w:t>
              </w:r>
            </w:hyperlink>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rFonts w:ascii="Calibri" w:cs="Calibri" w:eastAsia="Calibri" w:hAnsi="Calibri"/>
                <w:sz w:val="18"/>
                <w:szCs w:val="18"/>
                <w:color w:val="7A04DD"/>
              </w:rPr>
            </w:pPr>
            <w:hyperlink r:id="rId534">
              <w:r>
                <w:rPr>
                  <w:rFonts w:ascii="Calibri" w:cs="Calibri" w:eastAsia="Calibri" w:hAnsi="Calibri"/>
                  <w:sz w:val="18"/>
                  <w:szCs w:val="18"/>
                  <w:color w:val="7A04DD"/>
                </w:rPr>
                <w:t>Consent of Sidley Austn LLP</w:t>
              </w:r>
            </w:hyperlink>
          </w:p>
        </w:tc>
        <w:tc>
          <w:tcPr>
            <w:tcW w:w="1200" w:type="dxa"/>
            <w:vAlign w:val="bottom"/>
            <w:shd w:val="clear" w:color="auto" w:fill="EBFBFF"/>
          </w:tcPr>
          <w:p>
            <w:pPr>
              <w:jc w:val="center"/>
              <w:ind w:right="13"/>
              <w:spacing w:after="0" w:line="189" w:lineRule="exact"/>
              <w:rPr>
                <w:sz w:val="20"/>
                <w:szCs w:val="20"/>
                <w:color w:val="auto"/>
              </w:rPr>
            </w:pPr>
            <w:r>
              <w:rPr>
                <w:rFonts w:ascii="Calibri" w:cs="Calibri" w:eastAsia="Calibri" w:hAnsi="Calibri"/>
                <w:sz w:val="18"/>
                <w:szCs w:val="18"/>
                <w:color w:val="51555C"/>
                <w:w w:val="91"/>
              </w:rPr>
              <w:t>8-K</w:t>
            </w:r>
          </w:p>
        </w:tc>
        <w:tc>
          <w:tcPr>
            <w:tcW w:w="1600" w:type="dxa"/>
            <w:vAlign w:val="bottom"/>
            <w:shd w:val="clear" w:color="auto" w:fill="EBFBFF"/>
          </w:tcPr>
          <w:p>
            <w:pPr>
              <w:jc w:val="right"/>
              <w:ind w:right="273"/>
              <w:spacing w:after="0" w:line="189" w:lineRule="exact"/>
              <w:rPr>
                <w:sz w:val="20"/>
                <w:szCs w:val="20"/>
                <w:color w:val="auto"/>
              </w:rPr>
            </w:pPr>
            <w:r>
              <w:rPr>
                <w:rFonts w:ascii="Calibri" w:cs="Calibri" w:eastAsia="Calibri" w:hAnsi="Calibri"/>
                <w:sz w:val="18"/>
                <w:szCs w:val="18"/>
                <w:color w:val="51555C"/>
              </w:rPr>
              <w:t>4/1/2022</w:t>
            </w:r>
          </w:p>
        </w:tc>
        <w:tc>
          <w:tcPr>
            <w:tcW w:w="1140" w:type="dxa"/>
            <w:vAlign w:val="bottom"/>
            <w:shd w:val="clear" w:color="auto" w:fill="EBFBFF"/>
          </w:tcPr>
          <w:p>
            <w:pPr>
              <w:jc w:val="right"/>
              <w:ind w:right="33"/>
              <w:spacing w:after="0" w:line="189" w:lineRule="exact"/>
              <w:rPr>
                <w:sz w:val="20"/>
                <w:szCs w:val="20"/>
                <w:color w:val="auto"/>
              </w:rPr>
            </w:pPr>
            <w:r>
              <w:rPr>
                <w:rFonts w:ascii="Calibri" w:cs="Calibri" w:eastAsia="Calibri" w:hAnsi="Calibri"/>
                <w:sz w:val="18"/>
                <w:szCs w:val="18"/>
                <w:color w:val="51555C"/>
              </w:rPr>
              <w:t>23.1</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1</w:t>
            </w:r>
          </w:p>
        </w:tc>
        <w:tc>
          <w:tcPr>
            <w:tcW w:w="680" w:type="dxa"/>
            <w:vAlign w:val="bottom"/>
          </w:tcPr>
          <w:p>
            <w:pPr>
              <w:spacing w:after="0"/>
              <w:rPr>
                <w:sz w:val="16"/>
                <w:szCs w:val="16"/>
                <w:color w:val="auto"/>
              </w:rPr>
            </w:pPr>
          </w:p>
        </w:tc>
        <w:tc>
          <w:tcPr>
            <w:tcW w:w="4780" w:type="dxa"/>
            <w:vAlign w:val="bottom"/>
            <w:gridSpan w:val="28"/>
          </w:tcPr>
          <w:p>
            <w:pPr>
              <w:spacing w:after="0" w:line="189" w:lineRule="exact"/>
              <w:rPr>
                <w:sz w:val="20"/>
                <w:szCs w:val="20"/>
                <w:color w:val="auto"/>
              </w:rPr>
            </w:pPr>
            <w:r>
              <w:rPr>
                <w:rFonts w:ascii="Calibri" w:cs="Calibri" w:eastAsia="Calibri" w:hAnsi="Calibri"/>
                <w:sz w:val="18"/>
                <w:szCs w:val="18"/>
                <w:color w:val="7A04DD"/>
              </w:rPr>
              <w:t>Certfcaton by the Chief Executve Ofcer pursuant to</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3860" w:type="dxa"/>
            <w:vAlign w:val="bottom"/>
            <w:tcBorders>
              <w:top w:val="single" w:sz="8" w:color="7A04DD"/>
            </w:tcBorders>
            <w:gridSpan w:val="14"/>
          </w:tcPr>
          <w:p>
            <w:pPr>
              <w:spacing w:after="0" w:line="196" w:lineRule="exact"/>
              <w:rPr>
                <w:sz w:val="20"/>
                <w:szCs w:val="20"/>
                <w:color w:val="auto"/>
              </w:rPr>
            </w:pPr>
            <w:r>
              <w:rPr>
                <w:rFonts w:ascii="Calibri" w:cs="Calibri" w:eastAsia="Calibri" w:hAnsi="Calibri"/>
                <w:sz w:val="18"/>
                <w:szCs w:val="18"/>
                <w:color w:val="7A04DD"/>
              </w:rPr>
              <w:t>Secton 302 of the Sarbanes-Oxley Act of 2002</w:t>
            </w:r>
          </w:p>
        </w:tc>
        <w:tc>
          <w:tcPr>
            <w:tcW w:w="92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2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2</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sz w:val="20"/>
                <w:szCs w:val="20"/>
                <w:color w:val="auto"/>
              </w:rPr>
            </w:pPr>
            <w:r>
              <w:rPr>
                <w:rFonts w:ascii="Calibri" w:cs="Calibri" w:eastAsia="Calibri" w:hAnsi="Calibri"/>
                <w:sz w:val="18"/>
                <w:szCs w:val="18"/>
                <w:color w:val="7A04DD"/>
              </w:rPr>
              <w:t>Certfcaton by the Chief Financial Ofcer pursuant to</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3820" w:type="dxa"/>
            <w:vAlign w:val="bottom"/>
            <w:tcBorders>
              <w:top w:val="single" w:sz="8" w:color="7A04DD"/>
            </w:tcBorders>
            <w:gridSpan w:val="13"/>
            <w:shd w:val="clear" w:color="auto" w:fill="EBFBFF"/>
          </w:tcPr>
          <w:p>
            <w:pPr>
              <w:spacing w:after="0" w:line="196" w:lineRule="exact"/>
              <w:rPr>
                <w:sz w:val="20"/>
                <w:szCs w:val="20"/>
                <w:color w:val="auto"/>
              </w:rPr>
            </w:pPr>
            <w:r>
              <w:rPr>
                <w:rFonts w:ascii="Calibri" w:cs="Calibri" w:eastAsia="Calibri" w:hAnsi="Calibri"/>
                <w:sz w:val="18"/>
                <w:szCs w:val="18"/>
                <w:color w:val="7A04DD"/>
              </w:rPr>
              <w:t>Secton 302 of the Sarbanes-Oxley Act of 2002</w:t>
            </w:r>
          </w:p>
        </w:tc>
        <w:tc>
          <w:tcPr>
            <w:tcW w:w="960" w:type="dxa"/>
            <w:vAlign w:val="bottom"/>
            <w:tcBorders>
              <w:top w:val="single" w:sz="8" w:color="EBFBFF"/>
            </w:tcBorders>
            <w:gridSpan w:val="1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2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1</w:t>
            </w:r>
          </w:p>
        </w:tc>
        <w:tc>
          <w:tcPr>
            <w:tcW w:w="680" w:type="dxa"/>
            <w:vAlign w:val="bottom"/>
          </w:tcPr>
          <w:p>
            <w:pPr>
              <w:spacing w:after="0"/>
              <w:rPr>
                <w:sz w:val="16"/>
                <w:szCs w:val="16"/>
                <w:color w:val="auto"/>
              </w:rPr>
            </w:pPr>
          </w:p>
        </w:tc>
        <w:tc>
          <w:tcPr>
            <w:tcW w:w="4780" w:type="dxa"/>
            <w:vAlign w:val="bottom"/>
            <w:gridSpan w:val="28"/>
          </w:tcPr>
          <w:p>
            <w:pPr>
              <w:spacing w:after="0" w:line="189" w:lineRule="exact"/>
              <w:rPr>
                <w:sz w:val="20"/>
                <w:szCs w:val="20"/>
                <w:color w:val="auto"/>
              </w:rPr>
            </w:pPr>
            <w:r>
              <w:rPr>
                <w:rFonts w:ascii="Calibri" w:cs="Calibri" w:eastAsia="Calibri" w:hAnsi="Calibri"/>
                <w:sz w:val="18"/>
                <w:szCs w:val="18"/>
                <w:color w:val="7A04DD"/>
              </w:rPr>
              <w:t>Certfcaton by the Chief Executve Ofcer pursuant to 18 U.S.C.</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40" w:type="dxa"/>
            <w:vAlign w:val="bottom"/>
            <w:tcBorders>
              <w:top w:val="single" w:sz="8" w:color="7A04DD"/>
            </w:tcBorders>
            <w:gridSpan w:val="26"/>
          </w:tcPr>
          <w:p>
            <w:pPr>
              <w:spacing w:after="0" w:line="196" w:lineRule="exact"/>
              <w:rPr>
                <w:sz w:val="20"/>
                <w:szCs w:val="20"/>
                <w:color w:val="auto"/>
              </w:rPr>
            </w:pPr>
            <w:r>
              <w:rPr>
                <w:rFonts w:ascii="Calibri" w:cs="Calibri" w:eastAsia="Calibri" w:hAnsi="Calibri"/>
                <w:sz w:val="18"/>
                <w:szCs w:val="18"/>
                <w:color w:val="7A04DD"/>
                <w:w w:val="97"/>
              </w:rPr>
              <w:t>1350 as adopted pursuant to Secton 906 of the Sarbanes-Oxley</w:t>
            </w:r>
          </w:p>
        </w:tc>
        <w:tc>
          <w:tcPr>
            <w:tcW w:w="2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25"/>
          </w:tcPr>
          <w:p>
            <w:pPr>
              <w:spacing w:after="0" w:line="196" w:lineRule="exact"/>
              <w:rPr>
                <w:sz w:val="20"/>
                <w:szCs w:val="20"/>
                <w:color w:val="auto"/>
              </w:rPr>
            </w:pPr>
            <w:r>
              <w:rPr>
                <w:rFonts w:ascii="Calibri" w:cs="Calibri" w:eastAsia="Calibri" w:hAnsi="Calibri"/>
                <w:sz w:val="18"/>
                <w:szCs w:val="18"/>
                <w:color w:val="7A04DD"/>
              </w:rPr>
              <w:t>Act of 2002</w:t>
            </w:r>
          </w:p>
        </w:tc>
        <w:tc>
          <w:tcPr>
            <w:tcW w:w="26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2</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8"/>
            <w:shd w:val="clear" w:color="auto" w:fill="EBFBFF"/>
          </w:tcPr>
          <w:p>
            <w:pPr>
              <w:spacing w:after="0" w:line="189" w:lineRule="exact"/>
              <w:rPr>
                <w:sz w:val="20"/>
                <w:szCs w:val="20"/>
                <w:color w:val="auto"/>
              </w:rPr>
            </w:pPr>
            <w:r>
              <w:rPr>
                <w:rFonts w:ascii="Calibri" w:cs="Calibri" w:eastAsia="Calibri" w:hAnsi="Calibri"/>
                <w:sz w:val="18"/>
                <w:szCs w:val="18"/>
                <w:color w:val="7A04DD"/>
              </w:rPr>
              <w:t>Certfcaton by the Chief Financial Ofcer pursuant to 18 U.S.C.</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3880" w:type="dxa"/>
            <w:vAlign w:val="bottom"/>
            <w:tcBorders>
              <w:right w:val="single" w:sz="8" w:color="7A04DD"/>
            </w:tcBorders>
            <w:gridSpan w:val="19"/>
            <w:shd w:val="clear" w:color="auto" w:fill="7A04DD"/>
          </w:tcPr>
          <w:p>
            <w:pPr>
              <w:spacing w:after="0" w:line="20" w:lineRule="exact"/>
              <w:rPr>
                <w:sz w:val="1"/>
                <w:szCs w:val="1"/>
                <w:color w:val="auto"/>
              </w:rPr>
            </w:pPr>
          </w:p>
        </w:tc>
        <w:tc>
          <w:tcPr>
            <w:tcW w:w="180" w:type="dxa"/>
            <w:vAlign w:val="bottom"/>
            <w:gridSpan w:val="3"/>
            <w:shd w:val="clear" w:color="auto" w:fill="7A04DD"/>
          </w:tcPr>
          <w:p>
            <w:pPr>
              <w:spacing w:after="0" w:line="20" w:lineRule="exact"/>
              <w:rPr>
                <w:sz w:val="1"/>
                <w:szCs w:val="1"/>
                <w:color w:val="auto"/>
              </w:rPr>
            </w:pPr>
          </w:p>
        </w:tc>
        <w:tc>
          <w:tcPr>
            <w:tcW w:w="300" w:type="dxa"/>
            <w:vAlign w:val="bottom"/>
            <w:gridSpan w:val="5"/>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600" w:type="dxa"/>
            <w:vAlign w:val="bottom"/>
            <w:shd w:val="clear" w:color="auto" w:fill="EBFBFF"/>
          </w:tcPr>
          <w:p>
            <w:pPr>
              <w:spacing w:after="0" w:line="20" w:lineRule="exact"/>
              <w:rPr>
                <w:sz w:val="1"/>
                <w:szCs w:val="1"/>
                <w:color w:val="auto"/>
              </w:rPr>
            </w:pPr>
          </w:p>
        </w:tc>
        <w:tc>
          <w:tcPr>
            <w:tcW w:w="114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8"/>
            <w:shd w:val="clear" w:color="auto" w:fill="EBFBFF"/>
          </w:tcPr>
          <w:p>
            <w:pPr>
              <w:spacing w:after="0" w:line="196" w:lineRule="exact"/>
              <w:rPr>
                <w:sz w:val="20"/>
                <w:szCs w:val="20"/>
                <w:color w:val="auto"/>
              </w:rPr>
            </w:pPr>
            <w:r>
              <w:rPr>
                <w:rFonts w:ascii="Calibri" w:cs="Calibri" w:eastAsia="Calibri" w:hAnsi="Calibri"/>
                <w:sz w:val="18"/>
                <w:szCs w:val="18"/>
                <w:color w:val="7A04DD"/>
              </w:rPr>
              <w:t>1350 as adopted pursuant to Secton 906 of the Sarbanes-Oxley</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520" w:type="dxa"/>
            <w:vAlign w:val="bottom"/>
            <w:tcBorders>
              <w:top w:val="single" w:sz="8" w:color="7A04DD"/>
            </w:tcBorders>
            <w:gridSpan w:val="25"/>
            <w:shd w:val="clear" w:color="auto" w:fill="EBFBFF"/>
          </w:tcPr>
          <w:p>
            <w:pPr>
              <w:spacing w:after="0" w:line="196" w:lineRule="exact"/>
              <w:rPr>
                <w:sz w:val="20"/>
                <w:szCs w:val="20"/>
                <w:color w:val="auto"/>
              </w:rPr>
            </w:pPr>
            <w:r>
              <w:rPr>
                <w:rFonts w:ascii="Calibri" w:cs="Calibri" w:eastAsia="Calibri" w:hAnsi="Calibri"/>
                <w:sz w:val="18"/>
                <w:szCs w:val="18"/>
                <w:color w:val="7A04DD"/>
              </w:rPr>
              <w:t>Act of 2002</w:t>
            </w:r>
          </w:p>
        </w:tc>
        <w:tc>
          <w:tcPr>
            <w:tcW w:w="260" w:type="dxa"/>
            <w:vAlign w:val="bottom"/>
            <w:tcBorders>
              <w:top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2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right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rFonts w:ascii="Calibri" w:cs="Calibri" w:eastAsia="Calibri" w:hAnsi="Calibri"/>
                <w:sz w:val="18"/>
                <w:szCs w:val="18"/>
                <w:color w:val="7A04DD"/>
              </w:rPr>
            </w:pPr>
            <w:hyperlink r:id="rId535">
              <w:r>
                <w:rPr>
                  <w:rFonts w:ascii="Calibri" w:cs="Calibri" w:eastAsia="Calibri" w:hAnsi="Calibri"/>
                  <w:sz w:val="18"/>
                  <w:szCs w:val="18"/>
                  <w:color w:val="7A04DD"/>
                </w:rPr>
                <w:t>97.</w:t>
              </w:r>
              <w:r>
                <w:rPr>
                  <w:rFonts w:ascii="Calibri" w:cs="Calibri" w:eastAsia="Calibri" w:hAnsi="Calibri"/>
                  <w:sz w:val="18"/>
                  <w:szCs w:val="18"/>
                  <w:u w:val="single" w:color="auto"/>
                  <w:color w:val="7A04DD"/>
                </w:rPr>
                <w:t>1</w:t>
              </w:r>
            </w:hyperlink>
          </w:p>
        </w:tc>
        <w:tc>
          <w:tcPr>
            <w:tcW w:w="680" w:type="dxa"/>
            <w:vAlign w:val="bottom"/>
          </w:tcPr>
          <w:p>
            <w:pPr>
              <w:spacing w:after="0"/>
              <w:rPr>
                <w:sz w:val="16"/>
                <w:szCs w:val="16"/>
                <w:color w:val="auto"/>
              </w:rPr>
            </w:pPr>
          </w:p>
        </w:tc>
        <w:tc>
          <w:tcPr>
            <w:tcW w:w="4780" w:type="dxa"/>
            <w:vAlign w:val="bottom"/>
            <w:gridSpan w:val="28"/>
          </w:tcPr>
          <w:p>
            <w:pPr>
              <w:spacing w:after="0" w:line="189" w:lineRule="exact"/>
              <w:rPr>
                <w:rFonts w:ascii="Calibri" w:cs="Calibri" w:eastAsia="Calibri" w:hAnsi="Calibri"/>
                <w:sz w:val="18"/>
                <w:szCs w:val="18"/>
                <w:color w:val="7A04DD"/>
              </w:rPr>
            </w:pPr>
            <w:hyperlink r:id="rId535">
              <w:r>
                <w:rPr>
                  <w:rFonts w:ascii="Calibri" w:cs="Calibri" w:eastAsia="Calibri" w:hAnsi="Calibri"/>
                  <w:sz w:val="18"/>
                  <w:szCs w:val="18"/>
                  <w:color w:val="7A04DD"/>
                </w:rPr>
                <w:t>Blackbaud, Inc. Executve Incentve Compensaton Clawback</w:t>
              </w:r>
            </w:hyperlink>
          </w:p>
        </w:tc>
        <w:tc>
          <w:tcPr>
            <w:tcW w:w="1200" w:type="dxa"/>
            <w:vAlign w:val="bottom"/>
          </w:tcPr>
          <w:p>
            <w:pPr>
              <w:jc w:val="center"/>
              <w:ind w:right="13"/>
              <w:spacing w:after="0" w:line="189" w:lineRule="exact"/>
              <w:rPr>
                <w:sz w:val="20"/>
                <w:szCs w:val="20"/>
                <w:color w:val="auto"/>
              </w:rPr>
            </w:pPr>
            <w:r>
              <w:rPr>
                <w:rFonts w:ascii="Calibri" w:cs="Calibri" w:eastAsia="Calibri" w:hAnsi="Calibri"/>
                <w:sz w:val="18"/>
                <w:szCs w:val="18"/>
                <w:color w:val="51555C"/>
              </w:rPr>
              <w:t>10-K</w:t>
            </w:r>
          </w:p>
        </w:tc>
        <w:tc>
          <w:tcPr>
            <w:tcW w:w="1600" w:type="dxa"/>
            <w:vAlign w:val="bottom"/>
          </w:tcPr>
          <w:p>
            <w:pPr>
              <w:jc w:val="right"/>
              <w:ind w:right="273"/>
              <w:spacing w:after="0" w:line="189" w:lineRule="exact"/>
              <w:rPr>
                <w:sz w:val="20"/>
                <w:szCs w:val="20"/>
                <w:color w:val="auto"/>
              </w:rPr>
            </w:pPr>
            <w:r>
              <w:rPr>
                <w:rFonts w:ascii="Calibri" w:cs="Calibri" w:eastAsia="Calibri" w:hAnsi="Calibri"/>
                <w:sz w:val="18"/>
                <w:szCs w:val="18"/>
                <w:color w:val="51555C"/>
              </w:rPr>
              <w:t>2/21/2024</w:t>
            </w:r>
          </w:p>
        </w:tc>
        <w:tc>
          <w:tcPr>
            <w:tcW w:w="1140" w:type="dxa"/>
            <w:vAlign w:val="bottom"/>
          </w:tcPr>
          <w:p>
            <w:pPr>
              <w:jc w:val="right"/>
              <w:ind w:right="33"/>
              <w:spacing w:after="0" w:line="189" w:lineRule="exact"/>
              <w:rPr>
                <w:sz w:val="20"/>
                <w:szCs w:val="20"/>
                <w:color w:val="auto"/>
              </w:rPr>
            </w:pPr>
            <w:r>
              <w:rPr>
                <w:rFonts w:ascii="Calibri" w:cs="Calibri" w:eastAsia="Calibri" w:hAnsi="Calibri"/>
                <w:sz w:val="18"/>
                <w:szCs w:val="18"/>
                <w:color w:val="51555C"/>
              </w:rPr>
              <w:t>97.1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top w:val="single" w:sz="8" w:color="7A04DD"/>
            </w:tcBorders>
            <w:gridSpan w:val="20"/>
          </w:tcPr>
          <w:p>
            <w:pPr>
              <w:spacing w:after="0" w:line="196" w:lineRule="exact"/>
              <w:rPr>
                <w:rFonts w:ascii="Calibri" w:cs="Calibri" w:eastAsia="Calibri" w:hAnsi="Calibri"/>
                <w:sz w:val="18"/>
                <w:szCs w:val="18"/>
                <w:color w:val="7A04DD"/>
              </w:rPr>
            </w:pPr>
            <w:hyperlink r:id="rId535">
              <w:r>
                <w:rPr>
                  <w:rFonts w:ascii="Calibri" w:cs="Calibri" w:eastAsia="Calibri" w:hAnsi="Calibri"/>
                  <w:sz w:val="18"/>
                  <w:szCs w:val="18"/>
                  <w:color w:val="7A04DD"/>
                </w:rPr>
                <w:t>Policy</w:t>
              </w:r>
            </w:hyperlink>
          </w:p>
        </w:tc>
        <w:tc>
          <w:tcPr>
            <w:tcW w:w="48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300" w:type="dxa"/>
            <w:vAlign w:val="bottom"/>
            <w:tcBorders>
              <w:bottom w:val="single" w:sz="8" w:color="0CD973"/>
            </w:tcBorders>
          </w:tcPr>
          <w:p>
            <w:pPr>
              <w:spacing w:after="0"/>
              <w:rPr>
                <w:sz w:val="5"/>
                <w:szCs w:val="5"/>
                <w:color w:val="auto"/>
              </w:rPr>
            </w:pPr>
          </w:p>
        </w:tc>
        <w:tc>
          <w:tcPr>
            <w:tcW w:w="680" w:type="dxa"/>
            <w:vAlign w:val="bottom"/>
            <w:tcBorders>
              <w:bottom w:val="single" w:sz="8" w:color="0CD973"/>
            </w:tcBorders>
          </w:tcPr>
          <w:p>
            <w:pPr>
              <w:spacing w:after="0"/>
              <w:rPr>
                <w:sz w:val="5"/>
                <w:szCs w:val="5"/>
                <w:color w:val="auto"/>
              </w:rPr>
            </w:pPr>
          </w:p>
        </w:tc>
        <w:tc>
          <w:tcPr>
            <w:tcW w:w="420" w:type="dxa"/>
            <w:vAlign w:val="bottom"/>
            <w:tcBorders>
              <w:top w:val="single" w:sz="8" w:color="7A04DD"/>
              <w:bottom w:val="single" w:sz="8" w:color="0CD973"/>
            </w:tcBorders>
          </w:tcPr>
          <w:p>
            <w:pPr>
              <w:spacing w:after="0"/>
              <w:rPr>
                <w:sz w:val="5"/>
                <w:szCs w:val="5"/>
                <w:color w:val="auto"/>
              </w:rPr>
            </w:pPr>
          </w:p>
        </w:tc>
        <w:tc>
          <w:tcPr>
            <w:tcW w:w="400" w:type="dxa"/>
            <w:vAlign w:val="bottom"/>
            <w:tcBorders>
              <w:bottom w:val="single" w:sz="8" w:color="0CD973"/>
            </w:tcBorders>
          </w:tcPr>
          <w:p>
            <w:pPr>
              <w:spacing w:after="0"/>
              <w:rPr>
                <w:sz w:val="5"/>
                <w:szCs w:val="5"/>
                <w:color w:val="auto"/>
              </w:rPr>
            </w:pPr>
          </w:p>
        </w:tc>
        <w:tc>
          <w:tcPr>
            <w:tcW w:w="400" w:type="dxa"/>
            <w:vAlign w:val="bottom"/>
            <w:tcBorders>
              <w:bottom w:val="single" w:sz="8" w:color="0CD973"/>
            </w:tcBorders>
          </w:tcPr>
          <w:p>
            <w:pPr>
              <w:spacing w:after="0"/>
              <w:rPr>
                <w:sz w:val="5"/>
                <w:szCs w:val="5"/>
                <w:color w:val="auto"/>
              </w:rPr>
            </w:pPr>
          </w:p>
        </w:tc>
        <w:tc>
          <w:tcPr>
            <w:tcW w:w="400" w:type="dxa"/>
            <w:vAlign w:val="bottom"/>
            <w:tcBorders>
              <w:bottom w:val="single" w:sz="8" w:color="0CD973"/>
            </w:tcBorders>
          </w:tcPr>
          <w:p>
            <w:pPr>
              <w:spacing w:after="0"/>
              <w:rPr>
                <w:sz w:val="5"/>
                <w:szCs w:val="5"/>
                <w:color w:val="auto"/>
              </w:rPr>
            </w:pPr>
          </w:p>
        </w:tc>
        <w:tc>
          <w:tcPr>
            <w:tcW w:w="28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80" w:type="dxa"/>
            <w:vAlign w:val="bottom"/>
            <w:tcBorders>
              <w:bottom w:val="single" w:sz="8" w:color="0CD973"/>
            </w:tcBorders>
          </w:tcPr>
          <w:p>
            <w:pPr>
              <w:spacing w:after="0"/>
              <w:rPr>
                <w:sz w:val="5"/>
                <w:szCs w:val="5"/>
                <w:color w:val="auto"/>
              </w:rPr>
            </w:pPr>
          </w:p>
        </w:tc>
        <w:tc>
          <w:tcPr>
            <w:tcW w:w="840" w:type="dxa"/>
            <w:vAlign w:val="bottom"/>
            <w:tcBorders>
              <w:bottom w:val="single" w:sz="8" w:color="0CD973"/>
            </w:tcBorders>
          </w:tcPr>
          <w:p>
            <w:pPr>
              <w:spacing w:after="0"/>
              <w:rPr>
                <w:sz w:val="5"/>
                <w:szCs w:val="5"/>
                <w:color w:val="auto"/>
              </w:rPr>
            </w:pPr>
          </w:p>
        </w:tc>
        <w:tc>
          <w:tcPr>
            <w:tcW w:w="300" w:type="dxa"/>
            <w:vAlign w:val="bottom"/>
            <w:tcBorders>
              <w:bottom w:val="single" w:sz="8" w:color="0CD973"/>
            </w:tcBorders>
          </w:tcPr>
          <w:p>
            <w:pPr>
              <w:spacing w:after="0"/>
              <w:rPr>
                <w:sz w:val="5"/>
                <w:szCs w:val="5"/>
                <w:color w:val="auto"/>
              </w:rPr>
            </w:pPr>
          </w:p>
        </w:tc>
        <w:tc>
          <w:tcPr>
            <w:tcW w:w="32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18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12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1200" w:type="dxa"/>
            <w:vAlign w:val="bottom"/>
            <w:tcBorders>
              <w:bottom w:val="single" w:sz="8" w:color="0CD973"/>
            </w:tcBorders>
          </w:tcPr>
          <w:p>
            <w:pPr>
              <w:spacing w:after="0"/>
              <w:rPr>
                <w:sz w:val="5"/>
                <w:szCs w:val="5"/>
                <w:color w:val="auto"/>
              </w:rPr>
            </w:pPr>
          </w:p>
        </w:tc>
        <w:tc>
          <w:tcPr>
            <w:tcW w:w="1600" w:type="dxa"/>
            <w:vAlign w:val="bottom"/>
            <w:tcBorders>
              <w:bottom w:val="single" w:sz="8" w:color="0CD973"/>
            </w:tcBorders>
          </w:tcPr>
          <w:p>
            <w:pPr>
              <w:spacing w:after="0"/>
              <w:rPr>
                <w:sz w:val="5"/>
                <w:szCs w:val="5"/>
                <w:color w:val="auto"/>
              </w:rPr>
            </w:pPr>
          </w:p>
        </w:tc>
        <w:tc>
          <w:tcPr>
            <w:tcW w:w="1140" w:type="dxa"/>
            <w:vAlign w:val="bottom"/>
            <w:tcBorders>
              <w:bottom w:val="single" w:sz="8" w:color="0CD973"/>
            </w:tcBorders>
          </w:tcPr>
          <w:p>
            <w:pPr>
              <w:spacing w:after="0"/>
              <w:rPr>
                <w:sz w:val="5"/>
                <w:szCs w:val="5"/>
                <w:color w:val="auto"/>
              </w:rPr>
            </w:pPr>
          </w:p>
        </w:tc>
        <w:tc>
          <w:tcPr>
            <w:tcW w:w="900" w:type="dxa"/>
            <w:vAlign w:val="bottom"/>
            <w:tcBorders>
              <w:bottom w:val="single" w:sz="8" w:color="0CD973"/>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1697355</wp:posOffset>
            </wp:positionV>
            <wp:extent cx="728980" cy="1885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115</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3" w:type="dxa"/>
            <w:vAlign w:val="bottom"/>
            <w:shd w:val="clear" w:color="auto" w:fill="004054"/>
          </w:tcPr>
          <w:p>
            <w:pPr>
              <w:spacing w:after="0"/>
              <w:rPr>
                <w:sz w:val="16"/>
                <w:szCs w:val="16"/>
                <w:color w:val="auto"/>
              </w:rPr>
            </w:pPr>
          </w:p>
        </w:tc>
        <w:tc>
          <w:tcPr>
            <w:tcW w:w="4958" w:type="dxa"/>
            <w:vAlign w:val="bottom"/>
            <w:shd w:val="clear" w:color="auto" w:fill="004054"/>
          </w:tcPr>
          <w:p>
            <w:pPr>
              <w:spacing w:after="0"/>
              <w:rPr>
                <w:sz w:val="16"/>
                <w:szCs w:val="16"/>
                <w:color w:val="auto"/>
              </w:rPr>
            </w:pPr>
          </w:p>
        </w:tc>
        <w:tc>
          <w:tcPr>
            <w:tcW w:w="1185" w:type="dxa"/>
            <w:vAlign w:val="bottom"/>
            <w:shd w:val="clear" w:color="auto" w:fill="004054"/>
          </w:tcPr>
          <w:p>
            <w:pPr>
              <w:spacing w:after="0"/>
              <w:rPr>
                <w:sz w:val="16"/>
                <w:szCs w:val="16"/>
                <w:color w:val="auto"/>
              </w:rPr>
            </w:pPr>
          </w:p>
        </w:tc>
        <w:tc>
          <w:tcPr>
            <w:tcW w:w="915" w:type="dxa"/>
            <w:vAlign w:val="bottom"/>
            <w:shd w:val="clear" w:color="auto" w:fill="004054"/>
          </w:tcPr>
          <w:p>
            <w:pPr>
              <w:spacing w:after="0"/>
              <w:rPr>
                <w:sz w:val="16"/>
                <w:szCs w:val="16"/>
                <w:color w:val="auto"/>
              </w:rPr>
            </w:pPr>
          </w:p>
        </w:tc>
        <w:tc>
          <w:tcPr>
            <w:tcW w:w="1820" w:type="dxa"/>
            <w:vAlign w:val="bottom"/>
            <w:shd w:val="clear" w:color="auto" w:fill="004054"/>
          </w:tcPr>
          <w:p>
            <w:pPr>
              <w:ind w:left="100"/>
              <w:spacing w:after="0"/>
              <w:rPr>
                <w:sz w:val="20"/>
                <w:szCs w:val="20"/>
                <w:color w:val="auto"/>
              </w:rPr>
            </w:pPr>
            <w:r>
              <w:rPr>
                <w:rFonts w:ascii="Calibri" w:cs="Calibri" w:eastAsia="Calibri" w:hAnsi="Calibri"/>
                <w:sz w:val="14"/>
                <w:szCs w:val="14"/>
                <w:b w:val="1"/>
                <w:bCs w:val="1"/>
                <w:color w:val="FFFFFF"/>
              </w:rPr>
              <w:t>Filed In</w:t>
            </w: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1463" w:type="dxa"/>
            <w:vAlign w:val="bottom"/>
            <w:shd w:val="clear" w:color="auto" w:fill="004054"/>
          </w:tcPr>
          <w:p>
            <w:pPr>
              <w:jc w:val="right"/>
              <w:ind w:right="417"/>
              <w:spacing w:after="0"/>
              <w:rPr>
                <w:sz w:val="20"/>
                <w:szCs w:val="20"/>
                <w:color w:val="auto"/>
              </w:rPr>
            </w:pPr>
            <w:r>
              <w:rPr>
                <w:rFonts w:ascii="Calibri" w:cs="Calibri" w:eastAsia="Calibri" w:hAnsi="Calibri"/>
                <w:sz w:val="14"/>
                <w:szCs w:val="14"/>
                <w:b w:val="1"/>
                <w:bCs w:val="1"/>
                <w:color w:val="FFFFFF"/>
              </w:rPr>
              <w:t>Exhibit</w:t>
            </w:r>
          </w:p>
        </w:tc>
        <w:tc>
          <w:tcPr>
            <w:tcW w:w="4958" w:type="dxa"/>
            <w:vAlign w:val="bottom"/>
            <w:shd w:val="clear" w:color="auto" w:fill="004054"/>
          </w:tcPr>
          <w:p>
            <w:pPr>
              <w:spacing w:after="0"/>
              <w:rPr>
                <w:sz w:val="20"/>
                <w:szCs w:val="20"/>
                <w:color w:val="auto"/>
              </w:rPr>
            </w:pPr>
          </w:p>
        </w:tc>
        <w:tc>
          <w:tcPr>
            <w:tcW w:w="1185"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915" w:type="dxa"/>
            <w:vAlign w:val="bottom"/>
            <w:shd w:val="clear" w:color="auto" w:fill="004054"/>
          </w:tcPr>
          <w:p>
            <w:pPr>
              <w:spacing w:after="0"/>
              <w:rPr>
                <w:sz w:val="20"/>
                <w:szCs w:val="20"/>
                <w:color w:val="auto"/>
              </w:rPr>
            </w:pPr>
          </w:p>
        </w:tc>
        <w:tc>
          <w:tcPr>
            <w:tcW w:w="1820" w:type="dxa"/>
            <w:vAlign w:val="bottom"/>
            <w:shd w:val="clear" w:color="auto" w:fill="004054"/>
          </w:tcPr>
          <w:p>
            <w:pPr>
              <w:jc w:val="center"/>
              <w:ind w:left="288"/>
              <w:spacing w:after="0"/>
              <w:rPr>
                <w:sz w:val="20"/>
                <w:szCs w:val="20"/>
                <w:color w:val="auto"/>
              </w:rPr>
            </w:pPr>
            <w:r>
              <w:rPr>
                <w:rFonts w:ascii="Calibri" w:cs="Calibri" w:eastAsia="Calibri" w:hAnsi="Calibri"/>
                <w:sz w:val="14"/>
                <w:szCs w:val="14"/>
                <w:b w:val="1"/>
                <w:bCs w:val="1"/>
                <w:color w:val="FFFFFF"/>
              </w:rPr>
              <w:t>Exhibit</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r>
      <w:tr>
        <w:trPr>
          <w:trHeight w:val="175"/>
        </w:trPr>
        <w:tc>
          <w:tcPr>
            <w:tcW w:w="1463" w:type="dxa"/>
            <w:vAlign w:val="bottom"/>
            <w:shd w:val="clear" w:color="auto" w:fill="004054"/>
          </w:tcPr>
          <w:p>
            <w:pPr>
              <w:jc w:val="right"/>
              <w:ind w:right="417"/>
              <w:spacing w:after="0"/>
              <w:rPr>
                <w:sz w:val="20"/>
                <w:szCs w:val="20"/>
                <w:color w:val="auto"/>
              </w:rPr>
            </w:pPr>
            <w:r>
              <w:rPr>
                <w:rFonts w:ascii="Calibri" w:cs="Calibri" w:eastAsia="Calibri" w:hAnsi="Calibri"/>
                <w:sz w:val="14"/>
                <w:szCs w:val="14"/>
                <w:b w:val="1"/>
                <w:bCs w:val="1"/>
                <w:color w:val="FFFFFF"/>
              </w:rPr>
              <w:t>Number</w:t>
            </w:r>
          </w:p>
        </w:tc>
        <w:tc>
          <w:tcPr>
            <w:tcW w:w="4958" w:type="dxa"/>
            <w:vAlign w:val="bottom"/>
            <w:shd w:val="clear" w:color="auto" w:fill="004054"/>
          </w:tcPr>
          <w:p>
            <w:pPr>
              <w:ind w:left="1758"/>
              <w:spacing w:after="0"/>
              <w:rPr>
                <w:sz w:val="20"/>
                <w:szCs w:val="20"/>
                <w:color w:val="auto"/>
              </w:rPr>
            </w:pPr>
            <w:r>
              <w:rPr>
                <w:rFonts w:ascii="Calibri" w:cs="Calibri" w:eastAsia="Calibri" w:hAnsi="Calibri"/>
                <w:sz w:val="14"/>
                <w:szCs w:val="14"/>
                <w:b w:val="1"/>
                <w:bCs w:val="1"/>
                <w:color w:val="FFFFFF"/>
              </w:rPr>
              <w:t>Descripton of Document</w:t>
            </w:r>
          </w:p>
        </w:tc>
        <w:tc>
          <w:tcPr>
            <w:tcW w:w="1185"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915" w:type="dxa"/>
            <w:vAlign w:val="bottom"/>
            <w:shd w:val="clear" w:color="auto" w:fill="004054"/>
          </w:tcPr>
          <w:p>
            <w:pPr>
              <w:ind w:left="475"/>
              <w:spacing w:after="0"/>
              <w:rPr>
                <w:sz w:val="20"/>
                <w:szCs w:val="20"/>
                <w:color w:val="auto"/>
              </w:rPr>
            </w:pPr>
            <w:r>
              <w:rPr>
                <w:rFonts w:ascii="Calibri" w:cs="Calibri" w:eastAsia="Calibri" w:hAnsi="Calibri"/>
                <w:sz w:val="14"/>
                <w:szCs w:val="14"/>
                <w:b w:val="1"/>
                <w:bCs w:val="1"/>
                <w:color w:val="FFFFFF"/>
              </w:rPr>
              <w:t>Dated</w:t>
            </w:r>
          </w:p>
        </w:tc>
        <w:tc>
          <w:tcPr>
            <w:tcW w:w="1820" w:type="dxa"/>
            <w:vAlign w:val="bottom"/>
            <w:shd w:val="clear" w:color="auto" w:fill="004054"/>
          </w:tcPr>
          <w:p>
            <w:pPr>
              <w:jc w:val="center"/>
              <w:ind w:left="288"/>
              <w:spacing w:after="0"/>
              <w:rPr>
                <w:sz w:val="20"/>
                <w:szCs w:val="20"/>
                <w:color w:val="auto"/>
              </w:rPr>
            </w:pPr>
            <w:r>
              <w:rPr>
                <w:rFonts w:ascii="Calibri" w:cs="Calibri" w:eastAsia="Calibri" w:hAnsi="Calibri"/>
                <w:sz w:val="14"/>
                <w:szCs w:val="14"/>
                <w:b w:val="1"/>
                <w:bCs w:val="1"/>
                <w:color w:val="FFFFFF"/>
              </w:rPr>
              <w:t>Number</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r>
      <w:tr>
        <w:trPr>
          <w:trHeight w:val="74"/>
        </w:trPr>
        <w:tc>
          <w:tcPr>
            <w:tcW w:w="1463" w:type="dxa"/>
            <w:vAlign w:val="bottom"/>
            <w:shd w:val="clear" w:color="auto" w:fill="004054"/>
          </w:tcPr>
          <w:p>
            <w:pPr>
              <w:spacing w:after="0"/>
              <w:rPr>
                <w:sz w:val="6"/>
                <w:szCs w:val="6"/>
                <w:color w:val="auto"/>
              </w:rPr>
            </w:pPr>
          </w:p>
        </w:tc>
        <w:tc>
          <w:tcPr>
            <w:tcW w:w="4958" w:type="dxa"/>
            <w:vAlign w:val="bottom"/>
            <w:shd w:val="clear" w:color="auto" w:fill="004054"/>
          </w:tcPr>
          <w:p>
            <w:pPr>
              <w:spacing w:after="0"/>
              <w:rPr>
                <w:sz w:val="6"/>
                <w:szCs w:val="6"/>
                <w:color w:val="auto"/>
              </w:rPr>
            </w:pPr>
          </w:p>
        </w:tc>
        <w:tc>
          <w:tcPr>
            <w:tcW w:w="1185" w:type="dxa"/>
            <w:vAlign w:val="bottom"/>
            <w:shd w:val="clear" w:color="auto" w:fill="004054"/>
          </w:tcPr>
          <w:p>
            <w:pPr>
              <w:spacing w:after="0"/>
              <w:rPr>
                <w:sz w:val="6"/>
                <w:szCs w:val="6"/>
                <w:color w:val="auto"/>
              </w:rPr>
            </w:pPr>
          </w:p>
        </w:tc>
        <w:tc>
          <w:tcPr>
            <w:tcW w:w="915" w:type="dxa"/>
            <w:vAlign w:val="bottom"/>
            <w:shd w:val="clear" w:color="auto" w:fill="004054"/>
          </w:tcPr>
          <w:p>
            <w:pPr>
              <w:spacing w:after="0"/>
              <w:rPr>
                <w:sz w:val="6"/>
                <w:szCs w:val="6"/>
                <w:color w:val="auto"/>
              </w:rPr>
            </w:pPr>
          </w:p>
        </w:tc>
        <w:tc>
          <w:tcPr>
            <w:tcW w:w="182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20"/>
        </w:trPr>
        <w:tc>
          <w:tcPr>
            <w:tcW w:w="1463" w:type="dxa"/>
            <w:vAlign w:val="bottom"/>
            <w:shd w:val="clear" w:color="auto" w:fill="EBFBFF"/>
          </w:tcPr>
          <w:p>
            <w:pPr>
              <w:jc w:val="right"/>
              <w:ind w:right="417"/>
              <w:spacing w:after="0"/>
              <w:rPr>
                <w:sz w:val="20"/>
                <w:szCs w:val="20"/>
                <w:color w:val="auto"/>
              </w:rPr>
            </w:pPr>
            <w:r>
              <w:rPr>
                <w:rFonts w:ascii="Calibri" w:cs="Calibri" w:eastAsia="Calibri" w:hAnsi="Calibri"/>
                <w:sz w:val="18"/>
                <w:szCs w:val="18"/>
                <w:color w:val="51555C"/>
              </w:rPr>
              <w:t>101.INS</w:t>
            </w:r>
          </w:p>
        </w:tc>
        <w:tc>
          <w:tcPr>
            <w:tcW w:w="4958" w:type="dxa"/>
            <w:vAlign w:val="bottom"/>
            <w:shd w:val="clear" w:color="auto" w:fill="EBFBFF"/>
          </w:tcPr>
          <w:p>
            <w:pPr>
              <w:ind w:left="178"/>
              <w:spacing w:after="0"/>
              <w:rPr>
                <w:sz w:val="20"/>
                <w:szCs w:val="20"/>
                <w:color w:val="auto"/>
              </w:rPr>
            </w:pPr>
            <w:r>
              <w:rPr>
                <w:rFonts w:ascii="Calibri" w:cs="Calibri" w:eastAsia="Calibri" w:hAnsi="Calibri"/>
                <w:sz w:val="18"/>
                <w:szCs w:val="18"/>
                <w:color w:val="51555C"/>
              </w:rPr>
              <w:t>Inline XBRL Instance Document - the Instance Document does</w:t>
            </w:r>
          </w:p>
        </w:tc>
        <w:tc>
          <w:tcPr>
            <w:tcW w:w="1185" w:type="dxa"/>
            <w:vAlign w:val="bottom"/>
            <w:shd w:val="clear" w:color="auto" w:fill="EBFBFF"/>
          </w:tcPr>
          <w:p>
            <w:pPr>
              <w:spacing w:after="0"/>
              <w:rPr>
                <w:sz w:val="19"/>
                <w:szCs w:val="19"/>
                <w:color w:val="auto"/>
              </w:rPr>
            </w:pPr>
          </w:p>
        </w:tc>
        <w:tc>
          <w:tcPr>
            <w:tcW w:w="915" w:type="dxa"/>
            <w:vAlign w:val="bottom"/>
            <w:shd w:val="clear" w:color="auto" w:fill="EBFBFF"/>
          </w:tcPr>
          <w:p>
            <w:pPr>
              <w:spacing w:after="0"/>
              <w:rPr>
                <w:sz w:val="19"/>
                <w:szCs w:val="19"/>
                <w:color w:val="auto"/>
              </w:rPr>
            </w:pPr>
          </w:p>
        </w:tc>
        <w:tc>
          <w:tcPr>
            <w:tcW w:w="1820" w:type="dxa"/>
            <w:vAlign w:val="bottom"/>
            <w:shd w:val="clear" w:color="auto" w:fill="EBFBFF"/>
          </w:tcPr>
          <w:p>
            <w:pPr>
              <w:spacing w:after="0"/>
              <w:rPr>
                <w:sz w:val="19"/>
                <w:szCs w:val="19"/>
                <w:color w:val="auto"/>
              </w:rPr>
            </w:pPr>
          </w:p>
        </w:tc>
        <w:tc>
          <w:tcPr>
            <w:tcW w:w="90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216"/>
        </w:trPr>
        <w:tc>
          <w:tcPr>
            <w:tcW w:w="1463" w:type="dxa"/>
            <w:vAlign w:val="bottom"/>
            <w:shd w:val="clear" w:color="auto" w:fill="EBFBFF"/>
          </w:tcPr>
          <w:p>
            <w:pPr>
              <w:spacing w:after="0"/>
              <w:rPr>
                <w:sz w:val="18"/>
                <w:szCs w:val="18"/>
                <w:color w:val="auto"/>
              </w:rPr>
            </w:pPr>
          </w:p>
        </w:tc>
        <w:tc>
          <w:tcPr>
            <w:tcW w:w="4958" w:type="dxa"/>
            <w:vAlign w:val="bottom"/>
            <w:shd w:val="clear" w:color="auto" w:fill="EBFBFF"/>
          </w:tcPr>
          <w:p>
            <w:pPr>
              <w:ind w:left="178"/>
              <w:spacing w:after="0" w:line="216" w:lineRule="exact"/>
              <w:rPr>
                <w:sz w:val="20"/>
                <w:szCs w:val="20"/>
                <w:color w:val="auto"/>
              </w:rPr>
            </w:pPr>
            <w:r>
              <w:rPr>
                <w:rFonts w:ascii="Calibri" w:cs="Calibri" w:eastAsia="Calibri" w:hAnsi="Calibri"/>
                <w:sz w:val="18"/>
                <w:szCs w:val="18"/>
                <w:color w:val="51555C"/>
              </w:rPr>
              <w:t>not appear in the interactve data fle because its XBRL tags are</w:t>
            </w:r>
          </w:p>
        </w:tc>
        <w:tc>
          <w:tcPr>
            <w:tcW w:w="1185" w:type="dxa"/>
            <w:vAlign w:val="bottom"/>
            <w:shd w:val="clear" w:color="auto" w:fill="EBFBFF"/>
          </w:tcPr>
          <w:p>
            <w:pPr>
              <w:spacing w:after="0"/>
              <w:rPr>
                <w:sz w:val="18"/>
                <w:szCs w:val="18"/>
                <w:color w:val="auto"/>
              </w:rPr>
            </w:pPr>
          </w:p>
        </w:tc>
        <w:tc>
          <w:tcPr>
            <w:tcW w:w="915" w:type="dxa"/>
            <w:vAlign w:val="bottom"/>
            <w:shd w:val="clear" w:color="auto" w:fill="EBFBFF"/>
          </w:tcPr>
          <w:p>
            <w:pPr>
              <w:spacing w:after="0"/>
              <w:rPr>
                <w:sz w:val="18"/>
                <w:szCs w:val="18"/>
                <w:color w:val="auto"/>
              </w:rPr>
            </w:pPr>
          </w:p>
        </w:tc>
        <w:tc>
          <w:tcPr>
            <w:tcW w:w="1820" w:type="dxa"/>
            <w:vAlign w:val="bottom"/>
            <w:shd w:val="clear" w:color="auto" w:fill="EBFBFF"/>
          </w:tcPr>
          <w:p>
            <w:pPr>
              <w:spacing w:after="0"/>
              <w:rPr>
                <w:sz w:val="18"/>
                <w:szCs w:val="18"/>
                <w:color w:val="auto"/>
              </w:rPr>
            </w:pPr>
          </w:p>
        </w:tc>
        <w:tc>
          <w:tcPr>
            <w:tcW w:w="90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46"/>
        </w:trPr>
        <w:tc>
          <w:tcPr>
            <w:tcW w:w="1463" w:type="dxa"/>
            <w:vAlign w:val="bottom"/>
            <w:tcBorders>
              <w:bottom w:val="single" w:sz="8" w:color="EBFBFF"/>
            </w:tcBorders>
            <w:shd w:val="clear" w:color="auto" w:fill="EBFBFF"/>
          </w:tcPr>
          <w:p>
            <w:pPr>
              <w:spacing w:after="0"/>
              <w:rPr>
                <w:sz w:val="21"/>
                <w:szCs w:val="21"/>
                <w:color w:val="auto"/>
              </w:rPr>
            </w:pPr>
          </w:p>
        </w:tc>
        <w:tc>
          <w:tcPr>
            <w:tcW w:w="4958" w:type="dxa"/>
            <w:vAlign w:val="bottom"/>
            <w:tcBorders>
              <w:bottom w:val="single" w:sz="8" w:color="EBFBFF"/>
            </w:tcBorders>
            <w:shd w:val="clear" w:color="auto" w:fill="EBFBFF"/>
          </w:tcPr>
          <w:p>
            <w:pPr>
              <w:ind w:left="178"/>
              <w:spacing w:after="0" w:line="216" w:lineRule="exact"/>
              <w:rPr>
                <w:sz w:val="20"/>
                <w:szCs w:val="20"/>
                <w:color w:val="auto"/>
              </w:rPr>
            </w:pPr>
            <w:r>
              <w:rPr>
                <w:rFonts w:ascii="Calibri" w:cs="Calibri" w:eastAsia="Calibri" w:hAnsi="Calibri"/>
                <w:sz w:val="18"/>
                <w:szCs w:val="18"/>
                <w:color w:val="51555C"/>
              </w:rPr>
              <w:t>embedded within the Inline XBRL Document.</w:t>
            </w:r>
          </w:p>
        </w:tc>
        <w:tc>
          <w:tcPr>
            <w:tcW w:w="1185" w:type="dxa"/>
            <w:vAlign w:val="bottom"/>
            <w:tcBorders>
              <w:bottom w:val="single" w:sz="8" w:color="EBFBFF"/>
            </w:tcBorders>
            <w:shd w:val="clear" w:color="auto" w:fill="EBFBFF"/>
          </w:tcPr>
          <w:p>
            <w:pPr>
              <w:spacing w:after="0"/>
              <w:rPr>
                <w:sz w:val="21"/>
                <w:szCs w:val="21"/>
                <w:color w:val="auto"/>
              </w:rPr>
            </w:pPr>
          </w:p>
        </w:tc>
        <w:tc>
          <w:tcPr>
            <w:tcW w:w="915" w:type="dxa"/>
            <w:vAlign w:val="bottom"/>
            <w:tcBorders>
              <w:bottom w:val="single" w:sz="8" w:color="EBFBFF"/>
            </w:tcBorders>
            <w:shd w:val="clear" w:color="auto" w:fill="EBFBFF"/>
          </w:tcPr>
          <w:p>
            <w:pPr>
              <w:spacing w:after="0"/>
              <w:rPr>
                <w:sz w:val="21"/>
                <w:szCs w:val="21"/>
                <w:color w:val="auto"/>
              </w:rPr>
            </w:pPr>
          </w:p>
        </w:tc>
        <w:tc>
          <w:tcPr>
            <w:tcW w:w="18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1463" w:type="dxa"/>
            <w:vAlign w:val="bottom"/>
          </w:tcPr>
          <w:p>
            <w:pPr>
              <w:jc w:val="right"/>
              <w:ind w:right="417"/>
              <w:spacing w:after="0"/>
              <w:rPr>
                <w:sz w:val="20"/>
                <w:szCs w:val="20"/>
                <w:color w:val="auto"/>
              </w:rPr>
            </w:pPr>
            <w:r>
              <w:rPr>
                <w:rFonts w:ascii="Calibri" w:cs="Calibri" w:eastAsia="Calibri" w:hAnsi="Calibri"/>
                <w:sz w:val="18"/>
                <w:szCs w:val="18"/>
                <w:color w:val="51555C"/>
              </w:rPr>
              <w:t>101.SCH</w:t>
            </w:r>
          </w:p>
        </w:tc>
        <w:tc>
          <w:tcPr>
            <w:tcW w:w="4958" w:type="dxa"/>
            <w:vAlign w:val="bottom"/>
          </w:tcPr>
          <w:p>
            <w:pPr>
              <w:ind w:left="178"/>
              <w:spacing w:after="0"/>
              <w:rPr>
                <w:sz w:val="20"/>
                <w:szCs w:val="20"/>
                <w:color w:val="auto"/>
              </w:rPr>
            </w:pPr>
            <w:r>
              <w:rPr>
                <w:rFonts w:ascii="Calibri" w:cs="Calibri" w:eastAsia="Calibri" w:hAnsi="Calibri"/>
                <w:sz w:val="18"/>
                <w:szCs w:val="18"/>
                <w:color w:val="51555C"/>
              </w:rPr>
              <w:t>Inline XBRL Taxonomy Extension Schema Document</w:t>
            </w:r>
          </w:p>
        </w:tc>
        <w:tc>
          <w:tcPr>
            <w:tcW w:w="1185" w:type="dxa"/>
            <w:vAlign w:val="bottom"/>
          </w:tcPr>
          <w:p>
            <w:pPr>
              <w:spacing w:after="0"/>
              <w:rPr>
                <w:sz w:val="19"/>
                <w:szCs w:val="19"/>
                <w:color w:val="auto"/>
              </w:rPr>
            </w:pPr>
          </w:p>
        </w:tc>
        <w:tc>
          <w:tcPr>
            <w:tcW w:w="915"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50"/>
        </w:trPr>
        <w:tc>
          <w:tcPr>
            <w:tcW w:w="1463" w:type="dxa"/>
            <w:vAlign w:val="bottom"/>
          </w:tcPr>
          <w:p>
            <w:pPr>
              <w:spacing w:after="0"/>
              <w:rPr>
                <w:sz w:val="4"/>
                <w:szCs w:val="4"/>
                <w:color w:val="auto"/>
              </w:rPr>
            </w:pPr>
          </w:p>
        </w:tc>
        <w:tc>
          <w:tcPr>
            <w:tcW w:w="4958" w:type="dxa"/>
            <w:vAlign w:val="bottom"/>
          </w:tcPr>
          <w:p>
            <w:pPr>
              <w:spacing w:after="0"/>
              <w:rPr>
                <w:sz w:val="4"/>
                <w:szCs w:val="4"/>
                <w:color w:val="auto"/>
              </w:rPr>
            </w:pPr>
          </w:p>
        </w:tc>
        <w:tc>
          <w:tcPr>
            <w:tcW w:w="1185" w:type="dxa"/>
            <w:vAlign w:val="bottom"/>
          </w:tcPr>
          <w:p>
            <w:pPr>
              <w:spacing w:after="0"/>
              <w:rPr>
                <w:sz w:val="4"/>
                <w:szCs w:val="4"/>
                <w:color w:val="auto"/>
              </w:rPr>
            </w:pPr>
          </w:p>
        </w:tc>
        <w:tc>
          <w:tcPr>
            <w:tcW w:w="915" w:type="dxa"/>
            <w:vAlign w:val="bottom"/>
          </w:tcPr>
          <w:p>
            <w:pPr>
              <w:spacing w:after="0"/>
              <w:rPr>
                <w:sz w:val="4"/>
                <w:szCs w:val="4"/>
                <w:color w:val="auto"/>
              </w:rPr>
            </w:pPr>
          </w:p>
        </w:tc>
        <w:tc>
          <w:tcPr>
            <w:tcW w:w="1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63" w:type="dxa"/>
            <w:vAlign w:val="bottom"/>
            <w:tcBorders>
              <w:bottom w:val="single" w:sz="8" w:color="EBFBFF"/>
            </w:tcBorders>
            <w:shd w:val="clear" w:color="auto" w:fill="EBFBFF"/>
          </w:tcPr>
          <w:p>
            <w:pPr>
              <w:jc w:val="right"/>
              <w:ind w:right="417"/>
              <w:spacing w:after="0"/>
              <w:rPr>
                <w:sz w:val="20"/>
                <w:szCs w:val="20"/>
                <w:color w:val="auto"/>
              </w:rPr>
            </w:pPr>
            <w:r>
              <w:rPr>
                <w:rFonts w:ascii="Calibri" w:cs="Calibri" w:eastAsia="Calibri" w:hAnsi="Calibri"/>
                <w:sz w:val="18"/>
                <w:szCs w:val="18"/>
                <w:color w:val="51555C"/>
              </w:rPr>
              <w:t>101.CAL</w:t>
            </w:r>
          </w:p>
        </w:tc>
        <w:tc>
          <w:tcPr>
            <w:tcW w:w="4958" w:type="dxa"/>
            <w:vAlign w:val="bottom"/>
            <w:tcBorders>
              <w:bottom w:val="single" w:sz="8" w:color="EBFBFF"/>
            </w:tcBorders>
            <w:shd w:val="clear" w:color="auto" w:fill="EBFBFF"/>
          </w:tcPr>
          <w:p>
            <w:pPr>
              <w:ind w:left="178"/>
              <w:spacing w:after="0"/>
              <w:rPr>
                <w:sz w:val="20"/>
                <w:szCs w:val="20"/>
                <w:color w:val="auto"/>
              </w:rPr>
            </w:pPr>
            <w:r>
              <w:rPr>
                <w:rFonts w:ascii="Calibri" w:cs="Calibri" w:eastAsia="Calibri" w:hAnsi="Calibri"/>
                <w:sz w:val="18"/>
                <w:szCs w:val="18"/>
                <w:color w:val="51555C"/>
              </w:rPr>
              <w:t>Inline XBRL Taxonomy Extension Calculaton Linkbase Document</w:t>
            </w:r>
          </w:p>
        </w:tc>
        <w:tc>
          <w:tcPr>
            <w:tcW w:w="1185" w:type="dxa"/>
            <w:vAlign w:val="bottom"/>
            <w:tcBorders>
              <w:bottom w:val="single" w:sz="8" w:color="EBFBFF"/>
            </w:tcBorders>
            <w:shd w:val="clear" w:color="auto" w:fill="EBFBFF"/>
          </w:tcPr>
          <w:p>
            <w:pPr>
              <w:spacing w:after="0"/>
              <w:rPr>
                <w:sz w:val="21"/>
                <w:szCs w:val="21"/>
                <w:color w:val="auto"/>
              </w:rPr>
            </w:pPr>
          </w:p>
        </w:tc>
        <w:tc>
          <w:tcPr>
            <w:tcW w:w="915" w:type="dxa"/>
            <w:vAlign w:val="bottom"/>
            <w:tcBorders>
              <w:bottom w:val="single" w:sz="8" w:color="EBFBFF"/>
            </w:tcBorders>
            <w:shd w:val="clear" w:color="auto" w:fill="EBFBFF"/>
          </w:tcPr>
          <w:p>
            <w:pPr>
              <w:spacing w:after="0"/>
              <w:rPr>
                <w:sz w:val="21"/>
                <w:szCs w:val="21"/>
                <w:color w:val="auto"/>
              </w:rPr>
            </w:pPr>
          </w:p>
        </w:tc>
        <w:tc>
          <w:tcPr>
            <w:tcW w:w="18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21"/>
                <w:szCs w:val="21"/>
                <w:color w:val="auto"/>
              </w:rPr>
            </w:pPr>
          </w:p>
        </w:tc>
      </w:tr>
      <w:tr>
        <w:trPr>
          <w:trHeight w:val="220"/>
        </w:trPr>
        <w:tc>
          <w:tcPr>
            <w:tcW w:w="1463" w:type="dxa"/>
            <w:vAlign w:val="bottom"/>
          </w:tcPr>
          <w:p>
            <w:pPr>
              <w:jc w:val="right"/>
              <w:ind w:right="417"/>
              <w:spacing w:after="0"/>
              <w:rPr>
                <w:sz w:val="20"/>
                <w:szCs w:val="20"/>
                <w:color w:val="auto"/>
              </w:rPr>
            </w:pPr>
            <w:r>
              <w:rPr>
                <w:rFonts w:ascii="Calibri" w:cs="Calibri" w:eastAsia="Calibri" w:hAnsi="Calibri"/>
                <w:sz w:val="18"/>
                <w:szCs w:val="18"/>
                <w:color w:val="51555C"/>
              </w:rPr>
              <w:t>101.DEF</w:t>
            </w:r>
          </w:p>
        </w:tc>
        <w:tc>
          <w:tcPr>
            <w:tcW w:w="4958" w:type="dxa"/>
            <w:vAlign w:val="bottom"/>
          </w:tcPr>
          <w:p>
            <w:pPr>
              <w:ind w:left="178"/>
              <w:spacing w:after="0"/>
              <w:rPr>
                <w:sz w:val="20"/>
                <w:szCs w:val="20"/>
                <w:color w:val="auto"/>
              </w:rPr>
            </w:pPr>
            <w:r>
              <w:rPr>
                <w:rFonts w:ascii="Calibri" w:cs="Calibri" w:eastAsia="Calibri" w:hAnsi="Calibri"/>
                <w:sz w:val="18"/>
                <w:szCs w:val="18"/>
                <w:color w:val="51555C"/>
              </w:rPr>
              <w:t>Inline XBRL Taxonomy Extension Defniton Linkbase Document</w:t>
            </w:r>
          </w:p>
        </w:tc>
        <w:tc>
          <w:tcPr>
            <w:tcW w:w="1185" w:type="dxa"/>
            <w:vAlign w:val="bottom"/>
          </w:tcPr>
          <w:p>
            <w:pPr>
              <w:spacing w:after="0"/>
              <w:rPr>
                <w:sz w:val="19"/>
                <w:szCs w:val="19"/>
                <w:color w:val="auto"/>
              </w:rPr>
            </w:pPr>
          </w:p>
        </w:tc>
        <w:tc>
          <w:tcPr>
            <w:tcW w:w="915"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50"/>
        </w:trPr>
        <w:tc>
          <w:tcPr>
            <w:tcW w:w="1463" w:type="dxa"/>
            <w:vAlign w:val="bottom"/>
          </w:tcPr>
          <w:p>
            <w:pPr>
              <w:spacing w:after="0"/>
              <w:rPr>
                <w:sz w:val="4"/>
                <w:szCs w:val="4"/>
                <w:color w:val="auto"/>
              </w:rPr>
            </w:pPr>
          </w:p>
        </w:tc>
        <w:tc>
          <w:tcPr>
            <w:tcW w:w="4958" w:type="dxa"/>
            <w:vAlign w:val="bottom"/>
          </w:tcPr>
          <w:p>
            <w:pPr>
              <w:spacing w:after="0"/>
              <w:rPr>
                <w:sz w:val="4"/>
                <w:szCs w:val="4"/>
                <w:color w:val="auto"/>
              </w:rPr>
            </w:pPr>
          </w:p>
        </w:tc>
        <w:tc>
          <w:tcPr>
            <w:tcW w:w="1185" w:type="dxa"/>
            <w:vAlign w:val="bottom"/>
          </w:tcPr>
          <w:p>
            <w:pPr>
              <w:spacing w:after="0"/>
              <w:rPr>
                <w:sz w:val="4"/>
                <w:szCs w:val="4"/>
                <w:color w:val="auto"/>
              </w:rPr>
            </w:pPr>
          </w:p>
        </w:tc>
        <w:tc>
          <w:tcPr>
            <w:tcW w:w="915" w:type="dxa"/>
            <w:vAlign w:val="bottom"/>
          </w:tcPr>
          <w:p>
            <w:pPr>
              <w:spacing w:after="0"/>
              <w:rPr>
                <w:sz w:val="4"/>
                <w:szCs w:val="4"/>
                <w:color w:val="auto"/>
              </w:rPr>
            </w:pPr>
          </w:p>
        </w:tc>
        <w:tc>
          <w:tcPr>
            <w:tcW w:w="1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63" w:type="dxa"/>
            <w:vAlign w:val="bottom"/>
            <w:tcBorders>
              <w:bottom w:val="single" w:sz="8" w:color="EBFBFF"/>
            </w:tcBorders>
            <w:shd w:val="clear" w:color="auto" w:fill="EBFBFF"/>
          </w:tcPr>
          <w:p>
            <w:pPr>
              <w:jc w:val="right"/>
              <w:ind w:right="417"/>
              <w:spacing w:after="0"/>
              <w:rPr>
                <w:sz w:val="20"/>
                <w:szCs w:val="20"/>
                <w:color w:val="auto"/>
              </w:rPr>
            </w:pPr>
            <w:r>
              <w:rPr>
                <w:rFonts w:ascii="Calibri" w:cs="Calibri" w:eastAsia="Calibri" w:hAnsi="Calibri"/>
                <w:sz w:val="18"/>
                <w:szCs w:val="18"/>
                <w:color w:val="51555C"/>
              </w:rPr>
              <w:t>101.LAB</w:t>
            </w:r>
          </w:p>
        </w:tc>
        <w:tc>
          <w:tcPr>
            <w:tcW w:w="4958" w:type="dxa"/>
            <w:vAlign w:val="bottom"/>
            <w:tcBorders>
              <w:bottom w:val="single" w:sz="8" w:color="EBFBFF"/>
            </w:tcBorders>
            <w:shd w:val="clear" w:color="auto" w:fill="EBFBFF"/>
          </w:tcPr>
          <w:p>
            <w:pPr>
              <w:ind w:left="178"/>
              <w:spacing w:after="0"/>
              <w:rPr>
                <w:sz w:val="20"/>
                <w:szCs w:val="20"/>
                <w:color w:val="auto"/>
              </w:rPr>
            </w:pPr>
            <w:r>
              <w:rPr>
                <w:rFonts w:ascii="Calibri" w:cs="Calibri" w:eastAsia="Calibri" w:hAnsi="Calibri"/>
                <w:sz w:val="18"/>
                <w:szCs w:val="18"/>
                <w:color w:val="51555C"/>
              </w:rPr>
              <w:t>Inline XBRL Taxonomy Extension Label Linkbase Document</w:t>
            </w:r>
          </w:p>
        </w:tc>
        <w:tc>
          <w:tcPr>
            <w:tcW w:w="1185" w:type="dxa"/>
            <w:vAlign w:val="bottom"/>
            <w:tcBorders>
              <w:bottom w:val="single" w:sz="8" w:color="EBFBFF"/>
            </w:tcBorders>
            <w:shd w:val="clear" w:color="auto" w:fill="EBFBFF"/>
          </w:tcPr>
          <w:p>
            <w:pPr>
              <w:spacing w:after="0"/>
              <w:rPr>
                <w:sz w:val="21"/>
                <w:szCs w:val="21"/>
                <w:color w:val="auto"/>
              </w:rPr>
            </w:pPr>
          </w:p>
        </w:tc>
        <w:tc>
          <w:tcPr>
            <w:tcW w:w="915" w:type="dxa"/>
            <w:vAlign w:val="bottom"/>
            <w:tcBorders>
              <w:bottom w:val="single" w:sz="8" w:color="EBFBFF"/>
            </w:tcBorders>
            <w:shd w:val="clear" w:color="auto" w:fill="EBFBFF"/>
          </w:tcPr>
          <w:p>
            <w:pPr>
              <w:spacing w:after="0"/>
              <w:rPr>
                <w:sz w:val="21"/>
                <w:szCs w:val="21"/>
                <w:color w:val="auto"/>
              </w:rPr>
            </w:pPr>
          </w:p>
        </w:tc>
        <w:tc>
          <w:tcPr>
            <w:tcW w:w="18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21"/>
                <w:szCs w:val="21"/>
                <w:color w:val="auto"/>
              </w:rPr>
            </w:pPr>
          </w:p>
        </w:tc>
      </w:tr>
      <w:tr>
        <w:trPr>
          <w:trHeight w:val="220"/>
        </w:trPr>
        <w:tc>
          <w:tcPr>
            <w:tcW w:w="1463" w:type="dxa"/>
            <w:vAlign w:val="bottom"/>
          </w:tcPr>
          <w:p>
            <w:pPr>
              <w:jc w:val="right"/>
              <w:ind w:right="417"/>
              <w:spacing w:after="0"/>
              <w:rPr>
                <w:sz w:val="20"/>
                <w:szCs w:val="20"/>
                <w:color w:val="auto"/>
              </w:rPr>
            </w:pPr>
            <w:r>
              <w:rPr>
                <w:rFonts w:ascii="Calibri" w:cs="Calibri" w:eastAsia="Calibri" w:hAnsi="Calibri"/>
                <w:sz w:val="18"/>
                <w:szCs w:val="18"/>
                <w:color w:val="51555C"/>
              </w:rPr>
              <w:t>101.PRE</w:t>
            </w:r>
          </w:p>
        </w:tc>
        <w:tc>
          <w:tcPr>
            <w:tcW w:w="4958" w:type="dxa"/>
            <w:vAlign w:val="bottom"/>
          </w:tcPr>
          <w:p>
            <w:pPr>
              <w:ind w:left="178"/>
              <w:spacing w:after="0"/>
              <w:rPr>
                <w:sz w:val="20"/>
                <w:szCs w:val="20"/>
                <w:color w:val="auto"/>
              </w:rPr>
            </w:pPr>
            <w:r>
              <w:rPr>
                <w:rFonts w:ascii="Calibri" w:cs="Calibri" w:eastAsia="Calibri" w:hAnsi="Calibri"/>
                <w:sz w:val="18"/>
                <w:szCs w:val="18"/>
                <w:color w:val="51555C"/>
              </w:rPr>
              <w:t>Inline XBRL Taxonomy Extension Presentaton Linkbase</w:t>
            </w:r>
          </w:p>
        </w:tc>
        <w:tc>
          <w:tcPr>
            <w:tcW w:w="1185" w:type="dxa"/>
            <w:vAlign w:val="bottom"/>
          </w:tcPr>
          <w:p>
            <w:pPr>
              <w:spacing w:after="0"/>
              <w:rPr>
                <w:sz w:val="19"/>
                <w:szCs w:val="19"/>
                <w:color w:val="auto"/>
              </w:rPr>
            </w:pPr>
          </w:p>
        </w:tc>
        <w:tc>
          <w:tcPr>
            <w:tcW w:w="915"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216"/>
        </w:trPr>
        <w:tc>
          <w:tcPr>
            <w:tcW w:w="1463" w:type="dxa"/>
            <w:vAlign w:val="bottom"/>
          </w:tcPr>
          <w:p>
            <w:pPr>
              <w:spacing w:after="0"/>
              <w:rPr>
                <w:sz w:val="18"/>
                <w:szCs w:val="18"/>
                <w:color w:val="auto"/>
              </w:rPr>
            </w:pPr>
          </w:p>
        </w:tc>
        <w:tc>
          <w:tcPr>
            <w:tcW w:w="4958" w:type="dxa"/>
            <w:vAlign w:val="bottom"/>
          </w:tcPr>
          <w:p>
            <w:pPr>
              <w:ind w:left="178"/>
              <w:spacing w:after="0" w:line="216" w:lineRule="exact"/>
              <w:rPr>
                <w:sz w:val="20"/>
                <w:szCs w:val="20"/>
                <w:color w:val="auto"/>
              </w:rPr>
            </w:pPr>
            <w:r>
              <w:rPr>
                <w:rFonts w:ascii="Calibri" w:cs="Calibri" w:eastAsia="Calibri" w:hAnsi="Calibri"/>
                <w:sz w:val="18"/>
                <w:szCs w:val="18"/>
                <w:color w:val="51555C"/>
              </w:rPr>
              <w:t>Document</w:t>
            </w:r>
          </w:p>
        </w:tc>
        <w:tc>
          <w:tcPr>
            <w:tcW w:w="118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1463" w:type="dxa"/>
            <w:vAlign w:val="bottom"/>
          </w:tcPr>
          <w:p>
            <w:pPr>
              <w:spacing w:after="0"/>
              <w:rPr>
                <w:sz w:val="4"/>
                <w:szCs w:val="4"/>
                <w:color w:val="auto"/>
              </w:rPr>
            </w:pPr>
          </w:p>
        </w:tc>
        <w:tc>
          <w:tcPr>
            <w:tcW w:w="4958" w:type="dxa"/>
            <w:vAlign w:val="bottom"/>
          </w:tcPr>
          <w:p>
            <w:pPr>
              <w:spacing w:after="0"/>
              <w:rPr>
                <w:sz w:val="4"/>
                <w:szCs w:val="4"/>
                <w:color w:val="auto"/>
              </w:rPr>
            </w:pPr>
          </w:p>
        </w:tc>
        <w:tc>
          <w:tcPr>
            <w:tcW w:w="1185" w:type="dxa"/>
            <w:vAlign w:val="bottom"/>
          </w:tcPr>
          <w:p>
            <w:pPr>
              <w:spacing w:after="0"/>
              <w:rPr>
                <w:sz w:val="4"/>
                <w:szCs w:val="4"/>
                <w:color w:val="auto"/>
              </w:rPr>
            </w:pPr>
          </w:p>
        </w:tc>
        <w:tc>
          <w:tcPr>
            <w:tcW w:w="915" w:type="dxa"/>
            <w:vAlign w:val="bottom"/>
          </w:tcPr>
          <w:p>
            <w:pPr>
              <w:spacing w:after="0"/>
              <w:rPr>
                <w:sz w:val="4"/>
                <w:szCs w:val="4"/>
                <w:color w:val="auto"/>
              </w:rPr>
            </w:pPr>
          </w:p>
        </w:tc>
        <w:tc>
          <w:tcPr>
            <w:tcW w:w="1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0"/>
        </w:trPr>
        <w:tc>
          <w:tcPr>
            <w:tcW w:w="1463" w:type="dxa"/>
            <w:vAlign w:val="bottom"/>
            <w:shd w:val="clear" w:color="auto" w:fill="EBFBFF"/>
          </w:tcPr>
          <w:p>
            <w:pPr>
              <w:jc w:val="right"/>
              <w:ind w:right="417"/>
              <w:spacing w:after="0"/>
              <w:rPr>
                <w:sz w:val="20"/>
                <w:szCs w:val="20"/>
                <w:color w:val="auto"/>
              </w:rPr>
            </w:pPr>
            <w:r>
              <w:rPr>
                <w:rFonts w:ascii="Calibri" w:cs="Calibri" w:eastAsia="Calibri" w:hAnsi="Calibri"/>
                <w:sz w:val="18"/>
                <w:szCs w:val="18"/>
                <w:color w:val="51555C"/>
              </w:rPr>
              <w:t>104</w:t>
            </w:r>
          </w:p>
        </w:tc>
        <w:tc>
          <w:tcPr>
            <w:tcW w:w="4958" w:type="dxa"/>
            <w:vAlign w:val="bottom"/>
            <w:shd w:val="clear" w:color="auto" w:fill="EBFBFF"/>
          </w:tcPr>
          <w:p>
            <w:pPr>
              <w:ind w:left="178"/>
              <w:spacing w:after="0"/>
              <w:rPr>
                <w:sz w:val="20"/>
                <w:szCs w:val="20"/>
                <w:color w:val="auto"/>
              </w:rPr>
            </w:pPr>
            <w:r>
              <w:rPr>
                <w:rFonts w:ascii="Calibri" w:cs="Calibri" w:eastAsia="Calibri" w:hAnsi="Calibri"/>
                <w:sz w:val="18"/>
                <w:szCs w:val="18"/>
                <w:color w:val="51555C"/>
              </w:rPr>
              <w:t>Cover Page Interactve Data File (formated as Inline XBRL and</w:t>
            </w:r>
          </w:p>
        </w:tc>
        <w:tc>
          <w:tcPr>
            <w:tcW w:w="1185" w:type="dxa"/>
            <w:vAlign w:val="bottom"/>
            <w:shd w:val="clear" w:color="auto" w:fill="EBFBFF"/>
          </w:tcPr>
          <w:p>
            <w:pPr>
              <w:spacing w:after="0"/>
              <w:rPr>
                <w:sz w:val="19"/>
                <w:szCs w:val="19"/>
                <w:color w:val="auto"/>
              </w:rPr>
            </w:pPr>
          </w:p>
        </w:tc>
        <w:tc>
          <w:tcPr>
            <w:tcW w:w="915" w:type="dxa"/>
            <w:vAlign w:val="bottom"/>
            <w:shd w:val="clear" w:color="auto" w:fill="EBFBFF"/>
          </w:tcPr>
          <w:p>
            <w:pPr>
              <w:spacing w:after="0"/>
              <w:rPr>
                <w:sz w:val="19"/>
                <w:szCs w:val="19"/>
                <w:color w:val="auto"/>
              </w:rPr>
            </w:pPr>
          </w:p>
        </w:tc>
        <w:tc>
          <w:tcPr>
            <w:tcW w:w="1820" w:type="dxa"/>
            <w:vAlign w:val="bottom"/>
            <w:shd w:val="clear" w:color="auto" w:fill="EBFBFF"/>
          </w:tcPr>
          <w:p>
            <w:pPr>
              <w:spacing w:after="0"/>
              <w:rPr>
                <w:sz w:val="19"/>
                <w:szCs w:val="19"/>
                <w:color w:val="auto"/>
              </w:rPr>
            </w:pPr>
          </w:p>
        </w:tc>
        <w:tc>
          <w:tcPr>
            <w:tcW w:w="90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247"/>
        </w:trPr>
        <w:tc>
          <w:tcPr>
            <w:tcW w:w="1463" w:type="dxa"/>
            <w:vAlign w:val="bottom"/>
            <w:tcBorders>
              <w:bottom w:val="single" w:sz="8" w:color="EBFBFF"/>
            </w:tcBorders>
            <w:shd w:val="clear" w:color="auto" w:fill="EBFBFF"/>
          </w:tcPr>
          <w:p>
            <w:pPr>
              <w:spacing w:after="0"/>
              <w:rPr>
                <w:sz w:val="21"/>
                <w:szCs w:val="21"/>
                <w:color w:val="auto"/>
              </w:rPr>
            </w:pPr>
          </w:p>
        </w:tc>
        <w:tc>
          <w:tcPr>
            <w:tcW w:w="4958" w:type="dxa"/>
            <w:vAlign w:val="bottom"/>
            <w:tcBorders>
              <w:bottom w:val="single" w:sz="8" w:color="EBFBFF"/>
            </w:tcBorders>
            <w:shd w:val="clear" w:color="auto" w:fill="EBFBFF"/>
          </w:tcPr>
          <w:p>
            <w:pPr>
              <w:ind w:left="178"/>
              <w:spacing w:after="0" w:line="216" w:lineRule="exact"/>
              <w:rPr>
                <w:sz w:val="20"/>
                <w:szCs w:val="20"/>
                <w:color w:val="auto"/>
              </w:rPr>
            </w:pPr>
            <w:r>
              <w:rPr>
                <w:rFonts w:ascii="Calibri" w:cs="Calibri" w:eastAsia="Calibri" w:hAnsi="Calibri"/>
                <w:sz w:val="18"/>
                <w:szCs w:val="18"/>
                <w:color w:val="51555C"/>
              </w:rPr>
              <w:t>contained in Exhibit 101).</w:t>
            </w:r>
          </w:p>
        </w:tc>
        <w:tc>
          <w:tcPr>
            <w:tcW w:w="1185" w:type="dxa"/>
            <w:vAlign w:val="bottom"/>
            <w:tcBorders>
              <w:bottom w:val="single" w:sz="8" w:color="EBFBFF"/>
            </w:tcBorders>
            <w:shd w:val="clear" w:color="auto" w:fill="EBFBFF"/>
          </w:tcPr>
          <w:p>
            <w:pPr>
              <w:spacing w:after="0"/>
              <w:rPr>
                <w:sz w:val="21"/>
                <w:szCs w:val="21"/>
                <w:color w:val="auto"/>
              </w:rPr>
            </w:pPr>
          </w:p>
        </w:tc>
        <w:tc>
          <w:tcPr>
            <w:tcW w:w="915" w:type="dxa"/>
            <w:vAlign w:val="bottom"/>
            <w:tcBorders>
              <w:bottom w:val="single" w:sz="8" w:color="EBFBFF"/>
            </w:tcBorders>
            <w:shd w:val="clear" w:color="auto" w:fill="EBFBFF"/>
          </w:tcPr>
          <w:p>
            <w:pPr>
              <w:spacing w:after="0"/>
              <w:rPr>
                <w:sz w:val="21"/>
                <w:szCs w:val="21"/>
                <w:color w:val="auto"/>
              </w:rPr>
            </w:pPr>
          </w:p>
        </w:tc>
        <w:tc>
          <w:tcPr>
            <w:tcW w:w="18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63" w:type="dxa"/>
            <w:vAlign w:val="bottom"/>
            <w:shd w:val="clear" w:color="auto" w:fill="0CD973"/>
          </w:tcPr>
          <w:p>
            <w:pPr>
              <w:spacing w:after="0" w:line="20" w:lineRule="exact"/>
              <w:rPr>
                <w:sz w:val="1"/>
                <w:szCs w:val="1"/>
                <w:color w:val="auto"/>
              </w:rPr>
            </w:pPr>
          </w:p>
        </w:tc>
        <w:tc>
          <w:tcPr>
            <w:tcW w:w="4958" w:type="dxa"/>
            <w:vAlign w:val="bottom"/>
            <w:shd w:val="clear" w:color="auto" w:fill="0CD973"/>
          </w:tcPr>
          <w:p>
            <w:pPr>
              <w:spacing w:after="0" w:line="20" w:lineRule="exact"/>
              <w:rPr>
                <w:sz w:val="1"/>
                <w:szCs w:val="1"/>
                <w:color w:val="auto"/>
              </w:rPr>
            </w:pPr>
          </w:p>
        </w:tc>
        <w:tc>
          <w:tcPr>
            <w:tcW w:w="1185" w:type="dxa"/>
            <w:vAlign w:val="bottom"/>
            <w:shd w:val="clear" w:color="auto" w:fill="0CD973"/>
          </w:tcPr>
          <w:p>
            <w:pPr>
              <w:spacing w:after="0" w:line="20" w:lineRule="exact"/>
              <w:rPr>
                <w:sz w:val="1"/>
                <w:szCs w:val="1"/>
                <w:color w:val="auto"/>
              </w:rPr>
            </w:pPr>
          </w:p>
        </w:tc>
        <w:tc>
          <w:tcPr>
            <w:tcW w:w="915" w:type="dxa"/>
            <w:vAlign w:val="bottom"/>
            <w:shd w:val="clear" w:color="auto" w:fill="0CD973"/>
          </w:tcPr>
          <w:p>
            <w:pPr>
              <w:spacing w:after="0" w:line="20" w:lineRule="exact"/>
              <w:rPr>
                <w:sz w:val="1"/>
                <w:szCs w:val="1"/>
                <w:color w:val="auto"/>
              </w:rPr>
            </w:pPr>
          </w:p>
        </w:tc>
        <w:tc>
          <w:tcPr>
            <w:tcW w:w="182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-2030730</wp:posOffset>
            </wp:positionV>
            <wp:extent cx="307721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00" w:lineRule="exact"/>
        <w:rPr>
          <w:sz w:val="20"/>
          <w:szCs w:val="20"/>
          <w:color w:val="auto"/>
        </w:rPr>
      </w:pPr>
    </w:p>
    <w:p>
      <w:pPr>
        <w:ind w:left="680" w:hanging="654"/>
        <w:spacing w:after="0"/>
        <w:tabs>
          <w:tab w:leader="none" w:pos="680" w:val="left"/>
        </w:tabs>
        <w:numPr>
          <w:ilvl w:val="0"/>
          <w:numId w:val="59"/>
        </w:numPr>
        <w:rPr>
          <w:rFonts w:ascii="Calibri" w:cs="Calibri" w:eastAsia="Calibri" w:hAnsi="Calibri"/>
          <w:sz w:val="14"/>
          <w:szCs w:val="14"/>
          <w:color w:val="51555C"/>
        </w:rPr>
      </w:pPr>
      <w:r>
        <w:rPr>
          <w:rFonts w:ascii="Calibri" w:cs="Calibri" w:eastAsia="Calibri" w:hAnsi="Calibri"/>
          <w:sz w:val="14"/>
          <w:szCs w:val="14"/>
          <w:color w:val="51555C"/>
        </w:rPr>
        <w:t>Indicates management contract or compensatory plan, contract or arrangement.</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116</w:t>
      </w:r>
      <w:r>
        <w:rPr>
          <w:sz w:val="20"/>
          <w:szCs w:val="20"/>
          <w:color w:val="auto"/>
        </w:rPr>
        <w:tab/>
      </w:r>
      <w:r>
        <w:rPr>
          <w:sz w:val="1"/>
          <w:szCs w:val="1"/>
          <w:color w:val="auto"/>
        </w:rPr>
        <w:drawing>
          <wp:inline distT="0" distB="0" distL="0" distR="0">
            <wp:extent cx="728345" cy="188595"/>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16. FORM 10-K SUMMARY</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220345</wp:posOffset>
            </wp:positionV>
            <wp:extent cx="728980"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2024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117</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sz w:val="1"/>
          <w:szCs w:val="1"/>
          <w:color w:val="auto"/>
        </w:rPr>
        <w:drawing>
          <wp:inline distT="0" distB="0" distL="0" distR="0">
            <wp:extent cx="248285" cy="24892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5">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SIGNATURES</w:t>
      </w:r>
    </w:p>
    <w:p>
      <w:pPr>
        <w:spacing w:after="0" w:line="30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Pursuant to the requirements of Secton 13 or 15(d) of the Securites Exchange Act of 1934, the Registrant has duly caused this Form 10-K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Calibri" w:cs="Calibri" w:eastAsia="Calibri" w:hAnsi="Calibri"/>
                <w:sz w:val="18"/>
                <w:szCs w:val="18"/>
                <w:b w:val="1"/>
                <w:bCs w:val="1"/>
                <w:color w:val="51555C"/>
              </w:rPr>
              <w:t>Blackbaud, Inc.</w:t>
            </w:r>
          </w:p>
        </w:tc>
        <w:tc>
          <w:tcPr>
            <w:tcW w:w="0" w:type="dxa"/>
            <w:vAlign w:val="bottom"/>
          </w:tcPr>
          <w:p>
            <w:pPr>
              <w:spacing w:after="0"/>
              <w:rPr>
                <w:sz w:val="1"/>
                <w:szCs w:val="1"/>
                <w:color w:val="auto"/>
              </w:rPr>
            </w:pPr>
          </w:p>
        </w:tc>
      </w:tr>
      <w:tr>
        <w:trPr>
          <w:trHeight w:val="540"/>
        </w:trPr>
        <w:tc>
          <w:tcPr>
            <w:tcW w:w="680" w:type="dxa"/>
            <w:vAlign w:val="bottom"/>
          </w:tcPr>
          <w:p>
            <w:pPr>
              <w:spacing w:after="0"/>
              <w:rPr>
                <w:sz w:val="20"/>
                <w:szCs w:val="20"/>
                <w:color w:val="auto"/>
              </w:rPr>
            </w:pPr>
            <w:r>
              <w:rPr>
                <w:rFonts w:ascii="Calibri" w:cs="Calibri" w:eastAsia="Calibri" w:hAnsi="Calibri"/>
                <w:sz w:val="18"/>
                <w:szCs w:val="18"/>
                <w:color w:val="51555C"/>
              </w:rPr>
              <w:t>Signed:</w:t>
            </w:r>
          </w:p>
        </w:tc>
        <w:tc>
          <w:tcPr>
            <w:tcW w:w="3960" w:type="dxa"/>
            <w:vAlign w:val="bottom"/>
          </w:tcPr>
          <w:p>
            <w:pPr>
              <w:ind w:left="140"/>
              <w:spacing w:after="0"/>
              <w:rPr>
                <w:sz w:val="20"/>
                <w:szCs w:val="20"/>
                <w:color w:val="auto"/>
              </w:rPr>
            </w:pPr>
            <w:r>
              <w:rPr>
                <w:rFonts w:ascii="Calibri" w:cs="Calibri" w:eastAsia="Calibri" w:hAnsi="Calibri"/>
                <w:sz w:val="18"/>
                <w:szCs w:val="18"/>
                <w:color w:val="51555C"/>
              </w:rPr>
              <w:t>February 21, 2025</w:t>
            </w:r>
          </w:p>
        </w:tc>
        <w:tc>
          <w:tcPr>
            <w:tcW w:w="6580" w:type="dxa"/>
            <w:vAlign w:val="bottom"/>
            <w:vMerge w:val="restart"/>
          </w:tcPr>
          <w:p>
            <w:pPr>
              <w:ind w:left="20"/>
              <w:spacing w:after="0"/>
              <w:rPr>
                <w:sz w:val="20"/>
                <w:szCs w:val="20"/>
                <w:color w:val="auto"/>
              </w:rPr>
            </w:pPr>
            <w:r>
              <w:rPr>
                <w:rFonts w:ascii="Calibri" w:cs="Calibri" w:eastAsia="Calibri" w:hAnsi="Calibri"/>
                <w:sz w:val="18"/>
                <w:szCs w:val="18"/>
                <w:color w:val="51555C"/>
              </w:rPr>
              <w:t>/S/  MICHAEL P. GIANONI</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3960" w:type="dxa"/>
            <w:vAlign w:val="bottom"/>
          </w:tcPr>
          <w:p>
            <w:pPr>
              <w:spacing w:after="0"/>
              <w:rPr>
                <w:sz w:val="4"/>
                <w:szCs w:val="4"/>
                <w:color w:val="auto"/>
              </w:rPr>
            </w:pPr>
          </w:p>
        </w:tc>
        <w:tc>
          <w:tcPr>
            <w:tcW w:w="6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3960" w:type="dxa"/>
            <w:vAlign w:val="bottom"/>
          </w:tcPr>
          <w:p>
            <w:pPr>
              <w:spacing w:after="0"/>
              <w:rPr>
                <w:sz w:val="4"/>
                <w:szCs w:val="4"/>
                <w:color w:val="auto"/>
              </w:rPr>
            </w:pPr>
          </w:p>
        </w:tc>
        <w:tc>
          <w:tcPr>
            <w:tcW w:w="6580" w:type="dxa"/>
            <w:vAlign w:val="bottom"/>
            <w:tcBorders>
              <w:bottom w:val="single" w:sz="8" w:color="51555C"/>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580" w:type="dxa"/>
            <w:vAlign w:val="bottom"/>
          </w:tcPr>
          <w:p>
            <w:pPr>
              <w:ind w:left="340"/>
              <w:spacing w:after="0" w:line="213" w:lineRule="exact"/>
              <w:rPr>
                <w:sz w:val="20"/>
                <w:szCs w:val="20"/>
                <w:color w:val="auto"/>
              </w:rPr>
            </w:pPr>
            <w:r>
              <w:rPr>
                <w:rFonts w:ascii="Calibri" w:cs="Calibri" w:eastAsia="Calibri" w:hAnsi="Calibri"/>
                <w:sz w:val="18"/>
                <w:szCs w:val="18"/>
                <w:color w:val="51555C"/>
              </w:rPr>
              <w:t>Chief Executve Ofcer, President and Vice Chairman of the Board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580" w:type="dxa"/>
            <w:vAlign w:val="bottom"/>
          </w:tcPr>
          <w:p>
            <w:pPr>
              <w:ind w:left="340"/>
              <w:spacing w:after="0"/>
              <w:rPr>
                <w:sz w:val="20"/>
                <w:szCs w:val="20"/>
                <w:color w:val="auto"/>
              </w:rPr>
            </w:pPr>
            <w:r>
              <w:rPr>
                <w:rFonts w:ascii="Calibri" w:cs="Calibri" w:eastAsia="Calibri" w:hAnsi="Calibri"/>
                <w:sz w:val="18"/>
                <w:szCs w:val="18"/>
                <w:color w:val="51555C"/>
              </w:rPr>
              <w:t>(Principal Executve Ofcer)</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Pursuant to the requirements of the Securites Exchange Act of 1934, this Form 10-K has been signed below by the following persons on behalf of the Registrant and on the dates indicated.</w:t>
      </w:r>
    </w:p>
    <w:p>
      <w:pPr>
        <w:sectPr>
          <w:pgSz w:w="11900" w:h="16838" w:orient="portrait"/>
          <w:cols w:equalWidth="0" w:num="1">
            <w:col w:w="11240"/>
          </w:cols>
          <w:pgMar w:left="320" w:top="111" w:right="339" w:bottom="1440" w:gutter="0" w:footer="0" w:header="0"/>
        </w:sectPr>
      </w:pPr>
    </w:p>
    <w:p>
      <w:pPr>
        <w:spacing w:after="0" w:line="375"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MICHAEL P. GIANONI</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Michael P. Gianoni</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ANTHONY W. BOOR</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Anthony W. Boor</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ANDREW M. LEITCH</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Andrew M. Leitch</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DENEEN DEFIORE</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Deneen DeFiore</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YOGESH K. GUPTA</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Yogesh K. Gupta</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RUPAL S. HOLLENBECK</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Rupal S. Hollenbeck</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D. ROGER NANNEY</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D. Roger Nanney</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SARAH E. NASH</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Sarah E. Nash</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BRADLEY L. PYBURN</w:t>
            </w:r>
          </w:p>
        </w:tc>
      </w:tr>
      <w:tr>
        <w:trPr>
          <w:trHeight w:val="50"/>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Bradley L. Pyburn</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00" w:type="dxa"/>
            <w:vAlign w:val="bottom"/>
          </w:tcPr>
          <w:p>
            <w:pPr>
              <w:ind w:left="120"/>
              <w:spacing w:after="0"/>
              <w:rPr>
                <w:sz w:val="20"/>
                <w:szCs w:val="20"/>
                <w:color w:val="auto"/>
              </w:rPr>
            </w:pPr>
            <w:r>
              <w:rPr>
                <w:rFonts w:ascii="Calibri" w:cs="Calibri" w:eastAsia="Calibri" w:hAnsi="Calibri"/>
                <w:sz w:val="18"/>
                <w:szCs w:val="18"/>
                <w:color w:val="51555C"/>
              </w:rPr>
              <w:t>KRISTIAN P. TALVITIE</w:t>
            </w:r>
          </w:p>
        </w:tc>
      </w:tr>
      <w:tr>
        <w:trPr>
          <w:trHeight w:val="51"/>
        </w:trPr>
        <w:tc>
          <w:tcPr>
            <w:tcW w:w="360" w:type="dxa"/>
            <w:vAlign w:val="bottom"/>
            <w:tcBorders>
              <w:bottom w:val="single" w:sz="8" w:color="51555C"/>
            </w:tcBorders>
          </w:tcPr>
          <w:p>
            <w:pPr>
              <w:spacing w:after="0"/>
              <w:rPr>
                <w:sz w:val="4"/>
                <w:szCs w:val="4"/>
                <w:color w:val="auto"/>
              </w:rPr>
            </w:pPr>
          </w:p>
        </w:tc>
        <w:tc>
          <w:tcPr>
            <w:tcW w:w="290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00" w:type="dxa"/>
            <w:vAlign w:val="bottom"/>
          </w:tcPr>
          <w:p>
            <w:pPr>
              <w:ind w:left="320"/>
              <w:spacing w:after="0" w:line="213" w:lineRule="exact"/>
              <w:rPr>
                <w:sz w:val="20"/>
                <w:szCs w:val="20"/>
                <w:color w:val="auto"/>
              </w:rPr>
            </w:pPr>
            <w:r>
              <w:rPr>
                <w:rFonts w:ascii="Calibri" w:cs="Calibri" w:eastAsia="Calibri" w:hAnsi="Calibri"/>
                <w:sz w:val="18"/>
                <w:szCs w:val="18"/>
                <w:b w:val="1"/>
                <w:bCs w:val="1"/>
                <w:color w:val="51555C"/>
              </w:rPr>
              <w:t>Kristan P. Talvite</w:t>
            </w: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880" w:type="dxa"/>
            <w:vAlign w:val="bottom"/>
            <w:vMerge w:val="restart"/>
          </w:tcPr>
          <w:p>
            <w:pPr>
              <w:spacing w:after="0"/>
              <w:rPr>
                <w:sz w:val="20"/>
                <w:szCs w:val="20"/>
                <w:color w:val="auto"/>
              </w:rPr>
            </w:pPr>
            <w:r>
              <w:rPr>
                <w:rFonts w:ascii="Calibri" w:cs="Calibri" w:eastAsia="Calibri" w:hAnsi="Calibri"/>
                <w:sz w:val="18"/>
                <w:szCs w:val="18"/>
                <w:color w:val="51555C"/>
              </w:rPr>
              <w:t>Chief Executve Ofcer, President and Vice Chairman of the Board</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54"/>
        </w:trPr>
        <w:tc>
          <w:tcPr>
            <w:tcW w:w="48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Calibri" w:cs="Calibri" w:eastAsia="Calibri" w:hAnsi="Calibri"/>
                <w:sz w:val="18"/>
                <w:szCs w:val="18"/>
                <w:color w:val="51555C"/>
              </w:rPr>
              <w:t>(Principal Executve Ofcer)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4880" w:type="dxa"/>
            <w:vAlign w:val="bottom"/>
            <w:vMerge w:val="restart"/>
          </w:tcPr>
          <w:p>
            <w:pPr>
              <w:spacing w:after="0"/>
              <w:rPr>
                <w:sz w:val="20"/>
                <w:szCs w:val="20"/>
                <w:color w:val="auto"/>
              </w:rPr>
            </w:pPr>
            <w:r>
              <w:rPr>
                <w:rFonts w:ascii="Calibri" w:cs="Calibri" w:eastAsia="Calibri" w:hAnsi="Calibri"/>
                <w:sz w:val="18"/>
                <w:szCs w:val="18"/>
                <w:color w:val="51555C"/>
              </w:rPr>
              <w:t>Executve Vice President and Chief Financial Ofcer (Principal</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54"/>
        </w:trPr>
        <w:tc>
          <w:tcPr>
            <w:tcW w:w="488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Calibri" w:cs="Calibri" w:eastAsia="Calibri" w:hAnsi="Calibri"/>
                <w:sz w:val="18"/>
                <w:szCs w:val="18"/>
                <w:color w:val="51555C"/>
              </w:rPr>
              <w:t>Financial and Accountng Ofcer)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4880" w:type="dxa"/>
            <w:vAlign w:val="bottom"/>
          </w:tcPr>
          <w:p>
            <w:pPr>
              <w:spacing w:after="0"/>
              <w:rPr>
                <w:sz w:val="20"/>
                <w:szCs w:val="20"/>
                <w:color w:val="auto"/>
              </w:rPr>
            </w:pPr>
            <w:r>
              <w:rPr>
                <w:rFonts w:ascii="Calibri" w:cs="Calibri" w:eastAsia="Calibri" w:hAnsi="Calibri"/>
                <w:sz w:val="18"/>
                <w:szCs w:val="18"/>
                <w:color w:val="51555C"/>
              </w:rPr>
              <w:t>Chairman of the Board of Directors</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70"/>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70"/>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69"/>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70"/>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70"/>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69"/>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r>
        <w:trPr>
          <w:trHeight w:val="769"/>
        </w:trPr>
        <w:tc>
          <w:tcPr>
            <w:tcW w:w="4880" w:type="dxa"/>
            <w:vAlign w:val="bottom"/>
          </w:tcPr>
          <w:p>
            <w:pPr>
              <w:spacing w:after="0"/>
              <w:rPr>
                <w:sz w:val="20"/>
                <w:szCs w:val="20"/>
                <w:color w:val="auto"/>
              </w:rPr>
            </w:pPr>
            <w:r>
              <w:rPr>
                <w:rFonts w:ascii="Calibri" w:cs="Calibri" w:eastAsia="Calibri" w:hAnsi="Calibri"/>
                <w:sz w:val="18"/>
                <w:szCs w:val="18"/>
                <w:color w:val="51555C"/>
              </w:rPr>
              <w:t>Director</w:t>
            </w:r>
          </w:p>
        </w:tc>
        <w:tc>
          <w:tcPr>
            <w:tcW w:w="1960" w:type="dxa"/>
            <w:vAlign w:val="bottom"/>
          </w:tcPr>
          <w:p>
            <w:pPr>
              <w:ind w:left="240"/>
              <w:spacing w:after="0"/>
              <w:rPr>
                <w:sz w:val="20"/>
                <w:szCs w:val="20"/>
                <w:color w:val="auto"/>
              </w:rPr>
            </w:pPr>
            <w:r>
              <w:rPr>
                <w:rFonts w:ascii="Calibri" w:cs="Calibri" w:eastAsia="Calibri" w:hAnsi="Calibri"/>
                <w:sz w:val="18"/>
                <w:szCs w:val="18"/>
                <w:color w:val="51555C"/>
                <w:w w:val="96"/>
              </w:rPr>
              <w:t>Date: February 21, 2025</w:t>
            </w:r>
          </w:p>
        </w:tc>
        <w:tc>
          <w:tcPr>
            <w:tcW w:w="0" w:type="dxa"/>
            <w:vAlign w:val="bottom"/>
          </w:tcPr>
          <w:p>
            <w:pPr>
              <w:spacing w:after="0"/>
              <w:rPr>
                <w:sz w:val="1"/>
                <w:szCs w:val="1"/>
                <w:color w:val="auto"/>
              </w:rPr>
            </w:pPr>
          </w:p>
        </w:tc>
      </w:tr>
    </w:tbl>
    <w:p>
      <w:pPr>
        <w:spacing w:after="0" w:line="483" w:lineRule="exact"/>
        <w:rPr>
          <w:sz w:val="20"/>
          <w:szCs w:val="20"/>
          <w:color w:val="auto"/>
        </w:rPr>
      </w:pPr>
    </w:p>
    <w:p>
      <w:pPr>
        <w:sectPr>
          <w:pgSz w:w="11900" w:h="16838" w:orient="portrait"/>
          <w:cols w:equalWidth="0" w:num="2">
            <w:col w:w="3500" w:space="260"/>
            <w:col w:w="7480"/>
          </w:cols>
          <w:pgMar w:left="320" w:top="111" w:right="339" w:bottom="1440" w:gutter="0" w:footer="0" w:header="0"/>
          <w:type w:val="continuous"/>
        </w:sectPr>
      </w:pPr>
    </w:p>
    <w:p>
      <w:pPr>
        <w:spacing w:after="0" w:line="23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118</w:t>
      </w:r>
      <w:r>
        <w:rPr>
          <w:sz w:val="20"/>
          <w:szCs w:val="20"/>
          <w:color w:val="auto"/>
        </w:rPr>
        <w:tab/>
      </w:r>
      <w:r>
        <w:rPr>
          <w:sz w:val="1"/>
          <w:szCs w:val="1"/>
          <w:color w:val="auto"/>
        </w:rPr>
        <w:drawing>
          <wp:inline distT="0" distB="0" distL="0" distR="0">
            <wp:extent cx="728345" cy="188595"/>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2024 Form 10-K</w:t>
      </w:r>
    </w:p>
    <w:p>
      <w:pPr>
        <w:sectPr>
          <w:pgSz w:w="11900" w:h="16838" w:orient="portrait"/>
          <w:cols w:equalWidth="0" w:num="1">
            <w:col w:w="11240"/>
          </w:cols>
          <w:pgMar w:left="320" w:top="111" w:right="3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information concerning the capital stock of Blackbaud, Inc (the "Company"), which consists of (i) up to 180,000,000 shares of common stock, par value $0.001 per share (the “Common Stock”), (ii) up to 20,000,000 shares of preferred stock in one or more classes or series as may be determined by the Company’s board of directors (the “Board of Directors”) in its discretion, and (iii) preferred share purchase rights (the “Rights”). The Common Stock and the Rights are registered pursuant to Section 12 of the Securities Exchange Act of 1934, as amended, and are more fully described below.</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summaries and descriptions below do not purport to be complete statements of the relevant provisions of the Company’s Amended and Restated Certificate of Incorporation (the “Certificate of Incorporation”), Amended and Restated Bylaws (the “Bylaws”) and Rights Agreement (as defined below), each of which are incorporated by reference as an exhibit to the Annual Report on Form 10-K of which this Exhibit 4.1 is a part and are entirely qualified by these documents. We encourage you to read the Certificate of Incorporation, Bylaws, Rights Agreement and the applicable provisions of the Delaware General Corporation Law (the “DGCL”)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holders of Common Stock are entitled to one vote per share on all matters to be voted on by the stockholders, and there are no cumulative voting rights. Generally, all matters to be voted on by stockholders must be approved by a majority of the votes entitled to be cast by all shares of Common Stock present in person or represented by proxy, voting together as a single class, subject to any voting rights granted to holders of any preferred stock; provided, however, that in all director elections that are contested, the nominees for election as a director shall be elected by a plurality of the votes cast. For purposes of the foregoing, an election shall be “contested” if, as of the tenth day preceding the date of the filing of the Company’s definitive proxy statement for such meeting of stockholders, the number of nominees for director exceeds the number of directors to be elected. The Board of Directors is divided into three classes of directors,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holders of Common Stock are entitled to receive ratable dividends, if any, payable in cash, in stock or otherwise, as and when declared from time to time by the Board of Directors out of funds legally available for the payment of dividends, subject to any preferential rights that may be applicable to any outstanding preferred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liquidation, dissolution, or winding up of the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All outstanding shares of Common Stock are fully paid and nonassessable.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rights, preferences, and privileges of holders of Common Stock will be subject to, and may be adversely affected by, the rights of holders of any preferred stock that may be issued in the future, as described below. All shares of Common Stock that are acquired by the Company shall be available for reissuance by the Company, at the sole-discretion of the Board of Directors at any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transfer agent and registrar for the Common Stock is Broadridge Corporate Issuer Solutions, LLC, and its telephone number is (877) 830-4936.</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i w:val="1"/>
          <w:iCs w:val="1"/>
          <w:color w:val="auto"/>
        </w:rPr>
        <w:t>Nasdaq listing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for trading on Nasdaq Global Select Market under the ticker symbol “BLKB.”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Provisions of the Certificate of Incorporation and Bylaws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provisions of the DGCL, the Certificate of Incorporation and Bylaws may have the effect of delaying, deferring or preventing a change in control of the Company or deterring tender offers for Common Stock, proxy contests or other takeover attempts, including discouraging attempts that might result in the payment of a premium over the market price for the shares of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law</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117" w:lineRule="exact"/>
        <w:rPr>
          <w:sz w:val="20"/>
          <w:szCs w:val="20"/>
          <w:color w:val="auto"/>
        </w:rPr>
      </w:pPr>
    </w:p>
    <w:p>
      <w:pPr>
        <w:ind w:left="660" w:hanging="328"/>
        <w:spacing w:after="0" w:line="28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board of directors approved the transaction in which the stockholder became an interested stockholder prior to the date the interested stockholder attained that status;</w:t>
      </w:r>
    </w:p>
    <w:p>
      <w:pPr>
        <w:spacing w:after="0" w:line="1"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the stockholder became an interested stockholder, he or she or it owned at least 85% of the voting stock of the corporation outstanding at the time the transaction commenced, excluding shares owned by persons who are directors and also officers, as well as certain shares owned by employee benefits plans; or</w:t>
      </w:r>
    </w:p>
    <w:p>
      <w:pPr>
        <w:spacing w:after="0" w:line="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the business combination is authorized by the affirmative vote of at least 66 2/3% of the voting stock of the corporation at an annual or special meeting of stockholders.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The Board of Directors is divided into three classes of directors, as nearly equal in number as possible,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class serving a staggered term of three years. Any vacancy on the Board of Directors, regardless of the reason for the vacancy, may be filled by vote of the majority of the directors then in office, except in the case of a vacancy caused by action of the stockholders, which vacancy may only be filled by the stockholders. Directors may be removed from office at any time with or without cause, but only by the holders of a majority of the shares entitled to vote at an election of directors. The classification of directors will have the effect of making it more difficult for stockholders to change the composition of the Board of Directors and could also discourage a third-party from making a tender offer or otherwise attempting to obtain control of the Company, and may maintain the incumbency of the Board of Directors.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Advance notice requirement for stockholder proposals, including director nominations. </w:t>
      </w:r>
      <w:r>
        <w:rPr>
          <w:rFonts w:ascii="Arial" w:cs="Arial" w:eastAsia="Arial" w:hAnsi="Arial"/>
          <w:sz w:val="18"/>
          <w:szCs w:val="18"/>
          <w:color w:val="auto"/>
        </w:rPr>
        <w:t>The Bylaws contain an advance notice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proposals to be brought before a meeting of stockholders, including any proposed nominations of persons for election to the Board of Directors. Stockholders at a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who has given to the Company’s Secretary timely written notice, in proper form, of the stockholder’s intention to bring that business before the meeting, and who has otherwise complied with the Bylaws. Although the Bylaws do not give the Board of Directors the power to approve or disapprove stockholder nominations of candidates for election to the Board of Directors or proposals regarding other business to be conducted at a special or annual meeting of the stockholders, the Bylaws may have the effect of precluding the conduct of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“Blank” Preferred Stock. </w:t>
      </w:r>
      <w:r>
        <w:rPr>
          <w:rFonts w:ascii="Arial" w:cs="Arial" w:eastAsia="Arial" w:hAnsi="Arial"/>
          <w:sz w:val="18"/>
          <w:szCs w:val="18"/>
          <w:color w:val="auto"/>
        </w:rPr>
        <w:t>The Board of Directors has the authority to issue up to an aggregate of 20,000,000 shares of preferred stock in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w:t>
      </w:r>
    </w:p>
    <w:p>
      <w:pPr>
        <w:sectPr>
          <w:pgSz w:w="11900" w:h="16838" w:orient="portrait"/>
          <w:cols w:equalWidth="0" w:num="1">
            <w:col w:w="11240"/>
          </w:cols>
          <w:pgMar w:left="320" w:top="784" w:right="339" w:bottom="1440" w:gutter="0" w:footer="0" w:header="0"/>
        </w:sectPr>
      </w:pPr>
    </w:p>
    <w:bookmarkStart w:id="122" w:name="page123"/>
    <w:bookmarkEnd w:id="122"/>
    <w:p>
      <w:pPr>
        <w:jc w:val="both"/>
        <w:spacing w:after="0" w:line="268" w:lineRule="auto"/>
        <w:rPr>
          <w:sz w:val="20"/>
          <w:szCs w:val="20"/>
          <w:color w:val="auto"/>
        </w:rPr>
      </w:pPr>
      <w:r>
        <w:rPr>
          <w:rFonts w:ascii="Arial" w:cs="Arial" w:eastAsia="Arial" w:hAnsi="Arial"/>
          <w:sz w:val="18"/>
          <w:szCs w:val="18"/>
          <w:color w:val="auto"/>
        </w:rPr>
        <w:t>stock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No shares of preferred stock are currently outstanding.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Emergency Special Meeting of the Board of Directors. </w:t>
      </w:r>
      <w:r>
        <w:rPr>
          <w:rFonts w:ascii="Arial" w:cs="Arial" w:eastAsia="Arial" w:hAnsi="Arial"/>
          <w:sz w:val="18"/>
          <w:szCs w:val="18"/>
          <w:color w:val="auto"/>
        </w:rPr>
        <w:t>The Board of Directors possesses the authority to call and hold emergency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 as such attempts could quickly be thwarted or denied by the Board of Directors.</w:t>
      </w:r>
    </w:p>
    <w:p>
      <w:pPr>
        <w:sectPr>
          <w:pgSz w:w="11900" w:h="16838" w:orient="portrait"/>
          <w:cols w:equalWidth="0" w:num="1">
            <w:col w:w="11240"/>
          </w:cols>
          <w:pgMar w:left="320" w:top="78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Guidelines with Respect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 in Company Securities</w:t>
      </w:r>
    </w:p>
    <w:p>
      <w:pPr>
        <w:spacing w:after="0" w:line="15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w:t>
      </w:r>
    </w:p>
    <w:p>
      <w:pPr>
        <w:spacing w:after="0" w:line="200" w:lineRule="exact"/>
        <w:rPr>
          <w:sz w:val="20"/>
          <w:szCs w:val="20"/>
          <w:color w:val="auto"/>
        </w:rPr>
      </w:pPr>
    </w:p>
    <w:p>
      <w:pPr>
        <w:spacing w:after="0" w:line="295" w:lineRule="exact"/>
        <w:rPr>
          <w:sz w:val="20"/>
          <w:szCs w:val="20"/>
          <w:color w:val="auto"/>
        </w:rPr>
      </w:pPr>
    </w:p>
    <w:p>
      <w:pPr>
        <w:jc w:val="both"/>
        <w:ind w:firstLine="218"/>
        <w:spacing w:after="0" w:line="287" w:lineRule="auto"/>
        <w:rPr>
          <w:sz w:val="20"/>
          <w:szCs w:val="20"/>
          <w:color w:val="auto"/>
        </w:rPr>
      </w:pPr>
      <w:r>
        <w:rPr>
          <w:rFonts w:ascii="Arial" w:cs="Arial" w:eastAsia="Arial" w:hAnsi="Arial"/>
          <w:sz w:val="18"/>
          <w:szCs w:val="18"/>
          <w:color w:val="auto"/>
        </w:rPr>
        <w:t>This Policy provides guidelines to employees, officers and directors of Blackbaud, Inc. (the “Company”) with respect to transactions in the Company’s securities.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Applicability of Policy</w:t>
      </w:r>
    </w:p>
    <w:p>
      <w:pPr>
        <w:spacing w:after="0" w:line="200" w:lineRule="exact"/>
        <w:rPr>
          <w:sz w:val="20"/>
          <w:szCs w:val="20"/>
          <w:color w:val="auto"/>
        </w:rPr>
      </w:pPr>
    </w:p>
    <w:p>
      <w:pPr>
        <w:spacing w:after="0" w:line="214" w:lineRule="exact"/>
        <w:rPr>
          <w:sz w:val="20"/>
          <w:szCs w:val="20"/>
          <w:color w:val="auto"/>
        </w:rPr>
      </w:pPr>
    </w:p>
    <w:p>
      <w:pPr>
        <w:jc w:val="both"/>
        <w:ind w:firstLine="215"/>
        <w:spacing w:after="0" w:line="256" w:lineRule="auto"/>
        <w:rPr>
          <w:sz w:val="20"/>
          <w:szCs w:val="20"/>
          <w:color w:val="auto"/>
        </w:rPr>
      </w:pPr>
      <w:r>
        <w:rPr>
          <w:rFonts w:ascii="Arial" w:cs="Arial" w:eastAsia="Arial" w:hAnsi="Arial"/>
          <w:sz w:val="18"/>
          <w:szCs w:val="18"/>
          <w:color w:val="auto"/>
        </w:rPr>
        <w:t>This Policy applies to all transactions in the Company’s securities, including Common Stock, options to purchase Common Stock and any other securities the Company may issue from time to time, such as preferred stock, warrants or convertible debentures, as well as to derivative securities relating to the Company’s stock, such as exchange-traded options, whether or not issued by the Company. It applies to all officers of the Company, all members of the Company’s Board of Directors and all employees of, and consultants to, the Company and its subsidiaries who receive or have access to material, nonpublic information (“Inside Information”) regarding the Company. This group of people, members of their immediate families, and members of their households are sometimes referred to in this Policy as “Insiders”. This Policy also applies to any person who receives Inside Information from any Insider.</w:t>
      </w:r>
    </w:p>
    <w:p>
      <w:pPr>
        <w:spacing w:after="0" w:line="210" w:lineRule="exact"/>
        <w:rPr>
          <w:sz w:val="20"/>
          <w:szCs w:val="20"/>
          <w:color w:val="auto"/>
        </w:rPr>
      </w:pPr>
    </w:p>
    <w:p>
      <w:pPr>
        <w:jc w:val="both"/>
        <w:ind w:firstLine="274"/>
        <w:spacing w:after="0" w:line="287" w:lineRule="auto"/>
        <w:rPr>
          <w:sz w:val="20"/>
          <w:szCs w:val="20"/>
          <w:color w:val="auto"/>
        </w:rPr>
      </w:pPr>
      <w:r>
        <w:rPr>
          <w:rFonts w:ascii="Arial" w:cs="Arial" w:eastAsia="Arial" w:hAnsi="Arial"/>
          <w:sz w:val="18"/>
          <w:szCs w:val="18"/>
          <w:color w:val="auto"/>
        </w:rPr>
        <w:t>Any person who possesses Inside Information regarding the Company is an Insider for so long as the information is material and not publicly known. Any person can be an Insider from time to time, and would at those times be subject to this Policy.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Policy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Policy</w:t>
      </w:r>
    </w:p>
    <w:p>
      <w:pPr>
        <w:spacing w:after="0" w:line="200" w:lineRule="exact"/>
        <w:rPr>
          <w:sz w:val="20"/>
          <w:szCs w:val="20"/>
          <w:color w:val="auto"/>
        </w:rPr>
      </w:pPr>
    </w:p>
    <w:p>
      <w:pPr>
        <w:spacing w:after="0" w:line="214" w:lineRule="exact"/>
        <w:rPr>
          <w:sz w:val="20"/>
          <w:szCs w:val="20"/>
          <w:color w:val="auto"/>
        </w:rPr>
      </w:pPr>
    </w:p>
    <w:p>
      <w:pPr>
        <w:jc w:val="both"/>
        <w:ind w:firstLine="278"/>
        <w:spacing w:after="0" w:line="287" w:lineRule="auto"/>
        <w:rPr>
          <w:sz w:val="20"/>
          <w:szCs w:val="20"/>
          <w:color w:val="auto"/>
        </w:rPr>
      </w:pPr>
      <w:r>
        <w:rPr>
          <w:rFonts w:ascii="Arial" w:cs="Arial" w:eastAsia="Arial" w:hAnsi="Arial"/>
          <w:sz w:val="18"/>
          <w:szCs w:val="18"/>
          <w:color w:val="auto"/>
        </w:rPr>
        <w:t>It is the policy of the Company to oppose the unauthorized disclosure of any nonpublic information acquired in the workplace and the misuse of Inside Information in securities trading.</w:t>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Specific Policies</w:t>
      </w:r>
    </w:p>
    <w:p>
      <w:pPr>
        <w:spacing w:after="0" w:line="200" w:lineRule="exact"/>
        <w:rPr>
          <w:sz w:val="20"/>
          <w:szCs w:val="20"/>
          <w:color w:val="auto"/>
        </w:rPr>
      </w:pPr>
    </w:p>
    <w:p>
      <w:pPr>
        <w:spacing w:after="0" w:line="214" w:lineRule="exact"/>
        <w:rPr>
          <w:sz w:val="20"/>
          <w:szCs w:val="20"/>
          <w:color w:val="auto"/>
        </w:rPr>
      </w:pPr>
    </w:p>
    <w:p>
      <w:pPr>
        <w:jc w:val="both"/>
        <w:ind w:firstLine="656"/>
        <w:spacing w:after="0" w:line="257" w:lineRule="auto"/>
        <w:tabs>
          <w:tab w:leader="none" w:pos="109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Trading on Inside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director, officer or employee of, or consultant to, the Company, and no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family or household of any such person, shall engage in any transaction involving a purchase or sale of the Company’s securities, including any offer to purchase or offer to sell, during any period commencing with the date that he or she possesses Inside Information concerning the Company, and ending at the close of business on the second Trading Day following the date of public disclosure of such information or at such time as such information is no longer material. As used herein, the term “Trading Day” shall mean a day on which the stock exchange or market on which the Company’s stock trades (currently expected to be the Nasdaq National Market) is open for trading.</w:t>
      </w:r>
    </w:p>
    <w:p>
      <w:pPr>
        <w:spacing w:after="0" w:line="209" w:lineRule="exact"/>
        <w:rPr>
          <w:rFonts w:ascii="Arial" w:cs="Arial" w:eastAsia="Arial" w:hAnsi="Arial"/>
          <w:sz w:val="18"/>
          <w:szCs w:val="18"/>
          <w:b w:val="1"/>
          <w:bCs w:val="1"/>
          <w:color w:val="auto"/>
        </w:rPr>
      </w:pPr>
    </w:p>
    <w:p>
      <w:pPr>
        <w:jc w:val="both"/>
        <w:ind w:firstLine="656"/>
        <w:spacing w:after="0" w:line="262" w:lineRule="auto"/>
        <w:tabs>
          <w:tab w:leader="none" w:pos="11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Tipping</w:t>
      </w:r>
      <w:r>
        <w:rPr>
          <w:rFonts w:ascii="Arial" w:cs="Arial" w:eastAsia="Arial" w:hAnsi="Arial"/>
          <w:sz w:val="18"/>
          <w:szCs w:val="18"/>
          <w:b w:val="1"/>
          <w:bCs w:val="1"/>
          <w:color w:val="auto"/>
        </w:rPr>
        <w:t xml:space="preserve">. </w:t>
      </w:r>
      <w:r>
        <w:rPr>
          <w:rFonts w:ascii="Arial" w:cs="Arial" w:eastAsia="Arial" w:hAnsi="Arial"/>
          <w:sz w:val="18"/>
          <w:szCs w:val="18"/>
          <w:color w:val="auto"/>
        </w:rPr>
        <w:t>No Insider shall disclose (“tip”) Inside Information to any other person (including family members) where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may be used by such person to his or her profit by trading in the securities of companies to which such information relates, nor shall such Insider or related person make recommendations or express opinions on the basis of Inside Information as to trading in the Company’s securities.</w:t>
      </w:r>
    </w:p>
    <w:p>
      <w:pPr>
        <w:spacing w:after="0" w:line="203" w:lineRule="exact"/>
        <w:rPr>
          <w:rFonts w:ascii="Arial" w:cs="Arial" w:eastAsia="Arial" w:hAnsi="Arial"/>
          <w:sz w:val="18"/>
          <w:szCs w:val="18"/>
          <w:b w:val="1"/>
          <w:bCs w:val="1"/>
          <w:color w:val="auto"/>
        </w:rPr>
      </w:pPr>
    </w:p>
    <w:p>
      <w:pPr>
        <w:ind w:firstLine="656"/>
        <w:spacing w:after="0" w:line="287" w:lineRule="auto"/>
        <w:tabs>
          <w:tab w:leader="none" w:pos="102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of Nonpublic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relating to the Company is the property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unauthorized disclosure of such information is forbidden.</w:t>
      </w:r>
    </w:p>
    <w:p>
      <w:pPr>
        <w:spacing w:after="0" w:line="179" w:lineRule="exact"/>
        <w:rPr>
          <w:rFonts w:ascii="Arial" w:cs="Arial" w:eastAsia="Arial" w:hAnsi="Arial"/>
          <w:sz w:val="18"/>
          <w:szCs w:val="18"/>
          <w:b w:val="1"/>
          <w:bCs w:val="1"/>
          <w:color w:val="auto"/>
        </w:rPr>
      </w:pPr>
    </w:p>
    <w:p>
      <w:pPr>
        <w:jc w:val="both"/>
        <w:ind w:firstLine="656"/>
        <w:spacing w:after="0" w:line="268" w:lineRule="auto"/>
        <w:tabs>
          <w:tab w:leader="none" w:pos="109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on Hedging and Pledging.</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Blackbaud employees are not permitted to hedge their economic exposure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 Blackbaud directors and Section 16 reporting officers may not pledge their ownership interests in our common stock to secure a loan.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Criminal and Civil Liability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and/or Disciplinary Action</w:t>
      </w:r>
    </w:p>
    <w:p>
      <w:pPr>
        <w:spacing w:after="0" w:line="396" w:lineRule="exact"/>
        <w:rPr>
          <w:sz w:val="20"/>
          <w:szCs w:val="20"/>
          <w:color w:val="auto"/>
        </w:rPr>
      </w:pPr>
    </w:p>
    <w:p>
      <w:pPr>
        <w:jc w:val="both"/>
        <w:ind w:firstLine="221"/>
        <w:spacing w:after="0" w:line="268" w:lineRule="auto"/>
        <w:tabs>
          <w:tab w:leader="none" w:pos="57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Insider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Insiders may be subject, in addition to disgorgement of profits (or of losses avoided), to penalties of up</w:t>
      </w:r>
      <w:r>
        <w:rPr>
          <w:rFonts w:ascii="Arial" w:cs="Arial" w:eastAsia="Arial" w:hAnsi="Arial"/>
          <w:sz w:val="18"/>
          <w:szCs w:val="18"/>
          <w:b w:val="1"/>
          <w:bCs w:val="1"/>
          <w:color w:val="auto"/>
        </w:rPr>
        <w:t xml:space="preserve"> </w:t>
      </w:r>
      <w:r>
        <w:rPr>
          <w:rFonts w:ascii="Arial" w:cs="Arial" w:eastAsia="Arial" w:hAnsi="Arial"/>
          <w:sz w:val="18"/>
          <w:szCs w:val="18"/>
          <w:color w:val="auto"/>
        </w:rPr>
        <w:t>to $1,000,000 and up to 10 years in jail for engaging in transactions in the Company’s securities at a time when they have knowledge of nonpublic information regarding the Company.</w:t>
      </w:r>
    </w:p>
    <w:p>
      <w:pPr>
        <w:spacing w:after="0" w:line="197" w:lineRule="exact"/>
        <w:rPr>
          <w:rFonts w:ascii="Arial" w:cs="Arial" w:eastAsia="Arial" w:hAnsi="Arial"/>
          <w:sz w:val="18"/>
          <w:szCs w:val="18"/>
          <w:b w:val="1"/>
          <w:bCs w:val="1"/>
          <w:color w:val="auto"/>
        </w:rPr>
      </w:pPr>
    </w:p>
    <w:p>
      <w:pPr>
        <w:jc w:val="both"/>
        <w:ind w:firstLine="269"/>
        <w:spacing w:after="0" w:line="259" w:lineRule="auto"/>
        <w:tabs>
          <w:tab w:leader="none" w:pos="671"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Tipping</w:t>
      </w:r>
      <w:r>
        <w:rPr>
          <w:rFonts w:ascii="Arial" w:cs="Arial" w:eastAsia="Arial" w:hAnsi="Arial"/>
          <w:sz w:val="18"/>
          <w:szCs w:val="18"/>
          <w:b w:val="1"/>
          <w:bCs w:val="1"/>
          <w:color w:val="auto"/>
        </w:rPr>
        <w:t xml:space="preserve">. </w:t>
      </w:r>
      <w:r>
        <w:rPr>
          <w:rFonts w:ascii="Arial" w:cs="Arial" w:eastAsia="Arial" w:hAnsi="Arial"/>
          <w:sz w:val="18"/>
          <w:szCs w:val="18"/>
          <w:color w:val="auto"/>
        </w:rPr>
        <w:t>Insiders may also be liable for improper transactions by any person (commonly referred to as a “tippee”)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they have disclosed Inside Information regarding the Company or to whom they have made recommendations or expressed opinions on the basis of such information as to trading in the Company’s securities. Regulatory authorities have imposed large penalties even when the disclosing person did not profit from the trading. The SEC, the stock exchanges and the National Association of Securities Dealers, Inc. use sophisticated electronic surveillance techniques to uncover insider trading.</w:t>
      </w:r>
    </w:p>
    <w:p>
      <w:pPr>
        <w:spacing w:after="0" w:line="206" w:lineRule="exact"/>
        <w:rPr>
          <w:rFonts w:ascii="Arial" w:cs="Arial" w:eastAsia="Arial" w:hAnsi="Arial"/>
          <w:sz w:val="18"/>
          <w:szCs w:val="18"/>
          <w:b w:val="1"/>
          <w:bCs w:val="1"/>
          <w:color w:val="auto"/>
        </w:rPr>
      </w:pPr>
    </w:p>
    <w:p>
      <w:pPr>
        <w:jc w:val="both"/>
        <w:ind w:firstLine="289"/>
        <w:spacing w:after="0" w:line="268" w:lineRule="auto"/>
        <w:tabs>
          <w:tab w:leader="none" w:pos="712" w:val="left"/>
        </w:tabs>
        <w:numPr>
          <w:ilvl w:val="2"/>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Possible Disciplinary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and consultants to, the Company who violate this Policy shall also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disciplinary action by the Company, which may include ineligibility for future participation in the Company’s equity incentive plans or termination.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Guidelines</w:t>
      </w:r>
    </w:p>
    <w:p>
      <w:pPr>
        <w:spacing w:after="0" w:line="200" w:lineRule="exact"/>
        <w:rPr>
          <w:sz w:val="20"/>
          <w:szCs w:val="20"/>
          <w:color w:val="auto"/>
        </w:rPr>
      </w:pPr>
    </w:p>
    <w:p>
      <w:pPr>
        <w:spacing w:after="0" w:line="214" w:lineRule="exact"/>
        <w:rPr>
          <w:sz w:val="20"/>
          <w:szCs w:val="20"/>
          <w:color w:val="auto"/>
        </w:rPr>
      </w:pPr>
    </w:p>
    <w:p>
      <w:pPr>
        <w:ind w:left="560" w:hanging="352"/>
        <w:spacing w:after="0"/>
        <w:tabs>
          <w:tab w:leader="none" w:pos="5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Black-Out Period and Recommended Trading Window</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right="20" w:firstLine="199"/>
        <w:spacing w:after="0" w:line="268" w:lineRule="auto"/>
        <w:rPr>
          <w:sz w:val="20"/>
          <w:szCs w:val="20"/>
          <w:color w:val="auto"/>
        </w:rPr>
      </w:pPr>
      <w:r>
        <w:rPr>
          <w:rFonts w:ascii="Arial" w:cs="Arial" w:eastAsia="Arial" w:hAnsi="Arial"/>
          <w:sz w:val="18"/>
          <w:szCs w:val="18"/>
          <w:color w:val="auto"/>
        </w:rPr>
        <w:t>To ensure compliance with this Policy and applicable federal and state securities laws, the Company strongly recommends that all persons having access to the Company’s internal financial statements or other Inside Information refrain from conducting transactions involving the purchase or sale of the Company’s securities other than during the following period (the “Trading Window”):</w:t>
      </w:r>
    </w:p>
    <w:p>
      <w:pPr>
        <w:spacing w:after="0" w:line="198" w:lineRule="exact"/>
        <w:rPr>
          <w:sz w:val="20"/>
          <w:szCs w:val="20"/>
          <w:color w:val="auto"/>
        </w:rPr>
      </w:pPr>
    </w:p>
    <w:p>
      <w:pPr>
        <w:jc w:val="both"/>
        <w:ind w:left="660" w:right="660" w:hanging="407"/>
        <w:spacing w:after="0" w:line="262" w:lineRule="auto"/>
        <w:rPr>
          <w:sz w:val="20"/>
          <w:szCs w:val="20"/>
          <w:color w:val="auto"/>
        </w:rPr>
      </w:pPr>
      <w:r>
        <w:rPr>
          <w:rFonts w:ascii="Arial" w:cs="Arial" w:eastAsia="Arial" w:hAnsi="Arial"/>
          <w:sz w:val="18"/>
          <w:szCs w:val="18"/>
          <w:u w:val="single" w:color="auto"/>
          <w:color w:val="auto"/>
        </w:rPr>
        <w:t>Trading Window</w:t>
      </w:r>
      <w:r>
        <w:rPr>
          <w:rFonts w:ascii="Arial" w:cs="Arial" w:eastAsia="Arial" w:hAnsi="Arial"/>
          <w:sz w:val="18"/>
          <w:szCs w:val="18"/>
          <w:color w:val="auto"/>
        </w:rPr>
        <w:t>: The period in any fiscal quarter commencing at the close of business on the second Trading Day following the date of public disclosure of the financial results for the prior fiscal quarter or year and ending on the later of (i) the first calendar day of the third month of the fiscal quarter or (ii) three weeks after the opening of the trading window. If such public disclosure occurs on a Trading</w:t>
      </w:r>
    </w:p>
    <w:p>
      <w:pPr>
        <w:sectPr>
          <w:pgSz w:w="11900" w:h="16838" w:orient="portrait"/>
          <w:cols w:equalWidth="0" w:num="1">
            <w:col w:w="11240"/>
          </w:cols>
          <w:pgMar w:left="320" w:top="944" w:right="339" w:bottom="1440" w:gutter="0" w:footer="0" w:header="0"/>
        </w:sectPr>
      </w:pPr>
    </w:p>
    <w:bookmarkStart w:id="125" w:name="page126"/>
    <w:bookmarkEnd w:id="125"/>
    <w:p>
      <w:pPr>
        <w:ind w:left="660" w:right="660"/>
        <w:spacing w:after="0" w:line="287" w:lineRule="auto"/>
        <w:rPr>
          <w:sz w:val="20"/>
          <w:szCs w:val="20"/>
          <w:color w:val="auto"/>
        </w:rPr>
      </w:pPr>
      <w:r>
        <w:rPr>
          <w:rFonts w:ascii="Arial" w:cs="Arial" w:eastAsia="Arial" w:hAnsi="Arial"/>
          <w:sz w:val="18"/>
          <w:szCs w:val="18"/>
          <w:color w:val="auto"/>
        </w:rPr>
        <w:t>Day before the markets close, then such date of disclosure shall be considered the first Trading Day following such public disclosure.</w:t>
      </w:r>
    </w:p>
    <w:p>
      <w:pPr>
        <w:spacing w:after="0" w:line="180" w:lineRule="exact"/>
        <w:rPr>
          <w:sz w:val="20"/>
          <w:szCs w:val="20"/>
          <w:color w:val="auto"/>
        </w:rPr>
      </w:pPr>
    </w:p>
    <w:p>
      <w:pPr>
        <w:jc w:val="both"/>
        <w:ind w:firstLine="262"/>
        <w:spacing w:after="0" w:line="257" w:lineRule="auto"/>
        <w:rPr>
          <w:sz w:val="20"/>
          <w:szCs w:val="20"/>
          <w:color w:val="auto"/>
        </w:rPr>
      </w:pPr>
      <w:r>
        <w:rPr>
          <w:rFonts w:ascii="Arial" w:cs="Arial" w:eastAsia="Arial" w:hAnsi="Arial"/>
          <w:sz w:val="18"/>
          <w:szCs w:val="18"/>
          <w:color w:val="auto"/>
        </w:rPr>
        <w:t>The safest period for trading in the Company’s securities, assuming the absence of Inside Information, is generally the first 10 Trading Days of the Trading Window. Periods outside the Trading Window (i.e., the last month of each fiscal quarter and the period of time from the end of such quarter until the public disclosure of quarterly results) are particularly sensitive periods of time for transactions in the Company’s stock from the perspective of compliance with applicable securities laws. This is due to the fact that officers, directors and certain other persons will, as any quarter progresses, be increasingly likely to possess Inside Information about the expected financial results for the quarter.</w:t>
      </w:r>
    </w:p>
    <w:p>
      <w:pPr>
        <w:spacing w:after="0" w:line="209" w:lineRule="exact"/>
        <w:rPr>
          <w:sz w:val="20"/>
          <w:szCs w:val="20"/>
          <w:color w:val="auto"/>
        </w:rPr>
      </w:pPr>
    </w:p>
    <w:p>
      <w:pPr>
        <w:jc w:val="both"/>
        <w:ind w:firstLine="215"/>
        <w:spacing w:after="0" w:line="262" w:lineRule="auto"/>
        <w:rPr>
          <w:sz w:val="20"/>
          <w:szCs w:val="20"/>
          <w:color w:val="auto"/>
        </w:rPr>
      </w:pPr>
      <w:r>
        <w:rPr>
          <w:rFonts w:ascii="Arial" w:cs="Arial" w:eastAsia="Arial" w:hAnsi="Arial"/>
          <w:sz w:val="18"/>
          <w:szCs w:val="18"/>
          <w:color w:val="auto"/>
        </w:rPr>
        <w:t>The purpose behind the recommended Trading Window is to help establish a diligent effort to avoid any improper transactions. An Insider may choose not to follow this suggestion, but he or she should be particularly careful with respect to trading outside the Trading Window, since the Insider may, at such time, have access to (or later be deemed to have had access to) Inside Information regarding, among other things, the Company’s anticipated financial performance for the quarter.</w:t>
      </w:r>
    </w:p>
    <w:p>
      <w:pPr>
        <w:spacing w:after="0" w:line="203" w:lineRule="exact"/>
        <w:rPr>
          <w:sz w:val="20"/>
          <w:szCs w:val="20"/>
          <w:color w:val="auto"/>
        </w:rPr>
      </w:pPr>
    </w:p>
    <w:p>
      <w:pPr>
        <w:jc w:val="both"/>
        <w:ind w:firstLine="254"/>
        <w:spacing w:after="0" w:line="257" w:lineRule="auto"/>
        <w:rPr>
          <w:sz w:val="20"/>
          <w:szCs w:val="20"/>
          <w:color w:val="auto"/>
        </w:rPr>
      </w:pPr>
      <w:r>
        <w:rPr>
          <w:rFonts w:ascii="Arial" w:cs="Arial" w:eastAsia="Arial" w:hAnsi="Arial"/>
          <w:sz w:val="18"/>
          <w:szCs w:val="18"/>
          <w:color w:val="auto"/>
        </w:rPr>
        <w:t xml:space="preserve">It should be noted that even during the Trading Window any person possessing Inside Information concerning the Company should not engage in any transactions in the Company’s securities until such information has been known publicly for at least two Trading Days. Although the Company may from time to time recommend during a Trading Window that directors, officers, selected employees and others suspend trading because of developments known to the Company and not yet disclosed to the public, each person is individually responsible at all times for compliance with the prohibitions against insider trading. Trading in the Company’s securities during the Trading Window 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considered a “safe harbor”, and all directors, officers and other persons should use good judgment at all times.</w:t>
      </w:r>
    </w:p>
    <w:p>
      <w:pPr>
        <w:spacing w:after="0" w:line="209" w:lineRule="exact"/>
        <w:rPr>
          <w:sz w:val="20"/>
          <w:szCs w:val="20"/>
          <w:color w:val="auto"/>
        </w:rPr>
      </w:pPr>
    </w:p>
    <w:p>
      <w:pPr>
        <w:jc w:val="both"/>
        <w:ind w:firstLine="281"/>
        <w:spacing w:after="0" w:line="262" w:lineRule="auto"/>
        <w:rPr>
          <w:sz w:val="20"/>
          <w:szCs w:val="20"/>
          <w:color w:val="auto"/>
        </w:rPr>
      </w:pPr>
      <w:r>
        <w:rPr>
          <w:rFonts w:ascii="Arial" w:cs="Arial" w:eastAsia="Arial" w:hAnsi="Arial"/>
          <w:sz w:val="18"/>
          <w:szCs w:val="18"/>
          <w:color w:val="auto"/>
        </w:rPr>
        <w:t>From time to time, the Company may recommend that directors, officers, selected employees and others suspend trading because of developments known to the Company and not yet disclosed to the public. In such event, such persons are advised not to engage in any transaction involving the purchase or sale of the Company’s securities during such period and should not disclose to others the fact of such suspension of trading.</w:t>
      </w:r>
    </w:p>
    <w:p>
      <w:pPr>
        <w:spacing w:after="0" w:line="203" w:lineRule="exact"/>
        <w:rPr>
          <w:sz w:val="20"/>
          <w:szCs w:val="20"/>
          <w:color w:val="auto"/>
        </w:rPr>
      </w:pPr>
    </w:p>
    <w:p>
      <w:pPr>
        <w:jc w:val="both"/>
        <w:ind w:firstLine="316"/>
        <w:spacing w:after="0" w:line="268" w:lineRule="auto"/>
        <w:tabs>
          <w:tab w:leader="none" w:pos="766" w:val="left"/>
        </w:tabs>
        <w:numPr>
          <w:ilvl w:val="2"/>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Margin Accounts and Collateral</w:t>
      </w:r>
      <w:r>
        <w:rPr>
          <w:rFonts w:ascii="Arial" w:cs="Arial" w:eastAsia="Arial" w:hAnsi="Arial"/>
          <w:sz w:val="18"/>
          <w:szCs w:val="18"/>
          <w:color w:val="auto"/>
        </w:rPr>
        <w:t>. Holding stock of the Company in margin accounts is strongly discouraged. These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brokers to sell stock to cover amounts owed to them. A forced sale could occur at a time when the individual has knowledge of material, nonpublic information about the Company. A similar result can occur when Company stock is pledged as collateral for a loan.</w:t>
      </w:r>
    </w:p>
    <w:p>
      <w:pPr>
        <w:spacing w:after="0" w:line="197" w:lineRule="exact"/>
        <w:rPr>
          <w:rFonts w:ascii="Arial" w:cs="Arial" w:eastAsia="Arial" w:hAnsi="Arial"/>
          <w:sz w:val="18"/>
          <w:szCs w:val="18"/>
          <w:b w:val="1"/>
          <w:bCs w:val="1"/>
          <w:color w:val="auto"/>
        </w:rPr>
      </w:pPr>
    </w:p>
    <w:p>
      <w:pPr>
        <w:jc w:val="both"/>
        <w:ind w:firstLine="248"/>
        <w:spacing w:after="0" w:line="257" w:lineRule="auto"/>
        <w:tabs>
          <w:tab w:leader="none" w:pos="63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Preclearance of Trades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determined that all officers and directors of the Company and the employees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should refrain from trading in the Company’s securities, even during the Trading Window, without first complying with the Company’s mandatory “preclearance” procedures, a copy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Officers and directors and employees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should contact the Company’s Insider Trading Compliance Officer prior to initiating any purchase or sale of the Company’s securities. The Company may also find it necessary, from time to time, to require compliance with the preclearance process from certain employees, consultants and contractors other than and in addition to officers and directors and the employees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9" w:lineRule="exact"/>
        <w:rPr>
          <w:rFonts w:ascii="Arial" w:cs="Arial" w:eastAsia="Arial" w:hAnsi="Arial"/>
          <w:sz w:val="18"/>
          <w:szCs w:val="18"/>
          <w:b w:val="1"/>
          <w:bCs w:val="1"/>
          <w:color w:val="auto"/>
        </w:rPr>
      </w:pPr>
    </w:p>
    <w:p>
      <w:pPr>
        <w:jc w:val="both"/>
        <w:ind w:firstLine="269"/>
        <w:spacing w:after="0" w:line="262" w:lineRule="auto"/>
        <w:tabs>
          <w:tab w:leader="none" w:pos="671"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Individual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Every officer, director and employee has the individual responsibility to comply with this Policy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regardless of whether the Company has recommended a trading window to that Insider or any other Insiders of the Company. The guidelines set forth in this Policy are guidelines only, and appropriate judgment should be exercised in connection with any trade in the Company’s securities.</w:t>
      </w:r>
    </w:p>
    <w:p>
      <w:pPr>
        <w:spacing w:after="0" w:line="203" w:lineRule="exact"/>
        <w:rPr>
          <w:sz w:val="20"/>
          <w:szCs w:val="20"/>
          <w:color w:val="auto"/>
        </w:rPr>
      </w:pPr>
    </w:p>
    <w:p>
      <w:pPr>
        <w:jc w:val="both"/>
        <w:ind w:firstLine="229"/>
        <w:spacing w:after="0" w:line="268" w:lineRule="auto"/>
        <w:rPr>
          <w:sz w:val="20"/>
          <w:szCs w:val="20"/>
          <w:color w:val="auto"/>
        </w:rPr>
      </w:pPr>
      <w:r>
        <w:rPr>
          <w:rFonts w:ascii="Arial" w:cs="Arial" w:eastAsia="Arial" w:hAnsi="Arial"/>
          <w:sz w:val="18"/>
          <w:szCs w:val="18"/>
          <w:color w:val="auto"/>
        </w:rPr>
        <w:t>An Insider may, from time to time, have to forego a proposed transaction in the Company’s securities even if he or she planned to make the transaction before learning of the Inside Information and even though the Insider believes he or she may suffer an economic loss or forego anticipated profit by waiting.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Applicability of Policy to Inside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Other Companies</w:t>
      </w:r>
    </w:p>
    <w:p>
      <w:pPr>
        <w:sectPr>
          <w:pgSz w:w="11900" w:h="16838" w:orient="portrait"/>
          <w:cols w:equalWidth="0" w:num="1">
            <w:col w:w="11240"/>
          </w:cols>
          <w:pgMar w:left="320" w:top="944" w:right="339" w:bottom="1440" w:gutter="0" w:footer="0" w:header="0"/>
        </w:sectPr>
      </w:pPr>
    </w:p>
    <w:bookmarkStart w:id="126" w:name="page127"/>
    <w:bookmarkEnd w:id="126"/>
    <w:p>
      <w:pPr>
        <w:jc w:val="both"/>
        <w:ind w:firstLine="278"/>
        <w:spacing w:after="0" w:line="259" w:lineRule="auto"/>
        <w:rPr>
          <w:sz w:val="20"/>
          <w:szCs w:val="20"/>
          <w:color w:val="auto"/>
        </w:rPr>
      </w:pPr>
      <w:r>
        <w:rPr>
          <w:rFonts w:ascii="Arial" w:cs="Arial" w:eastAsia="Arial" w:hAnsi="Arial"/>
          <w:sz w:val="18"/>
          <w:szCs w:val="18"/>
          <w:color w:val="auto"/>
        </w:rPr>
        <w:t>This Policy and the guidelines described herein also apply to Inside Information relating to other companies, including the Company’s customers, vendors or suppliers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employees should treat Inside Information about the Company’s business partners with the same care as is required with respect to information relating directly to the Company.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Inside Information</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“Inside Information”, for the purposes of this Policy, is material, nonpublic information.</w:t>
      </w:r>
    </w:p>
    <w:p>
      <w:pPr>
        <w:spacing w:after="0" w:line="252" w:lineRule="exact"/>
        <w:rPr>
          <w:sz w:val="20"/>
          <w:szCs w:val="20"/>
          <w:color w:val="auto"/>
        </w:rPr>
      </w:pPr>
    </w:p>
    <w:p>
      <w:pPr>
        <w:jc w:val="both"/>
        <w:ind w:firstLine="330"/>
        <w:spacing w:after="0" w:line="259" w:lineRule="auto"/>
        <w:rPr>
          <w:sz w:val="20"/>
          <w:szCs w:val="20"/>
          <w:color w:val="auto"/>
        </w:rPr>
      </w:pPr>
      <w:r>
        <w:rPr>
          <w:rFonts w:ascii="Arial" w:cs="Arial" w:eastAsia="Arial" w:hAnsi="Arial"/>
          <w:sz w:val="18"/>
          <w:szCs w:val="18"/>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Either positive or negative information may be material. 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206" w:lineRule="exact"/>
        <w:rPr>
          <w:sz w:val="20"/>
          <w:szCs w:val="20"/>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results</w:t>
      </w:r>
    </w:p>
    <w:p>
      <w:pPr>
        <w:spacing w:after="0" w:line="27"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Projections of future earnings or losses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News of a pending or proposed merger or acquisition</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News of the disposition of a subsidiary</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Impending bankruptcy or financial liquidity problems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Gain or loss of a substantial customer or supplier</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dividend policy</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New product or service announcements of a significant nature</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Significant product defects or modifications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Significant pricing changes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 splits or cash or stock dividends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New equity or debt offerings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Significant litigation exposure due to actual or threatened litigation</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Major changes in senior management</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Listing status on an exchange or market</w:t>
      </w:r>
    </w:p>
    <w:p>
      <w:pPr>
        <w:spacing w:after="0" w:line="200" w:lineRule="exact"/>
        <w:rPr>
          <w:sz w:val="20"/>
          <w:szCs w:val="20"/>
          <w:color w:val="auto"/>
        </w:rPr>
      </w:pPr>
    </w:p>
    <w:p>
      <w:pPr>
        <w:spacing w:after="0" w:line="277" w:lineRule="exact"/>
        <w:rPr>
          <w:sz w:val="20"/>
          <w:szCs w:val="20"/>
          <w:color w:val="auto"/>
        </w:rPr>
      </w:pPr>
    </w:p>
    <w:p>
      <w:pPr>
        <w:jc w:val="both"/>
        <w:ind w:firstLine="281"/>
        <w:spacing w:after="0" w:line="287" w:lineRule="auto"/>
        <w:rPr>
          <w:sz w:val="20"/>
          <w:szCs w:val="20"/>
          <w:color w:val="auto"/>
        </w:rPr>
      </w:pPr>
      <w:r>
        <w:rPr>
          <w:rFonts w:ascii="Arial" w:cs="Arial" w:eastAsia="Arial" w:hAnsi="Arial"/>
          <w:sz w:val="18"/>
          <w:szCs w:val="18"/>
          <w:color w:val="auto"/>
        </w:rPr>
        <w:t>Nonpublic information is information that has not been previously disclosed to the general public and is otherwise not available to the general public.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Exceptions</w:t>
      </w:r>
    </w:p>
    <w:p>
      <w:pPr>
        <w:spacing w:after="0" w:line="200" w:lineRule="exact"/>
        <w:rPr>
          <w:sz w:val="20"/>
          <w:szCs w:val="20"/>
          <w:color w:val="auto"/>
        </w:rPr>
      </w:pPr>
    </w:p>
    <w:p>
      <w:pPr>
        <w:spacing w:after="0" w:line="214" w:lineRule="exact"/>
        <w:rPr>
          <w:sz w:val="20"/>
          <w:szCs w:val="20"/>
          <w:color w:val="auto"/>
        </w:rPr>
      </w:pPr>
    </w:p>
    <w:p>
      <w:pPr>
        <w:jc w:val="both"/>
        <w:ind w:firstLine="252"/>
        <w:spacing w:after="0" w:line="268" w:lineRule="auto"/>
        <w:rPr>
          <w:sz w:val="20"/>
          <w:szCs w:val="20"/>
          <w:color w:val="auto"/>
        </w:rPr>
      </w:pPr>
      <w:r>
        <w:rPr>
          <w:rFonts w:ascii="Arial" w:cs="Arial" w:eastAsia="Arial" w:hAnsi="Arial"/>
          <w:sz w:val="18"/>
          <w:szCs w:val="18"/>
          <w:color w:val="auto"/>
        </w:rPr>
        <w:t xml:space="preserve">For purposes of this Policy, the Company considers that the exercise of stock options for cash under the Company’s stock option plans (but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the sale of any such shares) is exempt from this Policy, since the other party to the transaction is the Company itself and the price does not vary with the market but is fixed by the terms of the option agreement or the plan.</w:t>
      </w:r>
    </w:p>
    <w:p>
      <w:pPr>
        <w:spacing w:after="0" w:line="198" w:lineRule="exact"/>
        <w:rPr>
          <w:sz w:val="20"/>
          <w:szCs w:val="20"/>
          <w:color w:val="auto"/>
        </w:rPr>
      </w:pPr>
    </w:p>
    <w:p>
      <w:pPr>
        <w:jc w:val="both"/>
        <w:ind w:firstLine="285"/>
        <w:spacing w:after="0" w:line="287" w:lineRule="auto"/>
        <w:rPr>
          <w:sz w:val="20"/>
          <w:szCs w:val="20"/>
          <w:color w:val="auto"/>
        </w:rPr>
      </w:pPr>
      <w:r>
        <w:rPr>
          <w:rFonts w:ascii="Arial" w:cs="Arial" w:eastAsia="Arial" w:hAnsi="Arial"/>
          <w:sz w:val="18"/>
          <w:szCs w:val="18"/>
          <w:color w:val="auto"/>
        </w:rPr>
        <w:t>In addition, Rule 10b5-1 promulgated under the Securities Exchange Act of 1934, as amended, provides affirmative defenses against insider trading claims if the person making the purchase or sale demonstrates that:</w:t>
      </w:r>
    </w:p>
    <w:p>
      <w:pPr>
        <w:spacing w:after="0" w:line="180" w:lineRule="exact"/>
        <w:rPr>
          <w:sz w:val="20"/>
          <w:szCs w:val="20"/>
          <w:color w:val="auto"/>
        </w:rPr>
      </w:pPr>
    </w:p>
    <w:p>
      <w:pPr>
        <w:ind w:left="1100" w:hanging="444"/>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before becoming aware of the information, the person had:</w:t>
      </w:r>
    </w:p>
    <w:p>
      <w:pPr>
        <w:spacing w:after="0" w:line="252" w:lineRule="exact"/>
        <w:rPr>
          <w:rFonts w:ascii="Arial" w:cs="Arial" w:eastAsia="Arial" w:hAnsi="Arial"/>
          <w:sz w:val="18"/>
          <w:szCs w:val="18"/>
          <w:color w:val="auto"/>
        </w:rPr>
      </w:pPr>
    </w:p>
    <w:p>
      <w:pPr>
        <w:ind w:left="1720" w:hanging="416"/>
        <w:spacing w:after="0"/>
        <w:tabs>
          <w:tab w:leader="none" w:pos="17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entered into a binding contract to purchase or sell the security;</w:t>
      </w:r>
    </w:p>
    <w:p>
      <w:pPr>
        <w:spacing w:after="0" w:line="252" w:lineRule="exact"/>
        <w:rPr>
          <w:rFonts w:ascii="Arial" w:cs="Arial" w:eastAsia="Arial" w:hAnsi="Arial"/>
          <w:sz w:val="18"/>
          <w:szCs w:val="18"/>
          <w:color w:val="auto"/>
        </w:rPr>
      </w:pPr>
    </w:p>
    <w:p>
      <w:pPr>
        <w:ind w:left="1720" w:hanging="416"/>
        <w:spacing w:after="0"/>
        <w:tabs>
          <w:tab w:leader="none" w:pos="17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instructed another person to purchase or sell the security for the instructing person’s account; or</w:t>
      </w:r>
    </w:p>
    <w:p>
      <w:pPr>
        <w:sectPr>
          <w:pgSz w:w="11900" w:h="16838" w:orient="portrait"/>
          <w:cols w:equalWidth="0" w:num="1">
            <w:col w:w="11240"/>
          </w:cols>
          <w:pgMar w:left="320" w:top="1187" w:right="339" w:bottom="1440" w:gutter="0" w:footer="0" w:header="0"/>
        </w:sectPr>
      </w:pPr>
    </w:p>
    <w:bookmarkStart w:id="127" w:name="page128"/>
    <w:bookmarkEnd w:id="127"/>
    <w:p>
      <w:pPr>
        <w:ind w:left="1720" w:hanging="416"/>
        <w:spacing w:after="0"/>
        <w:tabs>
          <w:tab w:leader="none" w:pos="1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adopted a written plan for trading securities; and</w:t>
      </w:r>
    </w:p>
    <w:p>
      <w:pPr>
        <w:spacing w:after="0" w:line="252" w:lineRule="exact"/>
        <w:rPr>
          <w:rFonts w:ascii="Arial" w:cs="Arial" w:eastAsia="Arial" w:hAnsi="Arial"/>
          <w:sz w:val="18"/>
          <w:szCs w:val="18"/>
          <w:color w:val="auto"/>
        </w:rPr>
      </w:pPr>
    </w:p>
    <w:p>
      <w:pPr>
        <w:ind w:left="1100" w:hanging="444"/>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contract, instruction or plan must have:</w:t>
      </w:r>
    </w:p>
    <w:p>
      <w:pPr>
        <w:spacing w:after="0" w:line="252" w:lineRule="exact"/>
        <w:rPr>
          <w:rFonts w:ascii="Arial" w:cs="Arial" w:eastAsia="Arial" w:hAnsi="Arial"/>
          <w:sz w:val="18"/>
          <w:szCs w:val="18"/>
          <w:color w:val="auto"/>
        </w:rPr>
      </w:pPr>
    </w:p>
    <w:p>
      <w:pPr>
        <w:ind w:left="1660" w:hanging="356"/>
        <w:spacing w:after="0" w:line="287" w:lineRule="auto"/>
        <w:tabs>
          <w:tab w:leader="none" w:pos="17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specified the amount of securities to be purchased or sold and the price at which and the date on which the securities were to be purchased and sold;</w:t>
      </w:r>
    </w:p>
    <w:p>
      <w:pPr>
        <w:spacing w:after="0" w:line="179" w:lineRule="exact"/>
        <w:rPr>
          <w:rFonts w:ascii="Arial" w:cs="Arial" w:eastAsia="Arial" w:hAnsi="Arial"/>
          <w:sz w:val="18"/>
          <w:szCs w:val="18"/>
          <w:color w:val="auto"/>
        </w:rPr>
      </w:pPr>
    </w:p>
    <w:p>
      <w:pPr>
        <w:ind w:left="1660" w:hanging="356"/>
        <w:spacing w:after="0" w:line="287" w:lineRule="auto"/>
        <w:tabs>
          <w:tab w:leader="none" w:pos="1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included a written formula or algorithm, or computer program, for determining the amount of securities to be purchased or sold and the price at which and the date on which the securities were to be purchased or sold; or</w:t>
      </w:r>
    </w:p>
    <w:p>
      <w:pPr>
        <w:spacing w:after="0" w:line="179" w:lineRule="exact"/>
        <w:rPr>
          <w:rFonts w:ascii="Arial" w:cs="Arial" w:eastAsia="Arial" w:hAnsi="Arial"/>
          <w:sz w:val="18"/>
          <w:szCs w:val="18"/>
          <w:color w:val="auto"/>
        </w:rPr>
      </w:pPr>
    </w:p>
    <w:p>
      <w:pPr>
        <w:jc w:val="both"/>
        <w:ind w:left="1660" w:hanging="356"/>
        <w:spacing w:after="0" w:line="268" w:lineRule="auto"/>
        <w:tabs>
          <w:tab w:leader="none" w:pos="18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did not permit the person to exercise any subsequent influence over how, when, or whether to effect purchases or sales; provided, in addition, that any other person who, pursuant to the contract, instruction or plan, did exercise such influence must not have been aware of the material nonpublic information when doing so; </w:t>
      </w:r>
      <w:r>
        <w:rPr>
          <w:rFonts w:ascii="Arial" w:cs="Arial" w:eastAsia="Arial" w:hAnsi="Arial"/>
          <w:sz w:val="18"/>
          <w:szCs w:val="18"/>
          <w:u w:val="single" w:color="auto"/>
          <w:color w:val="auto"/>
        </w:rPr>
        <w:t>and</w:t>
      </w:r>
    </w:p>
    <w:p>
      <w:pPr>
        <w:spacing w:after="0" w:line="197" w:lineRule="exact"/>
        <w:rPr>
          <w:rFonts w:ascii="Arial" w:cs="Arial" w:eastAsia="Arial" w:hAnsi="Arial"/>
          <w:sz w:val="18"/>
          <w:szCs w:val="18"/>
          <w:color w:val="auto"/>
        </w:rPr>
      </w:pPr>
    </w:p>
    <w:p>
      <w:pPr>
        <w:ind w:left="1300" w:hanging="644"/>
        <w:spacing w:after="0" w:line="262" w:lineRule="auto"/>
        <w:tabs>
          <w:tab w:leader="none" w:pos="12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purchase or sale that occurred was pursuant to the contract, instruction or plan. For example, a person will fail this requirement if the person alters or deviates from the contract, instruction or plan to purchase or sell securities, whether by changing the amount, price or timing of the purchase or sale, or if such person entered into or altered a corresponding or hedging transaction or position with respect to those securities.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Directors and Officers</w:t>
      </w:r>
    </w:p>
    <w:p>
      <w:pPr>
        <w:spacing w:after="0" w:line="200" w:lineRule="exact"/>
        <w:rPr>
          <w:sz w:val="20"/>
          <w:szCs w:val="20"/>
          <w:color w:val="auto"/>
        </w:rPr>
      </w:pPr>
    </w:p>
    <w:p>
      <w:pPr>
        <w:spacing w:after="0" w:line="21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Directors and officers of the Company must also comply with the reporting obligations and limitations on short-swing transactions set forth in Section 16 of the Securities Exchange Act of 1934, as amended. The practical effect of these provisions is that officers and directors who purchase and sell the Company’s securities within a six-month period must disgorge all profits to the Company whether or not they had knowledge of any Inside Information. Under these provisions, and so long as certain other criteria are met, neither the receipt of an option under the Company’s option plans, nor the exercise of that option, is deemed a purchase under Section 16; however, the sale of any such shares is a sale under Section 16. Moreover, no officer or director may ever make a short sale of the Company’s stock. The Company has provided, or will provide, separate memoranda and other appropriate materials to its officers and directors regarding compliance with Section 16 and its related rules.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Inquiries</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direct your questions as to any of the matters discussed in this Policy to the Company’s General Counsel.</w:t>
      </w:r>
    </w:p>
    <w:p>
      <w:pPr>
        <w:sectPr>
          <w:pgSz w:w="11900" w:h="16838" w:orient="portrait"/>
          <w:cols w:equalWidth="0" w:num="1">
            <w:col w:w="11240"/>
          </w:cols>
          <w:pgMar w:left="320" w:top="944"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 Requiring Preclearance of Trades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file with Company]</w:t>
      </w:r>
    </w:p>
    <w:p>
      <w:pPr>
        <w:sectPr>
          <w:pgSz w:w="11900" w:h="16838" w:orient="portrait"/>
          <w:cols w:equalWidth="0" w:num="1">
            <w:col w:w="9019"/>
          </w:cols>
          <w:pgMar w:left="1440" w:top="944"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PRE-CLEARANCE AND COMPLIANCE PROCEDURES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 ensure compliance with the accelerated reporting requirements for reporting insider transactions in equity securities of Blackbaud, Inc. (the “Company”) and to help prevent in advance any inadvertent violations of the federal securities laws, and to avoid even the appearance of trading on inside information, effective immediately upon an initial public offering of our common stock we are implementing the following:</w:t>
      </w:r>
    </w:p>
    <w:p>
      <w:pPr>
        <w:spacing w:after="0" w:line="55" w:lineRule="exact"/>
        <w:rPr>
          <w:sz w:val="20"/>
          <w:szCs w:val="20"/>
          <w:color w:val="auto"/>
        </w:rPr>
      </w:pPr>
    </w:p>
    <w:p>
      <w:pPr>
        <w:jc w:val="both"/>
        <w:ind w:firstLine="656"/>
        <w:spacing w:after="0" w:line="256" w:lineRule="auto"/>
        <w:tabs>
          <w:tab w:leader="none" w:pos="100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Our Mandatory Pre-clearance Procedure</w:t>
      </w:r>
      <w:r>
        <w:rPr>
          <w:rFonts w:ascii="Arial" w:cs="Arial" w:eastAsia="Arial" w:hAnsi="Arial"/>
          <w:sz w:val="18"/>
          <w:szCs w:val="18"/>
          <w:color w:val="auto"/>
        </w:rPr>
        <w:t>. Directors and executive officers of the Company and any other persons designated under our Insider Trading Policy or otherwise designated by our General Counsel as being subject to the Company's pre-clearance procedures, together with their family members, may not engage in any transaction involving Company securities (including market or private purchases or sales, option exercises, pledges, gifts, contributions to a trust, or any other transfers) without first obtaining pre-clearance of the transaction from the Company’s General Counsel (or in his absence, the Chief Financial Officer). A request for pre-clearance should be submitted to the General Counsel at least two days in advance of the proposed transaction. The General Counsel will then determine whether the transaction may proceed and, if so, assist in complying with the new reporting requirements.</w:t>
      </w:r>
    </w:p>
    <w:p>
      <w:pPr>
        <w:spacing w:after="0" w:line="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Any person subject to the pre-clearance requirements who wishes to implement a new trading plan under SEC Rule 10b5-1 must first pre-clear the plan with the General Counsel. Transactions effected pursuant to a pre-cleared trading plan will not require further pre-clearance at the time of the transaction if the plan specifies the dates, prices and amounts of the contemplated trades, or establishes a formula for determining the dates, prices and amounts. Those transactions, however, must be reported immediately to the General Counsel.</w:t>
      </w:r>
    </w:p>
    <w:p>
      <w:pPr>
        <w:spacing w:after="0" w:line="55" w:lineRule="exact"/>
        <w:rPr>
          <w:sz w:val="20"/>
          <w:szCs w:val="20"/>
          <w:color w:val="auto"/>
        </w:rPr>
      </w:pPr>
    </w:p>
    <w:p>
      <w:pPr>
        <w:jc w:val="both"/>
        <w:ind w:firstLine="208"/>
        <w:spacing w:after="0" w:line="268"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Designated Broker and New Broker Interface Procedures</w:t>
      </w:r>
      <w:r>
        <w:rPr>
          <w:rFonts w:ascii="Arial" w:cs="Arial" w:eastAsia="Arial" w:hAnsi="Arial"/>
          <w:sz w:val="18"/>
          <w:szCs w:val="18"/>
          <w:color w:val="auto"/>
        </w:rPr>
        <w:t>. The new accelerated reporting of transactions will require tight interface with brokers handling transactions for our insiders. A knowledgeable, alert broker can act as a gatekeeper, helping ensure compliance with our pre-clearance procedures and helping prevent inadvertent violations.</w:t>
      </w:r>
    </w:p>
    <w:p>
      <w:pPr>
        <w:spacing w:after="0" w:line="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intend to work out a coordinated procedure with a brokerage firm selected by management. Those of you who are not currently using management’s designated broker as your broker are encouraged to enter all your company stock transactions through him/her. (We will select a broker who can assure us that it will not seek to reinvest the funds from your company stock transactions or seek any of your other securities business.)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you choose to use our designated broker or your own broker, we will require that you and your broker sign the enclosed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Broker Instruction/Representation which imposes two requirements on the broker handling your transaction in Company stock:</w:t>
      </w:r>
    </w:p>
    <w:p>
      <w:pPr>
        <w:spacing w:after="0" w:line="86" w:lineRule="exact"/>
        <w:rPr>
          <w:sz w:val="20"/>
          <w:szCs w:val="20"/>
          <w:color w:val="auto"/>
        </w:rPr>
      </w:pPr>
    </w:p>
    <w:p>
      <w:pPr>
        <w:ind w:left="920" w:hanging="264"/>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to enter any order (except for orders under pre-approved Rule 10b5-1 plans) without</w:t>
      </w:r>
    </w:p>
    <w:p>
      <w:pPr>
        <w:spacing w:after="0" w:line="103" w:lineRule="exact"/>
        <w:rPr>
          <w:rFonts w:ascii="Arial" w:cs="Arial" w:eastAsia="Arial" w:hAnsi="Arial"/>
          <w:sz w:val="18"/>
          <w:szCs w:val="18"/>
          <w:color w:val="auto"/>
        </w:rPr>
      </w:pPr>
    </w:p>
    <w:p>
      <w:pPr>
        <w:ind w:left="1620" w:hanging="316"/>
        <w:spacing w:after="0"/>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first verifying with the company that your transaction was pre-cleared, and</w:t>
      </w:r>
    </w:p>
    <w:p>
      <w:pPr>
        <w:spacing w:after="0" w:line="90" w:lineRule="exact"/>
        <w:rPr>
          <w:rFonts w:ascii="Arial" w:cs="Arial" w:eastAsia="Arial" w:hAnsi="Arial"/>
          <w:sz w:val="18"/>
          <w:szCs w:val="18"/>
          <w:color w:val="auto"/>
        </w:rPr>
      </w:pPr>
    </w:p>
    <w:p>
      <w:pPr>
        <w:ind w:left="1620" w:hanging="316"/>
        <w:spacing w:after="0"/>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complying with the brokerage firm’s compliance procedures (</w:t>
      </w:r>
      <w:r>
        <w:rPr>
          <w:rFonts w:ascii="Arial" w:cs="Arial" w:eastAsia="Arial" w:hAnsi="Arial"/>
          <w:sz w:val="18"/>
          <w:szCs w:val="18"/>
          <w:i w:val="1"/>
          <w:iCs w:val="1"/>
          <w:color w:val="auto"/>
        </w:rPr>
        <w:t>e.g.,</w:t>
      </w:r>
      <w:r>
        <w:rPr>
          <w:rFonts w:ascii="Arial" w:cs="Arial" w:eastAsia="Arial" w:hAnsi="Arial"/>
          <w:sz w:val="18"/>
          <w:szCs w:val="18"/>
          <w:color w:val="auto"/>
        </w:rPr>
        <w:t xml:space="preserve"> Rule 144); and</w:t>
      </w:r>
    </w:p>
    <w:p>
      <w:pPr>
        <w:spacing w:after="0" w:line="103" w:lineRule="exact"/>
        <w:rPr>
          <w:rFonts w:ascii="Arial" w:cs="Arial" w:eastAsia="Arial" w:hAnsi="Arial"/>
          <w:sz w:val="18"/>
          <w:szCs w:val="18"/>
          <w:color w:val="auto"/>
        </w:rPr>
      </w:pPr>
    </w:p>
    <w:p>
      <w:pPr>
        <w:ind w:left="980" w:hanging="324"/>
        <w:spacing w:after="0" w:line="28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report </w:t>
      </w:r>
      <w:r>
        <w:rPr>
          <w:rFonts w:ascii="Arial" w:cs="Arial" w:eastAsia="Arial" w:hAnsi="Arial"/>
          <w:sz w:val="18"/>
          <w:szCs w:val="18"/>
          <w:b w:val="1"/>
          <w:bCs w:val="1"/>
          <w:u w:val="single" w:color="auto"/>
          <w:color w:val="auto"/>
        </w:rPr>
        <w:t>immediately</w:t>
      </w:r>
      <w:r>
        <w:rPr>
          <w:rFonts w:ascii="Arial" w:cs="Arial" w:eastAsia="Arial" w:hAnsi="Arial"/>
          <w:sz w:val="18"/>
          <w:szCs w:val="18"/>
          <w:color w:val="auto"/>
        </w:rPr>
        <w:t xml:space="preserve"> to the General Counsel via telephone and in writing (via e-mail or fax) the details of every transaction involving company stock, including gifts, transfers, pledges and all 10b5-1 transactions.</w:t>
      </w:r>
    </w:p>
    <w:p>
      <w:pPr>
        <w:spacing w:after="0" w:line="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Please sign and have your broker sign the enclosed Broker Instruction/Representation Form and return it to us promptly so that we can work out with your broker a coordinated procedure.</w:t>
      </w:r>
    </w:p>
    <w:p>
      <w:pPr>
        <w:spacing w:after="0" w:line="18" w:lineRule="exact"/>
        <w:rPr>
          <w:sz w:val="20"/>
          <w:szCs w:val="20"/>
          <w:color w:val="auto"/>
        </w:rPr>
      </w:pPr>
    </w:p>
    <w:p>
      <w:pPr>
        <w:jc w:val="both"/>
        <w:ind w:firstLine="656"/>
        <w:spacing w:after="0" w:line="257" w:lineRule="auto"/>
        <w:tabs>
          <w:tab w:leader="none" w:pos="9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Broker-Assisted Cashless Exercises of Options</w:t>
      </w:r>
      <w:r>
        <w:rPr>
          <w:rFonts w:ascii="Arial" w:cs="Arial" w:eastAsia="Arial" w:hAnsi="Arial"/>
          <w:sz w:val="18"/>
          <w:szCs w:val="18"/>
          <w:color w:val="auto"/>
        </w:rPr>
        <w:t>. The Sarbanes-Oxley Act makes it illegal for issuers to extend or maintain credit, or arrange for the extension of credit in the form of a personal loan to any officer or director. In most cashless exercises, there is typically a delay of a few days from the time of exercise to the date the issuer receives the exercise price. Some attorneys have speculated that these arrangements could be deemed an impermissible extension of credit arranged by issuers for their insiders. Consequently, unless and until this issue gets resolved to our satisfaction, we must insist on receipt of cash simultaneous with any issuance of shares pursuant to exercise of an option by an insider. We believe that most brokers can do cashless exercises for you this way.</w:t>
      </w:r>
    </w:p>
    <w:p>
      <w:pPr>
        <w:spacing w:after="0" w:line="6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Any person who has a question about these procedures or its application to any proposed transaction may obtain additional guidance from the General Counsel.</w:t>
      </w:r>
    </w:p>
    <w:p>
      <w:pPr>
        <w:sectPr>
          <w:pgSz w:w="11900" w:h="16838" w:orient="portrait"/>
          <w:cols w:equalWidth="0" w:num="1">
            <w:col w:w="11240"/>
          </w:cols>
          <w:pgMar w:left="320" w:top="944"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auto"/>
        </w:rPr>
        <w:t>Certifications</w:t>
      </w:r>
    </w:p>
    <w:p>
      <w:pPr>
        <w:spacing w:after="0" w:line="104"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All directors, officers and other employees subject to the procedures set forth in this memorandum must certify their understanding of, and intent to comply with, the procedures set forth in this memorandum. Please return the enclosed certification immediately.</w:t>
      </w:r>
    </w:p>
    <w:p>
      <w:pPr>
        <w:sectPr>
          <w:pgSz w:w="11900" w:h="16838" w:orient="portrait"/>
          <w:cols w:equalWidth="0" w:num="1">
            <w:col w:w="11220"/>
          </w:cols>
          <w:pgMar w:left="320" w:top="944" w:right="359" w:bottom="1440" w:gutter="0" w:footer="0" w:header="0"/>
        </w:sectPr>
      </w:pPr>
    </w:p>
    <w:bookmarkStart w:id="131" w:name="page132"/>
    <w:bookmarkEnd w:id="131"/>
    <w:p>
      <w:pPr>
        <w:jc w:val="center"/>
        <w:ind w:right="-3"/>
        <w:spacing w:after="0"/>
        <w:rPr>
          <w:sz w:val="20"/>
          <w:szCs w:val="20"/>
          <w:color w:val="auto"/>
        </w:rPr>
      </w:pPr>
      <w:r>
        <w:rPr>
          <w:rFonts w:ascii="Arial" w:cs="Arial" w:eastAsia="Arial" w:hAnsi="Arial"/>
          <w:sz w:val="18"/>
          <w:szCs w:val="18"/>
          <w:b w:val="1"/>
          <w:bCs w:val="1"/>
          <w:color w:val="auto"/>
        </w:rPr>
        <w:t>Broker Instruction/Representation</w:t>
      </w: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and Address of Broker]</w:t>
      </w:r>
    </w:p>
    <w:p>
      <w:pPr>
        <w:spacing w:after="0" w:line="252" w:lineRule="exact"/>
        <w:rPr>
          <w:sz w:val="20"/>
          <w:szCs w:val="20"/>
          <w:color w:val="auto"/>
        </w:rPr>
      </w:pPr>
    </w:p>
    <w:p>
      <w:pPr>
        <w:ind w:left="204"/>
        <w:spacing w:after="0"/>
        <w:rPr>
          <w:sz w:val="20"/>
          <w:szCs w:val="20"/>
          <w:color w:val="auto"/>
        </w:rPr>
      </w:pPr>
      <w:r>
        <w:rPr>
          <w:rFonts w:ascii="Arial" w:cs="Arial" w:eastAsia="Arial" w:hAnsi="Arial"/>
          <w:sz w:val="18"/>
          <w:szCs w:val="18"/>
          <w:color w:val="auto"/>
        </w:rPr>
        <w:t>Re: Blackbaud, Inc.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left="4" w:firstLine="275"/>
        <w:spacing w:after="0" w:line="268" w:lineRule="auto"/>
        <w:rPr>
          <w:sz w:val="20"/>
          <w:szCs w:val="20"/>
          <w:color w:val="auto"/>
        </w:rPr>
      </w:pPr>
      <w:r>
        <w:rPr>
          <w:rFonts w:ascii="Arial" w:cs="Arial" w:eastAsia="Arial" w:hAnsi="Arial"/>
          <w:sz w:val="18"/>
          <w:szCs w:val="18"/>
          <w:color w:val="auto"/>
        </w:rPr>
        <w:t>As my designated broker for effecting transactions in the common stock of Blackbaud, Inc. (the “Company”), I hereby instruct you to follow the following procedures in connection with executing any trade or other transaction in Company securities on my behalf:</w:t>
      </w:r>
    </w:p>
    <w:p>
      <w:pPr>
        <w:spacing w:after="0" w:line="198" w:lineRule="exact"/>
        <w:rPr>
          <w:sz w:val="20"/>
          <w:szCs w:val="20"/>
          <w:color w:val="auto"/>
        </w:rPr>
      </w:pPr>
    </w:p>
    <w:p>
      <w:pPr>
        <w:ind w:left="344" w:hanging="344"/>
        <w:spacing w:after="0"/>
        <w:tabs>
          <w:tab w:leader="none" w:pos="3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 not enter any order (except for orders under pre-approved Rule 10b5-1 plans) without</w:t>
      </w:r>
    </w:p>
    <w:p>
      <w:pPr>
        <w:spacing w:after="0" w:line="103" w:lineRule="exact"/>
        <w:rPr>
          <w:rFonts w:ascii="Arial" w:cs="Arial" w:eastAsia="Arial" w:hAnsi="Arial"/>
          <w:sz w:val="18"/>
          <w:szCs w:val="18"/>
          <w:color w:val="auto"/>
        </w:rPr>
      </w:pPr>
    </w:p>
    <w:p>
      <w:pPr>
        <w:ind w:left="964" w:hanging="316"/>
        <w:spacing w:after="0"/>
        <w:tabs>
          <w:tab w:leader="none" w:pos="9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first verifying with the Company that your transaction was pre-cleared, and</w:t>
      </w:r>
    </w:p>
    <w:p>
      <w:pPr>
        <w:spacing w:after="0" w:line="90" w:lineRule="exact"/>
        <w:rPr>
          <w:rFonts w:ascii="Arial" w:cs="Arial" w:eastAsia="Arial" w:hAnsi="Arial"/>
          <w:sz w:val="18"/>
          <w:szCs w:val="18"/>
          <w:color w:val="auto"/>
        </w:rPr>
      </w:pPr>
    </w:p>
    <w:p>
      <w:pPr>
        <w:ind w:left="964" w:hanging="316"/>
        <w:spacing w:after="0"/>
        <w:tabs>
          <w:tab w:leader="none" w:pos="9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complying with your firm’s compliance procedures (</w:t>
      </w:r>
      <w:r>
        <w:rPr>
          <w:rFonts w:ascii="Arial" w:cs="Arial" w:eastAsia="Arial" w:hAnsi="Arial"/>
          <w:sz w:val="18"/>
          <w:szCs w:val="18"/>
          <w:i w:val="1"/>
          <w:iCs w:val="1"/>
          <w:color w:val="auto"/>
        </w:rPr>
        <w:t>e.g.,</w:t>
      </w:r>
      <w:r>
        <w:rPr>
          <w:rFonts w:ascii="Arial" w:cs="Arial" w:eastAsia="Arial" w:hAnsi="Arial"/>
          <w:sz w:val="18"/>
          <w:szCs w:val="18"/>
          <w:color w:val="auto"/>
        </w:rPr>
        <w:t xml:space="preserve"> Rule 144); and</w:t>
      </w:r>
    </w:p>
    <w:p>
      <w:pPr>
        <w:spacing w:after="0" w:line="103" w:lineRule="exact"/>
        <w:rPr>
          <w:rFonts w:ascii="Arial" w:cs="Arial" w:eastAsia="Arial" w:hAnsi="Arial"/>
          <w:sz w:val="18"/>
          <w:szCs w:val="18"/>
          <w:color w:val="auto"/>
        </w:rPr>
      </w:pPr>
    </w:p>
    <w:p>
      <w:pPr>
        <w:ind w:left="324" w:right="20" w:hanging="324"/>
        <w:spacing w:after="0" w:line="287" w:lineRule="auto"/>
        <w:tabs>
          <w:tab w:leader="none" w:pos="4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Report </w:t>
      </w:r>
      <w:r>
        <w:rPr>
          <w:rFonts w:ascii="Arial" w:cs="Arial" w:eastAsia="Arial" w:hAnsi="Arial"/>
          <w:sz w:val="18"/>
          <w:szCs w:val="18"/>
          <w:b w:val="1"/>
          <w:bCs w:val="1"/>
          <w:u w:val="single" w:color="auto"/>
          <w:color w:val="auto"/>
        </w:rPr>
        <w:t>immediately</w:t>
      </w:r>
      <w:r>
        <w:rPr>
          <w:rFonts w:ascii="Arial" w:cs="Arial" w:eastAsia="Arial" w:hAnsi="Arial"/>
          <w:sz w:val="18"/>
          <w:szCs w:val="18"/>
          <w:color w:val="auto"/>
        </w:rPr>
        <w:t xml:space="preserve"> to the company via telephone and in writing (via e-mail or fax) the details of </w:t>
      </w:r>
      <w:r>
        <w:rPr>
          <w:rFonts w:ascii="Arial" w:cs="Arial" w:eastAsia="Arial" w:hAnsi="Arial"/>
          <w:sz w:val="18"/>
          <w:szCs w:val="18"/>
          <w:b w:val="1"/>
          <w:bCs w:val="1"/>
          <w:u w:val="single" w:color="auto"/>
          <w:color w:val="auto"/>
        </w:rPr>
        <w:t>every</w:t>
      </w:r>
      <w:r>
        <w:rPr>
          <w:rFonts w:ascii="Arial" w:cs="Arial" w:eastAsia="Arial" w:hAnsi="Arial"/>
          <w:sz w:val="18"/>
          <w:szCs w:val="18"/>
          <w:color w:val="auto"/>
        </w:rPr>
        <w:t xml:space="preserve"> transaction involving company stock, including gifts, transfers, pledges and all 10b5-1 transactions.</w:t>
      </w:r>
    </w:p>
    <w:p>
      <w:pPr>
        <w:spacing w:after="0" w:line="180" w:lineRule="exact"/>
        <w:rPr>
          <w:sz w:val="20"/>
          <w:szCs w:val="20"/>
          <w:color w:val="auto"/>
        </w:rPr>
      </w:pPr>
    </w:p>
    <w:p>
      <w:pPr>
        <w:ind w:left="324"/>
        <w:spacing w:after="0"/>
        <w:tabs>
          <w:tab w:leader="none" w:pos="2304" w:val="left"/>
        </w:tabs>
        <w:rPr>
          <w:sz w:val="20"/>
          <w:szCs w:val="20"/>
          <w:color w:val="auto"/>
        </w:rPr>
      </w:pPr>
      <w:r>
        <w:rPr>
          <w:rFonts w:ascii="Arial" w:cs="Arial" w:eastAsia="Arial" w:hAnsi="Arial"/>
          <w:sz w:val="18"/>
          <w:szCs w:val="18"/>
          <w:color w:val="auto"/>
        </w:rPr>
        <w:t>Company contacts:</w:t>
      </w:r>
      <w:r>
        <w:rPr>
          <w:sz w:val="20"/>
          <w:szCs w:val="20"/>
          <w:color w:val="auto"/>
        </w:rPr>
        <w:tab/>
      </w:r>
      <w:r>
        <w:rPr>
          <w:rFonts w:ascii="Arial" w:cs="Arial" w:eastAsia="Arial" w:hAnsi="Arial"/>
          <w:sz w:val="17"/>
          <w:szCs w:val="17"/>
          <w:color w:val="auto"/>
        </w:rPr>
        <w:t>Jon W. Olson, SVP &amp; General Counsel</w:t>
      </w:r>
    </w:p>
    <w:p>
      <w:pPr>
        <w:spacing w:after="0" w:line="27"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Phone: (843) 216-6200 ext. 2300</w:t>
      </w:r>
    </w:p>
    <w:p>
      <w:pPr>
        <w:spacing w:after="0" w:line="9"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Fax: (843) 216-3676</w:t>
      </w:r>
    </w:p>
    <w:p>
      <w:pPr>
        <w:spacing w:after="0" w:line="9"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Email: jon.olson@blackbaud.com</w:t>
      </w:r>
    </w:p>
    <w:p>
      <w:pPr>
        <w:spacing w:after="0" w:line="234"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Tony W. Boor, EVP and CFO</w:t>
      </w:r>
    </w:p>
    <w:p>
      <w:pPr>
        <w:spacing w:after="0" w:line="27"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Phone: (843) 216-6200 ext.3300</w:t>
      </w:r>
    </w:p>
    <w:p>
      <w:pPr>
        <w:spacing w:after="0" w:line="9"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Fax: (843) 216-3676</w:t>
      </w:r>
    </w:p>
    <w:p>
      <w:pPr>
        <w:spacing w:after="0" w:line="9" w:lineRule="exact"/>
        <w:rPr>
          <w:sz w:val="20"/>
          <w:szCs w:val="20"/>
          <w:color w:val="auto"/>
        </w:rPr>
      </w:pPr>
    </w:p>
    <w:p>
      <w:pPr>
        <w:ind w:left="1124"/>
        <w:spacing w:after="0"/>
        <w:rPr>
          <w:sz w:val="20"/>
          <w:szCs w:val="20"/>
          <w:color w:val="auto"/>
        </w:rPr>
      </w:pPr>
      <w:r>
        <w:rPr>
          <w:rFonts w:ascii="Arial" w:cs="Arial" w:eastAsia="Arial" w:hAnsi="Arial"/>
          <w:sz w:val="18"/>
          <w:szCs w:val="18"/>
          <w:color w:val="auto"/>
        </w:rPr>
        <w:t>Email: tony.boor@blackbaud.com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271780</wp:posOffset>
            </wp:positionV>
            <wp:extent cx="7620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7">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283210</wp:posOffset>
            </wp:positionV>
            <wp:extent cx="7620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8">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(Signature of Insider)</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broker confirms receipt of this instruction letter and agrees to comply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6350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9">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6350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0">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Authorized Signatory for Broker)</w:t>
      </w:r>
    </w:p>
    <w:p>
      <w:pPr>
        <w:sectPr>
          <w:pgSz w:w="11900" w:h="16838" w:orient="portrait"/>
          <w:cols w:equalWidth="0" w:num="1">
            <w:col w:w="9944"/>
          </w:cols>
          <w:pgMar w:left="976" w:top="944" w:right="979" w:bottom="1440" w:gutter="0" w:footer="0" w:header="0"/>
        </w:sectPr>
      </w:pPr>
    </w:p>
    <w:bookmarkStart w:id="132" w:name="page133"/>
    <w:bookmarkEnd w:id="132"/>
    <w:p>
      <w:pPr>
        <w:jc w:val="center"/>
        <w:ind w:right="-3"/>
        <w:spacing w:after="0"/>
        <w:rPr>
          <w:sz w:val="20"/>
          <w:szCs w:val="20"/>
          <w:color w:val="auto"/>
        </w:rPr>
      </w:pPr>
      <w:r>
        <w:rPr>
          <w:rFonts w:ascii="Arial" w:cs="Arial" w:eastAsia="Arial" w:hAnsi="Arial"/>
          <w:sz w:val="18"/>
          <w:szCs w:val="18"/>
          <w:b w:val="1"/>
          <w:bCs w:val="1"/>
          <w:color w:val="auto"/>
        </w:rPr>
        <w:t>Insider Certification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a Section 16 reporting person of Blackbaud, Inc. (the “Company”), hereby certifies to the Company that:</w:t>
      </w:r>
    </w:p>
    <w:p>
      <w:pPr>
        <w:spacing w:after="0" w:line="252" w:lineRule="exact"/>
        <w:rPr>
          <w:sz w:val="20"/>
          <w:szCs w:val="20"/>
          <w:color w:val="auto"/>
        </w:rPr>
      </w:pPr>
    </w:p>
    <w:p>
      <w:pPr>
        <w:ind w:left="324" w:hanging="324"/>
        <w:spacing w:after="0" w:line="287" w:lineRule="auto"/>
        <w:tabs>
          <w:tab w:leader="none" w:pos="3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he or she has received and understands his or her obligations outlined in the Company’s Pre-clearance and Compliance Procedures; and</w:t>
      </w:r>
    </w:p>
    <w:p>
      <w:pPr>
        <w:spacing w:after="0" w:line="179" w:lineRule="exact"/>
        <w:rPr>
          <w:rFonts w:ascii="Arial" w:cs="Arial" w:eastAsia="Arial" w:hAnsi="Arial"/>
          <w:sz w:val="18"/>
          <w:szCs w:val="18"/>
          <w:color w:val="auto"/>
        </w:rPr>
      </w:pPr>
    </w:p>
    <w:p>
      <w:pPr>
        <w:ind w:left="344" w:hanging="344"/>
        <w:spacing w:after="0"/>
        <w:tabs>
          <w:tab w:leader="none" w:pos="3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he or she intends to comply with those procedures.</w:t>
      </w: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-7620</wp:posOffset>
            </wp:positionV>
            <wp:extent cx="6350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1">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-7620</wp:posOffset>
            </wp:positionV>
            <wp:extent cx="6350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2">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ectPr>
          <w:pgSz w:w="11900" w:h="16838" w:orient="portrait"/>
          <w:cols w:equalWidth="0" w:num="1">
            <w:col w:w="9944"/>
          </w:cols>
          <w:pgMar w:left="976" w:top="1187" w:right="979" w:bottom="1440" w:gutter="0" w:footer="0" w:header="0"/>
        </w:sectPr>
      </w:pPr>
    </w:p>
    <w:bookmarkStart w:id="133" w:name="page134"/>
    <w:bookmarkEnd w:id="133"/>
    <w:p>
      <w:pPr>
        <w:jc w:val="right"/>
        <w:spacing w:after="0"/>
        <w:rPr>
          <w:sz w:val="20"/>
          <w:szCs w:val="20"/>
          <w:color w:val="auto"/>
        </w:rPr>
      </w:pPr>
      <w:r>
        <w:rPr>
          <w:rFonts w:ascii="Calibri" w:cs="Calibri" w:eastAsia="Calibri" w:hAnsi="Calibri"/>
          <w:sz w:val="18"/>
          <w:szCs w:val="18"/>
          <w:b w:val="1"/>
          <w:bCs w:val="1"/>
          <w:color w:val="51555C"/>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Calibri" w:cs="Calibri" w:eastAsia="Calibri" w:hAnsi="Calibri"/>
                <w:sz w:val="18"/>
                <w:szCs w:val="18"/>
                <w:b w:val="1"/>
                <w:bCs w:val="1"/>
                <w:color w:val="51555C"/>
              </w:rPr>
              <w:t>SUBSIDIARIES OF BLACKBAUD, INC.</w:t>
            </w:r>
          </w:p>
        </w:tc>
      </w:tr>
      <w:tr>
        <w:trPr>
          <w:trHeight w:val="378"/>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520" w:type="dxa"/>
            <w:vAlign w:val="bottom"/>
          </w:tcPr>
          <w:p>
            <w:pPr>
              <w:ind w:left="520"/>
              <w:spacing w:after="0"/>
              <w:rPr>
                <w:sz w:val="20"/>
                <w:szCs w:val="20"/>
                <w:color w:val="auto"/>
              </w:rPr>
            </w:pPr>
            <w:r>
              <w:rPr>
                <w:rFonts w:ascii="Calibri" w:cs="Calibri" w:eastAsia="Calibri" w:hAnsi="Calibri"/>
                <w:sz w:val="18"/>
                <w:szCs w:val="18"/>
                <w:b w:val="1"/>
                <w:bCs w:val="1"/>
                <w:color w:val="51555C"/>
              </w:rPr>
              <w:t>As of February 21, 2025</w:t>
            </w:r>
          </w:p>
        </w:tc>
      </w:tr>
      <w:tr>
        <w:trPr>
          <w:trHeight w:val="213"/>
        </w:trPr>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183"/>
        </w:trPr>
        <w:tc>
          <w:tcPr>
            <w:tcW w:w="140" w:type="dxa"/>
            <w:vAlign w:val="bottom"/>
            <w:shd w:val="clear" w:color="auto" w:fill="004054"/>
          </w:tcPr>
          <w:p>
            <w:pPr>
              <w:spacing w:after="0"/>
              <w:rPr>
                <w:sz w:val="15"/>
                <w:szCs w:val="15"/>
                <w:color w:val="auto"/>
              </w:rPr>
            </w:pPr>
          </w:p>
        </w:tc>
        <w:tc>
          <w:tcPr>
            <w:tcW w:w="840" w:type="dxa"/>
            <w:vAlign w:val="bottom"/>
            <w:shd w:val="clear" w:color="auto" w:fill="004054"/>
          </w:tcPr>
          <w:p>
            <w:pPr>
              <w:spacing w:after="0"/>
              <w:rPr>
                <w:sz w:val="15"/>
                <w:szCs w:val="15"/>
                <w:color w:val="auto"/>
              </w:rPr>
            </w:pPr>
          </w:p>
        </w:tc>
        <w:tc>
          <w:tcPr>
            <w:tcW w:w="2760" w:type="dxa"/>
            <w:vAlign w:val="bottom"/>
            <w:shd w:val="clear" w:color="auto" w:fill="004054"/>
          </w:tcPr>
          <w:p>
            <w:pPr>
              <w:spacing w:after="0"/>
              <w:rPr>
                <w:sz w:val="15"/>
                <w:szCs w:val="15"/>
                <w:color w:val="auto"/>
              </w:rPr>
            </w:pPr>
          </w:p>
        </w:tc>
        <w:tc>
          <w:tcPr>
            <w:tcW w:w="6520" w:type="dxa"/>
            <w:vAlign w:val="bottom"/>
            <w:shd w:val="clear" w:color="auto" w:fill="004054"/>
          </w:tcPr>
          <w:p>
            <w:pPr>
              <w:ind w:left="4560"/>
              <w:spacing w:after="0"/>
              <w:rPr>
                <w:sz w:val="20"/>
                <w:szCs w:val="20"/>
                <w:color w:val="auto"/>
              </w:rPr>
            </w:pPr>
            <w:r>
              <w:rPr>
                <w:rFonts w:ascii="Calibri" w:cs="Calibri" w:eastAsia="Calibri" w:hAnsi="Calibri"/>
                <w:sz w:val="14"/>
                <w:szCs w:val="14"/>
                <w:b w:val="1"/>
                <w:bCs w:val="1"/>
                <w:color w:val="FFFFFF"/>
              </w:rPr>
              <w:t>Organized Under Laws of:</w:t>
            </w:r>
          </w:p>
        </w:tc>
      </w:tr>
      <w:tr>
        <w:trPr>
          <w:trHeight w:val="74"/>
        </w:trPr>
        <w:tc>
          <w:tcPr>
            <w:tcW w:w="14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2760" w:type="dxa"/>
            <w:vAlign w:val="bottom"/>
            <w:shd w:val="clear" w:color="auto" w:fill="004054"/>
          </w:tcPr>
          <w:p>
            <w:pPr>
              <w:spacing w:after="0"/>
              <w:rPr>
                <w:sz w:val="6"/>
                <w:szCs w:val="6"/>
                <w:color w:val="auto"/>
              </w:rPr>
            </w:pPr>
          </w:p>
        </w:tc>
        <w:tc>
          <w:tcPr>
            <w:tcW w:w="6520" w:type="dxa"/>
            <w:vAlign w:val="bottom"/>
            <w:shd w:val="clear" w:color="auto" w:fill="004054"/>
          </w:tcPr>
          <w:p>
            <w:pPr>
              <w:spacing w:after="0"/>
              <w:rPr>
                <w:sz w:val="6"/>
                <w:szCs w:val="6"/>
                <w:color w:val="auto"/>
              </w:rPr>
            </w:pP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b w:val="1"/>
                <w:bCs w:val="1"/>
                <w:color w:val="51555C"/>
              </w:rPr>
              <w:t>Blackbaud, Inc.</w:t>
            </w:r>
          </w:p>
        </w:tc>
        <w:tc>
          <w:tcPr>
            <w:tcW w:w="6520" w:type="dxa"/>
            <w:vAlign w:val="bottom"/>
          </w:tcPr>
          <w:p>
            <w:pPr>
              <w:ind w:left="4540"/>
              <w:spacing w:after="0"/>
              <w:rPr>
                <w:sz w:val="20"/>
                <w:szCs w:val="20"/>
                <w:color w:val="auto"/>
              </w:rPr>
            </w:pPr>
            <w:r>
              <w:rPr>
                <w:rFonts w:ascii="Calibri" w:cs="Calibri" w:eastAsia="Calibri" w:hAnsi="Calibri"/>
                <w:sz w:val="18"/>
                <w:szCs w:val="18"/>
                <w:b w:val="1"/>
                <w:bCs w:val="1"/>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189"/>
        </w:trPr>
        <w:tc>
          <w:tcPr>
            <w:tcW w:w="140" w:type="dxa"/>
            <w:vAlign w:val="bottom"/>
            <w:shd w:val="clear" w:color="auto" w:fill="F4F4F4"/>
          </w:tcPr>
          <w:p>
            <w:pPr>
              <w:spacing w:after="0"/>
              <w:rPr>
                <w:sz w:val="16"/>
                <w:szCs w:val="16"/>
                <w:color w:val="auto"/>
              </w:rPr>
            </w:pPr>
          </w:p>
        </w:tc>
        <w:tc>
          <w:tcPr>
            <w:tcW w:w="3600" w:type="dxa"/>
            <w:vAlign w:val="bottom"/>
            <w:gridSpan w:val="2"/>
            <w:shd w:val="clear" w:color="auto" w:fill="F4F4F4"/>
          </w:tcPr>
          <w:p>
            <w:pPr>
              <w:spacing w:after="0" w:line="189" w:lineRule="exact"/>
              <w:rPr>
                <w:sz w:val="20"/>
                <w:szCs w:val="20"/>
                <w:color w:val="auto"/>
              </w:rPr>
            </w:pPr>
            <w:r>
              <w:rPr>
                <w:rFonts w:ascii="Calibri" w:cs="Calibri" w:eastAsia="Calibri" w:hAnsi="Calibri"/>
                <w:sz w:val="18"/>
                <w:szCs w:val="18"/>
                <w:i w:val="1"/>
                <w:iCs w:val="1"/>
                <w:color w:val="51555C"/>
              </w:rPr>
              <w:t>Subsidiaries</w:t>
            </w:r>
          </w:p>
        </w:tc>
        <w:tc>
          <w:tcPr>
            <w:tcW w:w="6520" w:type="dxa"/>
            <w:vAlign w:val="bottom"/>
            <w:shd w:val="clear" w:color="auto" w:fill="F4F4F4"/>
          </w:tcPr>
          <w:p>
            <w:pPr>
              <w:spacing w:after="0"/>
              <w:rPr>
                <w:sz w:val="16"/>
                <w:szCs w:val="16"/>
                <w:color w:val="auto"/>
              </w:rPr>
            </w:pPr>
          </w:p>
        </w:tc>
      </w:tr>
      <w:tr>
        <w:trPr>
          <w:trHeight w:val="61"/>
        </w:trPr>
        <w:tc>
          <w:tcPr>
            <w:tcW w:w="140" w:type="dxa"/>
            <w:vAlign w:val="bottom"/>
            <w:tcBorders>
              <w:top w:val="single" w:sz="8" w:color="F4F4F4"/>
            </w:tcBorders>
            <w:shd w:val="clear" w:color="auto" w:fill="F4F4F4"/>
          </w:tcPr>
          <w:p>
            <w:pPr>
              <w:spacing w:after="0"/>
              <w:rPr>
                <w:sz w:val="5"/>
                <w:szCs w:val="5"/>
                <w:color w:val="auto"/>
              </w:rPr>
            </w:pPr>
          </w:p>
        </w:tc>
        <w:tc>
          <w:tcPr>
            <w:tcW w:w="840" w:type="dxa"/>
            <w:vAlign w:val="bottom"/>
            <w:tcBorders>
              <w:top w:val="single" w:sz="8" w:color="51555C"/>
            </w:tcBorders>
            <w:shd w:val="clear" w:color="auto" w:fill="F4F4F4"/>
          </w:tcPr>
          <w:p>
            <w:pPr>
              <w:spacing w:after="0"/>
              <w:rPr>
                <w:sz w:val="5"/>
                <w:szCs w:val="5"/>
                <w:color w:val="auto"/>
              </w:rPr>
            </w:pPr>
          </w:p>
        </w:tc>
        <w:tc>
          <w:tcPr>
            <w:tcW w:w="2760" w:type="dxa"/>
            <w:vAlign w:val="bottom"/>
            <w:tcBorders>
              <w:top w:val="single" w:sz="8" w:color="F4F4F4"/>
            </w:tcBorders>
            <w:shd w:val="clear" w:color="auto" w:fill="F4F4F4"/>
          </w:tcPr>
          <w:p>
            <w:pPr>
              <w:spacing w:after="0"/>
              <w:rPr>
                <w:sz w:val="5"/>
                <w:szCs w:val="5"/>
                <w:color w:val="auto"/>
              </w:rPr>
            </w:pPr>
          </w:p>
        </w:tc>
        <w:tc>
          <w:tcPr>
            <w:tcW w:w="6520" w:type="dxa"/>
            <w:vAlign w:val="bottom"/>
            <w:tcBorders>
              <w:top w:val="single" w:sz="8" w:color="F4F4F4"/>
            </w:tcBorders>
            <w:shd w:val="clear" w:color="auto" w:fill="F4F4F4"/>
          </w:tcPr>
          <w:p>
            <w:pPr>
              <w:spacing w:after="0"/>
              <w:rPr>
                <w:sz w:val="5"/>
                <w:szCs w:val="5"/>
                <w:color w:val="auto"/>
              </w:rPr>
            </w:pP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ACN 161 644 328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BB Real Property Development,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BBHQ1,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BB US-SIS,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BB YourCause, Inc.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Asia,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Hong Kong</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Canada, Inc.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Canada</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Europe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Scotland</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Global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Latn America, S.R.L.</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Costa Rica</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Pacifc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Everyday Hero Pty.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Australia</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Giving.com Limited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Giving Limited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JGCrowdfunding USA,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JG US Inc.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MyCharity,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Ireland</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Tuiton Management,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YC Blocker 1,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YourCause Holdings,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YourCause,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Texas</w:t>
            </w:r>
          </w:p>
        </w:tc>
      </w:tr>
      <w:tr>
        <w:trPr>
          <w:trHeight w:val="50"/>
        </w:trPr>
        <w:tc>
          <w:tcPr>
            <w:tcW w:w="140" w:type="dxa"/>
            <w:vAlign w:val="bottom"/>
            <w:tcBorders>
              <w:bottom w:val="single" w:sz="8" w:color="0CD973"/>
            </w:tcBorders>
          </w:tcPr>
          <w:p>
            <w:pPr>
              <w:spacing w:after="0"/>
              <w:rPr>
                <w:sz w:val="4"/>
                <w:szCs w:val="4"/>
                <w:color w:val="auto"/>
              </w:rPr>
            </w:pPr>
          </w:p>
        </w:tc>
        <w:tc>
          <w:tcPr>
            <w:tcW w:w="840" w:type="dxa"/>
            <w:vAlign w:val="bottom"/>
            <w:tcBorders>
              <w:bottom w:val="single" w:sz="8" w:color="0CD973"/>
            </w:tcBorders>
          </w:tcPr>
          <w:p>
            <w:pPr>
              <w:spacing w:after="0"/>
              <w:rPr>
                <w:sz w:val="4"/>
                <w:szCs w:val="4"/>
                <w:color w:val="auto"/>
              </w:rPr>
            </w:pPr>
          </w:p>
        </w:tc>
        <w:tc>
          <w:tcPr>
            <w:tcW w:w="2760" w:type="dxa"/>
            <w:vAlign w:val="bottom"/>
            <w:tcBorders>
              <w:bottom w:val="single" w:sz="8" w:color="0CD973"/>
            </w:tcBorders>
          </w:tcPr>
          <w:p>
            <w:pPr>
              <w:spacing w:after="0"/>
              <w:rPr>
                <w:sz w:val="4"/>
                <w:szCs w:val="4"/>
                <w:color w:val="auto"/>
              </w:rPr>
            </w:pPr>
          </w:p>
        </w:tc>
        <w:tc>
          <w:tcPr>
            <w:tcW w:w="6520" w:type="dxa"/>
            <w:vAlign w:val="bottom"/>
            <w:tcBorders>
              <w:bottom w:val="single" w:sz="8" w:color="0CD973"/>
            </w:tcBorders>
          </w:tcPr>
          <w:p>
            <w:pPr>
              <w:spacing w:after="0"/>
              <w:rPr>
                <w:sz w:val="4"/>
                <w:szCs w:val="4"/>
                <w:color w:val="auto"/>
              </w:rPr>
            </w:pPr>
          </w:p>
        </w:tc>
      </w:tr>
    </w:tbl>
    <w:p>
      <w:pPr>
        <w:sectPr>
          <w:pgSz w:w="11900" w:h="16838" w:orient="portrait"/>
          <w:cols w:equalWidth="0" w:num="1">
            <w:col w:w="10740"/>
          </w:cols>
          <w:pgMar w:left="820" w:top="1044" w:right="339" w:bottom="1440" w:gutter="0" w:footer="0" w:header="0"/>
        </w:sectPr>
      </w:pPr>
    </w:p>
    <w:bookmarkStart w:id="134" w:name="page135"/>
    <w:bookmarkEnd w:id="134"/>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8"/>
          <w:szCs w:val="18"/>
          <w:color w:val="51555C"/>
        </w:rPr>
        <w:t>CONSENT OF INDEPENDENT REGISTERED PUBLIC ACCOUNTING FIRM</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color w:val="51555C"/>
        </w:rPr>
        <w:t>We consent to the incorporaton by reference in the following Registraton Statements:</w:t>
      </w:r>
    </w:p>
    <w:p>
      <w:pPr>
        <w:spacing w:after="0" w:line="37" w:lineRule="exact"/>
        <w:rPr>
          <w:sz w:val="20"/>
          <w:szCs w:val="20"/>
          <w:color w:val="auto"/>
        </w:rPr>
      </w:pPr>
    </w:p>
    <w:p>
      <w:pPr>
        <w:ind w:left="640" w:hanging="308"/>
        <w:spacing w:after="0"/>
        <w:tabs>
          <w:tab w:leader="none" w:pos="640"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S-3 No. 333-284221) of Blackbaud, Inc.,</w:t>
      </w:r>
    </w:p>
    <w:p>
      <w:pPr>
        <w:ind w:left="660" w:right="360" w:hanging="328"/>
        <w:spacing w:after="0" w:line="221" w:lineRule="auto"/>
        <w:tabs>
          <w:tab w:leader="none" w:pos="645"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333-280223 pertaining to the Blackbaud, Inc. 2016 Equity and Incentve Compensaton Plan Amended and Restated as of June 12, 2024,</w:t>
      </w:r>
    </w:p>
    <w:p>
      <w:pPr>
        <w:ind w:left="660" w:right="360" w:hanging="328"/>
        <w:spacing w:after="0" w:line="221" w:lineRule="auto"/>
        <w:tabs>
          <w:tab w:leader="none" w:pos="645"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333-272678 pertaining to the Blackbaud, Inc. 2016 Equity and Incentve Compensaton Plan Amended and Restated as of June 14, 2023,</w:t>
      </w:r>
    </w:p>
    <w:p>
      <w:pPr>
        <w:ind w:left="660" w:right="320" w:hanging="328"/>
        <w:spacing w:after="0" w:line="221" w:lineRule="auto"/>
        <w:tabs>
          <w:tab w:leader="none" w:pos="645"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333-265527) pertaining to the Blackbaud, Inc. 2016 Equity and Incentve Compensaton Plan Amended and Restated as of June 9, 2022,</w:t>
      </w:r>
    </w:p>
    <w:p>
      <w:pPr>
        <w:ind w:left="660" w:right="320" w:hanging="328"/>
        <w:spacing w:after="0" w:line="213" w:lineRule="auto"/>
        <w:tabs>
          <w:tab w:leader="none" w:pos="645"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333-257030) pertaining to the Blackbaud, Inc. 2016 Equity and Incentve Compensaton Plan Amended and Restated as of June 10, 2021,</w:t>
      </w:r>
    </w:p>
    <w:p>
      <w:pPr>
        <w:spacing w:after="0" w:line="1" w:lineRule="exact"/>
        <w:rPr>
          <w:rFonts w:ascii="Calibri" w:cs="Calibri" w:eastAsia="Calibri" w:hAnsi="Calibri"/>
          <w:sz w:val="18"/>
          <w:szCs w:val="18"/>
          <w:color w:val="51555C"/>
        </w:rPr>
      </w:pPr>
    </w:p>
    <w:p>
      <w:pPr>
        <w:ind w:left="660" w:right="320" w:hanging="328"/>
        <w:spacing w:after="0" w:line="221" w:lineRule="auto"/>
        <w:tabs>
          <w:tab w:leader="none" w:pos="645"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333-232111) pertaining to the Blackbaud, Inc. 2016 Equity and Incentve Compensaton Plan Amended and Restated as of June 13, 2019, and</w:t>
      </w:r>
    </w:p>
    <w:p>
      <w:pPr>
        <w:ind w:left="640" w:hanging="308"/>
        <w:spacing w:after="0" w:line="221" w:lineRule="auto"/>
        <w:tabs>
          <w:tab w:leader="none" w:pos="640" w:val="left"/>
        </w:tabs>
        <w:numPr>
          <w:ilvl w:val="0"/>
          <w:numId w:val="76"/>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333-212057) pertaining to the Blackbaud, Inc. 2016 Equity and Incentve Compensaton Plan;</w:t>
      </w:r>
    </w:p>
    <w:p>
      <w:pPr>
        <w:spacing w:after="0" w:line="231"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51555C"/>
        </w:rPr>
        <w:t>of our reports dated February 21, 2025, with respect to the consolidated fnancial statements of Blackbaud, Inc. and the efectveness of internal control over fnancial reportng of Blackbaud, Inc. included in this Annual Report (Form 10-K) of Blackbaud, Inc. for the year ended December 31, 2024.</w:t>
      </w:r>
    </w:p>
    <w:p>
      <w:pPr>
        <w:spacing w:after="0" w:line="336"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/S/ Ernst &amp; Young LLP</w:t>
      </w:r>
    </w:p>
    <w:p>
      <w:pPr>
        <w:spacing w:after="0" w:line="64"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Raleigh, North Carolina</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February 21, 2025</w:t>
      </w:r>
    </w:p>
    <w:p>
      <w:pPr>
        <w:sectPr>
          <w:pgSz w:w="11900" w:h="16838" w:orient="portrait"/>
          <w:cols w:equalWidth="0" w:num="1">
            <w:col w:w="11240"/>
          </w:cols>
          <w:pgMar w:left="320" w:top="882"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18"/>
          <w:szCs w:val="18"/>
          <w:b w:val="1"/>
          <w:bCs w:val="1"/>
          <w:color w:val="51555C"/>
        </w:rPr>
        <w:t>EXHIBIT 31.1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Michael P. Gianoni, certfy that:</w:t>
      </w:r>
    </w:p>
    <w:p>
      <w:pPr>
        <w:spacing w:after="0" w:line="158" w:lineRule="exact"/>
        <w:rPr>
          <w:sz w:val="20"/>
          <w:szCs w:val="20"/>
          <w:color w:val="auto"/>
        </w:rPr>
      </w:pPr>
    </w:p>
    <w:p>
      <w:pPr>
        <w:ind w:left="640" w:hanging="308"/>
        <w:spacing w:after="0"/>
        <w:tabs>
          <w:tab w:leader="none" w:pos="640" w:val="left"/>
        </w:tabs>
        <w:numPr>
          <w:ilvl w:val="0"/>
          <w:numId w:val="77"/>
        </w:numPr>
        <w:rPr>
          <w:rFonts w:ascii="Calibri" w:cs="Calibri" w:eastAsia="Calibri" w:hAnsi="Calibri"/>
          <w:sz w:val="18"/>
          <w:szCs w:val="18"/>
          <w:color w:val="51555C"/>
        </w:rPr>
      </w:pPr>
      <w:r>
        <w:rPr>
          <w:rFonts w:ascii="Calibri" w:cs="Calibri" w:eastAsia="Calibri" w:hAnsi="Calibri"/>
          <w:sz w:val="18"/>
          <w:szCs w:val="18"/>
          <w:color w:val="51555C"/>
        </w:rPr>
        <w:t>I have reviewed this annual report on Form 10-K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77"/>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77"/>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77"/>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77"/>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77"/>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77"/>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77"/>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77"/>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77"/>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77"/>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Calibri" w:cs="Calibri" w:eastAsia="Calibri" w:hAnsi="Calibri"/>
                <w:sz w:val="18"/>
                <w:szCs w:val="18"/>
                <w:color w:val="51555C"/>
              </w:rPr>
              <w:t>Date:   February 21, 2025</w:t>
            </w:r>
          </w:p>
        </w:tc>
        <w:tc>
          <w:tcPr>
            <w:tcW w:w="1820" w:type="dxa"/>
            <w:vAlign w:val="bottom"/>
          </w:tcPr>
          <w:p>
            <w:pPr>
              <w:ind w:left="1340"/>
              <w:spacing w:after="0"/>
              <w:rPr>
                <w:sz w:val="20"/>
                <w:szCs w:val="20"/>
                <w:color w:val="auto"/>
              </w:rPr>
            </w:pPr>
            <w:r>
              <w:rPr>
                <w:rFonts w:ascii="Calibri" w:cs="Calibri" w:eastAsia="Calibri" w:hAnsi="Calibri"/>
                <w:sz w:val="18"/>
                <w:szCs w:val="18"/>
                <w:color w:val="51555C"/>
              </w:rPr>
              <w:t>By:</w:t>
            </w:r>
          </w:p>
        </w:tc>
        <w:tc>
          <w:tcPr>
            <w:tcW w:w="6100" w:type="dxa"/>
            <w:vAlign w:val="bottom"/>
          </w:tcPr>
          <w:p>
            <w:pPr>
              <w:ind w:left="20"/>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100" w:type="dxa"/>
            <w:vAlign w:val="bottom"/>
          </w:tcPr>
          <w:p>
            <w:pPr>
              <w:ind w:left="20"/>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30"/>
        </w:trPr>
        <w:tc>
          <w:tcPr>
            <w:tcW w:w="3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18"/>
          <w:szCs w:val="18"/>
          <w:b w:val="1"/>
          <w:bCs w:val="1"/>
          <w:color w:val="51555C"/>
        </w:rPr>
        <w:t>EXHIBIT 31.2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Anthony W. Boor, certfy that:</w:t>
      </w:r>
    </w:p>
    <w:p>
      <w:pPr>
        <w:spacing w:after="0" w:line="158" w:lineRule="exact"/>
        <w:rPr>
          <w:sz w:val="20"/>
          <w:szCs w:val="20"/>
          <w:color w:val="auto"/>
        </w:rPr>
      </w:pPr>
    </w:p>
    <w:p>
      <w:pPr>
        <w:ind w:left="640" w:hanging="308"/>
        <w:spacing w:after="0"/>
        <w:tabs>
          <w:tab w:leader="none" w:pos="640" w:val="left"/>
        </w:tabs>
        <w:numPr>
          <w:ilvl w:val="0"/>
          <w:numId w:val="78"/>
        </w:numPr>
        <w:rPr>
          <w:rFonts w:ascii="Calibri" w:cs="Calibri" w:eastAsia="Calibri" w:hAnsi="Calibri"/>
          <w:sz w:val="18"/>
          <w:szCs w:val="18"/>
          <w:color w:val="51555C"/>
        </w:rPr>
      </w:pPr>
      <w:r>
        <w:rPr>
          <w:rFonts w:ascii="Calibri" w:cs="Calibri" w:eastAsia="Calibri" w:hAnsi="Calibri"/>
          <w:sz w:val="18"/>
          <w:szCs w:val="18"/>
          <w:color w:val="51555C"/>
        </w:rPr>
        <w:t>I have reviewed this annual report on Form 10-K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78"/>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78"/>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78"/>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78"/>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78"/>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78"/>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78"/>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78"/>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78"/>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78"/>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Calibri" w:cs="Calibri" w:eastAsia="Calibri" w:hAnsi="Calibri"/>
                <w:sz w:val="18"/>
                <w:szCs w:val="18"/>
                <w:color w:val="51555C"/>
              </w:rPr>
              <w:t>Date:   February 21, 2025</w:t>
            </w:r>
          </w:p>
        </w:tc>
        <w:tc>
          <w:tcPr>
            <w:tcW w:w="1820" w:type="dxa"/>
            <w:vAlign w:val="bottom"/>
          </w:tcPr>
          <w:p>
            <w:pPr>
              <w:ind w:left="1340"/>
              <w:spacing w:after="0"/>
              <w:rPr>
                <w:sz w:val="20"/>
                <w:szCs w:val="20"/>
                <w:color w:val="auto"/>
              </w:rPr>
            </w:pPr>
            <w:r>
              <w:rPr>
                <w:rFonts w:ascii="Calibri" w:cs="Calibri" w:eastAsia="Calibri" w:hAnsi="Calibri"/>
                <w:sz w:val="18"/>
                <w:szCs w:val="18"/>
                <w:color w:val="51555C"/>
              </w:rPr>
              <w:t>By:</w:t>
            </w:r>
          </w:p>
        </w:tc>
        <w:tc>
          <w:tcPr>
            <w:tcW w:w="6100" w:type="dxa"/>
            <w:vAlign w:val="bottom"/>
          </w:tcPr>
          <w:p>
            <w:pPr>
              <w:ind w:left="20"/>
              <w:spacing w:after="0"/>
              <w:rPr>
                <w:sz w:val="20"/>
                <w:szCs w:val="20"/>
                <w:color w:val="auto"/>
              </w:rPr>
            </w:pPr>
            <w:r>
              <w:rPr>
                <w:rFonts w:ascii="Calibri" w:cs="Calibri" w:eastAsia="Calibri" w:hAnsi="Calibri"/>
                <w:sz w:val="18"/>
                <w:szCs w:val="18"/>
                <w:color w:val="51555C"/>
              </w:rPr>
              <w:t>/s/ Anthony W. Boor</w:t>
            </w:r>
          </w:p>
        </w:tc>
      </w:tr>
      <w:tr>
        <w:trPr>
          <w:trHeight w:val="23"/>
        </w:trPr>
        <w:tc>
          <w:tcPr>
            <w:tcW w:w="3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100" w:type="dxa"/>
            <w:vAlign w:val="bottom"/>
          </w:tcPr>
          <w:p>
            <w:pPr>
              <w:ind w:left="20"/>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30"/>
        </w:trPr>
        <w:tc>
          <w:tcPr>
            <w:tcW w:w="3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Calibri" w:cs="Calibri" w:eastAsia="Calibri" w:hAnsi="Calibri"/>
                <w:sz w:val="18"/>
                <w:szCs w:val="18"/>
                <w:color w:val="51555C"/>
              </w:rPr>
              <w:t>(Principal Financial and Accountng Ofcer)</w:t>
            </w:r>
          </w:p>
        </w:tc>
      </w:tr>
    </w:tbl>
    <w:p>
      <w:pPr>
        <w:sectPr>
          <w:pgSz w:w="11900" w:h="16838" w:orient="portrait"/>
          <w:cols w:equalWidth="0" w:num="1">
            <w:col w:w="11240"/>
          </w:cols>
          <w:pgMar w:left="320" w:top="882" w:right="339" w:bottom="1440" w:gutter="0" w:footer="0" w:header="0"/>
        </w:sectPr>
      </w:pPr>
    </w:p>
    <w:bookmarkStart w:id="137" w:name="page138"/>
    <w:bookmarkEnd w:id="137"/>
    <w:p>
      <w:pPr>
        <w:jc w:val="right"/>
        <w:spacing w:after="0"/>
        <w:rPr>
          <w:sz w:val="20"/>
          <w:szCs w:val="20"/>
          <w:color w:val="auto"/>
        </w:rPr>
      </w:pPr>
      <w:r>
        <w:rPr>
          <w:rFonts w:ascii="Calibri" w:cs="Calibri" w:eastAsia="Calibri" w:hAnsi="Calibri"/>
          <w:sz w:val="18"/>
          <w:szCs w:val="18"/>
          <w:b w:val="1"/>
          <w:bCs w:val="1"/>
          <w:color w:val="51555C"/>
        </w:rPr>
        <w:t>EXHIBIT 32.1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Annual Report on Form 10-K of Blackbaud, Inc. (the “Company”) for the period ended December 31, 2024 as fled with the Securites and Exchange Commission on or about the date hereof (the “Report”), I, Michael P. Gianoni, Chief Executve Ofcer, President and Vice Chairman of the Board,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79"/>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79"/>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Calibri" w:cs="Calibri" w:eastAsia="Calibri" w:hAnsi="Calibri"/>
                <w:sz w:val="18"/>
                <w:szCs w:val="18"/>
                <w:color w:val="51555C"/>
              </w:rPr>
              <w:t>Date:   February 21, 2025</w:t>
            </w:r>
          </w:p>
        </w:tc>
        <w:tc>
          <w:tcPr>
            <w:tcW w:w="1840" w:type="dxa"/>
            <w:vAlign w:val="bottom"/>
          </w:tcPr>
          <w:p>
            <w:pPr>
              <w:ind w:left="1340"/>
              <w:spacing w:after="0"/>
              <w:rPr>
                <w:sz w:val="20"/>
                <w:szCs w:val="20"/>
                <w:color w:val="auto"/>
              </w:rPr>
            </w:pPr>
            <w:r>
              <w:rPr>
                <w:rFonts w:ascii="Calibri" w:cs="Calibri" w:eastAsia="Calibri" w:hAnsi="Calibri"/>
                <w:sz w:val="18"/>
                <w:szCs w:val="18"/>
                <w:color w:val="51555C"/>
              </w:rPr>
              <w:t>By:</w:t>
            </w:r>
          </w:p>
        </w:tc>
        <w:tc>
          <w:tcPr>
            <w:tcW w:w="6100" w:type="dxa"/>
            <w:vAlign w:val="bottom"/>
          </w:tcPr>
          <w:p>
            <w:pPr>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29"/>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138" w:name="page139"/>
    <w:bookmarkEnd w:id="138"/>
    <w:p>
      <w:pPr>
        <w:jc w:val="right"/>
        <w:spacing w:after="0"/>
        <w:rPr>
          <w:sz w:val="20"/>
          <w:szCs w:val="20"/>
          <w:color w:val="auto"/>
        </w:rPr>
      </w:pPr>
      <w:r>
        <w:rPr>
          <w:rFonts w:ascii="Calibri" w:cs="Calibri" w:eastAsia="Calibri" w:hAnsi="Calibri"/>
          <w:sz w:val="18"/>
          <w:szCs w:val="18"/>
          <w:b w:val="1"/>
          <w:bCs w:val="1"/>
          <w:color w:val="51555C"/>
        </w:rPr>
        <w:t>EXHIBIT 32.2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Annual Report on Form 10-K of Blackbaud, Inc. (the “Company”) for the period ended December 31, 2024 as fled with the Securites and Exchange Commission on or about the date hereof (the “Report”), I, Anthony W. Boor, Executve Vice President and Chief Financial Ofcer,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80"/>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80"/>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260" w:type="dxa"/>
            <w:vAlign w:val="bottom"/>
          </w:tcPr>
          <w:p>
            <w:pPr>
              <w:spacing w:after="0"/>
              <w:rPr>
                <w:sz w:val="20"/>
                <w:szCs w:val="20"/>
                <w:color w:val="auto"/>
              </w:rPr>
            </w:pPr>
            <w:r>
              <w:rPr>
                <w:rFonts w:ascii="Calibri" w:cs="Calibri" w:eastAsia="Calibri" w:hAnsi="Calibri"/>
                <w:sz w:val="18"/>
                <w:szCs w:val="18"/>
                <w:color w:val="51555C"/>
              </w:rPr>
              <w:t>Date:   February 21, 2025</w:t>
            </w:r>
          </w:p>
        </w:tc>
        <w:tc>
          <w:tcPr>
            <w:tcW w:w="1840" w:type="dxa"/>
            <w:vAlign w:val="bottom"/>
          </w:tcPr>
          <w:p>
            <w:pPr>
              <w:ind w:left="1340"/>
              <w:spacing w:after="0"/>
              <w:rPr>
                <w:sz w:val="20"/>
                <w:szCs w:val="20"/>
                <w:color w:val="auto"/>
              </w:rPr>
            </w:pPr>
            <w:r>
              <w:rPr>
                <w:rFonts w:ascii="Calibri" w:cs="Calibri" w:eastAsia="Calibri" w:hAnsi="Calibri"/>
                <w:sz w:val="18"/>
                <w:szCs w:val="18"/>
                <w:color w:val="51555C"/>
              </w:rPr>
              <w:t>By:</w:t>
            </w:r>
          </w:p>
        </w:tc>
        <w:tc>
          <w:tcPr>
            <w:tcW w:w="6100" w:type="dxa"/>
            <w:vAlign w:val="bottom"/>
          </w:tcPr>
          <w:p>
            <w:pPr>
              <w:spacing w:after="0"/>
              <w:rPr>
                <w:sz w:val="20"/>
                <w:szCs w:val="20"/>
                <w:color w:val="auto"/>
              </w:rPr>
            </w:pPr>
            <w:r>
              <w:rPr>
                <w:rFonts w:ascii="Calibri" w:cs="Calibri" w:eastAsia="Calibri" w:hAnsi="Calibri"/>
                <w:sz w:val="18"/>
                <w:szCs w:val="18"/>
                <w:color w:val="51555C"/>
              </w:rPr>
              <w:t>/s/ Anthony W. Boor</w:t>
            </w:r>
          </w:p>
        </w:tc>
      </w:tr>
      <w:tr>
        <w:trPr>
          <w:trHeight w:val="23"/>
        </w:trPr>
        <w:tc>
          <w:tcPr>
            <w:tcW w:w="3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208"/>
        </w:trPr>
        <w:tc>
          <w:tcPr>
            <w:tcW w:w="3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29"/>
        </w:trPr>
        <w:tc>
          <w:tcPr>
            <w:tcW w:w="3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Calibri" w:cs="Calibri" w:eastAsia="Calibri" w:hAnsi="Calibri"/>
                <w:sz w:val="18"/>
                <w:szCs w:val="18"/>
                <w:color w:val="51555C"/>
              </w:rPr>
              <w:t>(Principal Financial and Accountng Ofcer)</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decimal"/>
      <w:start w:val="1"/>
    </w:lvl>
    <w:lvl w:ilvl="1">
      <w:lvlJc w:val="left"/>
      <w:lvlText w:val="•"/>
      <w:numFmt w:val="bullet"/>
      <w:start w:val="1"/>
    </w:lvl>
  </w:abstractNum>
  <w:abstractNum w:abstractNumId="5">
    <w:nsid w:val="2A487CB0"/>
    <w:multiLevelType w:val="hybridMultilevel"/>
    <w:lvl w:ilvl="0">
      <w:lvlJc w:val="left"/>
      <w:lvlText w:val="%1."/>
      <w:numFmt w:val="decimal"/>
      <w:start w:val="2"/>
    </w:lvl>
  </w:abstractNum>
  <w:abstractNum w:abstractNumId="6">
    <w:nsid w:val="1D4ED43B"/>
    <w:multiLevelType w:val="hybridMultilevel"/>
    <w:lvl w:ilvl="0">
      <w:lvlJc w:val="left"/>
      <w:lvlText w:val="%1."/>
      <w:numFmt w:val="decimal"/>
      <w:start w:val="3"/>
    </w:lvl>
    <w:lvl w:ilvl="1">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decimal"/>
    </w:lvl>
    <w:lvl w:ilvl="1">
      <w:lvlJc w:val="left"/>
      <w:lvlText w:val="•"/>
      <w:numFmt w:val="bullet"/>
      <w:start w:val="1"/>
    </w:lvl>
    <w:lvl w:ilvl="2">
      <w:lvlJc w:val="left"/>
      <w:lvlText w:val="1"/>
      <w:numFmt w:val="bullet"/>
      <w:start w:val="1"/>
    </w:lvl>
  </w:abstractNum>
  <w:abstractNum w:abstractNumId="18">
    <w:nsid w:val="579478FE"/>
    <w:multiLevelType w:val="hybridMultilevel"/>
    <w:lvl w:ilvl="0">
      <w:lvlJc w:val="left"/>
      <w:lvlText w:val="%1."/>
      <w:numFmt w:val="decimal"/>
      <w:start w:val="2"/>
    </w:lvl>
    <w:lvl w:ilvl="1">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lvl w:ilvl="1">
      <w:lvlJc w:val="left"/>
      <w:lvlText w:val="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64">
    <w:nsid w:val="168E121F"/>
    <w:multiLevelType w:val="hybridMultilevel"/>
    <w:lvl w:ilvl="0">
      <w:lvlJc w:val="left"/>
      <w:lvlText w:val="%1."/>
      <w:numFmt w:val="decimal"/>
      <w:start w:val="3"/>
    </w:lvl>
    <w:lvl w:ilvl="1">
      <w:lvlJc w:val="left"/>
      <w:lvlText w:val="%2."/>
      <w:numFmt w:val="decimal"/>
      <w:start w:val="4"/>
    </w:lvl>
    <w:lvl w:ilvl="2">
      <w:lvlJc w:val="left"/>
      <w:lvlText w:val="%3"/>
      <w:numFmt w:val="decimal"/>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upperLetter"/>
      <w:start w:val="1"/>
    </w:lvl>
    <w:lvl w:ilvl="1">
      <w:lvlJc w:val="left"/>
      <w:lvlText w:val="(%2)"/>
      <w:numFmt w:val="decimal"/>
      <w:start w:val="1"/>
    </w:lvl>
  </w:abstractNum>
  <w:abstractNum w:abstractNumId="67">
    <w:nsid w:val="5DC79EA8"/>
    <w:multiLevelType w:val="hybridMultilevel"/>
    <w:lvl w:ilvl="0">
      <w:lvlJc w:val="left"/>
      <w:lvlText w:val="%1"/>
      <w:numFmt w:val="upperLetter"/>
      <w:start w:val="1"/>
    </w:lvl>
    <w:lvl w:ilvl="1">
      <w:lvlJc w:val="left"/>
      <w:lvlText w:val="(%2)"/>
      <w:numFmt w:val="decimal"/>
      <w:start w:val="3"/>
    </w:lvl>
  </w:abstractNum>
  <w:abstractNum w:abstractNumId="68">
    <w:nsid w:val="540A471C"/>
    <w:multiLevelType w:val="hybridMultilevel"/>
    <w:lvl w:ilvl="0">
      <w:lvlJc w:val="left"/>
      <w:lvlText w:val="(%1)"/>
      <w:numFmt w:val="upperLetter"/>
      <w:start w:val="2"/>
    </w:lvl>
    <w:lvl w:ilvl="1">
      <w:lvlJc w:val="left"/>
      <w:lvlText w:val="(%2)"/>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2"/>
    </w:lvl>
  </w:abstractNum>
  <w:abstractNum w:abstractNumId="71">
    <w:nsid w:val="613EFDC5"/>
    <w:multiLevelType w:val="hybridMultilevel"/>
    <w:lvl w:ilvl="0">
      <w:lvlJc w:val="left"/>
      <w:lvlText w:val="(%1)"/>
      <w:numFmt w:val="lowerLetter"/>
      <w:start w:val="1"/>
    </w:lvl>
    <w:lvl w:ilvl="1">
      <w:lvlJc w:val="left"/>
      <w:lvlText w:val="•"/>
      <w:numFmt w:val="bullet"/>
      <w:start w:val="1"/>
    </w:lvl>
  </w:abstractNum>
  <w:abstractNum w:abstractNumId="72">
    <w:nsid w:val="BF72B14"/>
    <w:multiLevelType w:val="hybridMultilevel"/>
    <w:lvl w:ilvl="0">
      <w:lvlJc w:val="left"/>
      <w:lvlText w:val="%1."/>
      <w:numFmt w:val="decimal"/>
      <w:start w:val="3"/>
    </w:lvl>
  </w:abstractNum>
  <w:abstractNum w:abstractNumId="73">
    <w:nsid w:val="11447B73"/>
    <w:multiLevelType w:val="hybridMultilevel"/>
    <w:lvl w:ilvl="0">
      <w:lvlJc w:val="left"/>
      <w:lvlText w:val="%1."/>
      <w:numFmt w:val="decimal"/>
      <w:start w:val="1"/>
    </w:lvl>
    <w:lvl w:ilvl="1">
      <w:lvlJc w:val="left"/>
      <w:lvlText w:val="•"/>
      <w:numFmt w:val="bullet"/>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jpeg"/><Relationship Id="rId511" Type="http://schemas.openxmlformats.org/officeDocument/2006/relationships/image" Target="media/image481.png"/><Relationship Id="rId512" Type="http://schemas.openxmlformats.org/officeDocument/2006/relationships/image" Target="media/image482.jpeg"/><Relationship Id="rId513" Type="http://schemas.openxmlformats.org/officeDocument/2006/relationships/image" Target="media/image483.png"/><Relationship Id="rId514" Type="http://schemas.openxmlformats.org/officeDocument/2006/relationships/image" Target="media/image484.png"/><Relationship Id="rId526" Type="http://schemas.openxmlformats.org/officeDocument/2006/relationships/image" Target="media/image485.png"/><Relationship Id="rId527" Type="http://schemas.openxmlformats.org/officeDocument/2006/relationships/image" Target="media/image486.jpeg"/><Relationship Id="rId528" Type="http://schemas.openxmlformats.org/officeDocument/2006/relationships/image" Target="media/image487.png"/><Relationship Id="rId536" Type="http://schemas.openxmlformats.org/officeDocument/2006/relationships/image" Target="media/image488.jpeg"/><Relationship Id="rId537" Type="http://schemas.openxmlformats.org/officeDocument/2006/relationships/image" Target="media/image489.png"/><Relationship Id="rId538" Type="http://schemas.openxmlformats.org/officeDocument/2006/relationships/image" Target="media/image490.png"/><Relationship Id="rId539" Type="http://schemas.openxmlformats.org/officeDocument/2006/relationships/image" Target="media/image491.png"/><Relationship Id="rId540" Type="http://schemas.openxmlformats.org/officeDocument/2006/relationships/image" Target="media/image492.jpeg"/><Relationship Id="rId541" Type="http://schemas.openxmlformats.org/officeDocument/2006/relationships/image" Target="media/image493.png"/><Relationship Id="rId542" Type="http://schemas.openxmlformats.org/officeDocument/2006/relationships/image" Target="media/image494.jpeg"/><Relationship Id="rId543" Type="http://schemas.openxmlformats.org/officeDocument/2006/relationships/image" Target="media/image495.png"/><Relationship Id="rId544" Type="http://schemas.openxmlformats.org/officeDocument/2006/relationships/image" Target="media/image496.png"/><Relationship Id="rId545" Type="http://schemas.openxmlformats.org/officeDocument/2006/relationships/image" Target="media/image497.jpeg"/><Relationship Id="rId546" Type="http://schemas.openxmlformats.org/officeDocument/2006/relationships/image" Target="media/image498.jpeg"/><Relationship Id="rId547" Type="http://schemas.openxmlformats.org/officeDocument/2006/relationships/image" Target="media/image499.png"/><Relationship Id="rId548" Type="http://schemas.openxmlformats.org/officeDocument/2006/relationships/image" Target="media/image500.png"/><Relationship Id="rId549" Type="http://schemas.openxmlformats.org/officeDocument/2006/relationships/image" Target="media/image501.png"/><Relationship Id="rId550" Type="http://schemas.openxmlformats.org/officeDocument/2006/relationships/image" Target="media/image502.png"/><Relationship Id="rId551" Type="http://schemas.openxmlformats.org/officeDocument/2006/relationships/image" Target="media/image503.png"/><Relationship Id="rId552" Type="http://schemas.openxmlformats.org/officeDocument/2006/relationships/image" Target="media/image504.png"/><Relationship Id="rId484" Type="http://schemas.openxmlformats.org/officeDocument/2006/relationships/hyperlink" Target="https://www.sec.gov/Archives/edgar/data/1280058/000095014404003544/g87269a1exv2w1.txt" TargetMode="External"/><Relationship Id="rId485" Type="http://schemas.openxmlformats.org/officeDocument/2006/relationships/hyperlink" Target="https://www.sec.gov/Archives/edgar/data/1280058/000128005814000034/exhibit1076october022014.htm" TargetMode="External"/><Relationship Id="rId486" Type="http://schemas.openxmlformats.org/officeDocument/2006/relationships/hyperlink" Target="https://www.sec.gov/Archives/edgar/data/1280058/000128005815000029/exhibit1078oct52015.htm" TargetMode="External"/><Relationship Id="rId487" Type="http://schemas.openxmlformats.org/officeDocument/2006/relationships/hyperlink" Target="https://www.sec.gov/Archives/edgar/data/1280058/000128005815000029/exhbit1079oct52015.htm" TargetMode="External"/><Relationship Id="rId488" Type="http://schemas.openxmlformats.org/officeDocument/2006/relationships/hyperlink" Target="https://www.sec.gov/Archives/edgar/data/1280058/000128005822000002/exhibit21.htm" TargetMode="External"/><Relationship Id="rId489" Type="http://schemas.openxmlformats.org/officeDocument/2006/relationships/hyperlink" Target="https://www.sec.gov/Archives/edgar/data/1280058/000119312509094523/ddef14a.htm#toc26068_24" TargetMode="External"/><Relationship Id="rId490" Type="http://schemas.openxmlformats.org/officeDocument/2006/relationships/hyperlink" Target="https://www.sec.gov/ix?doc=/Archives/edgar/data/1280058/000128005824000057/blkb-20240630.htm" TargetMode="External"/><Relationship Id="rId491" Type="http://schemas.openxmlformats.org/officeDocument/2006/relationships/hyperlink" Target="https://www.sec.gov/Archives/edgar/data/1280058/000114036122036751/brhc10042812_ex3-1.htm" TargetMode="External"/><Relationship Id="rId492" Type="http://schemas.openxmlformats.org/officeDocument/2006/relationships/hyperlink" Target="https://www.sec.gov/Archives/edgar/data/1280058/000128005823000049/blkbexhibit31bylawsdec2023.htm" TargetMode="External"/><Relationship Id="rId493" Type="http://schemas.openxmlformats.org/officeDocument/2006/relationships/hyperlink" Target="https://www.sec.gov/ix?doc=/Archives/edgar/data/1280058/000128005824000037/blkb-20240331.htm" TargetMode="External"/><Relationship Id="rId498" Type="http://schemas.openxmlformats.org/officeDocument/2006/relationships/hyperlink" Target="https://www.sec.gov/Archives/edgar/data/1280058/000114036122036751/brhc10042812_ex4-1.htm" TargetMode="External"/><Relationship Id="rId499" Type="http://schemas.openxmlformats.org/officeDocument/2006/relationships/hyperlink" Target="https://www.sec.gov/Archives/edgar/data/1280058/000128005823000038/blkbex42rightsplanamendmen.htm" TargetMode="External"/><Relationship Id="rId500" Type="http://schemas.openxmlformats.org/officeDocument/2006/relationships/hyperlink" Target="https://www.sec.gov/Archives/edgar/data/1280058/000128005824000007/blkbex43rightsplanamendmen.htm" TargetMode="External"/><Relationship Id="rId501" Type="http://schemas.openxmlformats.org/officeDocument/2006/relationships/hyperlink" Target="https://www.sec.gov/Archives/edgar/data/1280058/000128005813000005/ex-10652012q4.htm" TargetMode="External"/><Relationship Id="rId502" Type="http://schemas.openxmlformats.org/officeDocument/2006/relationships/hyperlink" Target="https://www.sec.gov/Archives/edgar/data/1280058/000128005816000072/a2016q210-qexx1084.htm" TargetMode="External"/><Relationship Id="rId503" Type="http://schemas.openxmlformats.org/officeDocument/2006/relationships/hyperlink" Target="https://www.sec.gov/Archives/edgar/data/1280058/000128005816000081/a2016q310-qexx1087.htm" TargetMode="External"/><Relationship Id="rId504" Type="http://schemas.openxmlformats.org/officeDocument/2006/relationships/hyperlink" Target="https://www.sec.gov/Archives/edgar/data/1280058/000128005818000007/a201710-kexx1093.htm" TargetMode="External"/><Relationship Id="rId505" Type="http://schemas.openxmlformats.org/officeDocument/2006/relationships/hyperlink" Target="https://www.sec.gov/Archives/edgar/data/1280058/000128005818000007/a201710-kexx1094.htm" TargetMode="External"/><Relationship Id="rId506" Type="http://schemas.openxmlformats.org/officeDocument/2006/relationships/hyperlink" Target="https://www.sec.gov/Archives/edgar/data/1280058/000128005818000021/a2018q110-qexx1095.htm" TargetMode="External"/><Relationship Id="rId507" Type="http://schemas.openxmlformats.org/officeDocument/2006/relationships/hyperlink" Target="https://www.sec.gov/Archives/edgar/data/1280058/000128005819000020/a2019q110-qexx1097.htm" TargetMode="External"/><Relationship Id="rId508" Type="http://schemas.openxmlformats.org/officeDocument/2006/relationships/hyperlink" Target="https://www.sec.gov/Archives/edgar/data/1280058/000128005820000038/a2020q210-qexx101.htm" TargetMode="External"/><Relationship Id="rId509" Type="http://schemas.openxmlformats.org/officeDocument/2006/relationships/hyperlink" Target="https://www.sec.gov/Archives/edgar/data/1280058/000128005820000038/a2020q210-qexx102.htm" TargetMode="External"/><Relationship Id="rId510" Type="http://schemas.openxmlformats.org/officeDocument/2006/relationships/hyperlink" Target="https://www.sec.gov/Archives/edgar/data/1280058/000128005820000038/a2020q210-qexx103.htm" TargetMode="External"/><Relationship Id="rId515" Type="http://schemas.openxmlformats.org/officeDocument/2006/relationships/hyperlink" Target="https://www.sec.gov/Archives/edgar/data/1280058/000128005820000038/a2020q210-qexx104.htm" TargetMode="External"/><Relationship Id="rId516" Type="http://schemas.openxmlformats.org/officeDocument/2006/relationships/hyperlink" Target="https://www.sec.gov/Archives/edgar/data/1280058/000128005820000038/a2020q210-qexx105.htm" TargetMode="External"/><Relationship Id="rId517" Type="http://schemas.openxmlformats.org/officeDocument/2006/relationships/hyperlink" Target="https://www.sec.gov/Archives/edgar/data/1280058/000128005820000038/a2020q210-qexx107.htm" TargetMode="External"/><Relationship Id="rId518" Type="http://schemas.openxmlformats.org/officeDocument/2006/relationships/hyperlink" Target="https://www.sec.gov/Archives/edgar/data/1280058/000128005820000052/a2020q310-qexx103.htm" TargetMode="External"/><Relationship Id="rId519" Type="http://schemas.openxmlformats.org/officeDocument/2006/relationships/hyperlink" Target="https://www.sec.gov/Archives/edgar/data/1280058/000128005820000052/a2020q310-qexx104.htm" TargetMode="External"/><Relationship Id="rId520" Type="http://schemas.openxmlformats.org/officeDocument/2006/relationships/hyperlink" Target="https://www.sec.gov/Archives/edgar/data/1280058/000128005820000052/a2020q310-qexx105.htm" TargetMode="External"/><Relationship Id="rId521" Type="http://schemas.openxmlformats.org/officeDocument/2006/relationships/hyperlink" Target="https://www.sec.gov/Archives/edgar/data/1280058/000128005821000021/a2021q110-qexx1001.htm" TargetMode="External"/><Relationship Id="rId522" Type="http://schemas.openxmlformats.org/officeDocument/2006/relationships/hyperlink" Target="https://www.sec.gov/Archives/edgar/data/1280058/000128005821000049/a2021q310-qexx1001.htm" TargetMode="External"/><Relationship Id="rId523" Type="http://schemas.openxmlformats.org/officeDocument/2006/relationships/hyperlink" Target="https://www.sec.gov/Archives/edgar/data/1280058/000128005822000002/exhibit101.htm" TargetMode="External"/><Relationship Id="rId524" Type="http://schemas.openxmlformats.org/officeDocument/2006/relationships/hyperlink" Target="https://www.sec.gov/Archives/edgar/data/1280058/000128005822000002/exhibit102.htm" TargetMode="External"/><Relationship Id="rId525" Type="http://schemas.openxmlformats.org/officeDocument/2006/relationships/hyperlink" Target="https://www.sec.gov/Archives/edgar/data/1280058/000128005822000005/exhibit101jan312022.htm" TargetMode="External"/><Relationship Id="rId529" Type="http://schemas.openxmlformats.org/officeDocument/2006/relationships/hyperlink" Target="https://www.sec.gov/Archives/edgar/data/1280058/000128005822000055/blkbq3202210-qexx102.htm" TargetMode="External"/><Relationship Id="rId530" Type="http://schemas.openxmlformats.org/officeDocument/2006/relationships/hyperlink" Target="https://www.sec.gov/Archives/edgar/data/1280058/000128005822000050/exhibit101sep212022.htm" TargetMode="External"/><Relationship Id="rId531" Type="http://schemas.openxmlformats.org/officeDocument/2006/relationships/hyperlink" Target="https://www.sec.gov/Archives/edgar/data/1280058/000128005823000006/blkb202210-kexx1030.htm" TargetMode="External"/><Relationship Id="rId532" Type="http://schemas.openxmlformats.org/officeDocument/2006/relationships/hyperlink" Target="https://www.sec.gov/Archives/edgar/data/1280058/000128005823000023/blkbq1202310-qexx101.htm" TargetMode="External"/><Relationship Id="rId533" Type="http://schemas.openxmlformats.org/officeDocument/2006/relationships/hyperlink" Target="https://www.sec.gov/Archives/edgar/data/1280058/000128005823000026/exhibit101jun82023.htm" TargetMode="External"/><Relationship Id="rId534" Type="http://schemas.openxmlformats.org/officeDocument/2006/relationships/hyperlink" Target="https://www.sec.gov/Archives/edgar/data/1280058/000114036122012665/ny20001953x7_ex5-1.htm" TargetMode="External"/><Relationship Id="rId535" Type="http://schemas.openxmlformats.org/officeDocument/2006/relationships/hyperlink" Target="https://www.sec.gov/Archives/edgar/data/1280058/000128005824000013/blkb202310-k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2025-02-21T15:26:53Z</dcterms:created>
  <dcterms:modified xsi:type="dcterms:W3CDTF">2025-02-21T15:26:53Z</dcterms:modified>
</cp:coreProperties>
</file>